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01C19" w14:textId="4A047B04" w:rsidR="00FE6F09" w:rsidRDefault="00E44407" w:rsidP="00E44407">
      <w:pPr>
        <w:pStyle w:val="Pagedecouverture"/>
        <w:rPr>
          <w:noProof/>
        </w:rPr>
      </w:pPr>
      <w:bookmarkStart w:id="0" w:name="LW_BM_COVERPAGE"/>
      <w:r>
        <w:rPr>
          <w:noProof/>
        </w:rPr>
        <w:pict w14:anchorId="523BBC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0A3C76-B817-4524-955E-7B711A25FB83" style="width:455.25pt;height:372.75pt">
            <v:imagedata r:id="rId7" o:title=""/>
          </v:shape>
        </w:pict>
      </w:r>
    </w:p>
    <w:bookmarkEnd w:id="0"/>
    <w:p w14:paraId="23C63492" w14:textId="77777777" w:rsidR="00FE6F09" w:rsidRDefault="00FE6F09">
      <w:pPr>
        <w:rPr>
          <w:rFonts w:ascii="Times New Roman" w:hAnsi="Times New Roman" w:cs="Times New Roman"/>
          <w:noProof/>
        </w:rPr>
        <w:sectPr w:rsidR="00FE6F09" w:rsidSect="00E44407">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D866B4F" w14:textId="77777777" w:rsidR="00FE6F09" w:rsidRDefault="00435AFB">
      <w:pPr>
        <w:pStyle w:val="P68B1DB1-Normal1"/>
        <w:spacing w:before="120" w:after="120" w:line="240" w:lineRule="auto"/>
        <w:jc w:val="center"/>
        <w:rPr>
          <w:bCs/>
          <w:noProof/>
        </w:rPr>
      </w:pPr>
      <w:bookmarkStart w:id="1" w:name="_GoBack"/>
      <w:bookmarkEnd w:id="1"/>
      <w:r>
        <w:rPr>
          <w:noProof/>
        </w:rPr>
        <w:lastRenderedPageBreak/>
        <w:t xml:space="preserve">ANEXĂ </w:t>
      </w:r>
    </w:p>
    <w:p w14:paraId="48CF6521" w14:textId="77777777" w:rsidR="00FE6F09" w:rsidRDefault="00FE6F09">
      <w:pPr>
        <w:spacing w:before="120" w:after="120" w:line="240" w:lineRule="auto"/>
        <w:jc w:val="both"/>
        <w:rPr>
          <w:rFonts w:ascii="Times New Roman" w:hAnsi="Times New Roman" w:cs="Times New Roman"/>
          <w:noProof/>
          <w:sz w:val="24"/>
        </w:rPr>
      </w:pPr>
    </w:p>
    <w:p w14:paraId="57677C01" w14:textId="77777777" w:rsidR="00FE6F09" w:rsidRDefault="00435AFB">
      <w:pPr>
        <w:pStyle w:val="P68B1DB1-Normal2"/>
        <w:spacing w:before="120" w:after="120" w:line="240" w:lineRule="auto"/>
        <w:jc w:val="both"/>
        <w:rPr>
          <w:bCs/>
          <w:noProof/>
        </w:rPr>
      </w:pPr>
      <w:r>
        <w:rPr>
          <w:noProof/>
        </w:rPr>
        <w:t>Secțiunea 1: REFORME ȘI INVESTIȚII ÎN CADRUL PLANULUI DE RECUPERARE ȘI RESILIENȚĂ</w:t>
      </w:r>
    </w:p>
    <w:p w14:paraId="380D041C" w14:textId="77777777" w:rsidR="00FE6F09" w:rsidRDefault="00FE6F09">
      <w:pPr>
        <w:spacing w:before="120" w:after="120" w:line="240" w:lineRule="auto"/>
        <w:jc w:val="both"/>
        <w:rPr>
          <w:rFonts w:ascii="Times New Roman" w:hAnsi="Times New Roman" w:cs="Times New Roman"/>
          <w:noProof/>
          <w:sz w:val="24"/>
        </w:rPr>
      </w:pPr>
    </w:p>
    <w:p w14:paraId="132CD983" w14:textId="5EC9AB1D" w:rsidR="00FE6F09" w:rsidRDefault="00435AFB">
      <w:pPr>
        <w:pStyle w:val="P68B1DB1-Normal3"/>
        <w:numPr>
          <w:ilvl w:val="6"/>
          <w:numId w:val="0"/>
        </w:numPr>
        <w:spacing w:before="120" w:after="120" w:line="240" w:lineRule="auto"/>
        <w:ind w:left="567" w:hanging="567"/>
        <w:jc w:val="both"/>
        <w:rPr>
          <w:bCs/>
          <w:noProof/>
        </w:rPr>
      </w:pPr>
      <w:r>
        <w:rPr>
          <w:noProof/>
        </w:rPr>
        <w:t>Descrierea reformelor și a investițiilor</w:t>
      </w:r>
    </w:p>
    <w:p w14:paraId="60B60F86" w14:textId="77777777" w:rsidR="00FE6F09" w:rsidRDefault="00FE6F09">
      <w:pPr>
        <w:numPr>
          <w:ilvl w:val="6"/>
          <w:numId w:val="0"/>
        </w:numPr>
        <w:spacing w:before="120" w:after="120" w:line="240" w:lineRule="auto"/>
        <w:ind w:left="567" w:hanging="567"/>
        <w:jc w:val="both"/>
        <w:rPr>
          <w:rFonts w:ascii="Times New Roman" w:hAnsi="Times New Roman" w:cs="Times New Roman"/>
          <w:noProof/>
          <w:sz w:val="24"/>
        </w:rPr>
      </w:pPr>
    </w:p>
    <w:p w14:paraId="3AA142B8" w14:textId="77777777" w:rsidR="00FE6F09" w:rsidRDefault="00435AFB">
      <w:pPr>
        <w:pStyle w:val="P68B1DB1-Normal2"/>
        <w:spacing w:before="120" w:after="120" w:line="240" w:lineRule="auto"/>
        <w:jc w:val="both"/>
        <w:rPr>
          <w:bCs/>
          <w:noProof/>
        </w:rPr>
      </w:pPr>
      <w:r>
        <w:rPr>
          <w:noProof/>
        </w:rPr>
        <w:t xml:space="preserve">A. COMPONENTUL 1A: Competențe, perfecționare și recalificare </w:t>
      </w:r>
    </w:p>
    <w:p w14:paraId="5789554C" w14:textId="48B53558" w:rsidR="00FE6F09" w:rsidRDefault="00435AFB">
      <w:pPr>
        <w:pStyle w:val="P68B1DB1-Normal4"/>
        <w:spacing w:before="120" w:after="120" w:line="240" w:lineRule="auto"/>
        <w:jc w:val="both"/>
        <w:rPr>
          <w:noProof/>
        </w:rPr>
      </w:pPr>
      <w:r>
        <w:rPr>
          <w:noProof/>
        </w:rPr>
        <w:t xml:space="preserve">Componenta „Competențe, recalificare și perfecționare” a </w:t>
      </w:r>
      <w:r>
        <w:rPr>
          <w:noProof/>
          <w:color w:val="000000" w:themeColor="text1"/>
        </w:rPr>
        <w:t>planului de redresare și reziliență</w:t>
      </w:r>
      <w:r>
        <w:rPr>
          <w:noProof/>
        </w:rPr>
        <w:t xml:space="preserve"> al Luxemburgului reprezintă, în același timp, un răspuns la creșterea nivelului șomajului indusă de criză, la provocarea de lungă durată reprezentată de deficitul de competențe de pe piața forței de muncă și la recurgerea din ce în ce mai răspândită la telemuncă, ceea ce implică schimbări organizaționale și o cerere mai puternică, în principal de competențe digitale. Un program de formare, programul FutureSkills, oferă competențe persoanelor aflate în căutarea unui loc de muncă, cu un obiectiv specific pentru persoanele aflate în căutarea unui loc de muncă cu vârsta de cel puțin 45 de ani. O reformă complementară furnizează un plan de acțiune pentru formare care stabilește parcursuri pentru formarea profesională („punți de competențe”) concepute pentru a oferi competențele identificate ca fiind cele mai necesare pentru viitor. </w:t>
      </w:r>
    </w:p>
    <w:p w14:paraId="4A9A3740" w14:textId="77777777" w:rsidR="00FE6F09" w:rsidRDefault="00435AFB">
      <w:pPr>
        <w:pStyle w:val="P68B1DB1-Normal5"/>
        <w:spacing w:before="120" w:after="120" w:line="240" w:lineRule="auto"/>
        <w:jc w:val="both"/>
        <w:rPr>
          <w:noProof/>
        </w:rPr>
      </w:pPr>
      <w:r>
        <w:rPr>
          <w:noProof/>
        </w:rPr>
        <w:t xml:space="preserve">Componenta contribuie la abordarea </w:t>
      </w:r>
      <w:r>
        <w:rPr>
          <w:noProof/>
          <w:color w:val="000000" w:themeColor="text1"/>
        </w:rPr>
        <w:t xml:space="preserve">recomandării specifice fiecărei țări </w:t>
      </w:r>
      <w:r>
        <w:rPr>
          <w:noProof/>
        </w:rPr>
        <w:t xml:space="preserve">nr. 1 din 2019 pentru a spori capacitatea de inserție profesională a lucrătorilor în vârstă, a </w:t>
      </w:r>
      <w:r>
        <w:rPr>
          <w:noProof/>
          <w:color w:val="000000" w:themeColor="text1"/>
        </w:rPr>
        <w:t xml:space="preserve">recomandării specifice fiecărei țări nr. </w:t>
      </w:r>
      <w:r>
        <w:rPr>
          <w:noProof/>
        </w:rPr>
        <w:t xml:space="preserve">3 din 2019 pentru a stimula dezvoltarea competențelor și a </w:t>
      </w:r>
      <w:r>
        <w:rPr>
          <w:noProof/>
          <w:color w:val="000000" w:themeColor="text1"/>
        </w:rPr>
        <w:t xml:space="preserve">recomandării specifice fiecărei țări nr. 2 din 2020 pentru a atenua impactul crizei asupra ocupării forței de muncă, acordând o atenție deosebită persoanelor aflate într-o </w:t>
      </w:r>
      <w:r>
        <w:rPr>
          <w:noProof/>
        </w:rPr>
        <w:t xml:space="preserve">poziție dificilă pe piața forței de muncă. </w:t>
      </w:r>
    </w:p>
    <w:p w14:paraId="194668A5" w14:textId="77777777" w:rsidR="00FE6F09" w:rsidRDefault="00435AFB">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3D2945FA" w14:textId="77777777" w:rsidR="00FE6F09" w:rsidRDefault="00FE6F09">
      <w:pPr>
        <w:spacing w:before="120" w:after="120" w:line="240" w:lineRule="auto"/>
        <w:jc w:val="both"/>
        <w:rPr>
          <w:rFonts w:ascii="Times New Roman" w:hAnsi="Times New Roman" w:cs="Times New Roman"/>
          <w:noProof/>
          <w:sz w:val="24"/>
        </w:rPr>
      </w:pPr>
    </w:p>
    <w:p w14:paraId="736E5EF6" w14:textId="77777777" w:rsidR="00FE6F09" w:rsidRDefault="00435AFB">
      <w:pPr>
        <w:pStyle w:val="P68B1DB1-Normal6"/>
        <w:spacing w:before="120" w:after="120" w:line="240" w:lineRule="auto"/>
        <w:jc w:val="both"/>
        <w:rPr>
          <w:bCs/>
          <w:noProof/>
        </w:rPr>
      </w:pPr>
      <w:r>
        <w:rPr>
          <w:noProof/>
        </w:rPr>
        <w:t xml:space="preserve">A.1. </w:t>
      </w:r>
      <w:r>
        <w:rPr>
          <w:noProof/>
        </w:rPr>
        <w:tab/>
        <w:t>Descrierea reformelor și a investițiilor pentru sprijinul financiar nerambursabil</w:t>
      </w:r>
    </w:p>
    <w:p w14:paraId="6C3DE6B8" w14:textId="77777777" w:rsidR="00FE6F09" w:rsidRDefault="00435AFB">
      <w:pPr>
        <w:pStyle w:val="P68B1DB1-Normal7"/>
        <w:spacing w:before="120" w:after="120" w:line="240" w:lineRule="auto"/>
        <w:jc w:val="both"/>
        <w:rPr>
          <w:noProof/>
        </w:rPr>
      </w:pPr>
      <w:r>
        <w:rPr>
          <w:noProof/>
        </w:rPr>
        <w:t>Reformă: Skillsdësch</w:t>
      </w:r>
    </w:p>
    <w:p w14:paraId="1DC91BA7" w14:textId="77777777" w:rsidR="00FE6F09" w:rsidRDefault="00435AFB">
      <w:pPr>
        <w:pStyle w:val="P68B1DB1-Normal4"/>
        <w:spacing w:before="120" w:after="120" w:line="240" w:lineRule="auto"/>
        <w:jc w:val="both"/>
        <w:rPr>
          <w:noProof/>
        </w:rPr>
      </w:pPr>
      <w:r>
        <w:rPr>
          <w:noProof/>
        </w:rPr>
        <w:t xml:space="preserve">În cadrul unei inițiative mai ample care vizează elaborarea unei strategii în materie de competențe și promovarea formării profesionale continue, s-a desfășurat o procedură de colaborare care a implicat mese rotunde privind competențele, conduse de toate părțile interesate („Skillsdësch”), pentru a analiza cererea de competențe și pentru a identifica cele mai promițătoare profiluri profesionale. Planul de acțiune rezultat definește parcursuri de </w:t>
      </w:r>
      <w:r>
        <w:rPr>
          <w:noProof/>
          <w:color w:val="000000" w:themeColor="text1"/>
        </w:rPr>
        <w:t>formare specifice, denumite „punți de competențe”, care îi ajută pe lucrători și pe persoanele aflate în căutarea unui loc de muncă să își sporească capacitatea de inserție profesională în timpul tranziției verzi și digitale. Formările profesionale astfel concepute vor fi lansate în al doilea trimestru al anului 2022.</w:t>
      </w:r>
    </w:p>
    <w:p w14:paraId="4736A46B" w14:textId="77777777" w:rsidR="00FE6F09" w:rsidRDefault="00FE6F09">
      <w:pPr>
        <w:spacing w:before="120" w:after="120" w:line="240" w:lineRule="auto"/>
        <w:jc w:val="both"/>
        <w:rPr>
          <w:rFonts w:ascii="Times New Roman" w:hAnsi="Times New Roman" w:cs="Times New Roman"/>
          <w:noProof/>
          <w:sz w:val="24"/>
          <w:szCs w:val="24"/>
        </w:rPr>
      </w:pPr>
    </w:p>
    <w:p w14:paraId="164E730B" w14:textId="77777777" w:rsidR="00FE6F09" w:rsidRDefault="00435AFB">
      <w:pPr>
        <w:pStyle w:val="P68B1DB1-Normal7"/>
        <w:spacing w:before="120" w:after="120" w:line="240" w:lineRule="auto"/>
        <w:jc w:val="both"/>
        <w:rPr>
          <w:noProof/>
        </w:rPr>
      </w:pPr>
      <w:r>
        <w:rPr>
          <w:noProof/>
        </w:rPr>
        <w:t>Investiția 1: FutureSkills</w:t>
      </w:r>
    </w:p>
    <w:p w14:paraId="5AA01C20" w14:textId="77777777" w:rsidR="00FE6F09" w:rsidRDefault="00435AFB">
      <w:pPr>
        <w:pStyle w:val="P68B1DB1-Normal5"/>
        <w:spacing w:before="120" w:after="120" w:line="240" w:lineRule="auto"/>
        <w:jc w:val="both"/>
        <w:rPr>
          <w:noProof/>
        </w:rPr>
      </w:pPr>
      <w:r>
        <w:rPr>
          <w:noProof/>
        </w:rPr>
        <w:lastRenderedPageBreak/>
        <w:t>În același context, programul FutureSkills oferă competențe non-tehnice, digitale și manageriale căutate persoanelor selectate și motivate aflate în căutarea unui loc de muncă, astfel încât să faciliteze reintegrarea lor pe termen scurt pe piața forței de muncă și mobilitatea. Programul stabilește un obiectiv specific pentru persoanele aflate în căutarea unui loc de muncă cu vârsta de cel puțin 45 de ani, pentru a contribui la reducerea pensionărilor anticipate pe scară largă și la îmbunătățirea competențelor. Conținutul generat de program este pus la dispoziția unei populații mai mari de persoane aflate în căutarea unui loc de muncă pe un orizont de timp mai lung.</w:t>
      </w:r>
    </w:p>
    <w:p w14:paraId="4B63DB21" w14:textId="77777777" w:rsidR="00FE6F09" w:rsidRDefault="00FE6F09">
      <w:pPr>
        <w:spacing w:before="120" w:after="120" w:line="240" w:lineRule="auto"/>
        <w:jc w:val="both"/>
        <w:rPr>
          <w:rFonts w:ascii="Times New Roman" w:hAnsi="Times New Roman" w:cs="Times New Roman"/>
          <w:noProof/>
          <w:sz w:val="24"/>
          <w:szCs w:val="24"/>
        </w:rPr>
        <w:sectPr w:rsidR="00FE6F09" w:rsidSect="009823F0">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50DA6338" w14:textId="77777777" w:rsidR="00FE6F09" w:rsidRDefault="00435AFB">
      <w:pPr>
        <w:pStyle w:val="P68B1DB1-Normal6"/>
        <w:spacing w:before="120" w:after="120" w:line="240" w:lineRule="auto"/>
        <w:jc w:val="center"/>
        <w:rPr>
          <w:bCs/>
          <w:noProof/>
        </w:rPr>
      </w:pPr>
      <w:r>
        <w:rPr>
          <w:noProof/>
        </w:rPr>
        <w:t xml:space="preserve">A.2. </w:t>
      </w:r>
      <w:r>
        <w:rPr>
          <w:noProof/>
        </w:rPr>
        <w:tab/>
        <w:t>Jaloane, ținte, indicatori și calendar pentru monitorizarea și punerea în aplicare a sprijinului financiar nerambursabil</w:t>
      </w:r>
    </w:p>
    <w:tbl>
      <w:tblPr>
        <w:tblW w:w="15615" w:type="dxa"/>
        <w:jc w:val="center"/>
        <w:tblLook w:val="04A0" w:firstRow="1" w:lastRow="0" w:firstColumn="1" w:lastColumn="0" w:noHBand="0" w:noVBand="1"/>
      </w:tblPr>
      <w:tblGrid>
        <w:gridCol w:w="1171"/>
        <w:gridCol w:w="1213"/>
        <w:gridCol w:w="1572"/>
        <w:gridCol w:w="1481"/>
        <w:gridCol w:w="1762"/>
        <w:gridCol w:w="1027"/>
        <w:gridCol w:w="916"/>
        <w:gridCol w:w="889"/>
        <w:gridCol w:w="1072"/>
        <w:gridCol w:w="677"/>
        <w:gridCol w:w="3835"/>
      </w:tblGrid>
      <w:tr w:rsidR="00FE6F09" w14:paraId="38F00370" w14:textId="77777777">
        <w:trPr>
          <w:trHeight w:val="927"/>
          <w:tblHeader/>
          <w:jc w:val="center"/>
        </w:trPr>
        <w:tc>
          <w:tcPr>
            <w:tcW w:w="1242"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51D3A33" w14:textId="77777777" w:rsidR="00FE6F09" w:rsidRDefault="00435AFB">
            <w:pPr>
              <w:pStyle w:val="P68B1DB1-Normal8"/>
              <w:spacing w:after="0" w:line="240" w:lineRule="auto"/>
              <w:jc w:val="center"/>
              <w:rPr>
                <w:bCs/>
                <w:noProof/>
              </w:rPr>
            </w:pPr>
            <w:r>
              <w:rPr>
                <w:noProof/>
              </w:rPr>
              <w:t>Număr secvențial</w:t>
            </w:r>
          </w:p>
        </w:tc>
        <w:tc>
          <w:tcPr>
            <w:tcW w:w="1287"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D4EB515" w14:textId="77777777" w:rsidR="00FE6F09" w:rsidRDefault="00435AFB">
            <w:pPr>
              <w:pStyle w:val="P68B1DB1-Normal8"/>
              <w:spacing w:after="0" w:line="240" w:lineRule="auto"/>
              <w:jc w:val="center"/>
              <w:rPr>
                <w:bCs/>
                <w:noProof/>
              </w:rPr>
            </w:pPr>
            <w:r>
              <w:rPr>
                <w:noProof/>
              </w:rPr>
              <w:t>Măsură conexă (reformă sau investiție)</w:t>
            </w:r>
          </w:p>
        </w:tc>
        <w:tc>
          <w:tcPr>
            <w:tcW w:w="1123"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F85B873" w14:textId="5CC5D4AE" w:rsidR="00FE6F09" w:rsidRDefault="00435AFB">
            <w:pPr>
              <w:pStyle w:val="P68B1DB1-Normal8"/>
              <w:spacing w:after="0" w:line="240" w:lineRule="auto"/>
              <w:jc w:val="center"/>
              <w:rPr>
                <w:bCs/>
                <w:noProof/>
              </w:rPr>
            </w:pPr>
            <w:r>
              <w:rPr>
                <w:noProof/>
              </w:rPr>
              <w:t>Etapa/Obiectivul</w:t>
            </w:r>
          </w:p>
        </w:tc>
        <w:tc>
          <w:tcPr>
            <w:tcW w:w="1575" w:type="dxa"/>
            <w:vMerge w:val="restart"/>
            <w:tcBorders>
              <w:top w:val="single" w:sz="4" w:space="0" w:color="auto"/>
              <w:left w:val="nil"/>
              <w:bottom w:val="single" w:sz="4" w:space="0" w:color="000000" w:themeColor="text1"/>
              <w:right w:val="single" w:sz="4" w:space="0" w:color="auto"/>
            </w:tcBorders>
            <w:shd w:val="clear" w:color="auto" w:fill="BDD7EE"/>
            <w:vAlign w:val="center"/>
            <w:hideMark/>
          </w:tcPr>
          <w:p w14:paraId="0801FB1B" w14:textId="77777777" w:rsidR="00FE6F09" w:rsidRDefault="00435AFB">
            <w:pPr>
              <w:pStyle w:val="P68B1DB1-Normal8"/>
              <w:spacing w:after="0" w:line="240" w:lineRule="auto"/>
              <w:jc w:val="center"/>
              <w:rPr>
                <w:bCs/>
                <w:noProof/>
              </w:rPr>
            </w:pPr>
            <w:r>
              <w:rPr>
                <w:noProof/>
              </w:rPr>
              <w:t>Denumire</w:t>
            </w:r>
          </w:p>
        </w:tc>
        <w:tc>
          <w:tcPr>
            <w:tcW w:w="1877"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F0B00CB"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sz w:val="24"/>
              </w:rPr>
              <w:br/>
            </w:r>
            <w:r>
              <w:rPr>
                <w:rFonts w:ascii="Times New Roman" w:eastAsia="Times New Roman" w:hAnsi="Times New Roman" w:cs="Times New Roman"/>
                <w:b/>
                <w:noProof/>
                <w:sz w:val="20"/>
                <w:szCs w:val="20"/>
              </w:rPr>
              <w:t>(pentru jaloane)</w:t>
            </w:r>
          </w:p>
        </w:tc>
        <w:tc>
          <w:tcPr>
            <w:tcW w:w="2782" w:type="dxa"/>
            <w:gridSpan w:val="3"/>
            <w:tcBorders>
              <w:top w:val="single" w:sz="4" w:space="0" w:color="auto"/>
              <w:left w:val="nil"/>
              <w:bottom w:val="single" w:sz="4" w:space="0" w:color="auto"/>
              <w:right w:val="single" w:sz="4" w:space="0" w:color="auto"/>
            </w:tcBorders>
            <w:shd w:val="clear" w:color="auto" w:fill="BDD7EE"/>
            <w:vAlign w:val="center"/>
            <w:hideMark/>
          </w:tcPr>
          <w:p w14:paraId="742A383F"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sz w:val="24"/>
              </w:rPr>
              <w:br/>
            </w:r>
            <w:r>
              <w:rPr>
                <w:rFonts w:ascii="Times New Roman" w:eastAsia="Times New Roman" w:hAnsi="Times New Roman" w:cs="Times New Roman"/>
                <w:b/>
                <w:noProof/>
                <w:sz w:val="20"/>
                <w:szCs w:val="20"/>
              </w:rPr>
              <w:t>(pentru obiective)</w:t>
            </w:r>
          </w:p>
        </w:tc>
        <w:tc>
          <w:tcPr>
            <w:tcW w:w="1626" w:type="dxa"/>
            <w:gridSpan w:val="2"/>
            <w:tcBorders>
              <w:top w:val="single" w:sz="4" w:space="0" w:color="auto"/>
              <w:left w:val="nil"/>
              <w:bottom w:val="single" w:sz="4" w:space="0" w:color="auto"/>
              <w:right w:val="single" w:sz="4" w:space="0" w:color="auto"/>
            </w:tcBorders>
            <w:shd w:val="clear" w:color="auto" w:fill="BDD7EE"/>
            <w:vAlign w:val="center"/>
            <w:hideMark/>
          </w:tcPr>
          <w:p w14:paraId="12BCB430" w14:textId="77777777" w:rsidR="00FE6F09" w:rsidRDefault="00435AFB">
            <w:pPr>
              <w:pStyle w:val="P68B1DB1-Normal8"/>
              <w:spacing w:after="0" w:line="240" w:lineRule="auto"/>
              <w:jc w:val="center"/>
              <w:rPr>
                <w:bCs/>
                <w:noProof/>
              </w:rPr>
            </w:pPr>
            <w:r>
              <w:rPr>
                <w:noProof/>
              </w:rPr>
              <w:t xml:space="preserve">Calendar orientativ pentru finalizare </w:t>
            </w:r>
          </w:p>
        </w:tc>
        <w:tc>
          <w:tcPr>
            <w:tcW w:w="410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594D1B" w14:textId="77777777" w:rsidR="00FE6F09" w:rsidRDefault="00435AFB">
            <w:pPr>
              <w:pStyle w:val="P68B1DB1-Normal8"/>
              <w:spacing w:after="0" w:line="240" w:lineRule="auto"/>
              <w:jc w:val="center"/>
              <w:rPr>
                <w:bCs/>
                <w:noProof/>
              </w:rPr>
            </w:pPr>
            <w:r>
              <w:rPr>
                <w:noProof/>
              </w:rPr>
              <w:t>Descrierea fiecărui jalon și a fiecărei ținte</w:t>
            </w:r>
          </w:p>
        </w:tc>
      </w:tr>
      <w:tr w:rsidR="00FE6F09" w14:paraId="375A4EDB" w14:textId="77777777">
        <w:trPr>
          <w:trHeight w:val="1013"/>
          <w:tblHeader/>
          <w:jc w:val="center"/>
        </w:trPr>
        <w:tc>
          <w:tcPr>
            <w:tcW w:w="1242" w:type="dxa"/>
            <w:vMerge/>
            <w:tcBorders>
              <w:top w:val="single" w:sz="4" w:space="0" w:color="auto"/>
              <w:left w:val="single" w:sz="4" w:space="0" w:color="auto"/>
              <w:bottom w:val="single" w:sz="4" w:space="0" w:color="000000"/>
              <w:right w:val="single" w:sz="4" w:space="0" w:color="auto"/>
            </w:tcBorders>
            <w:vAlign w:val="center"/>
            <w:hideMark/>
          </w:tcPr>
          <w:p w14:paraId="6AC0B8A0" w14:textId="77777777" w:rsidR="00FE6F09" w:rsidRDefault="00FE6F09">
            <w:pPr>
              <w:spacing w:after="0" w:line="240" w:lineRule="auto"/>
              <w:rPr>
                <w:rFonts w:ascii="Times New Roman" w:eastAsia="Times New Roman" w:hAnsi="Times New Roman" w:cs="Times New Roman"/>
                <w:b/>
                <w:bCs/>
                <w:noProof/>
                <w:sz w:val="20"/>
                <w:szCs w:val="20"/>
              </w:rPr>
            </w:pPr>
          </w:p>
        </w:tc>
        <w:tc>
          <w:tcPr>
            <w:tcW w:w="1287" w:type="dxa"/>
            <w:vMerge/>
            <w:tcBorders>
              <w:top w:val="single" w:sz="4" w:space="0" w:color="auto"/>
              <w:left w:val="single" w:sz="4" w:space="0" w:color="auto"/>
              <w:bottom w:val="single" w:sz="4" w:space="0" w:color="000000"/>
              <w:right w:val="single" w:sz="4" w:space="0" w:color="auto"/>
            </w:tcBorders>
            <w:vAlign w:val="center"/>
            <w:hideMark/>
          </w:tcPr>
          <w:p w14:paraId="7E77C343" w14:textId="77777777" w:rsidR="00FE6F09" w:rsidRDefault="00FE6F09">
            <w:pPr>
              <w:spacing w:after="0" w:line="240" w:lineRule="auto"/>
              <w:rPr>
                <w:rFonts w:ascii="Times New Roman" w:eastAsia="Times New Roman" w:hAnsi="Times New Roman" w:cs="Times New Roman"/>
                <w:b/>
                <w:bCs/>
                <w:noProof/>
                <w:sz w:val="20"/>
                <w:szCs w:val="20"/>
              </w:rPr>
            </w:pPr>
          </w:p>
        </w:tc>
        <w:tc>
          <w:tcPr>
            <w:tcW w:w="1123" w:type="dxa"/>
            <w:vMerge/>
            <w:tcBorders>
              <w:top w:val="single" w:sz="4" w:space="0" w:color="auto"/>
              <w:left w:val="single" w:sz="4" w:space="0" w:color="auto"/>
              <w:bottom w:val="single" w:sz="4" w:space="0" w:color="000000"/>
              <w:right w:val="single" w:sz="4" w:space="0" w:color="auto"/>
            </w:tcBorders>
            <w:vAlign w:val="center"/>
            <w:hideMark/>
          </w:tcPr>
          <w:p w14:paraId="538AEC2E" w14:textId="77777777" w:rsidR="00FE6F09" w:rsidRDefault="00FE6F09">
            <w:pPr>
              <w:spacing w:after="0" w:line="240" w:lineRule="auto"/>
              <w:rPr>
                <w:rFonts w:ascii="Times New Roman" w:eastAsia="Times New Roman" w:hAnsi="Times New Roman" w:cs="Times New Roman"/>
                <w:b/>
                <w:bCs/>
                <w:noProof/>
                <w:sz w:val="20"/>
                <w:szCs w:val="20"/>
              </w:rPr>
            </w:pPr>
          </w:p>
        </w:tc>
        <w:tc>
          <w:tcPr>
            <w:tcW w:w="1575" w:type="dxa"/>
            <w:vMerge/>
            <w:tcBorders>
              <w:top w:val="single" w:sz="4" w:space="0" w:color="auto"/>
              <w:left w:val="nil"/>
              <w:bottom w:val="single" w:sz="4" w:space="0" w:color="000000"/>
              <w:right w:val="single" w:sz="4" w:space="0" w:color="auto"/>
            </w:tcBorders>
            <w:vAlign w:val="center"/>
            <w:hideMark/>
          </w:tcPr>
          <w:p w14:paraId="139390E2" w14:textId="77777777" w:rsidR="00FE6F09" w:rsidRDefault="00FE6F09">
            <w:pPr>
              <w:spacing w:after="0" w:line="240" w:lineRule="auto"/>
              <w:rPr>
                <w:rFonts w:ascii="Times New Roman" w:eastAsia="Times New Roman" w:hAnsi="Times New Roman" w:cs="Times New Roman"/>
                <w:b/>
                <w:bCs/>
                <w:noProof/>
                <w:sz w:val="20"/>
                <w:szCs w:val="20"/>
              </w:rPr>
            </w:pPr>
          </w:p>
        </w:tc>
        <w:tc>
          <w:tcPr>
            <w:tcW w:w="1877" w:type="dxa"/>
            <w:vMerge/>
            <w:tcBorders>
              <w:top w:val="single" w:sz="4" w:space="0" w:color="auto"/>
              <w:left w:val="single" w:sz="4" w:space="0" w:color="auto"/>
              <w:bottom w:val="single" w:sz="4" w:space="0" w:color="000000"/>
              <w:right w:val="single" w:sz="4" w:space="0" w:color="auto"/>
            </w:tcBorders>
            <w:vAlign w:val="center"/>
            <w:hideMark/>
          </w:tcPr>
          <w:p w14:paraId="1F29DE5C" w14:textId="77777777" w:rsidR="00FE6F09" w:rsidRDefault="00FE6F09">
            <w:pPr>
              <w:spacing w:after="0" w:line="240" w:lineRule="auto"/>
              <w:rPr>
                <w:rFonts w:ascii="Times New Roman" w:eastAsia="Times New Roman" w:hAnsi="Times New Roman" w:cs="Times New Roman"/>
                <w:b/>
                <w:bCs/>
                <w:noProof/>
                <w:sz w:val="20"/>
                <w:szCs w:val="20"/>
              </w:rPr>
            </w:pPr>
          </w:p>
        </w:tc>
        <w:tc>
          <w:tcPr>
            <w:tcW w:w="1087" w:type="dxa"/>
            <w:tcBorders>
              <w:top w:val="nil"/>
              <w:left w:val="nil"/>
              <w:bottom w:val="single" w:sz="4" w:space="0" w:color="auto"/>
              <w:right w:val="single" w:sz="4" w:space="0" w:color="auto"/>
            </w:tcBorders>
            <w:shd w:val="clear" w:color="auto" w:fill="BDD7EE"/>
            <w:vAlign w:val="center"/>
            <w:hideMark/>
          </w:tcPr>
          <w:p w14:paraId="24442200" w14:textId="77777777" w:rsidR="00FE6F09" w:rsidRDefault="00435AFB">
            <w:pPr>
              <w:pStyle w:val="P68B1DB1-Normal8"/>
              <w:spacing w:after="0" w:line="240" w:lineRule="auto"/>
              <w:jc w:val="center"/>
              <w:rPr>
                <w:bCs/>
                <w:noProof/>
              </w:rPr>
            </w:pPr>
            <w:r>
              <w:rPr>
                <w:noProof/>
              </w:rPr>
              <w:t>Unitatea de măsură</w:t>
            </w:r>
          </w:p>
        </w:tc>
        <w:tc>
          <w:tcPr>
            <w:tcW w:w="954" w:type="dxa"/>
            <w:tcBorders>
              <w:top w:val="nil"/>
              <w:left w:val="nil"/>
              <w:bottom w:val="single" w:sz="4" w:space="0" w:color="auto"/>
              <w:right w:val="single" w:sz="4" w:space="0" w:color="auto"/>
            </w:tcBorders>
            <w:shd w:val="clear" w:color="auto" w:fill="BDD7EE"/>
            <w:vAlign w:val="center"/>
            <w:hideMark/>
          </w:tcPr>
          <w:p w14:paraId="64D924C7" w14:textId="77777777" w:rsidR="00FE6F09" w:rsidRDefault="00435AFB">
            <w:pPr>
              <w:pStyle w:val="P68B1DB1-Normal8"/>
              <w:spacing w:after="0" w:line="240" w:lineRule="auto"/>
              <w:jc w:val="center"/>
              <w:rPr>
                <w:bCs/>
                <w:noProof/>
              </w:rPr>
            </w:pPr>
            <w:r>
              <w:rPr>
                <w:noProof/>
              </w:rPr>
              <w:t xml:space="preserve">Situația de referință </w:t>
            </w:r>
          </w:p>
        </w:tc>
        <w:tc>
          <w:tcPr>
            <w:tcW w:w="741" w:type="dxa"/>
            <w:tcBorders>
              <w:top w:val="nil"/>
              <w:left w:val="nil"/>
              <w:bottom w:val="single" w:sz="4" w:space="0" w:color="auto"/>
              <w:right w:val="single" w:sz="4" w:space="0" w:color="auto"/>
            </w:tcBorders>
            <w:shd w:val="clear" w:color="auto" w:fill="BDD7EE"/>
            <w:vAlign w:val="center"/>
            <w:hideMark/>
          </w:tcPr>
          <w:p w14:paraId="7964CAC5" w14:textId="77777777" w:rsidR="00FE6F09" w:rsidRDefault="00435AFB">
            <w:pPr>
              <w:pStyle w:val="P68B1DB1-Normal8"/>
              <w:spacing w:after="0" w:line="240" w:lineRule="auto"/>
              <w:jc w:val="center"/>
              <w:rPr>
                <w:bCs/>
                <w:noProof/>
              </w:rPr>
            </w:pPr>
            <w:r>
              <w:rPr>
                <w:noProof/>
              </w:rPr>
              <w:t xml:space="preserve">Obiectiv </w:t>
            </w:r>
          </w:p>
        </w:tc>
        <w:tc>
          <w:tcPr>
            <w:tcW w:w="915" w:type="dxa"/>
            <w:tcBorders>
              <w:top w:val="nil"/>
              <w:left w:val="nil"/>
              <w:bottom w:val="single" w:sz="4" w:space="0" w:color="auto"/>
              <w:right w:val="single" w:sz="4" w:space="0" w:color="auto"/>
            </w:tcBorders>
            <w:shd w:val="clear" w:color="auto" w:fill="BDD7EE"/>
            <w:vAlign w:val="center"/>
            <w:hideMark/>
          </w:tcPr>
          <w:p w14:paraId="2AC3D7A9" w14:textId="77777777" w:rsidR="00FE6F09" w:rsidRDefault="00435AFB">
            <w:pPr>
              <w:pStyle w:val="P68B1DB1-Normal8"/>
              <w:spacing w:after="0" w:line="240" w:lineRule="auto"/>
              <w:jc w:val="center"/>
              <w:rPr>
                <w:bCs/>
                <w:noProof/>
              </w:rPr>
            </w:pPr>
            <w:r>
              <w:rPr>
                <w:noProof/>
              </w:rPr>
              <w:t>Trimestrul</w:t>
            </w:r>
          </w:p>
        </w:tc>
        <w:tc>
          <w:tcPr>
            <w:tcW w:w="711" w:type="dxa"/>
            <w:tcBorders>
              <w:top w:val="nil"/>
              <w:left w:val="nil"/>
              <w:bottom w:val="single" w:sz="4" w:space="0" w:color="auto"/>
              <w:right w:val="single" w:sz="4" w:space="0" w:color="auto"/>
            </w:tcBorders>
            <w:shd w:val="clear" w:color="auto" w:fill="BDD7EE"/>
            <w:vAlign w:val="center"/>
            <w:hideMark/>
          </w:tcPr>
          <w:p w14:paraId="36353E0B" w14:textId="77777777" w:rsidR="00FE6F09" w:rsidRDefault="00435AFB">
            <w:pPr>
              <w:pStyle w:val="P68B1DB1-Normal8"/>
              <w:spacing w:after="0" w:line="240" w:lineRule="auto"/>
              <w:jc w:val="center"/>
              <w:rPr>
                <w:bCs/>
                <w:noProof/>
              </w:rPr>
            </w:pPr>
            <w:r>
              <w:rPr>
                <w:noProof/>
              </w:rPr>
              <w:t>Anul</w:t>
            </w:r>
          </w:p>
        </w:tc>
        <w:tc>
          <w:tcPr>
            <w:tcW w:w="4103" w:type="dxa"/>
            <w:vMerge/>
            <w:tcBorders>
              <w:top w:val="single" w:sz="4" w:space="0" w:color="auto"/>
              <w:left w:val="single" w:sz="4" w:space="0" w:color="auto"/>
              <w:bottom w:val="single" w:sz="4" w:space="0" w:color="auto"/>
              <w:right w:val="single" w:sz="4" w:space="0" w:color="auto"/>
            </w:tcBorders>
            <w:vAlign w:val="center"/>
            <w:hideMark/>
          </w:tcPr>
          <w:p w14:paraId="339A090F" w14:textId="77777777" w:rsidR="00FE6F09" w:rsidRDefault="00FE6F09">
            <w:pPr>
              <w:spacing w:after="0" w:line="240" w:lineRule="auto"/>
              <w:rPr>
                <w:rFonts w:ascii="Times New Roman" w:eastAsia="Times New Roman" w:hAnsi="Times New Roman" w:cs="Times New Roman"/>
                <w:b/>
                <w:bCs/>
                <w:noProof/>
                <w:sz w:val="20"/>
                <w:szCs w:val="20"/>
              </w:rPr>
            </w:pPr>
          </w:p>
        </w:tc>
      </w:tr>
      <w:tr w:rsidR="00FE6F09" w14:paraId="0BACDF9E" w14:textId="77777777">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1E8FE933" w14:textId="77777777" w:rsidR="00FE6F09" w:rsidRDefault="00435AFB">
            <w:pPr>
              <w:pStyle w:val="P68B1DB1-Normal9"/>
              <w:spacing w:after="0" w:line="240" w:lineRule="auto"/>
              <w:rPr>
                <w:noProof/>
              </w:rPr>
            </w:pPr>
            <w:r>
              <w:rPr>
                <w:noProof/>
              </w:rPr>
              <w:t>1A-1</w:t>
            </w:r>
          </w:p>
        </w:tc>
        <w:tc>
          <w:tcPr>
            <w:tcW w:w="1287" w:type="dxa"/>
            <w:tcBorders>
              <w:top w:val="nil"/>
              <w:left w:val="nil"/>
              <w:bottom w:val="single" w:sz="4" w:space="0" w:color="auto"/>
              <w:right w:val="single" w:sz="4" w:space="0" w:color="auto"/>
            </w:tcBorders>
            <w:shd w:val="clear" w:color="auto" w:fill="C6EFCE"/>
            <w:noWrap/>
          </w:tcPr>
          <w:p w14:paraId="11F20180" w14:textId="77777777" w:rsidR="00FE6F09" w:rsidRDefault="00435AFB">
            <w:pPr>
              <w:pStyle w:val="P68B1DB1-Normal9"/>
              <w:spacing w:after="0" w:line="240" w:lineRule="auto"/>
              <w:rPr>
                <w:noProof/>
              </w:rPr>
            </w:pPr>
            <w:r>
              <w:rPr>
                <w:noProof/>
              </w:rPr>
              <w:t>Reforma 1 - Competențe</w:t>
            </w:r>
          </w:p>
        </w:tc>
        <w:tc>
          <w:tcPr>
            <w:tcW w:w="1123" w:type="dxa"/>
            <w:tcBorders>
              <w:top w:val="nil"/>
              <w:left w:val="nil"/>
              <w:bottom w:val="single" w:sz="4" w:space="0" w:color="auto"/>
              <w:right w:val="single" w:sz="4" w:space="0" w:color="auto"/>
            </w:tcBorders>
            <w:shd w:val="clear" w:color="auto" w:fill="C6EFCE"/>
            <w:noWrap/>
          </w:tcPr>
          <w:p w14:paraId="0C305947" w14:textId="77777777" w:rsidR="00FE6F09" w:rsidRDefault="00435AFB">
            <w:pPr>
              <w:pStyle w:val="P68B1DB1-Normal9"/>
              <w:spacing w:after="0" w:line="240" w:lineRule="auto"/>
              <w:rPr>
                <w:noProof/>
              </w:rPr>
            </w:pPr>
            <w:r>
              <w:rPr>
                <w:noProof/>
              </w:rPr>
              <w:t>Etapa de referință</w:t>
            </w:r>
          </w:p>
        </w:tc>
        <w:tc>
          <w:tcPr>
            <w:tcW w:w="1575" w:type="dxa"/>
            <w:tcBorders>
              <w:top w:val="nil"/>
              <w:left w:val="nil"/>
              <w:bottom w:val="single" w:sz="4" w:space="0" w:color="auto"/>
              <w:right w:val="single" w:sz="4" w:space="0" w:color="auto"/>
            </w:tcBorders>
            <w:shd w:val="clear" w:color="auto" w:fill="C6EFCE"/>
            <w:noWrap/>
          </w:tcPr>
          <w:p w14:paraId="35DDC11A" w14:textId="77777777" w:rsidR="00FE6F09" w:rsidRDefault="00435AFB">
            <w:pPr>
              <w:pStyle w:val="P68B1DB1-Normal9"/>
              <w:spacing w:after="0" w:line="240" w:lineRule="auto"/>
              <w:rPr>
                <w:noProof/>
              </w:rPr>
            </w:pPr>
            <w:r>
              <w:rPr>
                <w:noProof/>
              </w:rPr>
              <w:t>Lansarea programului „Skillsdësch”</w:t>
            </w:r>
          </w:p>
        </w:tc>
        <w:tc>
          <w:tcPr>
            <w:tcW w:w="1877" w:type="dxa"/>
            <w:tcBorders>
              <w:top w:val="nil"/>
              <w:left w:val="nil"/>
              <w:bottom w:val="single" w:sz="4" w:space="0" w:color="auto"/>
              <w:right w:val="single" w:sz="4" w:space="0" w:color="auto"/>
            </w:tcBorders>
            <w:shd w:val="clear" w:color="auto" w:fill="C6EFCE"/>
            <w:noWrap/>
          </w:tcPr>
          <w:p w14:paraId="1745C0CA" w14:textId="77777777" w:rsidR="00FE6F09" w:rsidRDefault="00435AFB">
            <w:pPr>
              <w:pStyle w:val="P68B1DB1-Normal9"/>
              <w:spacing w:after="0" w:line="240" w:lineRule="auto"/>
              <w:rPr>
                <w:noProof/>
              </w:rPr>
            </w:pPr>
            <w:r>
              <w:rPr>
                <w:noProof/>
              </w:rPr>
              <w:t xml:space="preserve">Lansarea oficială a procesului „Skillsdësch” în cadrul reuniunii Comitetului tripartit de coordonare </w:t>
            </w:r>
          </w:p>
        </w:tc>
        <w:tc>
          <w:tcPr>
            <w:tcW w:w="1087" w:type="dxa"/>
            <w:tcBorders>
              <w:top w:val="nil"/>
              <w:left w:val="nil"/>
              <w:bottom w:val="single" w:sz="4" w:space="0" w:color="auto"/>
              <w:right w:val="single" w:sz="4" w:space="0" w:color="auto"/>
            </w:tcBorders>
            <w:shd w:val="clear" w:color="auto" w:fill="C6EFCE"/>
            <w:noWrap/>
          </w:tcPr>
          <w:p w14:paraId="6A01BDA7"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954" w:type="dxa"/>
            <w:tcBorders>
              <w:top w:val="nil"/>
              <w:left w:val="nil"/>
              <w:bottom w:val="single" w:sz="4" w:space="0" w:color="auto"/>
              <w:right w:val="single" w:sz="4" w:space="0" w:color="auto"/>
            </w:tcBorders>
            <w:shd w:val="clear" w:color="auto" w:fill="C6EFCE"/>
            <w:noWrap/>
          </w:tcPr>
          <w:p w14:paraId="5FD59951"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741" w:type="dxa"/>
            <w:tcBorders>
              <w:top w:val="nil"/>
              <w:left w:val="nil"/>
              <w:bottom w:val="single" w:sz="4" w:space="0" w:color="auto"/>
              <w:right w:val="single" w:sz="4" w:space="0" w:color="auto"/>
            </w:tcBorders>
            <w:shd w:val="clear" w:color="auto" w:fill="C6EFCE"/>
            <w:noWrap/>
          </w:tcPr>
          <w:p w14:paraId="2067969D"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915" w:type="dxa"/>
            <w:tcBorders>
              <w:top w:val="nil"/>
              <w:left w:val="nil"/>
              <w:bottom w:val="single" w:sz="4" w:space="0" w:color="auto"/>
              <w:right w:val="single" w:sz="4" w:space="0" w:color="auto"/>
            </w:tcBorders>
            <w:shd w:val="clear" w:color="auto" w:fill="C6EFCE"/>
            <w:noWrap/>
          </w:tcPr>
          <w:p w14:paraId="4109C4E0" w14:textId="77777777" w:rsidR="00FE6F09" w:rsidRDefault="00435AFB">
            <w:pPr>
              <w:pStyle w:val="P68B1DB1-Normal9"/>
              <w:spacing w:after="0" w:line="240" w:lineRule="auto"/>
              <w:rPr>
                <w:noProof/>
              </w:rPr>
            </w:pPr>
            <w:r>
              <w:rPr>
                <w:noProof/>
              </w:rPr>
              <w:t>T3</w:t>
            </w:r>
          </w:p>
        </w:tc>
        <w:tc>
          <w:tcPr>
            <w:tcW w:w="711" w:type="dxa"/>
            <w:tcBorders>
              <w:top w:val="nil"/>
              <w:left w:val="nil"/>
              <w:bottom w:val="single" w:sz="4" w:space="0" w:color="auto"/>
              <w:right w:val="single" w:sz="4" w:space="0" w:color="auto"/>
            </w:tcBorders>
            <w:shd w:val="clear" w:color="auto" w:fill="C6EFCE"/>
            <w:noWrap/>
          </w:tcPr>
          <w:p w14:paraId="2ED295ED" w14:textId="77777777" w:rsidR="00FE6F09" w:rsidRDefault="00435AFB">
            <w:pPr>
              <w:pStyle w:val="P68B1DB1-Normal9"/>
              <w:spacing w:after="0" w:line="240" w:lineRule="auto"/>
              <w:rPr>
                <w:noProof/>
              </w:rPr>
            </w:pPr>
            <w:r>
              <w:rPr>
                <w:noProof/>
              </w:rPr>
              <w:t>2020</w:t>
            </w:r>
          </w:p>
        </w:tc>
        <w:tc>
          <w:tcPr>
            <w:tcW w:w="4103" w:type="dxa"/>
            <w:tcBorders>
              <w:top w:val="nil"/>
              <w:left w:val="nil"/>
              <w:bottom w:val="single" w:sz="4" w:space="0" w:color="auto"/>
              <w:right w:val="single" w:sz="4" w:space="0" w:color="auto"/>
            </w:tcBorders>
            <w:shd w:val="clear" w:color="auto" w:fill="C6EFCE"/>
            <w:noWrap/>
          </w:tcPr>
          <w:p w14:paraId="5FCE62B0" w14:textId="77777777" w:rsidR="00FE6F09" w:rsidRDefault="00435AFB">
            <w:pPr>
              <w:pStyle w:val="P68B1DB1-Normal9"/>
              <w:spacing w:after="0" w:line="240" w:lineRule="auto"/>
              <w:rPr>
                <w:noProof/>
              </w:rPr>
            </w:pPr>
            <w:r>
              <w:rPr>
                <w:noProof/>
              </w:rPr>
              <w:t>Lansarea de către Comitetul tripartit de coordonare a procesului de colaborare la masa rotundă („Skillsdësch”) pentru a analiza cererea de competențe și pentru a identifica cele mai promițătoare profiluri profesionale</w:t>
            </w:r>
          </w:p>
        </w:tc>
      </w:tr>
      <w:tr w:rsidR="00FE6F09" w14:paraId="25DCE79C" w14:textId="77777777">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020B7689" w14:textId="77777777" w:rsidR="00FE6F09" w:rsidRDefault="00435AFB">
            <w:pPr>
              <w:pStyle w:val="P68B1DB1-Normal9"/>
              <w:spacing w:after="0" w:line="240" w:lineRule="auto"/>
              <w:rPr>
                <w:noProof/>
              </w:rPr>
            </w:pPr>
            <w:r>
              <w:rPr>
                <w:noProof/>
              </w:rPr>
              <w:t>1A-2</w:t>
            </w:r>
          </w:p>
        </w:tc>
        <w:tc>
          <w:tcPr>
            <w:tcW w:w="1287" w:type="dxa"/>
            <w:tcBorders>
              <w:top w:val="nil"/>
              <w:left w:val="nil"/>
              <w:bottom w:val="single" w:sz="4" w:space="0" w:color="auto"/>
              <w:right w:val="single" w:sz="4" w:space="0" w:color="auto"/>
            </w:tcBorders>
            <w:shd w:val="clear" w:color="auto" w:fill="C6EFCE"/>
            <w:noWrap/>
          </w:tcPr>
          <w:p w14:paraId="0CCF19D9" w14:textId="77777777" w:rsidR="00FE6F09" w:rsidRDefault="00435AFB">
            <w:pPr>
              <w:pStyle w:val="P68B1DB1-Normal9"/>
              <w:spacing w:after="0" w:line="240" w:lineRule="auto"/>
              <w:rPr>
                <w:noProof/>
              </w:rPr>
            </w:pPr>
            <w:r>
              <w:rPr>
                <w:noProof/>
              </w:rPr>
              <w:t>Reforma 1 - Competențe</w:t>
            </w:r>
          </w:p>
        </w:tc>
        <w:tc>
          <w:tcPr>
            <w:tcW w:w="1123" w:type="dxa"/>
            <w:tcBorders>
              <w:top w:val="nil"/>
              <w:left w:val="nil"/>
              <w:bottom w:val="single" w:sz="4" w:space="0" w:color="auto"/>
              <w:right w:val="single" w:sz="4" w:space="0" w:color="auto"/>
            </w:tcBorders>
            <w:shd w:val="clear" w:color="auto" w:fill="C6EFCE"/>
            <w:noWrap/>
          </w:tcPr>
          <w:p w14:paraId="001F5688" w14:textId="77777777" w:rsidR="00FE6F09" w:rsidRDefault="00435AFB">
            <w:pPr>
              <w:pStyle w:val="P68B1DB1-Normal9"/>
              <w:spacing w:after="0" w:line="240" w:lineRule="auto"/>
              <w:rPr>
                <w:noProof/>
              </w:rPr>
            </w:pPr>
            <w:r>
              <w:rPr>
                <w:noProof/>
              </w:rPr>
              <w:t>Etapa de referință</w:t>
            </w:r>
          </w:p>
        </w:tc>
        <w:tc>
          <w:tcPr>
            <w:tcW w:w="1575" w:type="dxa"/>
            <w:tcBorders>
              <w:top w:val="nil"/>
              <w:left w:val="nil"/>
              <w:bottom w:val="single" w:sz="4" w:space="0" w:color="auto"/>
              <w:right w:val="single" w:sz="4" w:space="0" w:color="auto"/>
            </w:tcBorders>
            <w:shd w:val="clear" w:color="auto" w:fill="C6EFCE"/>
            <w:noWrap/>
          </w:tcPr>
          <w:p w14:paraId="4D474875" w14:textId="77777777" w:rsidR="00FE6F09" w:rsidRDefault="00435AFB">
            <w:pPr>
              <w:pStyle w:val="P68B1DB1-Normal9"/>
              <w:spacing w:after="0" w:line="240" w:lineRule="auto"/>
              <w:rPr>
                <w:noProof/>
              </w:rPr>
            </w:pPr>
            <w:r>
              <w:rPr>
                <w:noProof/>
              </w:rPr>
              <w:t>Lansarea cursurilor de formare profesională („poduri de competențe”)</w:t>
            </w:r>
          </w:p>
        </w:tc>
        <w:tc>
          <w:tcPr>
            <w:tcW w:w="1877" w:type="dxa"/>
            <w:tcBorders>
              <w:top w:val="nil"/>
              <w:left w:val="nil"/>
              <w:bottom w:val="single" w:sz="4" w:space="0" w:color="auto"/>
              <w:right w:val="single" w:sz="4" w:space="0" w:color="auto"/>
            </w:tcBorders>
            <w:shd w:val="clear" w:color="auto" w:fill="C6EFCE"/>
            <w:noWrap/>
          </w:tcPr>
          <w:p w14:paraId="42B38FC4" w14:textId="77777777" w:rsidR="00FE6F09" w:rsidRDefault="00435AFB">
            <w:pPr>
              <w:pStyle w:val="P68B1DB1-Normal9"/>
              <w:spacing w:after="0" w:line="240" w:lineRule="auto"/>
              <w:rPr>
                <w:noProof/>
              </w:rPr>
            </w:pPr>
            <w:r>
              <w:rPr>
                <w:noProof/>
              </w:rPr>
              <w:t>Lansarea oficială a formării prin deschiderea înscrierilor pentru participanții interesați</w:t>
            </w:r>
          </w:p>
        </w:tc>
        <w:tc>
          <w:tcPr>
            <w:tcW w:w="1087" w:type="dxa"/>
            <w:tcBorders>
              <w:top w:val="nil"/>
              <w:left w:val="nil"/>
              <w:bottom w:val="single" w:sz="4" w:space="0" w:color="auto"/>
              <w:right w:val="single" w:sz="4" w:space="0" w:color="auto"/>
            </w:tcBorders>
            <w:shd w:val="clear" w:color="auto" w:fill="C6EFCE"/>
            <w:noWrap/>
          </w:tcPr>
          <w:p w14:paraId="7D9F3CAC"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954" w:type="dxa"/>
            <w:tcBorders>
              <w:top w:val="nil"/>
              <w:left w:val="nil"/>
              <w:bottom w:val="single" w:sz="4" w:space="0" w:color="auto"/>
              <w:right w:val="single" w:sz="4" w:space="0" w:color="auto"/>
            </w:tcBorders>
            <w:shd w:val="clear" w:color="auto" w:fill="C6EFCE"/>
            <w:noWrap/>
          </w:tcPr>
          <w:p w14:paraId="60E796F5"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741" w:type="dxa"/>
            <w:tcBorders>
              <w:top w:val="nil"/>
              <w:left w:val="nil"/>
              <w:bottom w:val="single" w:sz="4" w:space="0" w:color="auto"/>
              <w:right w:val="single" w:sz="4" w:space="0" w:color="auto"/>
            </w:tcBorders>
            <w:shd w:val="clear" w:color="auto" w:fill="C6EFCE"/>
            <w:noWrap/>
          </w:tcPr>
          <w:p w14:paraId="2F97143D"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915" w:type="dxa"/>
            <w:tcBorders>
              <w:top w:val="nil"/>
              <w:left w:val="nil"/>
              <w:bottom w:val="single" w:sz="4" w:space="0" w:color="auto"/>
              <w:right w:val="single" w:sz="4" w:space="0" w:color="auto"/>
            </w:tcBorders>
            <w:shd w:val="clear" w:color="auto" w:fill="C6EFCE"/>
            <w:noWrap/>
          </w:tcPr>
          <w:p w14:paraId="51F03CD4" w14:textId="77777777" w:rsidR="00FE6F09" w:rsidRDefault="00435AFB">
            <w:pPr>
              <w:pStyle w:val="P68B1DB1-Normal9"/>
              <w:spacing w:after="0" w:line="240" w:lineRule="auto"/>
              <w:rPr>
                <w:noProof/>
              </w:rPr>
            </w:pPr>
            <w:r>
              <w:rPr>
                <w:noProof/>
              </w:rPr>
              <w:t>T2</w:t>
            </w:r>
          </w:p>
        </w:tc>
        <w:tc>
          <w:tcPr>
            <w:tcW w:w="711" w:type="dxa"/>
            <w:tcBorders>
              <w:top w:val="nil"/>
              <w:left w:val="nil"/>
              <w:bottom w:val="single" w:sz="4" w:space="0" w:color="auto"/>
              <w:right w:val="single" w:sz="4" w:space="0" w:color="auto"/>
            </w:tcBorders>
            <w:shd w:val="clear" w:color="auto" w:fill="C6EFCE"/>
            <w:noWrap/>
          </w:tcPr>
          <w:p w14:paraId="085A7499" w14:textId="77777777" w:rsidR="00FE6F09" w:rsidRDefault="00435AFB">
            <w:pPr>
              <w:pStyle w:val="P68B1DB1-Normal9"/>
              <w:spacing w:after="0" w:line="240" w:lineRule="auto"/>
              <w:rPr>
                <w:noProof/>
              </w:rPr>
            </w:pPr>
            <w:r>
              <w:rPr>
                <w:noProof/>
              </w:rPr>
              <w:t>2022</w:t>
            </w:r>
          </w:p>
        </w:tc>
        <w:tc>
          <w:tcPr>
            <w:tcW w:w="4103" w:type="dxa"/>
            <w:tcBorders>
              <w:top w:val="nil"/>
              <w:left w:val="nil"/>
              <w:bottom w:val="single" w:sz="4" w:space="0" w:color="auto"/>
              <w:right w:val="single" w:sz="4" w:space="0" w:color="auto"/>
            </w:tcBorders>
            <w:shd w:val="clear" w:color="auto" w:fill="C6EFCE"/>
            <w:noWrap/>
          </w:tcPr>
          <w:p w14:paraId="1137D46C" w14:textId="77777777" w:rsidR="00FE6F09" w:rsidRDefault="00435AFB">
            <w:pPr>
              <w:pStyle w:val="P68B1DB1-Normal9"/>
              <w:spacing w:after="0" w:line="240" w:lineRule="auto"/>
              <w:rPr>
                <w:noProof/>
              </w:rPr>
            </w:pPr>
            <w:r>
              <w:rPr>
                <w:noProof/>
              </w:rPr>
              <w:t xml:space="preserve">Formările profesionale concepute în cadrul procesului Skillsdësch sunt lansate oficial prin deschiderea lor pentru înregistrare de către participanții interesați. </w:t>
            </w:r>
          </w:p>
        </w:tc>
      </w:tr>
      <w:tr w:rsidR="00FE6F09" w14:paraId="3C5A214F" w14:textId="77777777">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26AE243D" w14:textId="77777777" w:rsidR="00FE6F09" w:rsidRDefault="00435AFB">
            <w:pPr>
              <w:pStyle w:val="P68B1DB1-Normal9"/>
              <w:spacing w:after="0" w:line="240" w:lineRule="auto"/>
              <w:rPr>
                <w:noProof/>
              </w:rPr>
            </w:pPr>
            <w:r>
              <w:rPr>
                <w:noProof/>
              </w:rPr>
              <w:t>1A-3</w:t>
            </w:r>
          </w:p>
        </w:tc>
        <w:tc>
          <w:tcPr>
            <w:tcW w:w="1287" w:type="dxa"/>
            <w:tcBorders>
              <w:top w:val="nil"/>
              <w:left w:val="nil"/>
              <w:bottom w:val="single" w:sz="4" w:space="0" w:color="auto"/>
              <w:right w:val="single" w:sz="4" w:space="0" w:color="auto"/>
            </w:tcBorders>
            <w:shd w:val="clear" w:color="auto" w:fill="C6EFCE"/>
            <w:noWrap/>
          </w:tcPr>
          <w:p w14:paraId="01B10677" w14:textId="77777777" w:rsidR="00FE6F09" w:rsidRDefault="00435AFB">
            <w:pPr>
              <w:pStyle w:val="P68B1DB1-Normal9"/>
              <w:spacing w:after="0" w:line="240" w:lineRule="auto"/>
              <w:rPr>
                <w:noProof/>
              </w:rPr>
            </w:pPr>
            <w:r>
              <w:rPr>
                <w:noProof/>
              </w:rPr>
              <w:t>Investiția 1 - FutureSkills</w:t>
            </w:r>
          </w:p>
        </w:tc>
        <w:tc>
          <w:tcPr>
            <w:tcW w:w="1123" w:type="dxa"/>
            <w:tcBorders>
              <w:top w:val="nil"/>
              <w:left w:val="nil"/>
              <w:bottom w:val="single" w:sz="4" w:space="0" w:color="auto"/>
              <w:right w:val="single" w:sz="4" w:space="0" w:color="auto"/>
            </w:tcBorders>
            <w:shd w:val="clear" w:color="auto" w:fill="C6EFCE"/>
            <w:noWrap/>
          </w:tcPr>
          <w:p w14:paraId="7F51AF96" w14:textId="77777777" w:rsidR="00FE6F09" w:rsidRDefault="00435AFB">
            <w:pPr>
              <w:pStyle w:val="P68B1DB1-Normal9"/>
              <w:spacing w:after="0" w:line="240" w:lineRule="auto"/>
              <w:rPr>
                <w:noProof/>
              </w:rPr>
            </w:pPr>
            <w:r>
              <w:rPr>
                <w:noProof/>
              </w:rPr>
              <w:t>Etapa de referință</w:t>
            </w:r>
          </w:p>
        </w:tc>
        <w:tc>
          <w:tcPr>
            <w:tcW w:w="1575" w:type="dxa"/>
            <w:tcBorders>
              <w:top w:val="nil"/>
              <w:left w:val="nil"/>
              <w:bottom w:val="single" w:sz="4" w:space="0" w:color="auto"/>
              <w:right w:val="single" w:sz="4" w:space="0" w:color="auto"/>
            </w:tcBorders>
            <w:shd w:val="clear" w:color="auto" w:fill="C6EFCE"/>
            <w:noWrap/>
          </w:tcPr>
          <w:p w14:paraId="7BC9FBB6" w14:textId="77777777" w:rsidR="00FE6F09" w:rsidRDefault="00435AFB">
            <w:pPr>
              <w:pStyle w:val="P68B1DB1-Normal9"/>
              <w:spacing w:after="0" w:line="240" w:lineRule="auto"/>
              <w:rPr>
                <w:noProof/>
              </w:rPr>
            </w:pPr>
            <w:r>
              <w:rPr>
                <w:noProof/>
              </w:rPr>
              <w:t xml:space="preserve">Acord între parteneri privind „faza operațională” </w:t>
            </w:r>
          </w:p>
        </w:tc>
        <w:tc>
          <w:tcPr>
            <w:tcW w:w="1877" w:type="dxa"/>
            <w:tcBorders>
              <w:top w:val="nil"/>
              <w:left w:val="nil"/>
              <w:bottom w:val="single" w:sz="4" w:space="0" w:color="auto"/>
              <w:right w:val="single" w:sz="4" w:space="0" w:color="auto"/>
            </w:tcBorders>
            <w:shd w:val="clear" w:color="auto" w:fill="C6EFCE"/>
            <w:noWrap/>
          </w:tcPr>
          <w:p w14:paraId="0ECA6D61" w14:textId="77777777" w:rsidR="00FE6F09" w:rsidRDefault="00435AFB">
            <w:pPr>
              <w:pStyle w:val="P68B1DB1-Normal9"/>
              <w:spacing w:after="0" w:line="240" w:lineRule="auto"/>
              <w:rPr>
                <w:noProof/>
              </w:rPr>
            </w:pPr>
            <w:r>
              <w:rPr>
                <w:noProof/>
              </w:rPr>
              <w:t>Semnarea acordului</w:t>
            </w:r>
          </w:p>
        </w:tc>
        <w:tc>
          <w:tcPr>
            <w:tcW w:w="1087" w:type="dxa"/>
            <w:tcBorders>
              <w:top w:val="nil"/>
              <w:left w:val="nil"/>
              <w:bottom w:val="single" w:sz="4" w:space="0" w:color="auto"/>
              <w:right w:val="single" w:sz="4" w:space="0" w:color="auto"/>
            </w:tcBorders>
            <w:shd w:val="clear" w:color="auto" w:fill="C6EFCE"/>
            <w:noWrap/>
          </w:tcPr>
          <w:p w14:paraId="06D2EA40"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954" w:type="dxa"/>
            <w:tcBorders>
              <w:top w:val="nil"/>
              <w:left w:val="nil"/>
              <w:bottom w:val="single" w:sz="4" w:space="0" w:color="auto"/>
              <w:right w:val="single" w:sz="4" w:space="0" w:color="auto"/>
            </w:tcBorders>
            <w:shd w:val="clear" w:color="auto" w:fill="C6EFCE"/>
            <w:noWrap/>
          </w:tcPr>
          <w:p w14:paraId="64713BB7"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741" w:type="dxa"/>
            <w:tcBorders>
              <w:top w:val="nil"/>
              <w:left w:val="nil"/>
              <w:bottom w:val="single" w:sz="4" w:space="0" w:color="auto"/>
              <w:right w:val="single" w:sz="4" w:space="0" w:color="auto"/>
            </w:tcBorders>
            <w:shd w:val="clear" w:color="auto" w:fill="C6EFCE"/>
            <w:noWrap/>
          </w:tcPr>
          <w:p w14:paraId="670CCA99"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915" w:type="dxa"/>
            <w:tcBorders>
              <w:top w:val="nil"/>
              <w:left w:val="nil"/>
              <w:bottom w:val="single" w:sz="4" w:space="0" w:color="auto"/>
              <w:right w:val="single" w:sz="4" w:space="0" w:color="auto"/>
            </w:tcBorders>
            <w:shd w:val="clear" w:color="auto" w:fill="C6EFCE"/>
            <w:noWrap/>
          </w:tcPr>
          <w:p w14:paraId="70C537BB" w14:textId="77777777" w:rsidR="00FE6F09" w:rsidRDefault="00435AFB">
            <w:pPr>
              <w:pStyle w:val="P68B1DB1-Normal9"/>
              <w:spacing w:after="0" w:line="240" w:lineRule="auto"/>
              <w:rPr>
                <w:noProof/>
              </w:rPr>
            </w:pPr>
            <w:r>
              <w:rPr>
                <w:noProof/>
              </w:rPr>
              <w:t>Q1</w:t>
            </w:r>
          </w:p>
        </w:tc>
        <w:tc>
          <w:tcPr>
            <w:tcW w:w="711" w:type="dxa"/>
            <w:tcBorders>
              <w:top w:val="nil"/>
              <w:left w:val="nil"/>
              <w:bottom w:val="single" w:sz="4" w:space="0" w:color="auto"/>
              <w:right w:val="single" w:sz="4" w:space="0" w:color="auto"/>
            </w:tcBorders>
            <w:shd w:val="clear" w:color="auto" w:fill="C6EFCE"/>
            <w:noWrap/>
          </w:tcPr>
          <w:p w14:paraId="58F7ED34" w14:textId="77777777" w:rsidR="00FE6F09" w:rsidRDefault="00435AFB">
            <w:pPr>
              <w:pStyle w:val="P68B1DB1-Normal9"/>
              <w:spacing w:after="0" w:line="240" w:lineRule="auto"/>
              <w:rPr>
                <w:noProof/>
              </w:rPr>
            </w:pPr>
            <w:r>
              <w:rPr>
                <w:noProof/>
              </w:rPr>
              <w:t>2021</w:t>
            </w:r>
          </w:p>
        </w:tc>
        <w:tc>
          <w:tcPr>
            <w:tcW w:w="4103" w:type="dxa"/>
            <w:tcBorders>
              <w:top w:val="nil"/>
              <w:left w:val="nil"/>
              <w:bottom w:val="single" w:sz="4" w:space="0" w:color="auto"/>
              <w:right w:val="single" w:sz="4" w:space="0" w:color="auto"/>
            </w:tcBorders>
            <w:shd w:val="clear" w:color="auto" w:fill="C6EFCE"/>
            <w:noWrap/>
          </w:tcPr>
          <w:p w14:paraId="3A53CFDD" w14:textId="77777777" w:rsidR="00FE6F09" w:rsidRDefault="00435AFB">
            <w:pPr>
              <w:pStyle w:val="P68B1DB1-Normal9"/>
              <w:spacing w:after="0" w:line="240" w:lineRule="auto"/>
              <w:rPr>
                <w:noProof/>
              </w:rPr>
            </w:pPr>
            <w:r>
              <w:rPr>
                <w:noProof/>
              </w:rPr>
              <w:t>Semnarea de către partenerii programului (Ministerul Muncii, Ocupării Forței de Muncă și Economiei Sociale și Solidare, Camera de Comerț, Casa de Formare și Camera Angajaților) a acordului privind „faza operațională” a programului „FutureSkills”</w:t>
            </w:r>
          </w:p>
        </w:tc>
      </w:tr>
      <w:tr w:rsidR="00FE6F09" w14:paraId="21397F30" w14:textId="77777777">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68BCAD3D" w14:textId="77777777" w:rsidR="00FE6F09" w:rsidRDefault="00435AFB">
            <w:pPr>
              <w:pStyle w:val="P68B1DB1-Normal9"/>
              <w:spacing w:after="0" w:line="240" w:lineRule="auto"/>
              <w:rPr>
                <w:noProof/>
              </w:rPr>
            </w:pPr>
            <w:r>
              <w:rPr>
                <w:noProof/>
              </w:rPr>
              <w:t>1A-4</w:t>
            </w:r>
          </w:p>
        </w:tc>
        <w:tc>
          <w:tcPr>
            <w:tcW w:w="1287" w:type="dxa"/>
            <w:tcBorders>
              <w:top w:val="nil"/>
              <w:left w:val="nil"/>
              <w:bottom w:val="single" w:sz="4" w:space="0" w:color="auto"/>
              <w:right w:val="single" w:sz="4" w:space="0" w:color="auto"/>
            </w:tcBorders>
            <w:shd w:val="clear" w:color="auto" w:fill="C6EFCE"/>
            <w:noWrap/>
          </w:tcPr>
          <w:p w14:paraId="294ED953" w14:textId="77777777" w:rsidR="00FE6F09" w:rsidRDefault="00435AFB">
            <w:pPr>
              <w:pStyle w:val="P68B1DB1-Normal9"/>
              <w:spacing w:after="0" w:line="240" w:lineRule="auto"/>
              <w:rPr>
                <w:noProof/>
              </w:rPr>
            </w:pPr>
            <w:r>
              <w:rPr>
                <w:noProof/>
              </w:rPr>
              <w:t>Investiția 1 - FutureSkills</w:t>
            </w:r>
          </w:p>
        </w:tc>
        <w:tc>
          <w:tcPr>
            <w:tcW w:w="1123" w:type="dxa"/>
            <w:tcBorders>
              <w:top w:val="nil"/>
              <w:left w:val="nil"/>
              <w:bottom w:val="single" w:sz="4" w:space="0" w:color="auto"/>
              <w:right w:val="single" w:sz="4" w:space="0" w:color="auto"/>
            </w:tcBorders>
            <w:shd w:val="clear" w:color="auto" w:fill="C6EFCE"/>
            <w:noWrap/>
          </w:tcPr>
          <w:p w14:paraId="3CFD2E7C" w14:textId="77777777" w:rsidR="00FE6F09" w:rsidRDefault="00435AFB">
            <w:pPr>
              <w:pStyle w:val="P68B1DB1-Normal9"/>
              <w:spacing w:after="0" w:line="240" w:lineRule="auto"/>
              <w:rPr>
                <w:noProof/>
              </w:rPr>
            </w:pPr>
            <w:r>
              <w:rPr>
                <w:noProof/>
              </w:rPr>
              <w:t>Țintă</w:t>
            </w:r>
          </w:p>
        </w:tc>
        <w:tc>
          <w:tcPr>
            <w:tcW w:w="1575" w:type="dxa"/>
            <w:tcBorders>
              <w:top w:val="nil"/>
              <w:left w:val="nil"/>
              <w:bottom w:val="single" w:sz="4" w:space="0" w:color="auto"/>
              <w:right w:val="single" w:sz="4" w:space="0" w:color="auto"/>
            </w:tcBorders>
            <w:shd w:val="clear" w:color="auto" w:fill="C6EFCE"/>
            <w:noWrap/>
          </w:tcPr>
          <w:p w14:paraId="57ED24E2" w14:textId="77777777" w:rsidR="00FE6F09" w:rsidRDefault="00435AFB">
            <w:pPr>
              <w:pStyle w:val="P68B1DB1-Normal9"/>
              <w:spacing w:after="0" w:line="240" w:lineRule="auto"/>
              <w:rPr>
                <w:noProof/>
              </w:rPr>
            </w:pPr>
            <w:r>
              <w:rPr>
                <w:noProof/>
              </w:rPr>
              <w:t>Participanții la FutureSkills în vârstă de peste 45 de ani</w:t>
            </w:r>
          </w:p>
        </w:tc>
        <w:tc>
          <w:tcPr>
            <w:tcW w:w="1877" w:type="dxa"/>
            <w:tcBorders>
              <w:top w:val="nil"/>
              <w:left w:val="nil"/>
              <w:bottom w:val="single" w:sz="4" w:space="0" w:color="auto"/>
              <w:right w:val="single" w:sz="4" w:space="0" w:color="auto"/>
            </w:tcBorders>
            <w:shd w:val="clear" w:color="auto" w:fill="C6EFCE"/>
            <w:noWrap/>
          </w:tcPr>
          <w:p w14:paraId="3FACEA23"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087" w:type="dxa"/>
            <w:tcBorders>
              <w:top w:val="nil"/>
              <w:left w:val="nil"/>
              <w:bottom w:val="single" w:sz="4" w:space="0" w:color="auto"/>
              <w:right w:val="single" w:sz="4" w:space="0" w:color="auto"/>
            </w:tcBorders>
            <w:shd w:val="clear" w:color="auto" w:fill="C6EFCE"/>
            <w:noWrap/>
          </w:tcPr>
          <w:p w14:paraId="679F1A1A" w14:textId="77777777" w:rsidR="00FE6F09" w:rsidRDefault="00435AFB">
            <w:pPr>
              <w:pStyle w:val="P68B1DB1-Normal9"/>
              <w:spacing w:after="0" w:line="240" w:lineRule="auto"/>
              <w:rPr>
                <w:noProof/>
              </w:rPr>
            </w:pPr>
            <w:r>
              <w:rPr>
                <w:noProof/>
              </w:rPr>
              <w:t>Număr de persoane</w:t>
            </w:r>
          </w:p>
        </w:tc>
        <w:tc>
          <w:tcPr>
            <w:tcW w:w="954" w:type="dxa"/>
            <w:tcBorders>
              <w:top w:val="nil"/>
              <w:left w:val="nil"/>
              <w:bottom w:val="single" w:sz="4" w:space="0" w:color="auto"/>
              <w:right w:val="single" w:sz="4" w:space="0" w:color="auto"/>
            </w:tcBorders>
            <w:shd w:val="clear" w:color="auto" w:fill="C6EFCE"/>
            <w:noWrap/>
          </w:tcPr>
          <w:p w14:paraId="5DB94C08" w14:textId="77777777" w:rsidR="00FE6F09" w:rsidRDefault="00435AFB">
            <w:pPr>
              <w:pStyle w:val="P68B1DB1-Normal9"/>
              <w:spacing w:after="0" w:line="240" w:lineRule="auto"/>
              <w:rPr>
                <w:noProof/>
              </w:rPr>
            </w:pPr>
            <w:r>
              <w:rPr>
                <w:noProof/>
              </w:rPr>
              <w:t>0</w:t>
            </w:r>
          </w:p>
        </w:tc>
        <w:tc>
          <w:tcPr>
            <w:tcW w:w="741" w:type="dxa"/>
            <w:tcBorders>
              <w:top w:val="nil"/>
              <w:left w:val="nil"/>
              <w:bottom w:val="single" w:sz="4" w:space="0" w:color="auto"/>
              <w:right w:val="single" w:sz="4" w:space="0" w:color="auto"/>
            </w:tcBorders>
            <w:shd w:val="clear" w:color="auto" w:fill="C6EFCE"/>
            <w:noWrap/>
          </w:tcPr>
          <w:p w14:paraId="28A6C106" w14:textId="77777777" w:rsidR="00FE6F09" w:rsidRDefault="00435AFB">
            <w:pPr>
              <w:pStyle w:val="P68B1DB1-Normal9"/>
              <w:spacing w:after="0" w:line="240" w:lineRule="auto"/>
              <w:rPr>
                <w:noProof/>
              </w:rPr>
            </w:pPr>
            <w:r>
              <w:rPr>
                <w:noProof/>
              </w:rPr>
              <w:t>150</w:t>
            </w:r>
          </w:p>
        </w:tc>
        <w:tc>
          <w:tcPr>
            <w:tcW w:w="915" w:type="dxa"/>
            <w:tcBorders>
              <w:top w:val="nil"/>
              <w:left w:val="nil"/>
              <w:bottom w:val="single" w:sz="4" w:space="0" w:color="auto"/>
              <w:right w:val="single" w:sz="4" w:space="0" w:color="auto"/>
            </w:tcBorders>
            <w:shd w:val="clear" w:color="auto" w:fill="C6EFCE"/>
            <w:noWrap/>
          </w:tcPr>
          <w:p w14:paraId="2047CF29" w14:textId="77777777" w:rsidR="00FE6F09" w:rsidRDefault="00435AFB">
            <w:pPr>
              <w:pStyle w:val="P68B1DB1-Normal9"/>
              <w:spacing w:after="0" w:line="240" w:lineRule="auto"/>
              <w:rPr>
                <w:noProof/>
              </w:rPr>
            </w:pPr>
            <w:r>
              <w:rPr>
                <w:noProof/>
              </w:rPr>
              <w:t>T4</w:t>
            </w:r>
          </w:p>
        </w:tc>
        <w:tc>
          <w:tcPr>
            <w:tcW w:w="711" w:type="dxa"/>
            <w:tcBorders>
              <w:top w:val="nil"/>
              <w:left w:val="nil"/>
              <w:bottom w:val="single" w:sz="4" w:space="0" w:color="auto"/>
              <w:right w:val="single" w:sz="4" w:space="0" w:color="auto"/>
            </w:tcBorders>
            <w:shd w:val="clear" w:color="auto" w:fill="C6EFCE"/>
            <w:noWrap/>
          </w:tcPr>
          <w:p w14:paraId="7DE31269" w14:textId="77777777" w:rsidR="00FE6F09" w:rsidRDefault="00435AFB">
            <w:pPr>
              <w:pStyle w:val="P68B1DB1-Normal9"/>
              <w:spacing w:after="0" w:line="240" w:lineRule="auto"/>
              <w:rPr>
                <w:noProof/>
              </w:rPr>
            </w:pPr>
            <w:r>
              <w:rPr>
                <w:noProof/>
              </w:rPr>
              <w:t>2021</w:t>
            </w:r>
          </w:p>
        </w:tc>
        <w:tc>
          <w:tcPr>
            <w:tcW w:w="4103" w:type="dxa"/>
            <w:tcBorders>
              <w:top w:val="nil"/>
              <w:left w:val="nil"/>
              <w:bottom w:val="single" w:sz="4" w:space="0" w:color="auto"/>
              <w:right w:val="single" w:sz="4" w:space="0" w:color="auto"/>
            </w:tcBorders>
            <w:shd w:val="clear" w:color="auto" w:fill="C6EFCE"/>
            <w:noWrap/>
          </w:tcPr>
          <w:p w14:paraId="0B464108" w14:textId="77777777" w:rsidR="00FE6F09" w:rsidRDefault="00435AFB">
            <w:pPr>
              <w:pStyle w:val="P68B1DB1-Normal9"/>
              <w:spacing w:after="0" w:line="240" w:lineRule="auto"/>
              <w:rPr>
                <w:noProof/>
              </w:rPr>
            </w:pPr>
            <w:r>
              <w:rPr>
                <w:noProof/>
              </w:rPr>
              <w:t xml:space="preserve">150 de persoane aflate în căutarea unui loc de muncă cu vârsta de peste 45 de ani (30 % din totalul de 500 de participanți) au participat la formarea „FutureSkills”. </w:t>
            </w:r>
          </w:p>
        </w:tc>
      </w:tr>
      <w:tr w:rsidR="00FE6F09" w14:paraId="27E01A3C" w14:textId="77777777">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35D11F84" w14:textId="77777777" w:rsidR="00FE6F09" w:rsidRDefault="00435AFB">
            <w:pPr>
              <w:pStyle w:val="P68B1DB1-Normal9"/>
              <w:spacing w:after="0" w:line="240" w:lineRule="auto"/>
              <w:rPr>
                <w:noProof/>
              </w:rPr>
            </w:pPr>
            <w:r>
              <w:rPr>
                <w:noProof/>
              </w:rPr>
              <w:t>1A-5</w:t>
            </w:r>
          </w:p>
        </w:tc>
        <w:tc>
          <w:tcPr>
            <w:tcW w:w="1287" w:type="dxa"/>
            <w:tcBorders>
              <w:top w:val="nil"/>
              <w:left w:val="nil"/>
              <w:bottom w:val="single" w:sz="4" w:space="0" w:color="auto"/>
              <w:right w:val="single" w:sz="4" w:space="0" w:color="auto"/>
            </w:tcBorders>
            <w:shd w:val="clear" w:color="auto" w:fill="C6EFCE"/>
            <w:noWrap/>
          </w:tcPr>
          <w:p w14:paraId="32B2E4F1" w14:textId="77777777" w:rsidR="00FE6F09" w:rsidRDefault="00435AFB">
            <w:pPr>
              <w:pStyle w:val="P68B1DB1-Normal9"/>
              <w:spacing w:after="0" w:line="240" w:lineRule="auto"/>
              <w:rPr>
                <w:noProof/>
              </w:rPr>
            </w:pPr>
            <w:r>
              <w:rPr>
                <w:noProof/>
              </w:rPr>
              <w:t>Investiția 1 - FutureSkills</w:t>
            </w:r>
          </w:p>
        </w:tc>
        <w:tc>
          <w:tcPr>
            <w:tcW w:w="1123" w:type="dxa"/>
            <w:tcBorders>
              <w:top w:val="nil"/>
              <w:left w:val="nil"/>
              <w:bottom w:val="single" w:sz="4" w:space="0" w:color="auto"/>
              <w:right w:val="single" w:sz="4" w:space="0" w:color="auto"/>
            </w:tcBorders>
            <w:shd w:val="clear" w:color="auto" w:fill="C6EFCE"/>
            <w:noWrap/>
          </w:tcPr>
          <w:p w14:paraId="1405D12A" w14:textId="77777777" w:rsidR="00FE6F09" w:rsidRDefault="00435AFB">
            <w:pPr>
              <w:pStyle w:val="P68B1DB1-Normal9"/>
              <w:spacing w:after="0" w:line="240" w:lineRule="auto"/>
              <w:rPr>
                <w:noProof/>
              </w:rPr>
            </w:pPr>
            <w:r>
              <w:rPr>
                <w:noProof/>
              </w:rPr>
              <w:t>Țintă</w:t>
            </w:r>
          </w:p>
        </w:tc>
        <w:tc>
          <w:tcPr>
            <w:tcW w:w="1575" w:type="dxa"/>
            <w:tcBorders>
              <w:top w:val="nil"/>
              <w:left w:val="nil"/>
              <w:bottom w:val="single" w:sz="4" w:space="0" w:color="auto"/>
              <w:right w:val="single" w:sz="4" w:space="0" w:color="auto"/>
            </w:tcBorders>
            <w:shd w:val="clear" w:color="auto" w:fill="C6EFCE"/>
            <w:noWrap/>
          </w:tcPr>
          <w:p w14:paraId="3E35E30B" w14:textId="77777777" w:rsidR="00FE6F09" w:rsidRDefault="00435AFB">
            <w:pPr>
              <w:pStyle w:val="P68B1DB1-Normal9"/>
              <w:spacing w:after="0" w:line="240" w:lineRule="auto"/>
              <w:rPr>
                <w:noProof/>
              </w:rPr>
            </w:pPr>
            <w:r>
              <w:rPr>
                <w:noProof/>
              </w:rPr>
              <w:t>Participanții la FutureSkills</w:t>
            </w:r>
          </w:p>
        </w:tc>
        <w:tc>
          <w:tcPr>
            <w:tcW w:w="1877" w:type="dxa"/>
            <w:tcBorders>
              <w:top w:val="nil"/>
              <w:left w:val="nil"/>
              <w:bottom w:val="single" w:sz="4" w:space="0" w:color="auto"/>
              <w:right w:val="single" w:sz="4" w:space="0" w:color="auto"/>
            </w:tcBorders>
            <w:shd w:val="clear" w:color="auto" w:fill="C6EFCE"/>
            <w:noWrap/>
          </w:tcPr>
          <w:p w14:paraId="3453EBF9"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087" w:type="dxa"/>
            <w:tcBorders>
              <w:top w:val="nil"/>
              <w:left w:val="nil"/>
              <w:bottom w:val="single" w:sz="4" w:space="0" w:color="auto"/>
              <w:right w:val="single" w:sz="4" w:space="0" w:color="auto"/>
            </w:tcBorders>
            <w:shd w:val="clear" w:color="auto" w:fill="C6EFCE"/>
            <w:noWrap/>
          </w:tcPr>
          <w:p w14:paraId="1290742B" w14:textId="77777777" w:rsidR="00FE6F09" w:rsidRDefault="00435AFB">
            <w:pPr>
              <w:pStyle w:val="P68B1DB1-Normal9"/>
              <w:spacing w:after="0" w:line="240" w:lineRule="auto"/>
              <w:rPr>
                <w:noProof/>
              </w:rPr>
            </w:pPr>
            <w:r>
              <w:rPr>
                <w:noProof/>
              </w:rPr>
              <w:t>Număr de persoane</w:t>
            </w:r>
          </w:p>
        </w:tc>
        <w:tc>
          <w:tcPr>
            <w:tcW w:w="954" w:type="dxa"/>
            <w:tcBorders>
              <w:top w:val="nil"/>
              <w:left w:val="nil"/>
              <w:bottom w:val="single" w:sz="4" w:space="0" w:color="auto"/>
              <w:right w:val="single" w:sz="4" w:space="0" w:color="auto"/>
            </w:tcBorders>
            <w:shd w:val="clear" w:color="auto" w:fill="C6EFCE"/>
            <w:noWrap/>
          </w:tcPr>
          <w:p w14:paraId="4AC55EC0" w14:textId="77777777" w:rsidR="00FE6F09" w:rsidRDefault="00435AFB">
            <w:pPr>
              <w:pStyle w:val="P68B1DB1-Normal9"/>
              <w:spacing w:after="0" w:line="240" w:lineRule="auto"/>
              <w:rPr>
                <w:noProof/>
              </w:rPr>
            </w:pPr>
            <w:r>
              <w:rPr>
                <w:noProof/>
              </w:rPr>
              <w:t>150</w:t>
            </w:r>
          </w:p>
        </w:tc>
        <w:tc>
          <w:tcPr>
            <w:tcW w:w="741" w:type="dxa"/>
            <w:tcBorders>
              <w:top w:val="nil"/>
              <w:left w:val="nil"/>
              <w:bottom w:val="single" w:sz="4" w:space="0" w:color="auto"/>
              <w:right w:val="single" w:sz="4" w:space="0" w:color="auto"/>
            </w:tcBorders>
            <w:shd w:val="clear" w:color="auto" w:fill="C6EFCE"/>
            <w:noWrap/>
          </w:tcPr>
          <w:p w14:paraId="10D0D062" w14:textId="77777777" w:rsidR="00FE6F09" w:rsidRDefault="00435AFB">
            <w:pPr>
              <w:pStyle w:val="P68B1DB1-Normal9"/>
              <w:spacing w:after="0" w:line="240" w:lineRule="auto"/>
              <w:rPr>
                <w:noProof/>
              </w:rPr>
            </w:pPr>
            <w:r>
              <w:rPr>
                <w:noProof/>
              </w:rPr>
              <w:t>440</w:t>
            </w:r>
          </w:p>
        </w:tc>
        <w:tc>
          <w:tcPr>
            <w:tcW w:w="915" w:type="dxa"/>
            <w:tcBorders>
              <w:top w:val="nil"/>
              <w:left w:val="nil"/>
              <w:bottom w:val="single" w:sz="4" w:space="0" w:color="auto"/>
              <w:right w:val="single" w:sz="4" w:space="0" w:color="auto"/>
            </w:tcBorders>
            <w:shd w:val="clear" w:color="auto" w:fill="C6EFCE"/>
            <w:noWrap/>
          </w:tcPr>
          <w:p w14:paraId="35D6F0E8" w14:textId="77777777" w:rsidR="00FE6F09" w:rsidRDefault="00435AFB">
            <w:pPr>
              <w:pStyle w:val="P68B1DB1-Normal9"/>
              <w:spacing w:after="0" w:line="240" w:lineRule="auto"/>
              <w:rPr>
                <w:noProof/>
              </w:rPr>
            </w:pPr>
            <w:r>
              <w:rPr>
                <w:noProof/>
              </w:rPr>
              <w:t>T4</w:t>
            </w:r>
          </w:p>
        </w:tc>
        <w:tc>
          <w:tcPr>
            <w:tcW w:w="711" w:type="dxa"/>
            <w:tcBorders>
              <w:top w:val="nil"/>
              <w:left w:val="nil"/>
              <w:bottom w:val="single" w:sz="4" w:space="0" w:color="auto"/>
              <w:right w:val="single" w:sz="4" w:space="0" w:color="auto"/>
            </w:tcBorders>
            <w:shd w:val="clear" w:color="auto" w:fill="C6EFCE"/>
            <w:noWrap/>
          </w:tcPr>
          <w:p w14:paraId="11E4BBB1" w14:textId="77777777" w:rsidR="00FE6F09" w:rsidRDefault="00435AFB">
            <w:pPr>
              <w:pStyle w:val="P68B1DB1-Normal9"/>
              <w:spacing w:after="0" w:line="240" w:lineRule="auto"/>
              <w:rPr>
                <w:noProof/>
              </w:rPr>
            </w:pPr>
            <w:r>
              <w:rPr>
                <w:noProof/>
              </w:rPr>
              <w:t>2021</w:t>
            </w:r>
          </w:p>
        </w:tc>
        <w:tc>
          <w:tcPr>
            <w:tcW w:w="4103" w:type="dxa"/>
            <w:tcBorders>
              <w:top w:val="nil"/>
              <w:left w:val="nil"/>
              <w:bottom w:val="single" w:sz="4" w:space="0" w:color="auto"/>
              <w:right w:val="single" w:sz="4" w:space="0" w:color="auto"/>
            </w:tcBorders>
            <w:shd w:val="clear" w:color="auto" w:fill="C6EFCE"/>
            <w:noWrap/>
          </w:tcPr>
          <w:p w14:paraId="1CE56854" w14:textId="3AAF3540" w:rsidR="00FE6F09" w:rsidRDefault="00435AFB">
            <w:pPr>
              <w:pStyle w:val="P68B1DB1-Normal9"/>
              <w:spacing w:after="0" w:line="240" w:lineRule="auto"/>
              <w:rPr>
                <w:strike/>
                <w:noProof/>
              </w:rPr>
            </w:pPr>
            <w:r>
              <w:rPr>
                <w:noProof/>
              </w:rPr>
              <w:t xml:space="preserve">Un număr total de 440 de persoane aflate în căutarea unui loc de muncă au participat la formarea „FutureSkills”. </w:t>
            </w:r>
          </w:p>
        </w:tc>
      </w:tr>
    </w:tbl>
    <w:p w14:paraId="7856F3B1" w14:textId="77777777" w:rsidR="00FE6F09" w:rsidRDefault="00FE6F09">
      <w:pPr>
        <w:spacing w:before="120" w:after="120" w:line="240" w:lineRule="auto"/>
        <w:jc w:val="both"/>
        <w:rPr>
          <w:rFonts w:ascii="Times New Roman" w:eastAsia="Times New Roman" w:hAnsi="Times New Roman" w:cs="Times New Roman"/>
          <w:noProof/>
          <w:color w:val="006100"/>
          <w:sz w:val="20"/>
          <w:szCs w:val="20"/>
        </w:rPr>
      </w:pPr>
    </w:p>
    <w:p w14:paraId="6DA76654" w14:textId="77777777" w:rsidR="00FE6F09" w:rsidRDefault="00FE6F09">
      <w:pPr>
        <w:rPr>
          <w:rFonts w:ascii="Times New Roman" w:hAnsi="Times New Roman" w:cs="Times New Roman"/>
          <w:noProof/>
          <w:sz w:val="24"/>
        </w:rPr>
      </w:pPr>
    </w:p>
    <w:p w14:paraId="05D456DB" w14:textId="77777777" w:rsidR="00FE6F09" w:rsidRDefault="00FE6F09">
      <w:pPr>
        <w:jc w:val="center"/>
        <w:rPr>
          <w:rFonts w:ascii="Times New Roman" w:hAnsi="Times New Roman" w:cs="Times New Roman"/>
          <w:noProof/>
          <w:sz w:val="24"/>
        </w:rPr>
      </w:pPr>
    </w:p>
    <w:p w14:paraId="3F4E4DA3" w14:textId="77777777" w:rsidR="00FE6F09" w:rsidRDefault="00FE6F09">
      <w:pPr>
        <w:rPr>
          <w:rFonts w:ascii="Times New Roman" w:eastAsia="Times New Roman" w:hAnsi="Times New Roman" w:cs="Times New Roman"/>
          <w:noProof/>
          <w:color w:val="006100"/>
          <w:sz w:val="20"/>
          <w:szCs w:val="20"/>
        </w:rPr>
      </w:pPr>
    </w:p>
    <w:p w14:paraId="5B5B40B8" w14:textId="77777777" w:rsidR="00FE6F09" w:rsidRDefault="00FE6F09">
      <w:pPr>
        <w:rPr>
          <w:rFonts w:ascii="Times New Roman" w:hAnsi="Times New Roman" w:cs="Times New Roman"/>
          <w:noProof/>
          <w:sz w:val="24"/>
        </w:rPr>
        <w:sectPr w:rsidR="00FE6F09" w:rsidSect="009823F0">
          <w:headerReference w:type="even" r:id="rId20"/>
          <w:headerReference w:type="default" r:id="rId21"/>
          <w:footerReference w:type="even" r:id="rId22"/>
          <w:footerReference w:type="default" r:id="rId23"/>
          <w:headerReference w:type="first" r:id="rId24"/>
          <w:footerReference w:type="first" r:id="rId25"/>
          <w:pgSz w:w="16839" w:h="11907" w:orient="landscape"/>
          <w:pgMar w:top="720" w:right="720" w:bottom="720" w:left="720" w:header="709" w:footer="709" w:gutter="0"/>
          <w:cols w:space="720"/>
          <w:docGrid w:linePitch="360"/>
        </w:sectPr>
      </w:pPr>
    </w:p>
    <w:p w14:paraId="56CEB347" w14:textId="77777777" w:rsidR="00FE6F09" w:rsidRDefault="00435AFB">
      <w:pPr>
        <w:pStyle w:val="P68B1DB1-Normal2"/>
        <w:spacing w:before="120" w:after="120" w:line="240" w:lineRule="auto"/>
        <w:jc w:val="both"/>
        <w:rPr>
          <w:bCs/>
          <w:noProof/>
        </w:rPr>
      </w:pPr>
      <w:r>
        <w:rPr>
          <w:noProof/>
        </w:rPr>
        <w:t xml:space="preserve">B. COMPONENTUL 1B: Consolidarea rezilienței sistemului de sănătate </w:t>
      </w:r>
    </w:p>
    <w:p w14:paraId="52C07BDD" w14:textId="77777777" w:rsidR="00FE6F09" w:rsidRDefault="00435AFB">
      <w:pPr>
        <w:pStyle w:val="P68B1DB1-Normal5"/>
        <w:spacing w:before="120" w:after="120" w:line="240" w:lineRule="auto"/>
        <w:jc w:val="both"/>
        <w:rPr>
          <w:noProof/>
        </w:rPr>
      </w:pPr>
      <w:r>
        <w:rPr>
          <w:noProof/>
        </w:rPr>
        <w:t xml:space="preserve">Această componentă a </w:t>
      </w:r>
      <w:r>
        <w:rPr>
          <w:noProof/>
          <w:color w:val="000000" w:themeColor="text1"/>
        </w:rPr>
        <w:t xml:space="preserve">planului de redresare și reziliență </w:t>
      </w:r>
      <w:r>
        <w:rPr>
          <w:noProof/>
        </w:rPr>
        <w:t xml:space="preserve">al Luxemburgului include două reforme și două investiții menite să abordeze unele dintre problemele structurale ale sectorului sănătății din Luxemburg: lipsa cadrelor medicale și necesitatea de a spori eficiența sistemului de sănătate, în special prin digitalizarea acestuia. Prima reformă abordează guvernanța sistemului de sănătate și prezintă procesul de consultare cu părțile interesate și metoda programului de lucru pentru a aborda o serie de provocări identificate în prealabil. Obiectivul celei de a doua reforme este de a redefini și extinde competențele diferiților profesioniști. Investițiile contribuie la digitalizarea sectorului sănătății prin (i) punerea în aplicare a unui registru digital al cadrelor medicale pentru o mai bună gestionare și anticipare a acoperirii asistenței medicale și a cadrelor medicale necesare și (ii) dezvoltarea de soluții pentru telemedicină. </w:t>
      </w:r>
    </w:p>
    <w:p w14:paraId="3D5CBBA8" w14:textId="77777777" w:rsidR="00FE6F09" w:rsidRDefault="00435AFB">
      <w:pPr>
        <w:pStyle w:val="P68B1DB1-Normal5"/>
        <w:spacing w:before="120" w:after="120" w:line="240" w:lineRule="auto"/>
        <w:jc w:val="both"/>
        <w:rPr>
          <w:noProof/>
        </w:rPr>
      </w:pPr>
      <w:r>
        <w:rPr>
          <w:noProof/>
        </w:rPr>
        <w:t xml:space="preserve">Această componentă reprezintă un răspuns la </w:t>
      </w:r>
      <w:r>
        <w:rPr>
          <w:noProof/>
          <w:color w:val="000000" w:themeColor="text1"/>
        </w:rPr>
        <w:t>Recomandarea specifică fiecărei țări</w:t>
      </w:r>
      <w:r>
        <w:rPr>
          <w:noProof/>
        </w:rPr>
        <w:t xml:space="preserve"> din 2020 de îmbunătățire a rezilienței sistemului de sănătate, care constă în asigurarea unei mobilizări adecvate a lucrătorilor din domeniul sănătății disponibili, prin îmbunătățirea guvernanței sistemului, și a e-sănătății.</w:t>
      </w:r>
    </w:p>
    <w:p w14:paraId="2997E4DD" w14:textId="77777777" w:rsidR="00FE6F09" w:rsidRDefault="00435AFB">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333BB0A" w14:textId="77777777" w:rsidR="00FE6F09" w:rsidRDefault="00FE6F09">
      <w:pPr>
        <w:spacing w:before="120" w:after="120" w:line="240" w:lineRule="auto"/>
        <w:ind w:left="850"/>
        <w:jc w:val="both"/>
        <w:rPr>
          <w:rFonts w:ascii="Times New Roman" w:hAnsi="Times New Roman" w:cs="Times New Roman"/>
          <w:noProof/>
          <w:sz w:val="24"/>
        </w:rPr>
      </w:pPr>
    </w:p>
    <w:p w14:paraId="329B56C9" w14:textId="77777777" w:rsidR="00FE6F09" w:rsidRDefault="00435AFB">
      <w:pPr>
        <w:pStyle w:val="P68B1DB1-Normal6"/>
        <w:spacing w:before="120" w:after="120" w:line="240" w:lineRule="auto"/>
        <w:jc w:val="both"/>
        <w:rPr>
          <w:bCs/>
          <w:noProof/>
        </w:rPr>
      </w:pPr>
      <w:r>
        <w:rPr>
          <w:noProof/>
        </w:rPr>
        <w:t xml:space="preserve">B.1. </w:t>
      </w:r>
      <w:r>
        <w:rPr>
          <w:noProof/>
        </w:rPr>
        <w:tab/>
        <w:t>Descrierea reformelor și a investițiilor pentru sprijinul financiar nerambursabil</w:t>
      </w:r>
    </w:p>
    <w:p w14:paraId="0C5D22EE" w14:textId="77777777" w:rsidR="00FE6F09" w:rsidRDefault="00435AFB">
      <w:pPr>
        <w:pStyle w:val="P68B1DB1-Normal7"/>
        <w:spacing w:before="120" w:after="120" w:line="240" w:lineRule="auto"/>
        <w:jc w:val="both"/>
        <w:rPr>
          <w:noProof/>
        </w:rPr>
      </w:pPr>
      <w:r>
        <w:rPr>
          <w:noProof/>
        </w:rPr>
        <w:t>Reforma 1: Gesondheetsdësch</w:t>
      </w:r>
    </w:p>
    <w:p w14:paraId="6C11C9FE" w14:textId="77777777" w:rsidR="00FE6F09" w:rsidRDefault="00435AFB">
      <w:pPr>
        <w:pStyle w:val="P68B1DB1-Normal5"/>
        <w:spacing w:before="120" w:after="120" w:line="240" w:lineRule="auto"/>
        <w:jc w:val="both"/>
        <w:rPr>
          <w:noProof/>
          <w:u w:val="single"/>
        </w:rPr>
      </w:pPr>
      <w:r>
        <w:rPr>
          <w:noProof/>
        </w:rPr>
        <w:t xml:space="preserve">Luxemburgul a lansat un proces de consultare („Gesondheetsdësch”) între ministere, manageri de asigurări de sănătate, medici și reprezentanți ai cadrelor medicale pentru a moderniza guvernanța sectorului sănătății și pentru a răspunde unei serii de provocări identificate în prealabil în șase domenii de activitate tematice. Reformele și investițiile prezentate în </w:t>
      </w:r>
      <w:r>
        <w:rPr>
          <w:noProof/>
          <w:color w:val="000000" w:themeColor="text1"/>
        </w:rPr>
        <w:t>planul de redresare și reziliență</w:t>
      </w:r>
      <w:r>
        <w:rPr>
          <w:noProof/>
        </w:rPr>
        <w:t xml:space="preserve"> al Luxemburgului – reformarea competențelor cadrelor medicale, crearea unui registru digital al cadrelor medicale și dezvoltarea de soluții de telemedicină – se bazează pe rezultatele acestei consultări. Celelalte direcții de lucru ale acestui proces acoperă, de asemenea, domenii foarte importante legate de reziliența sistemului de sănătate (în special îmbunătățirea asistenței medicale primare, asistența medicală integrată, promovarea sănătății, finanțarea durabilă a asistenței medicale), dar nu se traduc în angajamente în plan, cu excepția publicării unui program de lucru pentru punerea în aplicare a rezultatelor procesului Gesondheetsdësch.</w:t>
      </w:r>
    </w:p>
    <w:p w14:paraId="017F04B2" w14:textId="77777777" w:rsidR="00FE6F09" w:rsidRDefault="00FE6F09">
      <w:pPr>
        <w:spacing w:before="120" w:after="120" w:line="240" w:lineRule="auto"/>
        <w:jc w:val="both"/>
        <w:rPr>
          <w:rFonts w:ascii="Times New Roman" w:hAnsi="Times New Roman" w:cs="Times New Roman"/>
          <w:noProof/>
          <w:sz w:val="24"/>
          <w:u w:val="single"/>
        </w:rPr>
      </w:pPr>
    </w:p>
    <w:p w14:paraId="00E3D80A" w14:textId="77777777" w:rsidR="00FE6F09" w:rsidRDefault="00435AFB">
      <w:pPr>
        <w:pStyle w:val="P68B1DB1-Normal7"/>
        <w:spacing w:before="120" w:after="120" w:line="240" w:lineRule="auto"/>
        <w:jc w:val="both"/>
        <w:rPr>
          <w:noProof/>
        </w:rPr>
      </w:pPr>
      <w:r>
        <w:rPr>
          <w:noProof/>
        </w:rPr>
        <w:t>Reforma 2: Reforma reglementării competențelor profesioniștilor din domeniul sănătății</w:t>
      </w:r>
    </w:p>
    <w:p w14:paraId="3FE3B407" w14:textId="77777777" w:rsidR="00FE6F09" w:rsidRDefault="00435AFB">
      <w:pPr>
        <w:pStyle w:val="P68B1DB1-Normal4"/>
        <w:spacing w:before="120" w:after="120" w:line="240" w:lineRule="auto"/>
        <w:jc w:val="both"/>
        <w:rPr>
          <w:rFonts w:eastAsia="Times New Roman"/>
          <w:noProof/>
        </w:rPr>
      </w:pPr>
      <w:r>
        <w:rPr>
          <w:noProof/>
        </w:rPr>
        <w:t>Obiectivul acestei reforme este de a răspunde provocărilor legate de deficitul de forță de muncă din domeniul sănătății. Aceasta constă în revizuirea responsabilităților profesiilor din domeniul sănătății și introducerea de noi măsuri în cadrul structurilor spitalicești.</w:t>
      </w:r>
    </w:p>
    <w:p w14:paraId="1D7E3EF5" w14:textId="77777777" w:rsidR="00FE6F09" w:rsidRDefault="00FE6F09">
      <w:pPr>
        <w:spacing w:before="120" w:after="120" w:line="240" w:lineRule="auto"/>
        <w:jc w:val="both"/>
        <w:rPr>
          <w:rFonts w:ascii="Times New Roman" w:hAnsi="Times New Roman" w:cs="Times New Roman"/>
          <w:noProof/>
          <w:sz w:val="24"/>
          <w:u w:val="single"/>
        </w:rPr>
      </w:pPr>
    </w:p>
    <w:p w14:paraId="0F41F009" w14:textId="77777777" w:rsidR="00FE6F09" w:rsidRDefault="00435AFB">
      <w:pPr>
        <w:pStyle w:val="P68B1DB1-Normal7"/>
        <w:spacing w:before="120" w:after="120" w:line="240" w:lineRule="auto"/>
        <w:jc w:val="both"/>
        <w:rPr>
          <w:noProof/>
        </w:rPr>
      </w:pPr>
      <w:r>
        <w:rPr>
          <w:noProof/>
        </w:rPr>
        <w:t>Investiția 1: Registrul digital unic al profesioniștilor din domeniul sănătății</w:t>
      </w:r>
    </w:p>
    <w:p w14:paraId="6BC26EF2" w14:textId="77777777" w:rsidR="00FE6F09" w:rsidRDefault="00435AFB">
      <w:pPr>
        <w:pStyle w:val="P68B1DB1-Normal5"/>
        <w:spacing w:before="120" w:after="120" w:line="240" w:lineRule="auto"/>
        <w:jc w:val="both"/>
        <w:rPr>
          <w:noProof/>
        </w:rPr>
      </w:pPr>
      <w:r>
        <w:rPr>
          <w:noProof/>
        </w:rPr>
        <w:t xml:space="preserve">Scopul acestei investiții este de a crea un registru digital unic pentru profesiile din domeniul sănătății, care să colecteze date administrative și profesionale, pentru a gestiona datele privind profesioniștii din domeniul sănătății din Luxemburg (numărul de medici, specialitățile acestora, domeniile de expertiză, distribuția pe vârste, distribuția teritorială a acestora …), pentru a anticipa profesiile și competențele necesare (prognoze demografice pe termen scurt și mediu în funcție de specialități și zone geografice) și pentru a mobiliza personal în timpul crizelor. </w:t>
      </w:r>
    </w:p>
    <w:p w14:paraId="6FA23121" w14:textId="59F11874" w:rsidR="00FE6F09" w:rsidRDefault="00435AFB">
      <w:pPr>
        <w:pStyle w:val="P68B1DB1-Normal5"/>
        <w:spacing w:before="120" w:after="120" w:line="240" w:lineRule="auto"/>
        <w:jc w:val="both"/>
        <w:rPr>
          <w:noProof/>
        </w:rPr>
      </w:pPr>
      <w:r>
        <w:rPr>
          <w:noProof/>
        </w:rPr>
        <w:t>Acest instrument permite, de asemenea, gestionarea licențelor profesionale și răspunde obligației legale de a actualiza datele profesionale. Proiectul se finalizează până la 31 martie 2023.</w:t>
      </w:r>
    </w:p>
    <w:p w14:paraId="3C43B11B" w14:textId="77777777" w:rsidR="00FE6F09" w:rsidRDefault="00FE6F09">
      <w:pPr>
        <w:contextualSpacing/>
        <w:rPr>
          <w:rFonts w:ascii="Times New Roman" w:hAnsi="Times New Roman" w:cs="Times New Roman"/>
          <w:noProof/>
          <w:u w:val="single"/>
        </w:rPr>
      </w:pPr>
    </w:p>
    <w:p w14:paraId="0BEE24DD" w14:textId="77777777" w:rsidR="00FE6F09" w:rsidRDefault="00435AFB">
      <w:pPr>
        <w:pStyle w:val="P68B1DB1-Normal10"/>
        <w:spacing w:before="120" w:after="120" w:line="240" w:lineRule="auto"/>
        <w:jc w:val="both"/>
        <w:rPr>
          <w:noProof/>
        </w:rPr>
      </w:pPr>
      <w:r>
        <w:rPr>
          <w:noProof/>
        </w:rPr>
        <w:t>Investiția 2: Soluție de telemedicină pentru monitorizarea medicală la distanță a pacienților</w:t>
      </w:r>
    </w:p>
    <w:p w14:paraId="4A08F3C6" w14:textId="77777777" w:rsidR="00FE6F09" w:rsidRDefault="00435AFB">
      <w:pPr>
        <w:pStyle w:val="P68B1DB1-Normal4"/>
        <w:spacing w:before="120" w:after="120" w:line="240" w:lineRule="auto"/>
        <w:rPr>
          <w:noProof/>
        </w:rPr>
        <w:sectPr w:rsidR="00FE6F09" w:rsidSect="009823F0">
          <w:headerReference w:type="even" r:id="rId26"/>
          <w:headerReference w:type="default" r:id="rId27"/>
          <w:footerReference w:type="even" r:id="rId28"/>
          <w:footerReference w:type="default" r:id="rId29"/>
          <w:headerReference w:type="first" r:id="rId30"/>
          <w:footerReference w:type="first" r:id="rId31"/>
          <w:pgSz w:w="11907" w:h="16839"/>
          <w:pgMar w:top="1134" w:right="1417" w:bottom="1134" w:left="1417" w:header="709" w:footer="709" w:gutter="0"/>
          <w:cols w:space="720"/>
          <w:docGrid w:linePitch="360"/>
        </w:sectPr>
      </w:pPr>
      <w:r>
        <w:rPr>
          <w:noProof/>
        </w:rPr>
        <w:t>Această investiție este direcționată către dezvoltarea monitorizării medicale la distanță (telemedicină). Acesta constă într-un sistem de teleconsultări pentru monitorizarea de la distanță între profesioniștii din domeniul medical și pacienți.</w:t>
      </w:r>
    </w:p>
    <w:p w14:paraId="547CC354" w14:textId="77777777" w:rsidR="00FE6F09" w:rsidRDefault="00435AFB">
      <w:pPr>
        <w:pStyle w:val="P68B1DB1-Normal6"/>
        <w:spacing w:before="120" w:after="120" w:line="240" w:lineRule="auto"/>
        <w:jc w:val="center"/>
        <w:rPr>
          <w:bCs/>
          <w:noProof/>
        </w:rPr>
      </w:pPr>
      <w:r>
        <w:rPr>
          <w:noProof/>
        </w:rPr>
        <w:t xml:space="preserve">B.2. </w:t>
      </w:r>
      <w:r>
        <w:rPr>
          <w:noProof/>
        </w:rPr>
        <w:tab/>
        <w:t>Jaloane, ținte, indicatori și calendar pentru monitorizarea și punerea în aplicare a sprijinului financiar nerambursabil</w:t>
      </w:r>
    </w:p>
    <w:tbl>
      <w:tblPr>
        <w:tblW w:w="1614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134"/>
        <w:gridCol w:w="1814"/>
        <w:gridCol w:w="1276"/>
        <w:gridCol w:w="1162"/>
        <w:gridCol w:w="993"/>
        <w:gridCol w:w="708"/>
        <w:gridCol w:w="993"/>
        <w:gridCol w:w="850"/>
        <w:gridCol w:w="4374"/>
        <w:gridCol w:w="6"/>
      </w:tblGrid>
      <w:tr w:rsidR="00FE6F09" w14:paraId="07C0EE3E" w14:textId="77777777">
        <w:trPr>
          <w:gridAfter w:val="1"/>
          <w:wAfter w:w="6" w:type="dxa"/>
          <w:trHeight w:val="927"/>
          <w:tblHeader/>
        </w:trPr>
        <w:tc>
          <w:tcPr>
            <w:tcW w:w="1135" w:type="dxa"/>
            <w:vMerge w:val="restart"/>
            <w:shd w:val="clear" w:color="auto" w:fill="BDD7EE"/>
            <w:vAlign w:val="center"/>
            <w:hideMark/>
          </w:tcPr>
          <w:p w14:paraId="515E4388" w14:textId="77777777" w:rsidR="00FE6F09" w:rsidRDefault="00435AFB">
            <w:pPr>
              <w:pStyle w:val="P68B1DB1-Normal8"/>
              <w:spacing w:after="0" w:line="240" w:lineRule="auto"/>
              <w:jc w:val="center"/>
              <w:rPr>
                <w:bCs/>
                <w:noProof/>
              </w:rPr>
            </w:pPr>
            <w:r>
              <w:rPr>
                <w:noProof/>
              </w:rPr>
              <w:t>Număr secvențial</w:t>
            </w:r>
          </w:p>
        </w:tc>
        <w:tc>
          <w:tcPr>
            <w:tcW w:w="1701" w:type="dxa"/>
            <w:vMerge w:val="restart"/>
            <w:shd w:val="clear" w:color="auto" w:fill="BDD7EE"/>
            <w:vAlign w:val="center"/>
            <w:hideMark/>
          </w:tcPr>
          <w:p w14:paraId="2851A654" w14:textId="77777777" w:rsidR="00FE6F09" w:rsidRDefault="00435AFB">
            <w:pPr>
              <w:pStyle w:val="P68B1DB1-Normal8"/>
              <w:spacing w:after="0" w:line="240" w:lineRule="auto"/>
              <w:jc w:val="center"/>
              <w:rPr>
                <w:bCs/>
                <w:noProof/>
              </w:rPr>
            </w:pPr>
            <w:r>
              <w:rPr>
                <w:noProof/>
              </w:rPr>
              <w:t>Măsură conexă (reformă sau investiție)</w:t>
            </w:r>
          </w:p>
        </w:tc>
        <w:tc>
          <w:tcPr>
            <w:tcW w:w="1134" w:type="dxa"/>
            <w:vMerge w:val="restart"/>
            <w:shd w:val="clear" w:color="auto" w:fill="BDD7EE"/>
            <w:vAlign w:val="center"/>
            <w:hideMark/>
          </w:tcPr>
          <w:p w14:paraId="5F66A9E6" w14:textId="797A78C1" w:rsidR="00FE6F09" w:rsidRDefault="00435AFB">
            <w:pPr>
              <w:pStyle w:val="P68B1DB1-Normal8"/>
              <w:spacing w:after="0" w:line="240" w:lineRule="auto"/>
              <w:jc w:val="center"/>
              <w:rPr>
                <w:bCs/>
                <w:noProof/>
              </w:rPr>
            </w:pPr>
            <w:r>
              <w:rPr>
                <w:noProof/>
              </w:rPr>
              <w:t>Etapa/ținta</w:t>
            </w:r>
          </w:p>
        </w:tc>
        <w:tc>
          <w:tcPr>
            <w:tcW w:w="1814" w:type="dxa"/>
            <w:vMerge w:val="restart"/>
            <w:shd w:val="clear" w:color="auto" w:fill="BDD7EE"/>
            <w:vAlign w:val="center"/>
            <w:hideMark/>
          </w:tcPr>
          <w:p w14:paraId="0090BE0A" w14:textId="77777777" w:rsidR="00FE6F09" w:rsidRDefault="00435AFB">
            <w:pPr>
              <w:pStyle w:val="P68B1DB1-Normal8"/>
              <w:spacing w:after="0" w:line="240" w:lineRule="auto"/>
              <w:jc w:val="center"/>
              <w:rPr>
                <w:bCs/>
                <w:noProof/>
              </w:rPr>
            </w:pPr>
            <w:r>
              <w:rPr>
                <w:noProof/>
              </w:rPr>
              <w:t>Denumire</w:t>
            </w:r>
          </w:p>
        </w:tc>
        <w:tc>
          <w:tcPr>
            <w:tcW w:w="1276" w:type="dxa"/>
            <w:vMerge w:val="restart"/>
            <w:shd w:val="clear" w:color="auto" w:fill="BDD7EE"/>
            <w:vAlign w:val="center"/>
            <w:hideMark/>
          </w:tcPr>
          <w:p w14:paraId="4BD7452C"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sz w:val="24"/>
              </w:rPr>
              <w:br/>
            </w:r>
            <w:r>
              <w:rPr>
                <w:rFonts w:ascii="Times New Roman" w:eastAsia="Times New Roman" w:hAnsi="Times New Roman" w:cs="Times New Roman"/>
                <w:b/>
                <w:noProof/>
                <w:sz w:val="20"/>
                <w:szCs w:val="20"/>
              </w:rPr>
              <w:t>(pentru jaloane)</w:t>
            </w:r>
          </w:p>
        </w:tc>
        <w:tc>
          <w:tcPr>
            <w:tcW w:w="2863" w:type="dxa"/>
            <w:gridSpan w:val="3"/>
            <w:shd w:val="clear" w:color="auto" w:fill="BDD7EE"/>
            <w:vAlign w:val="center"/>
            <w:hideMark/>
          </w:tcPr>
          <w:p w14:paraId="1C858407"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sz w:val="24"/>
              </w:rPr>
              <w:br/>
            </w:r>
            <w:r>
              <w:rPr>
                <w:rFonts w:ascii="Times New Roman" w:eastAsia="Times New Roman" w:hAnsi="Times New Roman" w:cs="Times New Roman"/>
                <w:b/>
                <w:noProof/>
                <w:sz w:val="20"/>
                <w:szCs w:val="20"/>
              </w:rPr>
              <w:t>(pentru obiective)</w:t>
            </w:r>
          </w:p>
        </w:tc>
        <w:tc>
          <w:tcPr>
            <w:tcW w:w="1843" w:type="dxa"/>
            <w:gridSpan w:val="2"/>
            <w:shd w:val="clear" w:color="auto" w:fill="BDD7EE"/>
            <w:vAlign w:val="center"/>
            <w:hideMark/>
          </w:tcPr>
          <w:p w14:paraId="4926B3B8" w14:textId="2ECA7C4E" w:rsidR="00FE6F09" w:rsidRDefault="00435AFB">
            <w:pPr>
              <w:pStyle w:val="P68B1DB1-Normal8"/>
              <w:spacing w:after="0" w:line="240" w:lineRule="auto"/>
              <w:jc w:val="center"/>
              <w:rPr>
                <w:bCs/>
                <w:noProof/>
              </w:rPr>
            </w:pPr>
            <w:r>
              <w:rPr>
                <w:noProof/>
              </w:rPr>
              <w:t>Calendar orientativ pentru finalizare</w:t>
            </w:r>
          </w:p>
        </w:tc>
        <w:tc>
          <w:tcPr>
            <w:tcW w:w="4374" w:type="dxa"/>
            <w:vMerge w:val="restart"/>
            <w:shd w:val="clear" w:color="auto" w:fill="BDD7EE"/>
            <w:vAlign w:val="center"/>
            <w:hideMark/>
          </w:tcPr>
          <w:p w14:paraId="6CC97601" w14:textId="77777777" w:rsidR="00FE6F09" w:rsidRDefault="00435AFB">
            <w:pPr>
              <w:pStyle w:val="P68B1DB1-Normal8"/>
              <w:spacing w:after="0" w:line="240" w:lineRule="auto"/>
              <w:jc w:val="center"/>
              <w:rPr>
                <w:bCs/>
                <w:noProof/>
              </w:rPr>
            </w:pPr>
            <w:r>
              <w:rPr>
                <w:noProof/>
              </w:rPr>
              <w:t>Descrierea fiecărui jalon și a fiecărei ținte</w:t>
            </w:r>
          </w:p>
        </w:tc>
      </w:tr>
      <w:tr w:rsidR="00FE6F09" w14:paraId="6EBAB1CD" w14:textId="77777777">
        <w:trPr>
          <w:gridAfter w:val="1"/>
          <w:wAfter w:w="6" w:type="dxa"/>
          <w:trHeight w:val="1013"/>
          <w:tblHeader/>
        </w:trPr>
        <w:tc>
          <w:tcPr>
            <w:tcW w:w="1135" w:type="dxa"/>
            <w:vMerge/>
            <w:vAlign w:val="center"/>
            <w:hideMark/>
          </w:tcPr>
          <w:p w14:paraId="0F8066F7"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701" w:type="dxa"/>
            <w:vMerge/>
            <w:vAlign w:val="center"/>
            <w:hideMark/>
          </w:tcPr>
          <w:p w14:paraId="4BFACC2D" w14:textId="77777777" w:rsidR="00FE6F09" w:rsidRDefault="00FE6F09">
            <w:pPr>
              <w:spacing w:after="0" w:line="240" w:lineRule="auto"/>
              <w:rPr>
                <w:rFonts w:ascii="Times New Roman" w:eastAsia="Times New Roman" w:hAnsi="Times New Roman" w:cs="Times New Roman"/>
                <w:b/>
                <w:noProof/>
                <w:sz w:val="20"/>
                <w:szCs w:val="20"/>
              </w:rPr>
            </w:pPr>
          </w:p>
        </w:tc>
        <w:tc>
          <w:tcPr>
            <w:tcW w:w="1134" w:type="dxa"/>
            <w:vMerge/>
            <w:vAlign w:val="center"/>
            <w:hideMark/>
          </w:tcPr>
          <w:p w14:paraId="6F77A7E5"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814" w:type="dxa"/>
            <w:vMerge/>
            <w:vAlign w:val="center"/>
            <w:hideMark/>
          </w:tcPr>
          <w:p w14:paraId="5C70FC51" w14:textId="77777777" w:rsidR="00FE6F09" w:rsidRDefault="00FE6F09">
            <w:pPr>
              <w:spacing w:after="0" w:line="240" w:lineRule="auto"/>
              <w:rPr>
                <w:rFonts w:ascii="Times New Roman" w:eastAsia="Times New Roman" w:hAnsi="Times New Roman" w:cs="Times New Roman"/>
                <w:b/>
                <w:noProof/>
                <w:sz w:val="20"/>
                <w:szCs w:val="20"/>
              </w:rPr>
            </w:pPr>
          </w:p>
        </w:tc>
        <w:tc>
          <w:tcPr>
            <w:tcW w:w="1276" w:type="dxa"/>
            <w:vMerge/>
            <w:vAlign w:val="center"/>
            <w:hideMark/>
          </w:tcPr>
          <w:p w14:paraId="758CA0A4" w14:textId="77777777" w:rsidR="00FE6F09" w:rsidRDefault="00FE6F09">
            <w:pPr>
              <w:spacing w:after="0" w:line="240" w:lineRule="auto"/>
              <w:rPr>
                <w:rFonts w:ascii="Times New Roman" w:eastAsia="Times New Roman" w:hAnsi="Times New Roman" w:cs="Times New Roman"/>
                <w:b/>
                <w:noProof/>
                <w:sz w:val="20"/>
                <w:szCs w:val="20"/>
              </w:rPr>
            </w:pPr>
          </w:p>
        </w:tc>
        <w:tc>
          <w:tcPr>
            <w:tcW w:w="1162" w:type="dxa"/>
            <w:shd w:val="clear" w:color="auto" w:fill="BDD7EE"/>
            <w:vAlign w:val="center"/>
            <w:hideMark/>
          </w:tcPr>
          <w:p w14:paraId="2EFB9F07" w14:textId="77777777" w:rsidR="00FE6F09" w:rsidRDefault="00435AFB">
            <w:pPr>
              <w:pStyle w:val="P68B1DB1-Normal8"/>
              <w:spacing w:after="0" w:line="240" w:lineRule="auto"/>
              <w:jc w:val="center"/>
              <w:rPr>
                <w:bCs/>
                <w:noProof/>
              </w:rPr>
            </w:pPr>
            <w:r>
              <w:rPr>
                <w:noProof/>
              </w:rPr>
              <w:t>Unitatea de măsură</w:t>
            </w:r>
          </w:p>
        </w:tc>
        <w:tc>
          <w:tcPr>
            <w:tcW w:w="993" w:type="dxa"/>
            <w:shd w:val="clear" w:color="auto" w:fill="BDD7EE"/>
            <w:vAlign w:val="center"/>
            <w:hideMark/>
          </w:tcPr>
          <w:p w14:paraId="0610954E" w14:textId="2EF7CBAA" w:rsidR="00FE6F09" w:rsidRDefault="00435AFB">
            <w:pPr>
              <w:pStyle w:val="P68B1DB1-Normal8"/>
              <w:spacing w:after="0" w:line="240" w:lineRule="auto"/>
              <w:jc w:val="center"/>
              <w:rPr>
                <w:bCs/>
                <w:noProof/>
              </w:rPr>
            </w:pPr>
            <w:r>
              <w:rPr>
                <w:noProof/>
              </w:rPr>
              <w:t>Situația de referință</w:t>
            </w:r>
          </w:p>
        </w:tc>
        <w:tc>
          <w:tcPr>
            <w:tcW w:w="708" w:type="dxa"/>
            <w:shd w:val="clear" w:color="auto" w:fill="BDD7EE"/>
            <w:vAlign w:val="center"/>
            <w:hideMark/>
          </w:tcPr>
          <w:p w14:paraId="453C88EF" w14:textId="734CF825" w:rsidR="00FE6F09" w:rsidRDefault="00435AFB">
            <w:pPr>
              <w:pStyle w:val="P68B1DB1-Normal8"/>
              <w:spacing w:after="0" w:line="240" w:lineRule="auto"/>
              <w:jc w:val="center"/>
              <w:rPr>
                <w:bCs/>
                <w:noProof/>
              </w:rPr>
            </w:pPr>
            <w:r>
              <w:rPr>
                <w:noProof/>
              </w:rPr>
              <w:t>Obiectiv</w:t>
            </w:r>
          </w:p>
        </w:tc>
        <w:tc>
          <w:tcPr>
            <w:tcW w:w="993" w:type="dxa"/>
            <w:shd w:val="clear" w:color="auto" w:fill="BDD7EE"/>
            <w:vAlign w:val="center"/>
            <w:hideMark/>
          </w:tcPr>
          <w:p w14:paraId="3E5E0A1F" w14:textId="77777777" w:rsidR="00FE6F09" w:rsidRDefault="00435AFB">
            <w:pPr>
              <w:pStyle w:val="P68B1DB1-Normal8"/>
              <w:spacing w:after="0" w:line="240" w:lineRule="auto"/>
              <w:jc w:val="center"/>
              <w:rPr>
                <w:bCs/>
                <w:noProof/>
              </w:rPr>
            </w:pPr>
            <w:r>
              <w:rPr>
                <w:noProof/>
              </w:rPr>
              <w:t>Trimestrul</w:t>
            </w:r>
          </w:p>
        </w:tc>
        <w:tc>
          <w:tcPr>
            <w:tcW w:w="850" w:type="dxa"/>
            <w:shd w:val="clear" w:color="auto" w:fill="BDD7EE"/>
            <w:vAlign w:val="center"/>
            <w:hideMark/>
          </w:tcPr>
          <w:p w14:paraId="38B7242C" w14:textId="77777777" w:rsidR="00FE6F09" w:rsidRDefault="00435AFB">
            <w:pPr>
              <w:pStyle w:val="P68B1DB1-Normal8"/>
              <w:spacing w:after="0" w:line="240" w:lineRule="auto"/>
              <w:jc w:val="center"/>
              <w:rPr>
                <w:bCs/>
                <w:noProof/>
              </w:rPr>
            </w:pPr>
            <w:r>
              <w:rPr>
                <w:noProof/>
              </w:rPr>
              <w:t>Anul</w:t>
            </w:r>
          </w:p>
        </w:tc>
        <w:tc>
          <w:tcPr>
            <w:tcW w:w="4374" w:type="dxa"/>
            <w:vMerge/>
            <w:vAlign w:val="center"/>
            <w:hideMark/>
          </w:tcPr>
          <w:p w14:paraId="64F38ED0" w14:textId="77777777" w:rsidR="00FE6F09" w:rsidRDefault="00FE6F09">
            <w:pPr>
              <w:spacing w:after="0" w:line="240" w:lineRule="auto"/>
              <w:jc w:val="both"/>
              <w:rPr>
                <w:rFonts w:ascii="Times New Roman" w:eastAsia="Times New Roman" w:hAnsi="Times New Roman" w:cs="Times New Roman"/>
                <w:b/>
                <w:noProof/>
                <w:sz w:val="20"/>
                <w:szCs w:val="20"/>
              </w:rPr>
            </w:pPr>
          </w:p>
        </w:tc>
      </w:tr>
      <w:tr w:rsidR="00FE6F09" w14:paraId="7EED0C5C" w14:textId="77777777">
        <w:trPr>
          <w:trHeight w:val="680"/>
        </w:trPr>
        <w:tc>
          <w:tcPr>
            <w:tcW w:w="1135" w:type="dxa"/>
            <w:shd w:val="clear" w:color="auto" w:fill="C6EFCE"/>
            <w:noWrap/>
          </w:tcPr>
          <w:p w14:paraId="0B44096D" w14:textId="77777777" w:rsidR="00FE6F09" w:rsidRDefault="00435AFB">
            <w:pPr>
              <w:pStyle w:val="P68B1DB1-Normal9"/>
              <w:spacing w:after="0" w:line="240" w:lineRule="auto"/>
              <w:jc w:val="center"/>
              <w:rPr>
                <w:noProof/>
              </w:rPr>
            </w:pPr>
            <w:r>
              <w:rPr>
                <w:noProof/>
              </w:rPr>
              <w:t>1B-1</w:t>
            </w:r>
          </w:p>
        </w:tc>
        <w:tc>
          <w:tcPr>
            <w:tcW w:w="1701" w:type="dxa"/>
            <w:shd w:val="clear" w:color="auto" w:fill="C6EFCE"/>
            <w:noWrap/>
          </w:tcPr>
          <w:p w14:paraId="4C2A4921" w14:textId="77777777" w:rsidR="00FE6F09" w:rsidRDefault="00435AFB">
            <w:pPr>
              <w:pStyle w:val="P68B1DB1-Normal9"/>
              <w:spacing w:after="0" w:line="240" w:lineRule="auto"/>
              <w:rPr>
                <w:noProof/>
              </w:rPr>
            </w:pPr>
            <w:r>
              <w:rPr>
                <w:noProof/>
              </w:rPr>
              <w:t>Reforma 1 –</w:t>
            </w:r>
          </w:p>
          <w:p w14:paraId="0D44491D" w14:textId="77777777" w:rsidR="00FE6F09" w:rsidRDefault="00435AFB">
            <w:pPr>
              <w:pStyle w:val="P68B1DB1-Normal9"/>
              <w:spacing w:after="0" w:line="240" w:lineRule="auto"/>
              <w:rPr>
                <w:noProof/>
              </w:rPr>
            </w:pPr>
            <w:r>
              <w:rPr>
                <w:noProof/>
              </w:rPr>
              <w:t>Consolidarea rezilienței sistemului de sănătate - Gesondheetsdësch</w:t>
            </w:r>
          </w:p>
        </w:tc>
        <w:tc>
          <w:tcPr>
            <w:tcW w:w="1134" w:type="dxa"/>
            <w:shd w:val="clear" w:color="auto" w:fill="C6EFCE"/>
            <w:noWrap/>
          </w:tcPr>
          <w:p w14:paraId="0FB59403" w14:textId="77777777" w:rsidR="00FE6F09" w:rsidRDefault="00435AFB">
            <w:pPr>
              <w:pStyle w:val="P68B1DB1-Normal9"/>
              <w:spacing w:after="0" w:line="240" w:lineRule="auto"/>
              <w:jc w:val="center"/>
              <w:rPr>
                <w:noProof/>
              </w:rPr>
            </w:pPr>
            <w:r>
              <w:rPr>
                <w:noProof/>
              </w:rPr>
              <w:t>Etapa de referință</w:t>
            </w:r>
          </w:p>
        </w:tc>
        <w:tc>
          <w:tcPr>
            <w:tcW w:w="1814" w:type="dxa"/>
            <w:shd w:val="clear" w:color="auto" w:fill="C6EFCE"/>
            <w:noWrap/>
          </w:tcPr>
          <w:p w14:paraId="32B02ADB" w14:textId="411968F5" w:rsidR="00FE6F09" w:rsidRDefault="00435AFB">
            <w:pPr>
              <w:pStyle w:val="P68B1DB1-Normal9"/>
              <w:spacing w:after="0" w:line="240" w:lineRule="auto"/>
              <w:rPr>
                <w:noProof/>
              </w:rPr>
            </w:pPr>
            <w:r>
              <w:rPr>
                <w:noProof/>
              </w:rPr>
              <w:t xml:space="preserve">Lansarea și etapa pregătitoare a procesului Gesondheetsdësch, cu scopul de a aborda cele șase priorități tematice. </w:t>
            </w:r>
          </w:p>
        </w:tc>
        <w:tc>
          <w:tcPr>
            <w:tcW w:w="1276" w:type="dxa"/>
            <w:shd w:val="clear" w:color="auto" w:fill="C6EFCE"/>
            <w:noWrap/>
          </w:tcPr>
          <w:p w14:paraId="2B68F0C5" w14:textId="77777777" w:rsidR="00FE6F09" w:rsidRDefault="00435AFB">
            <w:pPr>
              <w:pStyle w:val="P68B1DB1-Normal9"/>
              <w:spacing w:after="0" w:line="240" w:lineRule="auto"/>
              <w:rPr>
                <w:noProof/>
              </w:rPr>
            </w:pPr>
            <w:r>
              <w:rPr>
                <w:noProof/>
              </w:rPr>
              <w:t xml:space="preserve">Începerea procesului de consultare </w:t>
            </w:r>
          </w:p>
        </w:tc>
        <w:tc>
          <w:tcPr>
            <w:tcW w:w="1162" w:type="dxa"/>
            <w:shd w:val="clear" w:color="auto" w:fill="C6EFCE"/>
            <w:noWrap/>
          </w:tcPr>
          <w:p w14:paraId="73E98DE7"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61F5DD0A"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08" w:type="dxa"/>
            <w:shd w:val="clear" w:color="auto" w:fill="C6EFCE"/>
            <w:noWrap/>
          </w:tcPr>
          <w:p w14:paraId="302DA7DE"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628DC451" w14:textId="290F7C07" w:rsidR="00FE6F09" w:rsidRDefault="00435AFB">
            <w:pPr>
              <w:pStyle w:val="P68B1DB1-Normal9"/>
              <w:spacing w:after="0" w:line="240" w:lineRule="auto"/>
              <w:jc w:val="center"/>
              <w:rPr>
                <w:noProof/>
              </w:rPr>
            </w:pPr>
            <w:r>
              <w:rPr>
                <w:noProof/>
              </w:rPr>
              <w:t>T3</w:t>
            </w:r>
          </w:p>
        </w:tc>
        <w:tc>
          <w:tcPr>
            <w:tcW w:w="850" w:type="dxa"/>
            <w:shd w:val="clear" w:color="auto" w:fill="C6EFCE"/>
            <w:noWrap/>
          </w:tcPr>
          <w:p w14:paraId="73B13B01" w14:textId="77777777" w:rsidR="00FE6F09" w:rsidRDefault="00435AFB">
            <w:pPr>
              <w:pStyle w:val="P68B1DB1-Normal9"/>
              <w:spacing w:after="0" w:line="240" w:lineRule="auto"/>
              <w:jc w:val="center"/>
              <w:rPr>
                <w:noProof/>
              </w:rPr>
            </w:pPr>
            <w:r>
              <w:rPr>
                <w:noProof/>
              </w:rPr>
              <w:t>2020</w:t>
            </w:r>
          </w:p>
        </w:tc>
        <w:tc>
          <w:tcPr>
            <w:tcW w:w="4380" w:type="dxa"/>
            <w:gridSpan w:val="2"/>
            <w:shd w:val="clear" w:color="auto" w:fill="C6EFCE"/>
            <w:noWrap/>
          </w:tcPr>
          <w:p w14:paraId="12D1350E" w14:textId="1BECE7C5" w:rsidR="00FE6F09" w:rsidRDefault="00435AFB">
            <w:pPr>
              <w:pStyle w:val="P68B1DB1-Normal9"/>
              <w:spacing w:after="0" w:line="240" w:lineRule="auto"/>
              <w:jc w:val="both"/>
              <w:rPr>
                <w:noProof/>
              </w:rPr>
            </w:pPr>
            <w:r>
              <w:rPr>
                <w:noProof/>
              </w:rPr>
              <w:t xml:space="preserve">Prima reuniune de lansare și lansarea etapei pregătitoare a procesului Gesondheetsdësch cu scopul de a aborda cele șase priorități tematice (1. o mai bună complementaritate între sectorul spitalicesc și cel ambulatoriu; 2. îmbunătățirea relațiilor dintre pacienți și furnizorii de servicii medicale; 3. Demografia personalului medical și de îngrijire: pârghii pentru prevenirea unei penurii; 4. Prevenirea în sectorul sănătății; 5. utilizarea noilor tehnologii în domeniul asistenței medicale; 6. Finanțarea sistemului de sănătate: sustenabilitatea financiară a sistemului. </w:t>
            </w:r>
          </w:p>
        </w:tc>
      </w:tr>
      <w:tr w:rsidR="00FE6F09" w14:paraId="532DD550" w14:textId="77777777">
        <w:trPr>
          <w:trHeight w:val="309"/>
        </w:trPr>
        <w:tc>
          <w:tcPr>
            <w:tcW w:w="1135" w:type="dxa"/>
            <w:shd w:val="clear" w:color="auto" w:fill="C6EFCE"/>
            <w:noWrap/>
          </w:tcPr>
          <w:p w14:paraId="6700210D" w14:textId="77777777" w:rsidR="00FE6F09" w:rsidRDefault="00435AFB">
            <w:pPr>
              <w:pStyle w:val="P68B1DB1-Normal9"/>
              <w:spacing w:after="0" w:line="240" w:lineRule="auto"/>
              <w:jc w:val="center"/>
              <w:rPr>
                <w:noProof/>
              </w:rPr>
            </w:pPr>
            <w:r>
              <w:rPr>
                <w:noProof/>
              </w:rPr>
              <w:t>1B-2</w:t>
            </w:r>
          </w:p>
        </w:tc>
        <w:tc>
          <w:tcPr>
            <w:tcW w:w="1701" w:type="dxa"/>
            <w:shd w:val="clear" w:color="auto" w:fill="C6EFCE"/>
            <w:noWrap/>
          </w:tcPr>
          <w:p w14:paraId="0B00E4D7" w14:textId="77777777" w:rsidR="00FE6F09" w:rsidRDefault="00435AFB">
            <w:pPr>
              <w:pStyle w:val="P68B1DB1-Normal9"/>
              <w:spacing w:after="0" w:line="240" w:lineRule="auto"/>
              <w:rPr>
                <w:noProof/>
              </w:rPr>
            </w:pPr>
            <w:r>
              <w:rPr>
                <w:noProof/>
              </w:rPr>
              <w:t>Reforma 1 –</w:t>
            </w:r>
          </w:p>
          <w:p w14:paraId="3C57BBE9" w14:textId="77777777" w:rsidR="00FE6F09" w:rsidRDefault="00435AFB">
            <w:pPr>
              <w:pStyle w:val="P68B1DB1-Normal9"/>
              <w:spacing w:after="0" w:line="240" w:lineRule="auto"/>
              <w:rPr>
                <w:noProof/>
              </w:rPr>
            </w:pPr>
            <w:r>
              <w:rPr>
                <w:noProof/>
              </w:rPr>
              <w:t>Consolidarea rezilienței sistemului de sănătate - Gesondheetsdësch</w:t>
            </w:r>
          </w:p>
        </w:tc>
        <w:tc>
          <w:tcPr>
            <w:tcW w:w="1134" w:type="dxa"/>
            <w:shd w:val="clear" w:color="auto" w:fill="C6EFCE"/>
            <w:noWrap/>
          </w:tcPr>
          <w:p w14:paraId="0CD0AF24" w14:textId="77777777" w:rsidR="00FE6F09" w:rsidRDefault="00435AFB">
            <w:pPr>
              <w:pStyle w:val="P68B1DB1-Normal9"/>
              <w:spacing w:after="0" w:line="240" w:lineRule="auto"/>
              <w:jc w:val="center"/>
              <w:rPr>
                <w:noProof/>
              </w:rPr>
            </w:pPr>
            <w:r>
              <w:rPr>
                <w:noProof/>
              </w:rPr>
              <w:t>Etapa de referință</w:t>
            </w:r>
          </w:p>
        </w:tc>
        <w:tc>
          <w:tcPr>
            <w:tcW w:w="1814" w:type="dxa"/>
            <w:shd w:val="clear" w:color="auto" w:fill="C6EFCE"/>
            <w:noWrap/>
          </w:tcPr>
          <w:p w14:paraId="117E063B" w14:textId="09594AA5" w:rsidR="00FE6F09" w:rsidRDefault="00435AFB">
            <w:pPr>
              <w:pStyle w:val="P68B1DB1-Normal9"/>
              <w:spacing w:after="0" w:line="240" w:lineRule="auto"/>
              <w:rPr>
                <w:noProof/>
              </w:rPr>
            </w:pPr>
            <w:r>
              <w:rPr>
                <w:noProof/>
              </w:rPr>
              <w:t xml:space="preserve">Programul de lucru </w:t>
            </w:r>
          </w:p>
        </w:tc>
        <w:tc>
          <w:tcPr>
            <w:tcW w:w="1276" w:type="dxa"/>
            <w:shd w:val="clear" w:color="auto" w:fill="C6EFCE"/>
            <w:noWrap/>
          </w:tcPr>
          <w:p w14:paraId="79CC3522" w14:textId="75435A3C" w:rsidR="00FE6F09" w:rsidRDefault="00435AFB">
            <w:pPr>
              <w:pStyle w:val="P68B1DB1-Normal9"/>
              <w:spacing w:after="0" w:line="240" w:lineRule="auto"/>
              <w:rPr>
                <w:noProof/>
              </w:rPr>
            </w:pPr>
            <w:r>
              <w:rPr>
                <w:noProof/>
              </w:rPr>
              <w:t xml:space="preserve">Publicarea programului de lucru </w:t>
            </w:r>
          </w:p>
        </w:tc>
        <w:tc>
          <w:tcPr>
            <w:tcW w:w="1162" w:type="dxa"/>
            <w:shd w:val="clear" w:color="auto" w:fill="C6EFCE"/>
            <w:noWrap/>
          </w:tcPr>
          <w:p w14:paraId="2A1F44A7"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0C997258"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08" w:type="dxa"/>
            <w:shd w:val="clear" w:color="auto" w:fill="C6EFCE"/>
            <w:noWrap/>
          </w:tcPr>
          <w:p w14:paraId="75C44BDE"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069F82CE" w14:textId="5215F228" w:rsidR="00FE6F09" w:rsidRDefault="00435AFB">
            <w:pPr>
              <w:pStyle w:val="P68B1DB1-Normal9"/>
              <w:spacing w:after="0" w:line="240" w:lineRule="auto"/>
              <w:jc w:val="center"/>
              <w:rPr>
                <w:noProof/>
              </w:rPr>
            </w:pPr>
            <w:r>
              <w:rPr>
                <w:noProof/>
              </w:rPr>
              <w:t>T4</w:t>
            </w:r>
          </w:p>
        </w:tc>
        <w:tc>
          <w:tcPr>
            <w:tcW w:w="850" w:type="dxa"/>
            <w:shd w:val="clear" w:color="auto" w:fill="C6EFCE"/>
            <w:noWrap/>
          </w:tcPr>
          <w:p w14:paraId="3069D5C1" w14:textId="77777777" w:rsidR="00FE6F09" w:rsidRDefault="00435AFB">
            <w:pPr>
              <w:pStyle w:val="P68B1DB1-Normal9"/>
              <w:spacing w:after="0" w:line="240" w:lineRule="auto"/>
              <w:jc w:val="center"/>
              <w:rPr>
                <w:noProof/>
              </w:rPr>
            </w:pPr>
            <w:r>
              <w:rPr>
                <w:noProof/>
              </w:rPr>
              <w:t>2021</w:t>
            </w:r>
          </w:p>
        </w:tc>
        <w:tc>
          <w:tcPr>
            <w:tcW w:w="4380" w:type="dxa"/>
            <w:gridSpan w:val="2"/>
            <w:shd w:val="clear" w:color="auto" w:fill="C6EFCE"/>
            <w:noWrap/>
          </w:tcPr>
          <w:p w14:paraId="673A1A70" w14:textId="77777777" w:rsidR="00FE6F09" w:rsidRDefault="00435AFB">
            <w:pPr>
              <w:pStyle w:val="P68B1DB1-Normal9"/>
              <w:spacing w:after="0" w:line="240" w:lineRule="auto"/>
              <w:jc w:val="both"/>
              <w:rPr>
                <w:noProof/>
              </w:rPr>
            </w:pPr>
            <w:r>
              <w:rPr>
                <w:noProof/>
              </w:rPr>
              <w:t>Publicarea programului de lucru pentru a orienta punerea în aplicare a programului „Gesondheetsdësch”, cu scopul de a stabili un cadru structural care să țină seama de discuțiile politice privind sistemul de sănătate. Acest program de lucru este elaborat de cele șase grupuri de lucru Gesondheetsdësch:</w:t>
            </w:r>
          </w:p>
          <w:p w14:paraId="334CDCE6" w14:textId="77777777" w:rsidR="00FE6F09" w:rsidRDefault="00FE6F09">
            <w:pPr>
              <w:spacing w:after="0" w:line="240" w:lineRule="auto"/>
              <w:jc w:val="both"/>
              <w:rPr>
                <w:rFonts w:ascii="Times New Roman" w:eastAsia="Times New Roman" w:hAnsi="Times New Roman" w:cs="Times New Roman"/>
                <w:noProof/>
                <w:color w:val="006100"/>
                <w:sz w:val="16"/>
                <w:szCs w:val="16"/>
              </w:rPr>
            </w:pPr>
          </w:p>
          <w:p w14:paraId="355C32B6" w14:textId="77777777" w:rsidR="00FE6F09" w:rsidRDefault="00435AFB">
            <w:pPr>
              <w:pStyle w:val="P68B1DB1-Normal9"/>
              <w:spacing w:after="0" w:line="240" w:lineRule="auto"/>
              <w:jc w:val="both"/>
              <w:rPr>
                <w:noProof/>
              </w:rPr>
            </w:pPr>
            <w:r>
              <w:rPr>
                <w:noProof/>
              </w:rPr>
              <w:t>Grupul de lucru 1: O mai bună complementaritate între sectorul spitalicesc și cel ambulatoriu</w:t>
            </w:r>
          </w:p>
          <w:p w14:paraId="2D124C81" w14:textId="77777777" w:rsidR="00FE6F09" w:rsidRDefault="00FE6F09">
            <w:pPr>
              <w:spacing w:after="0" w:line="240" w:lineRule="auto"/>
              <w:jc w:val="both"/>
              <w:rPr>
                <w:rFonts w:ascii="Times New Roman" w:eastAsia="Times New Roman" w:hAnsi="Times New Roman" w:cs="Times New Roman"/>
                <w:noProof/>
                <w:color w:val="006100"/>
                <w:sz w:val="16"/>
                <w:szCs w:val="16"/>
              </w:rPr>
            </w:pPr>
          </w:p>
          <w:p w14:paraId="320DC948" w14:textId="77777777" w:rsidR="00FE6F09" w:rsidRDefault="00435AFB">
            <w:pPr>
              <w:pStyle w:val="P68B1DB1-Normal9"/>
              <w:spacing w:after="0" w:line="240" w:lineRule="auto"/>
              <w:jc w:val="both"/>
              <w:rPr>
                <w:noProof/>
              </w:rPr>
            </w:pPr>
            <w:r>
              <w:rPr>
                <w:noProof/>
              </w:rPr>
              <w:t>Grupul de lucru 2: Îmbunătățirea relațiilor dintre pacienți și furnizorii de servicii medicale</w:t>
            </w:r>
          </w:p>
          <w:p w14:paraId="55EF8F85" w14:textId="77777777" w:rsidR="00FE6F09" w:rsidRDefault="00FE6F09">
            <w:pPr>
              <w:spacing w:after="0" w:line="240" w:lineRule="auto"/>
              <w:jc w:val="both"/>
              <w:rPr>
                <w:rFonts w:ascii="Times New Roman" w:eastAsia="Times New Roman" w:hAnsi="Times New Roman" w:cs="Times New Roman"/>
                <w:noProof/>
                <w:color w:val="006100"/>
                <w:sz w:val="16"/>
                <w:szCs w:val="16"/>
              </w:rPr>
            </w:pPr>
          </w:p>
          <w:p w14:paraId="6261BC47" w14:textId="77777777" w:rsidR="00FE6F09" w:rsidRDefault="00435AFB">
            <w:pPr>
              <w:pStyle w:val="P68B1DB1-Normal9"/>
              <w:spacing w:after="0" w:line="240" w:lineRule="auto"/>
              <w:jc w:val="both"/>
              <w:rPr>
                <w:noProof/>
              </w:rPr>
            </w:pPr>
            <w:r>
              <w:rPr>
                <w:noProof/>
              </w:rPr>
              <w:t>GL3: Demografia personalului medical și de îngrijire: pârghii pentru a preveni o penurie</w:t>
            </w:r>
          </w:p>
          <w:p w14:paraId="5A80DD43" w14:textId="77777777" w:rsidR="00FE6F09" w:rsidRDefault="00FE6F09">
            <w:pPr>
              <w:spacing w:after="0" w:line="240" w:lineRule="auto"/>
              <w:jc w:val="both"/>
              <w:rPr>
                <w:rFonts w:ascii="Times New Roman" w:eastAsia="Times New Roman" w:hAnsi="Times New Roman" w:cs="Times New Roman"/>
                <w:noProof/>
                <w:color w:val="006100"/>
                <w:sz w:val="16"/>
                <w:szCs w:val="16"/>
              </w:rPr>
            </w:pPr>
          </w:p>
          <w:p w14:paraId="1CB53BA4" w14:textId="77777777" w:rsidR="00FE6F09" w:rsidRDefault="00435AFB">
            <w:pPr>
              <w:pStyle w:val="P68B1DB1-Normal9"/>
              <w:spacing w:after="0" w:line="240" w:lineRule="auto"/>
              <w:jc w:val="both"/>
              <w:rPr>
                <w:noProof/>
              </w:rPr>
            </w:pPr>
            <w:r>
              <w:rPr>
                <w:noProof/>
              </w:rPr>
              <w:t>Grupul de lucru 4: Prevenirea în sectorul sănătății: către o schimbare de paradigmă</w:t>
            </w:r>
          </w:p>
          <w:p w14:paraId="6FBDD66C" w14:textId="77777777" w:rsidR="00FE6F09" w:rsidRDefault="00FE6F09">
            <w:pPr>
              <w:spacing w:after="0" w:line="240" w:lineRule="auto"/>
              <w:jc w:val="both"/>
              <w:rPr>
                <w:rFonts w:ascii="Times New Roman" w:eastAsia="Times New Roman" w:hAnsi="Times New Roman" w:cs="Times New Roman"/>
                <w:noProof/>
                <w:color w:val="006100"/>
                <w:sz w:val="16"/>
                <w:szCs w:val="16"/>
              </w:rPr>
            </w:pPr>
          </w:p>
          <w:p w14:paraId="60D7D0E3" w14:textId="77777777" w:rsidR="00FE6F09" w:rsidRDefault="00435AFB">
            <w:pPr>
              <w:pStyle w:val="P68B1DB1-Normal9"/>
              <w:spacing w:after="0" w:line="240" w:lineRule="auto"/>
              <w:jc w:val="both"/>
              <w:rPr>
                <w:noProof/>
              </w:rPr>
            </w:pPr>
            <w:r>
              <w:rPr>
                <w:noProof/>
              </w:rPr>
              <w:t>Grupul de lucru 5: Utilizarea noilor tehnologii în domeniul asistenței medicale</w:t>
            </w:r>
          </w:p>
          <w:p w14:paraId="527584C8" w14:textId="77777777" w:rsidR="00FE6F09" w:rsidRDefault="00FE6F09">
            <w:pPr>
              <w:spacing w:after="0" w:line="240" w:lineRule="auto"/>
              <w:jc w:val="both"/>
              <w:rPr>
                <w:rFonts w:ascii="Times New Roman" w:eastAsia="Times New Roman" w:hAnsi="Times New Roman" w:cs="Times New Roman"/>
                <w:noProof/>
                <w:color w:val="006100"/>
                <w:sz w:val="16"/>
                <w:szCs w:val="16"/>
              </w:rPr>
            </w:pPr>
          </w:p>
          <w:p w14:paraId="0173D137" w14:textId="77777777" w:rsidR="00FE6F09" w:rsidRDefault="00435AFB">
            <w:pPr>
              <w:pStyle w:val="P68B1DB1-Normal9"/>
              <w:spacing w:after="0" w:line="240" w:lineRule="auto"/>
              <w:jc w:val="both"/>
              <w:rPr>
                <w:noProof/>
              </w:rPr>
            </w:pPr>
            <w:r>
              <w:rPr>
                <w:noProof/>
              </w:rPr>
              <w:t>GL6: Finanțarea sistemului de sănătate: sustenabilitatea financiară a sistemului</w:t>
            </w:r>
          </w:p>
        </w:tc>
      </w:tr>
      <w:tr w:rsidR="00FE6F09" w14:paraId="1CC81991" w14:textId="77777777">
        <w:trPr>
          <w:trHeight w:val="309"/>
        </w:trPr>
        <w:tc>
          <w:tcPr>
            <w:tcW w:w="1135" w:type="dxa"/>
            <w:shd w:val="clear" w:color="auto" w:fill="C6EFCE"/>
            <w:noWrap/>
          </w:tcPr>
          <w:p w14:paraId="205D4FF5" w14:textId="77777777" w:rsidR="00FE6F09" w:rsidRDefault="00435AFB">
            <w:pPr>
              <w:pStyle w:val="P68B1DB1-Normal9"/>
              <w:spacing w:after="0" w:line="240" w:lineRule="auto"/>
              <w:jc w:val="center"/>
              <w:rPr>
                <w:noProof/>
              </w:rPr>
            </w:pPr>
            <w:r>
              <w:rPr>
                <w:noProof/>
              </w:rPr>
              <w:t>1B-4</w:t>
            </w:r>
          </w:p>
        </w:tc>
        <w:tc>
          <w:tcPr>
            <w:tcW w:w="1701" w:type="dxa"/>
            <w:shd w:val="clear" w:color="auto" w:fill="C6EFCE"/>
            <w:noWrap/>
          </w:tcPr>
          <w:p w14:paraId="36D12C8B" w14:textId="77777777" w:rsidR="00FE6F09" w:rsidRDefault="00435AFB">
            <w:pPr>
              <w:pStyle w:val="P68B1DB1-Normal9"/>
              <w:spacing w:after="0" w:line="240" w:lineRule="auto"/>
              <w:rPr>
                <w:noProof/>
              </w:rPr>
            </w:pPr>
            <w:r>
              <w:rPr>
                <w:noProof/>
              </w:rPr>
              <w:t xml:space="preserve">Reforma 2 – </w:t>
            </w:r>
          </w:p>
          <w:p w14:paraId="11A68F5D" w14:textId="77777777" w:rsidR="00FE6F09" w:rsidRDefault="00435AFB">
            <w:pPr>
              <w:pStyle w:val="P68B1DB1-Normal9"/>
              <w:spacing w:after="0" w:line="240" w:lineRule="auto"/>
              <w:rPr>
                <w:noProof/>
              </w:rPr>
            </w:pPr>
            <w:r>
              <w:rPr>
                <w:noProof/>
              </w:rPr>
              <w:t>Consolidarea rezilienței sistemului de sănătate – Reformarea competențelor profesioniștilor din domeniul sănătății</w:t>
            </w:r>
          </w:p>
        </w:tc>
        <w:tc>
          <w:tcPr>
            <w:tcW w:w="1134" w:type="dxa"/>
            <w:shd w:val="clear" w:color="auto" w:fill="C6EFCE"/>
            <w:noWrap/>
          </w:tcPr>
          <w:p w14:paraId="3DD6A579" w14:textId="77777777" w:rsidR="00FE6F09" w:rsidRDefault="00435AFB">
            <w:pPr>
              <w:pStyle w:val="P68B1DB1-Normal9"/>
              <w:spacing w:after="0" w:line="240" w:lineRule="auto"/>
              <w:jc w:val="center"/>
              <w:rPr>
                <w:noProof/>
              </w:rPr>
            </w:pPr>
            <w:r>
              <w:rPr>
                <w:noProof/>
              </w:rPr>
              <w:t>Etapa de referință</w:t>
            </w:r>
          </w:p>
        </w:tc>
        <w:tc>
          <w:tcPr>
            <w:tcW w:w="1814" w:type="dxa"/>
            <w:shd w:val="clear" w:color="auto" w:fill="C6EFCE"/>
            <w:noWrap/>
          </w:tcPr>
          <w:p w14:paraId="2D12F649" w14:textId="5B449F8D" w:rsidR="00FE6F09" w:rsidRDefault="00435AFB">
            <w:pPr>
              <w:pStyle w:val="P68B1DB1-Normal9"/>
              <w:spacing w:after="0" w:line="240" w:lineRule="auto"/>
              <w:rPr>
                <w:noProof/>
              </w:rPr>
            </w:pPr>
            <w:r>
              <w:rPr>
                <w:noProof/>
              </w:rPr>
              <w:t>Revizuirea profesiilor din domeniul sănătății și introducerea de noi măsuri în cadrul structurilor spitalicești</w:t>
            </w:r>
          </w:p>
        </w:tc>
        <w:tc>
          <w:tcPr>
            <w:tcW w:w="1276" w:type="dxa"/>
            <w:shd w:val="clear" w:color="auto" w:fill="C6EFCE"/>
            <w:noWrap/>
          </w:tcPr>
          <w:p w14:paraId="4B7F1C12" w14:textId="77777777" w:rsidR="00FE6F09" w:rsidRDefault="00435AFB">
            <w:pPr>
              <w:pStyle w:val="P68B1DB1-Normal9"/>
              <w:spacing w:after="0" w:line="240" w:lineRule="auto"/>
              <w:rPr>
                <w:noProof/>
              </w:rPr>
            </w:pPr>
            <w:r>
              <w:rPr>
                <w:noProof/>
              </w:rPr>
              <w:t>Intrarea în vigoare a actelor juridice</w:t>
            </w:r>
          </w:p>
        </w:tc>
        <w:tc>
          <w:tcPr>
            <w:tcW w:w="1162" w:type="dxa"/>
            <w:shd w:val="clear" w:color="auto" w:fill="C6EFCE"/>
            <w:noWrap/>
          </w:tcPr>
          <w:p w14:paraId="6664B84D"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40FF530A"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08" w:type="dxa"/>
            <w:shd w:val="clear" w:color="auto" w:fill="C6EFCE"/>
            <w:noWrap/>
          </w:tcPr>
          <w:p w14:paraId="1E218425"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06D74D4C" w14:textId="77777777" w:rsidR="00FE6F09" w:rsidRDefault="00435AFB">
            <w:pPr>
              <w:pStyle w:val="P68B1DB1-Normal9"/>
              <w:spacing w:after="0" w:line="240" w:lineRule="auto"/>
              <w:jc w:val="center"/>
              <w:rPr>
                <w:noProof/>
              </w:rPr>
            </w:pPr>
            <w:r>
              <w:rPr>
                <w:noProof/>
              </w:rPr>
              <w:t>T3</w:t>
            </w:r>
          </w:p>
        </w:tc>
        <w:tc>
          <w:tcPr>
            <w:tcW w:w="850" w:type="dxa"/>
            <w:shd w:val="clear" w:color="auto" w:fill="C6EFCE"/>
            <w:noWrap/>
          </w:tcPr>
          <w:p w14:paraId="0CBD0586" w14:textId="77777777" w:rsidR="00FE6F09" w:rsidRDefault="00435AFB">
            <w:pPr>
              <w:pStyle w:val="P68B1DB1-Normal9"/>
              <w:spacing w:after="0" w:line="240" w:lineRule="auto"/>
              <w:jc w:val="center"/>
              <w:rPr>
                <w:noProof/>
              </w:rPr>
            </w:pPr>
            <w:r>
              <w:rPr>
                <w:noProof/>
              </w:rPr>
              <w:t>2025</w:t>
            </w:r>
          </w:p>
        </w:tc>
        <w:tc>
          <w:tcPr>
            <w:tcW w:w="4380" w:type="dxa"/>
            <w:gridSpan w:val="2"/>
            <w:shd w:val="clear" w:color="auto" w:fill="C6EFCE"/>
            <w:noWrap/>
          </w:tcPr>
          <w:p w14:paraId="4A899FE6" w14:textId="77777777" w:rsidR="00FE6F09" w:rsidRDefault="00435AFB">
            <w:pPr>
              <w:pStyle w:val="P68B1DB1-Normal9"/>
              <w:spacing w:after="0" w:line="240" w:lineRule="auto"/>
              <w:jc w:val="both"/>
              <w:rPr>
                <w:noProof/>
              </w:rPr>
            </w:pPr>
            <w:r>
              <w:rPr>
                <w:noProof/>
              </w:rPr>
              <w:t>Intrarea în vigoare a actelor juridice de modificare privind 1) practicarea și modernizarea profesiilor din domeniul sănătății și 2) privind spitalele și planificarea spitalelor; privind exercitarea profesiei de medic, medic dentist și medic veterinar; și Codul securității sociale.</w:t>
            </w:r>
          </w:p>
        </w:tc>
      </w:tr>
      <w:tr w:rsidR="00FE6F09" w14:paraId="633DD9A3" w14:textId="77777777">
        <w:trPr>
          <w:trHeight w:val="309"/>
        </w:trPr>
        <w:tc>
          <w:tcPr>
            <w:tcW w:w="1135" w:type="dxa"/>
            <w:shd w:val="clear" w:color="auto" w:fill="C6EFCE"/>
            <w:noWrap/>
          </w:tcPr>
          <w:p w14:paraId="43898F71" w14:textId="77777777" w:rsidR="00FE6F09" w:rsidRDefault="00435AFB">
            <w:pPr>
              <w:pStyle w:val="P68B1DB1-Normal9"/>
              <w:spacing w:after="0" w:line="240" w:lineRule="auto"/>
              <w:jc w:val="center"/>
              <w:rPr>
                <w:noProof/>
              </w:rPr>
            </w:pPr>
            <w:r>
              <w:rPr>
                <w:noProof/>
              </w:rPr>
              <w:t>1B-5</w:t>
            </w:r>
          </w:p>
        </w:tc>
        <w:tc>
          <w:tcPr>
            <w:tcW w:w="1701" w:type="dxa"/>
            <w:shd w:val="clear" w:color="auto" w:fill="C6EFCE"/>
            <w:noWrap/>
          </w:tcPr>
          <w:p w14:paraId="0F50ABA2" w14:textId="77777777" w:rsidR="00FE6F09" w:rsidRDefault="00435AFB">
            <w:pPr>
              <w:pStyle w:val="P68B1DB1-Normal9"/>
              <w:spacing w:after="0" w:line="240" w:lineRule="auto"/>
              <w:rPr>
                <w:noProof/>
              </w:rPr>
            </w:pPr>
            <w:r>
              <w:rPr>
                <w:noProof/>
              </w:rPr>
              <w:t xml:space="preserve">Reforma 2 – </w:t>
            </w:r>
          </w:p>
          <w:p w14:paraId="24D52791" w14:textId="77777777" w:rsidR="00FE6F09" w:rsidRDefault="00435AFB">
            <w:pPr>
              <w:pStyle w:val="P68B1DB1-Normal9"/>
              <w:spacing w:after="0" w:line="240" w:lineRule="auto"/>
              <w:rPr>
                <w:noProof/>
              </w:rPr>
            </w:pPr>
            <w:r>
              <w:rPr>
                <w:noProof/>
              </w:rPr>
              <w:t>Consolidarea rezilienței sistemului de sănătate – Reformarea competențelor profesioniștilor din domeniul sănătății</w:t>
            </w:r>
          </w:p>
        </w:tc>
        <w:tc>
          <w:tcPr>
            <w:tcW w:w="1134" w:type="dxa"/>
            <w:shd w:val="clear" w:color="auto" w:fill="C6EFCE"/>
            <w:noWrap/>
          </w:tcPr>
          <w:p w14:paraId="205BA49E" w14:textId="77777777" w:rsidR="00FE6F09" w:rsidRDefault="00435AFB">
            <w:pPr>
              <w:pStyle w:val="P68B1DB1-Normal9"/>
              <w:spacing w:after="0" w:line="240" w:lineRule="auto"/>
              <w:jc w:val="center"/>
              <w:rPr>
                <w:noProof/>
              </w:rPr>
            </w:pPr>
            <w:r>
              <w:rPr>
                <w:noProof/>
              </w:rPr>
              <w:t>Etapa de referință</w:t>
            </w:r>
          </w:p>
        </w:tc>
        <w:tc>
          <w:tcPr>
            <w:tcW w:w="1814" w:type="dxa"/>
            <w:shd w:val="clear" w:color="auto" w:fill="C6EFCE"/>
            <w:noWrap/>
          </w:tcPr>
          <w:p w14:paraId="76C70B0D" w14:textId="77777777" w:rsidR="00FE6F09" w:rsidRDefault="00435AFB">
            <w:pPr>
              <w:pStyle w:val="P68B1DB1-Normal9"/>
              <w:spacing w:after="0" w:line="240" w:lineRule="auto"/>
              <w:rPr>
                <w:noProof/>
              </w:rPr>
            </w:pPr>
            <w:r>
              <w:rPr>
                <w:noProof/>
              </w:rPr>
              <w:t>Responsabilitățile asistenților medicali generaliști</w:t>
            </w:r>
          </w:p>
        </w:tc>
        <w:tc>
          <w:tcPr>
            <w:tcW w:w="1276" w:type="dxa"/>
            <w:shd w:val="clear" w:color="auto" w:fill="C6EFCE"/>
            <w:noWrap/>
          </w:tcPr>
          <w:p w14:paraId="4CFFE0C4" w14:textId="77777777" w:rsidR="00FE6F09" w:rsidRDefault="00435AFB">
            <w:pPr>
              <w:pStyle w:val="P68B1DB1-Normal9"/>
              <w:spacing w:after="0" w:line="240" w:lineRule="auto"/>
              <w:rPr>
                <w:noProof/>
              </w:rPr>
            </w:pPr>
            <w:r>
              <w:rPr>
                <w:noProof/>
              </w:rPr>
              <w:t xml:space="preserve">Intrarea în vigoare a actului juridic </w:t>
            </w:r>
          </w:p>
        </w:tc>
        <w:tc>
          <w:tcPr>
            <w:tcW w:w="1162" w:type="dxa"/>
            <w:shd w:val="clear" w:color="auto" w:fill="C6EFCE"/>
            <w:noWrap/>
          </w:tcPr>
          <w:p w14:paraId="0F5EA08A"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3C417FBC"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08" w:type="dxa"/>
            <w:shd w:val="clear" w:color="auto" w:fill="C6EFCE"/>
            <w:noWrap/>
          </w:tcPr>
          <w:p w14:paraId="37CE3294"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7C772517" w14:textId="77777777" w:rsidR="00FE6F09" w:rsidRDefault="00435AFB">
            <w:pPr>
              <w:pStyle w:val="P68B1DB1-Normal9"/>
              <w:spacing w:after="0" w:line="240" w:lineRule="auto"/>
              <w:jc w:val="center"/>
              <w:rPr>
                <w:noProof/>
              </w:rPr>
            </w:pPr>
            <w:r>
              <w:rPr>
                <w:noProof/>
              </w:rPr>
              <w:t>T3</w:t>
            </w:r>
          </w:p>
        </w:tc>
        <w:tc>
          <w:tcPr>
            <w:tcW w:w="850" w:type="dxa"/>
            <w:shd w:val="clear" w:color="auto" w:fill="C6EFCE"/>
            <w:noWrap/>
          </w:tcPr>
          <w:p w14:paraId="01D6CE95" w14:textId="77777777" w:rsidR="00FE6F09" w:rsidRDefault="00435AFB">
            <w:pPr>
              <w:pStyle w:val="P68B1DB1-Normal9"/>
              <w:spacing w:after="0" w:line="240" w:lineRule="auto"/>
              <w:jc w:val="center"/>
              <w:rPr>
                <w:noProof/>
              </w:rPr>
            </w:pPr>
            <w:r>
              <w:rPr>
                <w:noProof/>
              </w:rPr>
              <w:t>2026</w:t>
            </w:r>
          </w:p>
        </w:tc>
        <w:tc>
          <w:tcPr>
            <w:tcW w:w="4380" w:type="dxa"/>
            <w:gridSpan w:val="2"/>
            <w:shd w:val="clear" w:color="auto" w:fill="C6EFCE"/>
            <w:noWrap/>
          </w:tcPr>
          <w:p w14:paraId="28BFDAE9" w14:textId="77777777" w:rsidR="00FE6F09" w:rsidRDefault="00435AFB">
            <w:pPr>
              <w:pStyle w:val="P68B1DB1-Normal9"/>
              <w:spacing w:after="0" w:line="240" w:lineRule="auto"/>
              <w:jc w:val="both"/>
              <w:rPr>
                <w:noProof/>
              </w:rPr>
            </w:pPr>
            <w:r>
              <w:rPr>
                <w:noProof/>
              </w:rPr>
              <w:t>Intrarea în vigoare a actului juridic care definește responsabilitățile asistenților medicali generaliști</w:t>
            </w:r>
          </w:p>
        </w:tc>
      </w:tr>
      <w:tr w:rsidR="00FE6F09" w14:paraId="7792DC6D" w14:textId="77777777">
        <w:trPr>
          <w:trHeight w:val="309"/>
        </w:trPr>
        <w:tc>
          <w:tcPr>
            <w:tcW w:w="1135" w:type="dxa"/>
            <w:shd w:val="clear" w:color="auto" w:fill="C6EFCE"/>
            <w:noWrap/>
          </w:tcPr>
          <w:p w14:paraId="56D32D83" w14:textId="77777777" w:rsidR="00FE6F09" w:rsidRDefault="00435AFB">
            <w:pPr>
              <w:pStyle w:val="P68B1DB1-Normal9"/>
              <w:spacing w:after="0" w:line="240" w:lineRule="auto"/>
              <w:jc w:val="center"/>
              <w:rPr>
                <w:noProof/>
              </w:rPr>
            </w:pPr>
            <w:r>
              <w:rPr>
                <w:noProof/>
              </w:rPr>
              <w:t>1B-6</w:t>
            </w:r>
          </w:p>
        </w:tc>
        <w:tc>
          <w:tcPr>
            <w:tcW w:w="1701" w:type="dxa"/>
            <w:shd w:val="clear" w:color="auto" w:fill="C6EFCE"/>
            <w:noWrap/>
          </w:tcPr>
          <w:p w14:paraId="7E85D89F" w14:textId="77777777" w:rsidR="00FE6F09" w:rsidRDefault="00435AFB">
            <w:pPr>
              <w:pStyle w:val="P68B1DB1-Normal9"/>
              <w:spacing w:after="0" w:line="240" w:lineRule="auto"/>
              <w:rPr>
                <w:noProof/>
              </w:rPr>
            </w:pPr>
            <w:r>
              <w:rPr>
                <w:noProof/>
              </w:rPr>
              <w:t>Investiția 1-</w:t>
            </w:r>
          </w:p>
          <w:p w14:paraId="6FD44A63" w14:textId="77777777" w:rsidR="00FE6F09" w:rsidRDefault="00435AFB">
            <w:pPr>
              <w:pStyle w:val="P68B1DB1-Normal9"/>
              <w:spacing w:after="0" w:line="240" w:lineRule="auto"/>
              <w:rPr>
                <w:noProof/>
              </w:rPr>
            </w:pPr>
            <w:r>
              <w:rPr>
                <w:noProof/>
              </w:rPr>
              <w:t>Consolidarea rezilienței sistemului de sănătate – Registrul digital unic al profesiilor din domeniul sănătății</w:t>
            </w:r>
          </w:p>
        </w:tc>
        <w:tc>
          <w:tcPr>
            <w:tcW w:w="1134" w:type="dxa"/>
            <w:shd w:val="clear" w:color="auto" w:fill="C6EFCE"/>
            <w:noWrap/>
          </w:tcPr>
          <w:p w14:paraId="3E36B745" w14:textId="77777777" w:rsidR="00FE6F09" w:rsidRDefault="00435AFB">
            <w:pPr>
              <w:pStyle w:val="P68B1DB1-Normal9"/>
              <w:spacing w:after="0" w:line="240" w:lineRule="auto"/>
              <w:jc w:val="center"/>
              <w:rPr>
                <w:noProof/>
              </w:rPr>
            </w:pPr>
            <w:r>
              <w:rPr>
                <w:noProof/>
              </w:rPr>
              <w:t>Țintă</w:t>
            </w:r>
          </w:p>
        </w:tc>
        <w:tc>
          <w:tcPr>
            <w:tcW w:w="1814" w:type="dxa"/>
            <w:shd w:val="clear" w:color="auto" w:fill="C6EFCE"/>
            <w:noWrap/>
          </w:tcPr>
          <w:p w14:paraId="634413E5" w14:textId="5E162D9E" w:rsidR="00FE6F09" w:rsidRDefault="00435AFB">
            <w:pPr>
              <w:pStyle w:val="P68B1DB1-Normal9"/>
              <w:spacing w:after="0" w:line="240" w:lineRule="auto"/>
              <w:rPr>
                <w:noProof/>
              </w:rPr>
            </w:pPr>
            <w:r>
              <w:rPr>
                <w:noProof/>
              </w:rPr>
              <w:t>Punerea la dispoziție a noului registru digital</w:t>
            </w:r>
          </w:p>
        </w:tc>
        <w:tc>
          <w:tcPr>
            <w:tcW w:w="1276" w:type="dxa"/>
            <w:shd w:val="clear" w:color="auto" w:fill="C6EFCE"/>
            <w:noWrap/>
          </w:tcPr>
          <w:p w14:paraId="45BC2E94"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162" w:type="dxa"/>
            <w:shd w:val="clear" w:color="auto" w:fill="C6EFCE"/>
            <w:noWrap/>
          </w:tcPr>
          <w:p w14:paraId="5F53BD4E" w14:textId="77777777" w:rsidR="00FE6F09" w:rsidRDefault="00435AFB">
            <w:pPr>
              <w:pStyle w:val="P68B1DB1-Normal9"/>
              <w:spacing w:after="0" w:line="240" w:lineRule="auto"/>
              <w:jc w:val="center"/>
              <w:rPr>
                <w:noProof/>
              </w:rPr>
            </w:pPr>
            <w:r>
              <w:rPr>
                <w:noProof/>
              </w:rPr>
              <w:t>Număr de persoane</w:t>
            </w:r>
          </w:p>
          <w:p w14:paraId="2A923580"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461B3303" w14:textId="77777777" w:rsidR="00FE6F09" w:rsidRDefault="00435AFB">
            <w:pPr>
              <w:pStyle w:val="P68B1DB1-Normal9"/>
              <w:spacing w:after="0" w:line="240" w:lineRule="auto"/>
              <w:jc w:val="center"/>
              <w:rPr>
                <w:noProof/>
              </w:rPr>
            </w:pPr>
            <w:r>
              <w:rPr>
                <w:noProof/>
              </w:rPr>
              <w:t>0</w:t>
            </w:r>
          </w:p>
        </w:tc>
        <w:tc>
          <w:tcPr>
            <w:tcW w:w="708" w:type="dxa"/>
            <w:shd w:val="clear" w:color="auto" w:fill="C6EFCE"/>
            <w:noWrap/>
          </w:tcPr>
          <w:p w14:paraId="1C80C6D2" w14:textId="77777777" w:rsidR="00FE6F09" w:rsidRDefault="00435AFB">
            <w:pPr>
              <w:pStyle w:val="P68B1DB1-Normal9"/>
              <w:spacing w:after="0" w:line="240" w:lineRule="auto"/>
              <w:jc w:val="center"/>
              <w:rPr>
                <w:noProof/>
              </w:rPr>
            </w:pPr>
            <w:r>
              <w:rPr>
                <w:noProof/>
              </w:rPr>
              <w:t>5 000</w:t>
            </w:r>
          </w:p>
        </w:tc>
        <w:tc>
          <w:tcPr>
            <w:tcW w:w="993" w:type="dxa"/>
            <w:shd w:val="clear" w:color="auto" w:fill="C6EFCE"/>
            <w:noWrap/>
          </w:tcPr>
          <w:p w14:paraId="135819C5" w14:textId="77777777" w:rsidR="00FE6F09" w:rsidRDefault="00435AFB">
            <w:pPr>
              <w:pStyle w:val="P68B1DB1-Normal9"/>
              <w:spacing w:after="0" w:line="240" w:lineRule="auto"/>
              <w:jc w:val="center"/>
              <w:rPr>
                <w:noProof/>
              </w:rPr>
            </w:pPr>
            <w:r>
              <w:rPr>
                <w:noProof/>
              </w:rPr>
              <w:t>T4</w:t>
            </w:r>
          </w:p>
        </w:tc>
        <w:tc>
          <w:tcPr>
            <w:tcW w:w="850" w:type="dxa"/>
            <w:shd w:val="clear" w:color="auto" w:fill="C6EFCE"/>
            <w:noWrap/>
          </w:tcPr>
          <w:p w14:paraId="35E145E0" w14:textId="77777777" w:rsidR="00FE6F09" w:rsidRDefault="00435AFB">
            <w:pPr>
              <w:pStyle w:val="P68B1DB1-Normal9"/>
              <w:spacing w:after="0" w:line="240" w:lineRule="auto"/>
              <w:jc w:val="center"/>
              <w:rPr>
                <w:noProof/>
              </w:rPr>
            </w:pPr>
            <w:r>
              <w:rPr>
                <w:noProof/>
              </w:rPr>
              <w:t>2022</w:t>
            </w:r>
          </w:p>
        </w:tc>
        <w:tc>
          <w:tcPr>
            <w:tcW w:w="4380" w:type="dxa"/>
            <w:gridSpan w:val="2"/>
            <w:shd w:val="clear" w:color="auto" w:fill="C6EFCE"/>
            <w:noWrap/>
          </w:tcPr>
          <w:p w14:paraId="1E427BC4" w14:textId="77777777" w:rsidR="00FE6F09" w:rsidRDefault="00435AFB">
            <w:pPr>
              <w:pStyle w:val="P68B1DB1-Normal9"/>
              <w:spacing w:after="0" w:line="240" w:lineRule="auto"/>
              <w:jc w:val="both"/>
              <w:rPr>
                <w:noProof/>
              </w:rPr>
            </w:pPr>
            <w:r>
              <w:rPr>
                <w:noProof/>
              </w:rPr>
              <w:t>Registrul digital unic al profesiilor din domeniul sănătății, care colectează informații administrative și profesionale relevante care permit o mai bună gestionare a profesioniștilor din domeniul sănătății, este operațional și are 5 000 de profesioniști înregistrați.</w:t>
            </w:r>
          </w:p>
        </w:tc>
      </w:tr>
      <w:tr w:rsidR="00FE6F09" w14:paraId="63D3FB9E" w14:textId="77777777">
        <w:trPr>
          <w:trHeight w:val="309"/>
        </w:trPr>
        <w:tc>
          <w:tcPr>
            <w:tcW w:w="1135" w:type="dxa"/>
            <w:shd w:val="clear" w:color="auto" w:fill="C6EFCE"/>
            <w:noWrap/>
          </w:tcPr>
          <w:p w14:paraId="581F33B6" w14:textId="77777777" w:rsidR="00FE6F09" w:rsidRDefault="00435AFB">
            <w:pPr>
              <w:pStyle w:val="P68B1DB1-Normal9"/>
              <w:spacing w:after="0" w:line="240" w:lineRule="auto"/>
              <w:jc w:val="center"/>
              <w:rPr>
                <w:noProof/>
              </w:rPr>
            </w:pPr>
            <w:r>
              <w:rPr>
                <w:noProof/>
              </w:rPr>
              <w:t>1B-7</w:t>
            </w:r>
          </w:p>
        </w:tc>
        <w:tc>
          <w:tcPr>
            <w:tcW w:w="1701" w:type="dxa"/>
            <w:shd w:val="clear" w:color="auto" w:fill="C6EFCE"/>
            <w:noWrap/>
          </w:tcPr>
          <w:p w14:paraId="400FBF88" w14:textId="77777777" w:rsidR="00FE6F09" w:rsidRDefault="00435AFB">
            <w:pPr>
              <w:pStyle w:val="P68B1DB1-Normal9"/>
              <w:spacing w:after="0" w:line="240" w:lineRule="auto"/>
              <w:rPr>
                <w:noProof/>
              </w:rPr>
            </w:pPr>
            <w:r>
              <w:rPr>
                <w:noProof/>
              </w:rPr>
              <w:t>Investiția 2-</w:t>
            </w:r>
          </w:p>
          <w:p w14:paraId="3733AC42" w14:textId="7A60FF68" w:rsidR="00FE6F09" w:rsidRDefault="00435AFB">
            <w:pPr>
              <w:pStyle w:val="P68B1DB1-Normal9"/>
              <w:spacing w:after="0" w:line="240" w:lineRule="auto"/>
              <w:rPr>
                <w:noProof/>
              </w:rPr>
            </w:pPr>
            <w:r>
              <w:rPr>
                <w:noProof/>
              </w:rPr>
              <w:t>Consolidarea rezilienței sistemului de sănătate - Soluție de telemedicină pentru monitorizarea medicală la distanță a pacienților</w:t>
            </w:r>
          </w:p>
        </w:tc>
        <w:tc>
          <w:tcPr>
            <w:tcW w:w="1134" w:type="dxa"/>
            <w:shd w:val="clear" w:color="auto" w:fill="C6EFCE"/>
            <w:noWrap/>
          </w:tcPr>
          <w:p w14:paraId="22A0A8E5" w14:textId="14212102" w:rsidR="00FE6F09" w:rsidRDefault="00435AFB">
            <w:pPr>
              <w:pStyle w:val="P68B1DB1-Normal9"/>
              <w:spacing w:after="0" w:line="240" w:lineRule="auto"/>
              <w:jc w:val="center"/>
              <w:rPr>
                <w:noProof/>
              </w:rPr>
            </w:pPr>
            <w:r>
              <w:rPr>
                <w:noProof/>
              </w:rPr>
              <w:t>Etapa de referință</w:t>
            </w:r>
          </w:p>
        </w:tc>
        <w:tc>
          <w:tcPr>
            <w:tcW w:w="1814" w:type="dxa"/>
            <w:shd w:val="clear" w:color="auto" w:fill="C6EFCE"/>
            <w:noWrap/>
          </w:tcPr>
          <w:p w14:paraId="50E098D5" w14:textId="3A095C27" w:rsidR="00FE6F09" w:rsidRDefault="00435AFB">
            <w:pPr>
              <w:pStyle w:val="P68B1DB1-Normal9"/>
              <w:spacing w:after="0" w:line="240" w:lineRule="auto"/>
              <w:rPr>
                <w:noProof/>
              </w:rPr>
            </w:pPr>
            <w:r>
              <w:rPr>
                <w:noProof/>
              </w:rPr>
              <w:t xml:space="preserve">„Maela” </w:t>
            </w:r>
          </w:p>
        </w:tc>
        <w:tc>
          <w:tcPr>
            <w:tcW w:w="1276" w:type="dxa"/>
            <w:shd w:val="clear" w:color="auto" w:fill="C6EFCE"/>
            <w:noWrap/>
          </w:tcPr>
          <w:p w14:paraId="53540948" w14:textId="261B0D80" w:rsidR="00FE6F09" w:rsidRDefault="00435AFB">
            <w:pPr>
              <w:pStyle w:val="P68B1DB1-Normal9"/>
              <w:spacing w:after="0" w:line="240" w:lineRule="auto"/>
              <w:rPr>
                <w:noProof/>
              </w:rPr>
            </w:pPr>
            <w:r>
              <w:rPr>
                <w:noProof/>
              </w:rPr>
              <w:t xml:space="preserve">Soluția de monitorizare de la distanță „Maela”, care permite monitorizarea medicală de la distanță între cadrele medicale (inclusiv medici și asistenți medicali) și pacienți, este operațională </w:t>
            </w:r>
          </w:p>
        </w:tc>
        <w:tc>
          <w:tcPr>
            <w:tcW w:w="1162" w:type="dxa"/>
            <w:shd w:val="clear" w:color="auto" w:fill="C6EFCE"/>
            <w:noWrap/>
          </w:tcPr>
          <w:p w14:paraId="59F4EA31"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23C94E3E"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08" w:type="dxa"/>
            <w:shd w:val="clear" w:color="auto" w:fill="C6EFCE"/>
            <w:noWrap/>
          </w:tcPr>
          <w:p w14:paraId="7CCB5E5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20EF03D4" w14:textId="77777777" w:rsidR="00FE6F09" w:rsidRDefault="00435AFB">
            <w:pPr>
              <w:pStyle w:val="P68B1DB1-Normal9"/>
              <w:spacing w:after="0" w:line="240" w:lineRule="auto"/>
              <w:jc w:val="center"/>
              <w:rPr>
                <w:noProof/>
              </w:rPr>
            </w:pPr>
            <w:r>
              <w:rPr>
                <w:noProof/>
              </w:rPr>
              <w:t>Q1</w:t>
            </w:r>
          </w:p>
        </w:tc>
        <w:tc>
          <w:tcPr>
            <w:tcW w:w="850" w:type="dxa"/>
            <w:shd w:val="clear" w:color="auto" w:fill="C6EFCE"/>
            <w:noWrap/>
          </w:tcPr>
          <w:p w14:paraId="0C7295CA" w14:textId="77777777" w:rsidR="00FE6F09" w:rsidRDefault="00435AFB">
            <w:pPr>
              <w:pStyle w:val="P68B1DB1-Normal9"/>
              <w:spacing w:after="0" w:line="240" w:lineRule="auto"/>
              <w:jc w:val="center"/>
              <w:rPr>
                <w:noProof/>
              </w:rPr>
            </w:pPr>
            <w:r>
              <w:rPr>
                <w:noProof/>
              </w:rPr>
              <w:t>2021</w:t>
            </w:r>
          </w:p>
        </w:tc>
        <w:tc>
          <w:tcPr>
            <w:tcW w:w="4380" w:type="dxa"/>
            <w:gridSpan w:val="2"/>
            <w:shd w:val="clear" w:color="auto" w:fill="C6EFCE"/>
            <w:noWrap/>
          </w:tcPr>
          <w:p w14:paraId="22E91B96" w14:textId="77777777" w:rsidR="00FE6F09" w:rsidRDefault="00435AFB">
            <w:pPr>
              <w:pStyle w:val="P68B1DB1-Normal9"/>
              <w:spacing w:after="0" w:line="240" w:lineRule="auto"/>
              <w:jc w:val="both"/>
              <w:rPr>
                <w:noProof/>
              </w:rPr>
            </w:pPr>
            <w:r>
              <w:rPr>
                <w:noProof/>
              </w:rPr>
              <w:t>Soluția de monitorizare de la distanță „Maela” care permite monitorizarea medicală de la distanță între cadrele medicale (inclusiv medici și asistenți medicali) și pacienți trebuie să fie operațională, cu 3 000 de protocoale de monitorizare de la distanță efectuate în perioada 23.3.2020-7.2.2021.</w:t>
            </w:r>
          </w:p>
        </w:tc>
      </w:tr>
      <w:tr w:rsidR="00FE6F09" w14:paraId="6D924C5A" w14:textId="77777777">
        <w:trPr>
          <w:trHeight w:val="309"/>
        </w:trPr>
        <w:tc>
          <w:tcPr>
            <w:tcW w:w="1135" w:type="dxa"/>
            <w:shd w:val="clear" w:color="auto" w:fill="C6EFCE"/>
            <w:noWrap/>
          </w:tcPr>
          <w:p w14:paraId="5668CA18" w14:textId="77777777" w:rsidR="00FE6F09" w:rsidRDefault="00435AFB">
            <w:pPr>
              <w:pStyle w:val="P68B1DB1-Normal9"/>
              <w:spacing w:after="0" w:line="240" w:lineRule="auto"/>
              <w:jc w:val="center"/>
              <w:rPr>
                <w:noProof/>
              </w:rPr>
            </w:pPr>
            <w:r>
              <w:rPr>
                <w:noProof/>
              </w:rPr>
              <w:t>1B-8</w:t>
            </w:r>
          </w:p>
        </w:tc>
        <w:tc>
          <w:tcPr>
            <w:tcW w:w="1701" w:type="dxa"/>
            <w:shd w:val="clear" w:color="auto" w:fill="C6EFCE"/>
            <w:noWrap/>
          </w:tcPr>
          <w:p w14:paraId="0D1DD190" w14:textId="77777777" w:rsidR="00FE6F09" w:rsidRDefault="00435AFB">
            <w:pPr>
              <w:pStyle w:val="P68B1DB1-Normal9"/>
              <w:spacing w:after="0" w:line="240" w:lineRule="auto"/>
              <w:rPr>
                <w:noProof/>
              </w:rPr>
            </w:pPr>
            <w:r>
              <w:rPr>
                <w:noProof/>
              </w:rPr>
              <w:t>Investiția 2 -</w:t>
            </w:r>
          </w:p>
          <w:p w14:paraId="4BFD48CB" w14:textId="77777777" w:rsidR="00FE6F09" w:rsidRDefault="00435AFB">
            <w:pPr>
              <w:pStyle w:val="P68B1DB1-Normal9"/>
              <w:spacing w:after="0" w:line="240" w:lineRule="auto"/>
              <w:rPr>
                <w:noProof/>
              </w:rPr>
            </w:pPr>
            <w:r>
              <w:rPr>
                <w:noProof/>
              </w:rPr>
              <w:t>Consolidarea rezilienței sistemului de sănătate - Soluție de telemedicină pentru monitorizarea medicală la distanță a pacienților</w:t>
            </w:r>
          </w:p>
        </w:tc>
        <w:tc>
          <w:tcPr>
            <w:tcW w:w="1134" w:type="dxa"/>
            <w:shd w:val="clear" w:color="auto" w:fill="C6EFCE"/>
            <w:noWrap/>
          </w:tcPr>
          <w:p w14:paraId="4EDE7886" w14:textId="77777777" w:rsidR="00FE6F09" w:rsidRDefault="00435AFB">
            <w:pPr>
              <w:pStyle w:val="P68B1DB1-Normal9"/>
              <w:spacing w:after="0" w:line="240" w:lineRule="auto"/>
              <w:jc w:val="center"/>
              <w:rPr>
                <w:noProof/>
              </w:rPr>
            </w:pPr>
            <w:r>
              <w:rPr>
                <w:noProof/>
              </w:rPr>
              <w:t>Etapa de referință</w:t>
            </w:r>
          </w:p>
        </w:tc>
        <w:tc>
          <w:tcPr>
            <w:tcW w:w="1814" w:type="dxa"/>
            <w:shd w:val="clear" w:color="auto" w:fill="C6EFCE"/>
            <w:noWrap/>
          </w:tcPr>
          <w:p w14:paraId="624A4D22" w14:textId="3F7B2212" w:rsidR="00FE6F09" w:rsidRDefault="00435AFB">
            <w:pPr>
              <w:pStyle w:val="P68B1DB1-Normal9"/>
              <w:spacing w:after="0" w:line="240" w:lineRule="auto"/>
              <w:rPr>
                <w:noProof/>
              </w:rPr>
            </w:pPr>
            <w:r>
              <w:rPr>
                <w:noProof/>
              </w:rPr>
              <w:t xml:space="preserve">O soluție integrată </w:t>
            </w:r>
          </w:p>
        </w:tc>
        <w:tc>
          <w:tcPr>
            <w:tcW w:w="1276" w:type="dxa"/>
            <w:shd w:val="clear" w:color="auto" w:fill="C6EFCE"/>
            <w:noWrap/>
          </w:tcPr>
          <w:p w14:paraId="577DF408" w14:textId="4AA99BF9" w:rsidR="00FE6F09" w:rsidRDefault="00435AFB">
            <w:pPr>
              <w:pStyle w:val="P68B1DB1-Normal9"/>
              <w:spacing w:after="0" w:line="240" w:lineRule="auto"/>
              <w:rPr>
                <w:noProof/>
              </w:rPr>
            </w:pPr>
            <w:r>
              <w:rPr>
                <w:noProof/>
              </w:rPr>
              <w:t>Soluția dezvoltată intern este online și accesibilă</w:t>
            </w:r>
          </w:p>
        </w:tc>
        <w:tc>
          <w:tcPr>
            <w:tcW w:w="1162" w:type="dxa"/>
            <w:shd w:val="clear" w:color="auto" w:fill="C6EFCE"/>
            <w:noWrap/>
          </w:tcPr>
          <w:p w14:paraId="1607B937"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41593272"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08" w:type="dxa"/>
            <w:shd w:val="clear" w:color="auto" w:fill="C6EFCE"/>
            <w:noWrap/>
          </w:tcPr>
          <w:p w14:paraId="15F1137D"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shd w:val="clear" w:color="auto" w:fill="C6EFCE"/>
            <w:noWrap/>
          </w:tcPr>
          <w:p w14:paraId="5C854E3E" w14:textId="77777777" w:rsidR="00FE6F09" w:rsidRDefault="00435AFB">
            <w:pPr>
              <w:pStyle w:val="P68B1DB1-Normal9"/>
              <w:spacing w:after="0" w:line="240" w:lineRule="auto"/>
              <w:jc w:val="center"/>
              <w:rPr>
                <w:noProof/>
              </w:rPr>
            </w:pPr>
            <w:r>
              <w:rPr>
                <w:noProof/>
              </w:rPr>
              <w:t>T2</w:t>
            </w:r>
          </w:p>
        </w:tc>
        <w:tc>
          <w:tcPr>
            <w:tcW w:w="850" w:type="dxa"/>
            <w:shd w:val="clear" w:color="auto" w:fill="C6EFCE"/>
            <w:noWrap/>
          </w:tcPr>
          <w:p w14:paraId="01178455" w14:textId="77777777" w:rsidR="00FE6F09" w:rsidRDefault="00435AFB">
            <w:pPr>
              <w:pStyle w:val="P68B1DB1-Normal9"/>
              <w:spacing w:after="0" w:line="240" w:lineRule="auto"/>
              <w:jc w:val="center"/>
              <w:rPr>
                <w:noProof/>
              </w:rPr>
            </w:pPr>
            <w:r>
              <w:rPr>
                <w:noProof/>
              </w:rPr>
              <w:t>2023</w:t>
            </w:r>
          </w:p>
        </w:tc>
        <w:tc>
          <w:tcPr>
            <w:tcW w:w="4380" w:type="dxa"/>
            <w:gridSpan w:val="2"/>
            <w:shd w:val="clear" w:color="auto" w:fill="C6EFCE"/>
            <w:noWrap/>
          </w:tcPr>
          <w:p w14:paraId="7E3C6241" w14:textId="77777777" w:rsidR="00FE6F09" w:rsidRDefault="00435AFB">
            <w:pPr>
              <w:pStyle w:val="P68B1DB1-Normal9"/>
              <w:spacing w:after="0" w:line="240" w:lineRule="auto"/>
              <w:jc w:val="both"/>
              <w:rPr>
                <w:noProof/>
              </w:rPr>
            </w:pPr>
            <w:r>
              <w:rPr>
                <w:noProof/>
              </w:rPr>
              <w:t xml:space="preserve">Noua soluție de monitorizare dezvoltată la nivel intern, care permite crearea și gestionarea dosarelor medicale ale pacienților care solicită azil și ale persoanelor aflate sub protecție internațională, este online și accesibilă. </w:t>
            </w:r>
          </w:p>
        </w:tc>
      </w:tr>
    </w:tbl>
    <w:p w14:paraId="59A9DEB1" w14:textId="77777777" w:rsidR="00FE6F09" w:rsidRDefault="00FE6F09">
      <w:pPr>
        <w:spacing w:before="120" w:after="120" w:line="240" w:lineRule="auto"/>
        <w:jc w:val="both"/>
        <w:rPr>
          <w:rFonts w:ascii="Times New Roman" w:hAnsi="Times New Roman" w:cs="Times New Roman"/>
          <w:b/>
          <w:bCs/>
          <w:noProof/>
          <w:sz w:val="24"/>
          <w:u w:val="single"/>
        </w:rPr>
      </w:pPr>
    </w:p>
    <w:p w14:paraId="64D108FC"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32"/>
          <w:headerReference w:type="default" r:id="rId33"/>
          <w:footerReference w:type="even" r:id="rId34"/>
          <w:footerReference w:type="default" r:id="rId35"/>
          <w:headerReference w:type="first" r:id="rId36"/>
          <w:footerReference w:type="first" r:id="rId37"/>
          <w:pgSz w:w="16839" w:h="11907" w:orient="landscape"/>
          <w:pgMar w:top="720" w:right="720" w:bottom="720" w:left="720" w:header="709" w:footer="709" w:gutter="0"/>
          <w:cols w:space="720"/>
          <w:docGrid w:linePitch="360"/>
        </w:sectPr>
      </w:pPr>
    </w:p>
    <w:p w14:paraId="76CAAAFB" w14:textId="77777777" w:rsidR="00FE6F09" w:rsidRDefault="00435AFB">
      <w:pPr>
        <w:pStyle w:val="P68B1DB1-Normal2"/>
        <w:spacing w:before="120" w:after="120" w:line="240" w:lineRule="auto"/>
        <w:jc w:val="both"/>
        <w:rPr>
          <w:bCs/>
          <w:noProof/>
        </w:rPr>
      </w:pPr>
      <w:r>
        <w:rPr>
          <w:noProof/>
        </w:rPr>
        <w:t>C. COMPONENTUL 1C – Creșterea ofertei de locuințe publice accesibile și durabile</w:t>
      </w:r>
    </w:p>
    <w:p w14:paraId="580E6202" w14:textId="77777777" w:rsidR="00FE6F09" w:rsidRDefault="00435AFB">
      <w:pPr>
        <w:pStyle w:val="P68B1DB1-Normal11"/>
        <w:spacing w:before="120" w:after="0" w:line="240" w:lineRule="auto"/>
        <w:jc w:val="both"/>
        <w:rPr>
          <w:noProof/>
        </w:rPr>
      </w:pPr>
      <w:r>
        <w:rPr>
          <w:noProof/>
        </w:rPr>
        <w:t xml:space="preserve">Obiectivul acestei componente a planului de redresare și reziliență al Luxemburgului este de a dezvolta locuințe și de a spori oferta de locuințe la prețuri accesibile și durabile în Luxemburg. </w:t>
      </w:r>
    </w:p>
    <w:p w14:paraId="3AD2C643" w14:textId="77777777" w:rsidR="00FE6F09" w:rsidRDefault="00435AFB">
      <w:pPr>
        <w:pStyle w:val="P68B1DB1-Normal11"/>
        <w:spacing w:before="120" w:after="0" w:line="240" w:lineRule="auto"/>
        <w:jc w:val="both"/>
        <w:rPr>
          <w:noProof/>
        </w:rPr>
      </w:pPr>
      <w:r>
        <w:rPr>
          <w:noProof/>
        </w:rPr>
        <w:t xml:space="preserve">Ca parte a acestei componente, reforma „Pactului privind locuințele 2.0” instituie un nou cadru de referință pentru sprijinul guvernamental acordat municipalităților pentru crearea de noi proiecte în domeniul locuințelor, prin construirea de clădiri noi sau prin renovarea parcului imobiliar existent. </w:t>
      </w:r>
    </w:p>
    <w:p w14:paraId="430CC285" w14:textId="77777777" w:rsidR="00FE6F09" w:rsidRDefault="00435AFB">
      <w:pPr>
        <w:pStyle w:val="P68B1DB1-Normal12"/>
        <w:spacing w:before="120" w:after="0" w:line="240" w:lineRule="auto"/>
        <w:jc w:val="both"/>
        <w:rPr>
          <w:rFonts w:ascii="Times New Roman" w:eastAsia="Times New Roman" w:hAnsi="Times New Roman" w:cs="Times New Roman"/>
          <w:noProof/>
        </w:rPr>
      </w:pPr>
      <w:r>
        <w:rPr>
          <w:rFonts w:ascii="Times New Roman" w:hAnsi="Times New Roman" w:cs="Times New Roman"/>
          <w:noProof/>
          <w:color w:val="000000" w:themeColor="text1"/>
        </w:rPr>
        <w:t>Prin măsura Pactului privind locuințele 2.0, această componentă contribuie la abordarea recomandării specifice adresate Luxemburgului de a „încuraja politica economică</w:t>
      </w:r>
      <w:r>
        <w:rPr>
          <w:rFonts w:ascii="Times New Roman" w:eastAsia="Times New Roman" w:hAnsi="Times New Roman" w:cs="Times New Roman"/>
          <w:noProof/>
        </w:rPr>
        <w:t xml:space="preserve"> legată de investițiile în (…) creșterea ofertei de locuințe, inclusiv prin creșterea stimulentelor și eliminarea barierelor din calea construirii” (Recomandarea</w:t>
      </w:r>
      <w:r>
        <w:rPr>
          <w:rFonts w:ascii="Times New Roman" w:hAnsi="Times New Roman" w:cs="Times New Roman"/>
          <w:noProof/>
          <w:color w:val="000000" w:themeColor="text1"/>
        </w:rPr>
        <w:t xml:space="preserve"> specifică fiecărei țări</w:t>
      </w:r>
      <w:r>
        <w:rPr>
          <w:rFonts w:ascii="Times New Roman" w:eastAsia="Times New Roman" w:hAnsi="Times New Roman" w:cs="Times New Roman"/>
          <w:noProof/>
        </w:rPr>
        <w:t xml:space="preserve"> 3 2019). </w:t>
      </w:r>
    </w:p>
    <w:p w14:paraId="5B8F3B69" w14:textId="77777777" w:rsidR="00FE6F09" w:rsidRDefault="00435AFB">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20E715D8" w14:textId="77777777" w:rsidR="00FE6F09" w:rsidRDefault="00FE6F09">
      <w:pPr>
        <w:spacing w:before="120" w:after="0" w:line="240" w:lineRule="auto"/>
        <w:jc w:val="both"/>
        <w:rPr>
          <w:rFonts w:ascii="Times New Roman" w:eastAsia="Times New Roman" w:hAnsi="Times New Roman" w:cs="Times New Roman"/>
          <w:noProof/>
          <w:sz w:val="24"/>
        </w:rPr>
      </w:pPr>
    </w:p>
    <w:p w14:paraId="5C3DCC1E" w14:textId="77777777" w:rsidR="00FE6F09" w:rsidRDefault="00435AFB">
      <w:pPr>
        <w:pStyle w:val="P68B1DB1-Normal13"/>
        <w:spacing w:before="120" w:after="120" w:line="240" w:lineRule="auto"/>
        <w:jc w:val="both"/>
        <w:rPr>
          <w:b/>
          <w:bCs/>
          <w:noProof/>
          <w:sz w:val="24"/>
          <w:szCs w:val="24"/>
        </w:rPr>
      </w:pPr>
      <w:r>
        <w:rPr>
          <w:b/>
          <w:noProof/>
          <w:sz w:val="24"/>
          <w:szCs w:val="24"/>
        </w:rPr>
        <w:t xml:space="preserve">C.1. </w:t>
      </w:r>
      <w:r>
        <w:rPr>
          <w:noProof/>
        </w:rPr>
        <w:t xml:space="preserve"> </w:t>
      </w:r>
      <w:r>
        <w:rPr>
          <w:b/>
          <w:noProof/>
          <w:sz w:val="24"/>
          <w:szCs w:val="24"/>
        </w:rPr>
        <w:t>Descrierea reformelor și a investițiilor pentru sprijinul financiar nerambursabil</w:t>
      </w:r>
    </w:p>
    <w:p w14:paraId="49CC9422" w14:textId="77777777" w:rsidR="00FE6F09" w:rsidRDefault="00435AFB">
      <w:pPr>
        <w:pStyle w:val="P68B1DB1-Normal10"/>
        <w:spacing w:before="120" w:after="120" w:line="240" w:lineRule="auto"/>
        <w:jc w:val="both"/>
        <w:rPr>
          <w:noProof/>
        </w:rPr>
      </w:pPr>
      <w:r>
        <w:rPr>
          <w:noProof/>
        </w:rPr>
        <w:t>Reformă: Pactul privind locuințele 2.0</w:t>
      </w:r>
    </w:p>
    <w:p w14:paraId="485BB225" w14:textId="77777777" w:rsidR="00FE6F09" w:rsidRDefault="00435AFB">
      <w:pPr>
        <w:pStyle w:val="P68B1DB1-Normal4"/>
        <w:spacing w:before="120" w:after="120" w:line="240" w:lineRule="auto"/>
        <w:jc w:val="both"/>
        <w:rPr>
          <w:noProof/>
        </w:rPr>
      </w:pPr>
      <w:r>
        <w:rPr>
          <w:noProof/>
        </w:rPr>
        <w:t xml:space="preserve">În Luxemburg, un grad ridicat de concentrare a proprietăților private și puține stimulente pentru eliberarea terenurilor în vederea dezvoltării limitează capacitatea autorităților publice de a aborda oferta insuficientă cronică de locuințe, care continuă să crească prețurile în contextul creșterii puternice a populației. Între timp, gradul de îndatorare a gospodăriilor continuă să crească și se ridică la 170 % din VNB în 2018 (majoritatea fiind datorii ipotecare și distribuite inegal, ceea ce face ca gospodăriile mai sărace să fie relativ mai vulnerabile). </w:t>
      </w:r>
    </w:p>
    <w:p w14:paraId="00CE0E76" w14:textId="77777777" w:rsidR="00FE6F09" w:rsidRDefault="00435AFB">
      <w:pPr>
        <w:pStyle w:val="P68B1DB1-Normal4"/>
        <w:spacing w:before="120" w:after="120" w:line="240" w:lineRule="auto"/>
        <w:jc w:val="both"/>
        <w:rPr>
          <w:rFonts w:eastAsia="Times New Roman"/>
          <w:noProof/>
        </w:rPr>
      </w:pPr>
      <w:r>
        <w:rPr>
          <w:noProof/>
        </w:rPr>
        <w:t xml:space="preserve">În acest context, această reformă va institui un „Pact pentru locuințe 2.0”, ca un cadru de referință pentru a încuraja municipalitățile să mobilizeze terenurile pentru construcții și locuințele pentru renovare, pentru a spori locuințele sociale, având în vedere lipsa de locuințe la prețuri accesibile, și pentru a încuraja construirea de școli și grădinițe pentru a face față populației în creștere. Acest sistem se bazează pe lecțiile învățate din „Pactul privind locuințele 1.0”, care este în vigoare din 2008. </w:t>
      </w:r>
    </w:p>
    <w:p w14:paraId="7C0D703F" w14:textId="77777777" w:rsidR="00FE6F09" w:rsidRDefault="00435AFB">
      <w:pPr>
        <w:pStyle w:val="P68B1DB1-Normal4"/>
        <w:spacing w:before="120" w:after="120" w:line="240" w:lineRule="auto"/>
        <w:jc w:val="both"/>
        <w:rPr>
          <w:noProof/>
        </w:rPr>
      </w:pPr>
      <w:r>
        <w:rPr>
          <w:noProof/>
        </w:rPr>
        <w:t xml:space="preserve">În temeiul Pactului privind locuințele 2.0, fiecare municipalitate se poate angaja prin semnarea unei „convenții inițiale” cu statul, care permite municipalității să fie asistată de un „consilier pentru locuințe”. În acest caz, municipalitatea stabilește și adoptă propria strategie municipală de dezvoltare a locuințelor („Programme d’action local logement” sau PAL). Municipalitățile semnează apoi o „convenție de punere în aplicare” cu statul, care implică obligația municipalității de a pune în aplicare proiectele de dezvoltare detaliate în PAL, cu sprijin financiar din partea statului pe baza unităților locative la prețuri accesibile introduse pe piața închirierilor în anul precedent. </w:t>
      </w:r>
    </w:p>
    <w:p w14:paraId="2A98279C" w14:textId="77777777" w:rsidR="00FE6F09" w:rsidRDefault="00435AFB">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Pactul privind locuințele 2.0 ia în considerare prioritățile de dezvoltare stabilite în planurile sectoriale și în noul program general național pentru amenajarea teritoriului (PDAT) și, în măsura în care numărul municipalităților semnatare permite acest lucru, contribuie la o dezvoltare coerentă a utilizării terenurilor la nivel național, în vederea creșterii durabile a ofertei de locuințe. Reforma vizează introducerea pe piață a cel puțin 1</w:t>
      </w:r>
      <w:r>
        <w:rPr>
          <w:rFonts w:ascii="Times New Roman" w:eastAsia="Times New Roman" w:hAnsi="Times New Roman" w:cs="Times New Roman"/>
          <w:noProof/>
          <w:color w:val="006100"/>
          <w:sz w:val="20"/>
          <w:szCs w:val="20"/>
        </w:rPr>
        <w:t> </w:t>
      </w:r>
      <w:r>
        <w:rPr>
          <w:rFonts w:ascii="Times New Roman" w:hAnsi="Times New Roman" w:cs="Times New Roman"/>
          <w:noProof/>
          <w:sz w:val="24"/>
          <w:szCs w:val="24"/>
        </w:rPr>
        <w:t xml:space="preserve">200 de unități locative până în 2025. </w:t>
      </w:r>
    </w:p>
    <w:p w14:paraId="47924D62" w14:textId="77777777" w:rsidR="00FE6F09" w:rsidRDefault="00435AFB">
      <w:pPr>
        <w:pStyle w:val="P68B1DB1-Normal14"/>
        <w:rPr>
          <w:noProof/>
        </w:rPr>
      </w:pPr>
      <w:r>
        <w:rPr>
          <w:noProof/>
        </w:rPr>
        <w:br w:type="page"/>
      </w:r>
    </w:p>
    <w:p w14:paraId="2A346151" w14:textId="677D28C7" w:rsidR="00FE6F09" w:rsidRDefault="00435AFB">
      <w:pPr>
        <w:pStyle w:val="P68B1DB1-Normal4"/>
        <w:spacing w:before="120" w:after="120" w:line="240" w:lineRule="auto"/>
        <w:jc w:val="both"/>
        <w:rPr>
          <w:noProof/>
        </w:rPr>
      </w:pPr>
      <w:r>
        <w:rPr>
          <w:noProof/>
        </w:rPr>
        <w:t>Deși majoritatea municipalităților au semnat un acord în temeiul Pactului privind locuințele 1.0, acest lucru nu a dus la o creștere semnificativă a ofertei de locuințe sociale. În comparație cu predecesorul său, Pactul privind locuințele 2.0 prevede că pachetul financiar disponibil pentru transferurile de stat către municipalități se calculează pe baza numărului de unități locative la prețuri accesibile de pe teritoriul lor introduse pe piața închirierilor în cursul anului precedent (fie prin construcție, fie prin achiziție și renovare) și nu pe baza creșterii populației. În plus, contribuțiile financiare acordate municipalităților se plătesc pe baza punerii în aplicare a proiectelor aprobate în temeiul Pactului privind locuințele 2.0 și care vizează atingerea obiectivelor acestuia. O cooperare mai strânsă între stat și municipalități este un obiectiv-cheie al reformei, care vizează consolidarea capacității sectorului public de a crește în mod semnificativ stocul rezidențial public și de a extinde practica închirierii de locuințe la prețuri accesibile și durabile. În acest sens, proiectul de Pact privind locuințele 2.0 prevede că între 10 % și 30 % din fiecare proiect de dezvoltare este dedicat locuințelor la prețuri accesibile introduse pe piața închirierilor. Reforma oferă ocazia de a aborda în mod semnificativ tendința inflației prețurilor locuințelor, care este considerată, de asemenea, unul dintre principalele obstacole în calea investițiilor și a creșterii economice.</w:t>
      </w:r>
    </w:p>
    <w:p w14:paraId="36862B81"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38"/>
          <w:headerReference w:type="default" r:id="rId39"/>
          <w:footerReference w:type="even" r:id="rId40"/>
          <w:footerReference w:type="default" r:id="rId41"/>
          <w:headerReference w:type="first" r:id="rId42"/>
          <w:footerReference w:type="first" r:id="rId43"/>
          <w:pgSz w:w="11907" w:h="16839"/>
          <w:pgMar w:top="1134" w:right="1417" w:bottom="1134" w:left="1417" w:header="709" w:footer="709" w:gutter="0"/>
          <w:cols w:space="720"/>
          <w:docGrid w:linePitch="360"/>
        </w:sectPr>
      </w:pPr>
    </w:p>
    <w:p w14:paraId="543FCDDA" w14:textId="77777777" w:rsidR="00FE6F09" w:rsidRDefault="00435AFB">
      <w:pPr>
        <w:pStyle w:val="P68B1DB1-Normal6"/>
        <w:spacing w:before="120" w:after="120" w:line="240" w:lineRule="auto"/>
        <w:ind w:firstLine="720"/>
        <w:jc w:val="center"/>
        <w:rPr>
          <w:bCs/>
          <w:noProof/>
        </w:rPr>
      </w:pPr>
      <w:r>
        <w:rPr>
          <w:noProof/>
        </w:rPr>
        <w:t xml:space="preserve">C.2. </w:t>
      </w:r>
      <w:r>
        <w:rPr>
          <w:noProof/>
        </w:rPr>
        <w:tab/>
        <w:t>Jaloane, ținte, indicatori și calendar pentru monitorizarea și punerea în aplicare a sprijinului financiar nerambursabil</w:t>
      </w:r>
    </w:p>
    <w:tbl>
      <w:tblPr>
        <w:tblW w:w="15744" w:type="dxa"/>
        <w:tblInd w:w="113" w:type="dxa"/>
        <w:tblLayout w:type="fixed"/>
        <w:tblLook w:val="04A0" w:firstRow="1" w:lastRow="0" w:firstColumn="1" w:lastColumn="0" w:noHBand="0" w:noVBand="1"/>
      </w:tblPr>
      <w:tblGrid>
        <w:gridCol w:w="1271"/>
        <w:gridCol w:w="9"/>
        <w:gridCol w:w="1381"/>
        <w:gridCol w:w="6"/>
        <w:gridCol w:w="1155"/>
        <w:gridCol w:w="6"/>
        <w:gridCol w:w="1624"/>
        <w:gridCol w:w="6"/>
        <w:gridCol w:w="1200"/>
        <w:gridCol w:w="1162"/>
        <w:gridCol w:w="993"/>
        <w:gridCol w:w="708"/>
        <w:gridCol w:w="993"/>
        <w:gridCol w:w="850"/>
        <w:gridCol w:w="4374"/>
        <w:gridCol w:w="6"/>
      </w:tblGrid>
      <w:tr w:rsidR="00FE6F09" w14:paraId="3DA8C455" w14:textId="77777777">
        <w:trPr>
          <w:gridAfter w:val="1"/>
          <w:wAfter w:w="6" w:type="dxa"/>
          <w:trHeight w:val="927"/>
        </w:trPr>
        <w:tc>
          <w:tcPr>
            <w:tcW w:w="127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C903CE" w14:textId="77777777" w:rsidR="00FE6F09" w:rsidRDefault="00435AFB">
            <w:pPr>
              <w:pStyle w:val="P68B1DB1-Normal8"/>
              <w:spacing w:after="0" w:line="240" w:lineRule="auto"/>
              <w:jc w:val="center"/>
              <w:rPr>
                <w:bCs/>
                <w:noProof/>
              </w:rPr>
            </w:pPr>
            <w:r>
              <w:rPr>
                <w:noProof/>
              </w:rPr>
              <w:t>Număr secvențial</w:t>
            </w:r>
          </w:p>
        </w:tc>
        <w:tc>
          <w:tcPr>
            <w:tcW w:w="1390"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A3C6FB" w14:textId="77777777" w:rsidR="00FE6F09" w:rsidRDefault="00435AFB">
            <w:pPr>
              <w:pStyle w:val="P68B1DB1-Normal8"/>
              <w:spacing w:after="0" w:line="240" w:lineRule="auto"/>
              <w:jc w:val="center"/>
              <w:rPr>
                <w:bCs/>
                <w:noProof/>
              </w:rPr>
            </w:pPr>
            <w:r>
              <w:rPr>
                <w:noProof/>
              </w:rPr>
              <w:t>Măsură conexă (reformă sau investiție)</w:t>
            </w:r>
          </w:p>
        </w:tc>
        <w:tc>
          <w:tcPr>
            <w:tcW w:w="1161"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158085" w14:textId="10D692DC" w:rsidR="00FE6F09" w:rsidRDefault="00435AFB">
            <w:pPr>
              <w:pStyle w:val="P68B1DB1-Normal8"/>
              <w:spacing w:after="0" w:line="240" w:lineRule="auto"/>
              <w:jc w:val="center"/>
              <w:rPr>
                <w:bCs/>
                <w:noProof/>
              </w:rPr>
            </w:pPr>
            <w:r>
              <w:rPr>
                <w:noProof/>
              </w:rPr>
              <w:t>Etapa/ținta</w:t>
            </w:r>
          </w:p>
        </w:tc>
        <w:tc>
          <w:tcPr>
            <w:tcW w:w="1630" w:type="dxa"/>
            <w:gridSpan w:val="2"/>
            <w:vMerge w:val="restart"/>
            <w:tcBorders>
              <w:top w:val="single" w:sz="4" w:space="0" w:color="auto"/>
              <w:left w:val="nil"/>
              <w:bottom w:val="single" w:sz="4" w:space="0" w:color="auto"/>
              <w:right w:val="single" w:sz="4" w:space="0" w:color="auto"/>
            </w:tcBorders>
            <w:shd w:val="clear" w:color="auto" w:fill="BDD7EE"/>
            <w:vAlign w:val="center"/>
            <w:hideMark/>
          </w:tcPr>
          <w:p w14:paraId="11F0598B" w14:textId="77777777" w:rsidR="00FE6F09" w:rsidRDefault="00435AFB">
            <w:pPr>
              <w:pStyle w:val="P68B1DB1-Normal8"/>
              <w:spacing w:after="0" w:line="240" w:lineRule="auto"/>
              <w:jc w:val="center"/>
              <w:rPr>
                <w:bCs/>
                <w:noProof/>
              </w:rPr>
            </w:pPr>
            <w:r>
              <w:rPr>
                <w:noProof/>
              </w:rPr>
              <w:t>Denumire</w:t>
            </w:r>
          </w:p>
        </w:tc>
        <w:tc>
          <w:tcPr>
            <w:tcW w:w="1206"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A7DA33"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sz w:val="24"/>
              </w:rPr>
              <w:br/>
            </w:r>
            <w:r>
              <w:rPr>
                <w:rFonts w:ascii="Times New Roman" w:eastAsia="Times New Roman" w:hAnsi="Times New Roman" w:cs="Times New Roman"/>
                <w:b/>
                <w:noProof/>
                <w:sz w:val="20"/>
                <w:szCs w:val="20"/>
              </w:rPr>
              <w:t>(pentru jaloane)</w:t>
            </w:r>
          </w:p>
        </w:tc>
        <w:tc>
          <w:tcPr>
            <w:tcW w:w="2863" w:type="dxa"/>
            <w:gridSpan w:val="3"/>
            <w:tcBorders>
              <w:top w:val="single" w:sz="4" w:space="0" w:color="auto"/>
              <w:left w:val="nil"/>
              <w:bottom w:val="single" w:sz="4" w:space="0" w:color="auto"/>
              <w:right w:val="single" w:sz="4" w:space="0" w:color="auto"/>
            </w:tcBorders>
            <w:shd w:val="clear" w:color="auto" w:fill="BDD7EE"/>
            <w:vAlign w:val="center"/>
            <w:hideMark/>
          </w:tcPr>
          <w:p w14:paraId="5E6AB2EA"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sz w:val="24"/>
              </w:rPr>
              <w:br/>
            </w:r>
            <w:r>
              <w:rPr>
                <w:rFonts w:ascii="Times New Roman" w:eastAsia="Times New Roman" w:hAnsi="Times New Roman" w:cs="Times New Roman"/>
                <w:b/>
                <w:noProof/>
                <w:sz w:val="20"/>
                <w:szCs w:val="20"/>
              </w:rPr>
              <w:t>(pentru obiective)</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3E5E936C" w14:textId="6F54C6C7" w:rsidR="00FE6F09" w:rsidRDefault="00435AFB">
            <w:pPr>
              <w:pStyle w:val="P68B1DB1-Normal8"/>
              <w:spacing w:after="0" w:line="240" w:lineRule="auto"/>
              <w:jc w:val="center"/>
              <w:rPr>
                <w:bCs/>
                <w:noProof/>
              </w:rPr>
            </w:pPr>
            <w:r>
              <w:rPr>
                <w:noProof/>
              </w:rPr>
              <w:t>Calendar orientativ pentru finalizare</w:t>
            </w:r>
          </w:p>
        </w:tc>
        <w:tc>
          <w:tcPr>
            <w:tcW w:w="437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4A7CF6" w14:textId="77777777" w:rsidR="00FE6F09" w:rsidRDefault="00435AFB">
            <w:pPr>
              <w:pStyle w:val="P68B1DB1-Normal8"/>
              <w:spacing w:after="0" w:line="240" w:lineRule="auto"/>
              <w:jc w:val="center"/>
              <w:rPr>
                <w:bCs/>
                <w:noProof/>
              </w:rPr>
            </w:pPr>
            <w:r>
              <w:rPr>
                <w:noProof/>
              </w:rPr>
              <w:t>Descrierea fiecărui jalon și a fiecărei ținte</w:t>
            </w:r>
          </w:p>
        </w:tc>
      </w:tr>
      <w:tr w:rsidR="00FE6F09" w14:paraId="117AB118" w14:textId="77777777">
        <w:trPr>
          <w:gridAfter w:val="1"/>
          <w:wAfter w:w="6" w:type="dxa"/>
          <w:trHeight w:val="1013"/>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E80B7FD"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390" w:type="dxa"/>
            <w:gridSpan w:val="2"/>
            <w:vMerge/>
            <w:tcBorders>
              <w:top w:val="single" w:sz="4" w:space="0" w:color="auto"/>
              <w:left w:val="single" w:sz="4" w:space="0" w:color="auto"/>
              <w:bottom w:val="single" w:sz="4" w:space="0" w:color="auto"/>
              <w:right w:val="single" w:sz="4" w:space="0" w:color="auto"/>
            </w:tcBorders>
            <w:vAlign w:val="center"/>
            <w:hideMark/>
          </w:tcPr>
          <w:p w14:paraId="7B1F26D8" w14:textId="77777777" w:rsidR="00FE6F09" w:rsidRDefault="00FE6F09">
            <w:pPr>
              <w:spacing w:after="0" w:line="240" w:lineRule="auto"/>
              <w:rPr>
                <w:rFonts w:ascii="Times New Roman" w:eastAsia="Times New Roman" w:hAnsi="Times New Roman" w:cs="Times New Roman"/>
                <w:b/>
                <w:noProof/>
                <w:sz w:val="20"/>
                <w:szCs w:val="20"/>
              </w:rPr>
            </w:pPr>
          </w:p>
        </w:tc>
        <w:tc>
          <w:tcPr>
            <w:tcW w:w="1161" w:type="dxa"/>
            <w:gridSpan w:val="2"/>
            <w:vMerge/>
            <w:tcBorders>
              <w:top w:val="single" w:sz="4" w:space="0" w:color="auto"/>
              <w:left w:val="single" w:sz="4" w:space="0" w:color="auto"/>
              <w:bottom w:val="single" w:sz="4" w:space="0" w:color="auto"/>
              <w:right w:val="single" w:sz="4" w:space="0" w:color="auto"/>
            </w:tcBorders>
            <w:vAlign w:val="center"/>
            <w:hideMark/>
          </w:tcPr>
          <w:p w14:paraId="752226AD" w14:textId="77777777" w:rsidR="00FE6F09" w:rsidRDefault="00FE6F09">
            <w:pPr>
              <w:spacing w:after="0" w:line="240" w:lineRule="auto"/>
              <w:rPr>
                <w:rFonts w:ascii="Times New Roman" w:eastAsia="Times New Roman" w:hAnsi="Times New Roman" w:cs="Times New Roman"/>
                <w:b/>
                <w:noProof/>
                <w:sz w:val="20"/>
                <w:szCs w:val="20"/>
              </w:rPr>
            </w:pPr>
          </w:p>
        </w:tc>
        <w:tc>
          <w:tcPr>
            <w:tcW w:w="1630" w:type="dxa"/>
            <w:gridSpan w:val="2"/>
            <w:vMerge/>
            <w:tcBorders>
              <w:top w:val="single" w:sz="4" w:space="0" w:color="auto"/>
              <w:left w:val="single" w:sz="4" w:space="0" w:color="auto"/>
              <w:bottom w:val="single" w:sz="4" w:space="0" w:color="auto"/>
              <w:right w:val="single" w:sz="4" w:space="0" w:color="auto"/>
            </w:tcBorders>
            <w:vAlign w:val="center"/>
            <w:hideMark/>
          </w:tcPr>
          <w:p w14:paraId="3A329E94" w14:textId="77777777" w:rsidR="00FE6F09" w:rsidRDefault="00FE6F09">
            <w:pPr>
              <w:spacing w:after="0" w:line="240" w:lineRule="auto"/>
              <w:rPr>
                <w:rFonts w:ascii="Times New Roman" w:eastAsia="Times New Roman" w:hAnsi="Times New Roman" w:cs="Times New Roman"/>
                <w:b/>
                <w:noProof/>
                <w:sz w:val="20"/>
                <w:szCs w:val="20"/>
              </w:rPr>
            </w:pPr>
          </w:p>
        </w:tc>
        <w:tc>
          <w:tcPr>
            <w:tcW w:w="1206" w:type="dxa"/>
            <w:gridSpan w:val="2"/>
            <w:vMerge/>
            <w:tcBorders>
              <w:top w:val="single" w:sz="4" w:space="0" w:color="auto"/>
              <w:left w:val="single" w:sz="4" w:space="0" w:color="auto"/>
              <w:bottom w:val="single" w:sz="4" w:space="0" w:color="auto"/>
              <w:right w:val="single" w:sz="4" w:space="0" w:color="auto"/>
            </w:tcBorders>
            <w:vAlign w:val="center"/>
            <w:hideMark/>
          </w:tcPr>
          <w:p w14:paraId="42FA649D" w14:textId="77777777" w:rsidR="00FE6F09" w:rsidRDefault="00FE6F09">
            <w:pPr>
              <w:spacing w:after="0" w:line="240" w:lineRule="auto"/>
              <w:rPr>
                <w:rFonts w:ascii="Times New Roman" w:eastAsia="Times New Roman" w:hAnsi="Times New Roman" w:cs="Times New Roman"/>
                <w:b/>
                <w:noProof/>
                <w:sz w:val="20"/>
                <w:szCs w:val="20"/>
              </w:rPr>
            </w:pPr>
          </w:p>
        </w:tc>
        <w:tc>
          <w:tcPr>
            <w:tcW w:w="116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F2B481" w14:textId="77777777" w:rsidR="00FE6F09" w:rsidRDefault="00435AFB">
            <w:pPr>
              <w:pStyle w:val="P68B1DB1-Normal8"/>
              <w:spacing w:after="0" w:line="240" w:lineRule="auto"/>
              <w:jc w:val="center"/>
              <w:rPr>
                <w:bCs/>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C0367B1" w14:textId="5EC5DF4C" w:rsidR="00FE6F09" w:rsidRDefault="00435AFB">
            <w:pPr>
              <w:pStyle w:val="P68B1DB1-Normal8"/>
              <w:spacing w:after="0" w:line="240" w:lineRule="auto"/>
              <w:jc w:val="center"/>
              <w:rPr>
                <w:bCs/>
                <w:noProof/>
              </w:rPr>
            </w:pPr>
            <w:r>
              <w:rPr>
                <w:noProof/>
              </w:rPr>
              <w:t>Situația de referință</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ADDF4B" w14:textId="681456DA" w:rsidR="00FE6F09" w:rsidRDefault="00435AFB">
            <w:pPr>
              <w:pStyle w:val="P68B1DB1-Normal8"/>
              <w:spacing w:after="0" w:line="240" w:lineRule="auto"/>
              <w:jc w:val="center"/>
              <w:rPr>
                <w:bCs/>
                <w:noProof/>
              </w:rPr>
            </w:pPr>
            <w:r>
              <w:rPr>
                <w:noProof/>
              </w:rPr>
              <w:t>Obiectiv</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5C32F5" w14:textId="77777777" w:rsidR="00FE6F09" w:rsidRDefault="00435AFB">
            <w:pPr>
              <w:pStyle w:val="P68B1DB1-Normal8"/>
              <w:spacing w:after="0" w:line="240" w:lineRule="auto"/>
              <w:jc w:val="center"/>
              <w:rPr>
                <w:bCs/>
                <w:noProof/>
              </w:rPr>
            </w:pPr>
            <w:r>
              <w:rPr>
                <w:noProof/>
              </w:rPr>
              <w:t>Trimestrul</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1BE4BB" w14:textId="77777777" w:rsidR="00FE6F09" w:rsidRDefault="00435AFB">
            <w:pPr>
              <w:pStyle w:val="P68B1DB1-Normal8"/>
              <w:spacing w:after="0" w:line="240" w:lineRule="auto"/>
              <w:jc w:val="center"/>
              <w:rPr>
                <w:bCs/>
                <w:noProof/>
              </w:rPr>
            </w:pPr>
            <w:r>
              <w:rPr>
                <w:noProof/>
              </w:rPr>
              <w:t>Anul</w:t>
            </w:r>
          </w:p>
        </w:tc>
        <w:tc>
          <w:tcPr>
            <w:tcW w:w="4374" w:type="dxa"/>
            <w:vMerge/>
            <w:tcBorders>
              <w:top w:val="single" w:sz="4" w:space="0" w:color="auto"/>
              <w:left w:val="single" w:sz="4" w:space="0" w:color="auto"/>
              <w:bottom w:val="single" w:sz="4" w:space="0" w:color="auto"/>
              <w:right w:val="single" w:sz="4" w:space="0" w:color="auto"/>
            </w:tcBorders>
            <w:vAlign w:val="center"/>
            <w:hideMark/>
          </w:tcPr>
          <w:p w14:paraId="732299FF" w14:textId="77777777" w:rsidR="00FE6F09" w:rsidRDefault="00FE6F09">
            <w:pPr>
              <w:spacing w:after="0" w:line="240" w:lineRule="auto"/>
              <w:jc w:val="both"/>
              <w:rPr>
                <w:rFonts w:ascii="Times New Roman" w:eastAsia="Times New Roman" w:hAnsi="Times New Roman" w:cs="Times New Roman"/>
                <w:b/>
                <w:noProof/>
                <w:sz w:val="20"/>
                <w:szCs w:val="20"/>
              </w:rPr>
            </w:pPr>
          </w:p>
        </w:tc>
      </w:tr>
      <w:tr w:rsidR="00FE6F09" w14:paraId="5AC79B2C" w14:textId="77777777">
        <w:trPr>
          <w:trHeight w:val="309"/>
        </w:trPr>
        <w:tc>
          <w:tcPr>
            <w:tcW w:w="1280" w:type="dxa"/>
            <w:gridSpan w:val="2"/>
            <w:tcBorders>
              <w:top w:val="nil"/>
              <w:left w:val="single" w:sz="4" w:space="0" w:color="auto"/>
              <w:bottom w:val="single" w:sz="4" w:space="0" w:color="auto"/>
              <w:right w:val="single" w:sz="4" w:space="0" w:color="auto"/>
            </w:tcBorders>
            <w:shd w:val="clear" w:color="auto" w:fill="C6EFCE"/>
            <w:noWrap/>
          </w:tcPr>
          <w:p w14:paraId="2AE89719" w14:textId="77777777" w:rsidR="00FE6F09" w:rsidRDefault="00435AFB">
            <w:pPr>
              <w:pStyle w:val="P68B1DB1-Normal9"/>
              <w:spacing w:after="0" w:line="240" w:lineRule="auto"/>
              <w:jc w:val="center"/>
              <w:rPr>
                <w:noProof/>
              </w:rPr>
            </w:pPr>
            <w:r>
              <w:rPr>
                <w:noProof/>
              </w:rPr>
              <w:t>1C-1</w:t>
            </w:r>
          </w:p>
        </w:tc>
        <w:tc>
          <w:tcPr>
            <w:tcW w:w="1387" w:type="dxa"/>
            <w:gridSpan w:val="2"/>
            <w:tcBorders>
              <w:top w:val="nil"/>
              <w:left w:val="nil"/>
              <w:bottom w:val="single" w:sz="4" w:space="0" w:color="auto"/>
              <w:right w:val="single" w:sz="4" w:space="0" w:color="auto"/>
            </w:tcBorders>
            <w:shd w:val="clear" w:color="auto" w:fill="C6EFCE"/>
            <w:noWrap/>
          </w:tcPr>
          <w:p w14:paraId="37F96875" w14:textId="77777777" w:rsidR="00FE6F09" w:rsidRDefault="00435AFB">
            <w:pPr>
              <w:pStyle w:val="P68B1DB1-Normal9"/>
              <w:spacing w:after="0" w:line="240" w:lineRule="auto"/>
              <w:rPr>
                <w:noProof/>
              </w:rPr>
            </w:pPr>
            <w:r>
              <w:rPr>
                <w:noProof/>
              </w:rPr>
              <w:t>Reformă – Pactul privind locuințele 2.0</w:t>
            </w:r>
          </w:p>
        </w:tc>
        <w:tc>
          <w:tcPr>
            <w:tcW w:w="1161" w:type="dxa"/>
            <w:gridSpan w:val="2"/>
            <w:tcBorders>
              <w:top w:val="nil"/>
              <w:left w:val="nil"/>
              <w:bottom w:val="single" w:sz="4" w:space="0" w:color="auto"/>
              <w:right w:val="single" w:sz="4" w:space="0" w:color="auto"/>
            </w:tcBorders>
            <w:shd w:val="clear" w:color="auto" w:fill="C6EFCE"/>
            <w:noWrap/>
          </w:tcPr>
          <w:p w14:paraId="76292A31" w14:textId="77777777" w:rsidR="00FE6F09" w:rsidRDefault="00435AFB">
            <w:pPr>
              <w:pStyle w:val="P68B1DB1-Normal9"/>
              <w:spacing w:after="0" w:line="240" w:lineRule="auto"/>
              <w:rPr>
                <w:noProof/>
              </w:rPr>
            </w:pPr>
            <w:r>
              <w:rPr>
                <w:noProof/>
              </w:rPr>
              <w:t>Etapa de referință</w:t>
            </w:r>
          </w:p>
        </w:tc>
        <w:tc>
          <w:tcPr>
            <w:tcW w:w="1630"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84F02F" w14:textId="41915782" w:rsidR="00FE6F09" w:rsidRDefault="00435AFB">
            <w:pPr>
              <w:pStyle w:val="P68B1DB1-Normal9"/>
              <w:spacing w:after="0" w:line="240" w:lineRule="auto"/>
              <w:rPr>
                <w:noProof/>
              </w:rPr>
            </w:pPr>
            <w:r>
              <w:rPr>
                <w:noProof/>
              </w:rPr>
              <w:t>Intrarea în vigoare a Pactului privind locuințele 2.0</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4DFF2EEA" w14:textId="77777777" w:rsidR="00FE6F09" w:rsidRDefault="00435AFB">
            <w:pPr>
              <w:pStyle w:val="P68B1DB1-Normal9"/>
              <w:spacing w:after="0" w:line="240" w:lineRule="auto"/>
              <w:rPr>
                <w:noProof/>
              </w:rPr>
            </w:pPr>
            <w:r>
              <w:rPr>
                <w:noProof/>
              </w:rPr>
              <w:t>Intrarea în vigoare</w:t>
            </w:r>
          </w:p>
        </w:tc>
        <w:tc>
          <w:tcPr>
            <w:tcW w:w="1162" w:type="dxa"/>
            <w:tcBorders>
              <w:top w:val="single" w:sz="4" w:space="0" w:color="auto"/>
              <w:left w:val="single" w:sz="4" w:space="0" w:color="auto"/>
              <w:bottom w:val="single" w:sz="4" w:space="0" w:color="auto"/>
              <w:right w:val="single" w:sz="4" w:space="0" w:color="auto"/>
            </w:tcBorders>
            <w:shd w:val="clear" w:color="auto" w:fill="C6EFCE"/>
            <w:noWrap/>
          </w:tcPr>
          <w:p w14:paraId="51B799F4" w14:textId="77777777" w:rsidR="00FE6F09" w:rsidRDefault="00435AFB">
            <w:pPr>
              <w:pStyle w:val="P68B1DB1-Normal9"/>
              <w:spacing w:after="0" w:line="240" w:lineRule="auto"/>
              <w:jc w:val="center"/>
              <w:rPr>
                <w:noProof/>
              </w:rPr>
            </w:pPr>
            <w:r>
              <w:rPr>
                <w:noProof/>
              </w:rPr>
              <w:t>-</w:t>
            </w:r>
          </w:p>
        </w:tc>
        <w:tc>
          <w:tcPr>
            <w:tcW w:w="993" w:type="dxa"/>
            <w:tcBorders>
              <w:top w:val="single" w:sz="4" w:space="0" w:color="auto"/>
              <w:left w:val="nil"/>
              <w:bottom w:val="single" w:sz="4" w:space="0" w:color="auto"/>
              <w:right w:val="single" w:sz="4" w:space="0" w:color="auto"/>
            </w:tcBorders>
            <w:shd w:val="clear" w:color="auto" w:fill="C6EFCE"/>
            <w:noWrap/>
          </w:tcPr>
          <w:p w14:paraId="0B9A0268" w14:textId="77777777" w:rsidR="00FE6F09" w:rsidRDefault="00435AFB">
            <w:pPr>
              <w:pStyle w:val="P68B1DB1-Normal9"/>
              <w:spacing w:after="0" w:line="240" w:lineRule="auto"/>
              <w:jc w:val="center"/>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Pr>
          <w:p w14:paraId="2E5AFE50" w14:textId="77777777" w:rsidR="00FE6F09" w:rsidRDefault="00435AFB">
            <w:pPr>
              <w:pStyle w:val="P68B1DB1-Normal9"/>
              <w:spacing w:after="0" w:line="240" w:lineRule="auto"/>
              <w:jc w:val="center"/>
              <w:rPr>
                <w:noProof/>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3DB152E" w14:textId="77777777" w:rsidR="00FE6F09" w:rsidRDefault="00435AFB">
            <w:pPr>
              <w:pStyle w:val="P68B1DB1-Normal9"/>
              <w:spacing w:after="0" w:line="240" w:lineRule="auto"/>
              <w:jc w:val="center"/>
              <w:rPr>
                <w:noProof/>
              </w:rPr>
            </w:pPr>
            <w:r>
              <w:rPr>
                <w:noProof/>
              </w:rPr>
              <w:t>T3</w:t>
            </w:r>
          </w:p>
        </w:tc>
        <w:tc>
          <w:tcPr>
            <w:tcW w:w="850" w:type="dxa"/>
            <w:tcBorders>
              <w:top w:val="single" w:sz="4" w:space="0" w:color="auto"/>
              <w:left w:val="nil"/>
              <w:bottom w:val="single" w:sz="4" w:space="0" w:color="auto"/>
              <w:right w:val="single" w:sz="4" w:space="0" w:color="auto"/>
            </w:tcBorders>
            <w:shd w:val="clear" w:color="auto" w:fill="C6EFCE"/>
            <w:noWrap/>
          </w:tcPr>
          <w:p w14:paraId="36C888E9" w14:textId="77777777" w:rsidR="00FE6F09" w:rsidRDefault="00435AFB">
            <w:pPr>
              <w:pStyle w:val="P68B1DB1-Normal9"/>
              <w:spacing w:after="0" w:line="240" w:lineRule="auto"/>
              <w:jc w:val="center"/>
              <w:rPr>
                <w:noProof/>
              </w:rPr>
            </w:pPr>
            <w:r>
              <w:rPr>
                <w:noProof/>
              </w:rPr>
              <w:t>2021</w:t>
            </w:r>
          </w:p>
        </w:tc>
        <w:tc>
          <w:tcPr>
            <w:tcW w:w="4380" w:type="dxa"/>
            <w:gridSpan w:val="2"/>
            <w:tcBorders>
              <w:top w:val="nil"/>
              <w:left w:val="nil"/>
              <w:bottom w:val="single" w:sz="4" w:space="0" w:color="auto"/>
              <w:right w:val="single" w:sz="4" w:space="0" w:color="auto"/>
            </w:tcBorders>
            <w:shd w:val="clear" w:color="auto" w:fill="C6EFCE"/>
            <w:noWrap/>
            <w:vAlign w:val="bottom"/>
          </w:tcPr>
          <w:p w14:paraId="1ABCDF1A" w14:textId="52AF8271" w:rsidR="00FE6F09" w:rsidRDefault="00435AFB">
            <w:pPr>
              <w:pStyle w:val="P68B1DB1-Normal9"/>
              <w:spacing w:after="0" w:line="240" w:lineRule="auto"/>
              <w:jc w:val="both"/>
              <w:rPr>
                <w:noProof/>
              </w:rPr>
            </w:pPr>
            <w:r>
              <w:rPr>
                <w:noProof/>
              </w:rPr>
              <w:t>Intrarea în vigoare a Legii 2.0 privind Pactul pentru locuințe, cu scopul de a spori oferta de locuințe accesibile și durabile la nivel municipal. Scopul Pactului privind locuințele este de a elabora acorduri de punere în aplicare cu municipalitățile, care să permită punerea în aplicare a unui „Program de acțiune pentru locuințele locale”.</w:t>
            </w:r>
          </w:p>
        </w:tc>
      </w:tr>
      <w:tr w:rsidR="00FE6F09" w14:paraId="77935616" w14:textId="77777777">
        <w:trPr>
          <w:trHeight w:val="309"/>
        </w:trPr>
        <w:tc>
          <w:tcPr>
            <w:tcW w:w="1280" w:type="dxa"/>
            <w:gridSpan w:val="2"/>
            <w:tcBorders>
              <w:top w:val="nil"/>
              <w:left w:val="single" w:sz="4" w:space="0" w:color="auto"/>
              <w:bottom w:val="single" w:sz="4" w:space="0" w:color="auto"/>
              <w:right w:val="single" w:sz="4" w:space="0" w:color="auto"/>
            </w:tcBorders>
            <w:shd w:val="clear" w:color="auto" w:fill="C6EFCE"/>
            <w:noWrap/>
          </w:tcPr>
          <w:p w14:paraId="3698BFB3" w14:textId="77777777" w:rsidR="00FE6F09" w:rsidRDefault="00435AFB">
            <w:pPr>
              <w:pStyle w:val="P68B1DB1-Normal9"/>
              <w:spacing w:after="0" w:line="240" w:lineRule="auto"/>
              <w:jc w:val="center"/>
              <w:rPr>
                <w:noProof/>
              </w:rPr>
            </w:pPr>
            <w:r>
              <w:rPr>
                <w:noProof/>
              </w:rPr>
              <w:t>1C-3</w:t>
            </w:r>
          </w:p>
        </w:tc>
        <w:tc>
          <w:tcPr>
            <w:tcW w:w="1387" w:type="dxa"/>
            <w:gridSpan w:val="2"/>
            <w:tcBorders>
              <w:top w:val="nil"/>
              <w:left w:val="nil"/>
              <w:bottom w:val="single" w:sz="4" w:space="0" w:color="auto"/>
              <w:right w:val="single" w:sz="4" w:space="0" w:color="auto"/>
            </w:tcBorders>
            <w:shd w:val="clear" w:color="auto" w:fill="C6EFCE"/>
            <w:noWrap/>
          </w:tcPr>
          <w:p w14:paraId="1CFF1244" w14:textId="77777777" w:rsidR="00FE6F09" w:rsidRDefault="00435AFB">
            <w:pPr>
              <w:pStyle w:val="P68B1DB1-Normal9"/>
              <w:spacing w:after="0" w:line="240" w:lineRule="auto"/>
              <w:rPr>
                <w:noProof/>
              </w:rPr>
            </w:pPr>
            <w:r>
              <w:rPr>
                <w:noProof/>
              </w:rPr>
              <w:t>Reformă – Pactul privind locuințele 2.0</w:t>
            </w:r>
          </w:p>
        </w:tc>
        <w:tc>
          <w:tcPr>
            <w:tcW w:w="1161" w:type="dxa"/>
            <w:gridSpan w:val="2"/>
            <w:tcBorders>
              <w:top w:val="nil"/>
              <w:left w:val="nil"/>
              <w:bottom w:val="single" w:sz="4" w:space="0" w:color="auto"/>
              <w:right w:val="single" w:sz="4" w:space="0" w:color="auto"/>
            </w:tcBorders>
            <w:shd w:val="clear" w:color="auto" w:fill="C6EFCE"/>
            <w:noWrap/>
          </w:tcPr>
          <w:p w14:paraId="006C8530" w14:textId="77777777" w:rsidR="00FE6F09" w:rsidRDefault="00435AFB">
            <w:pPr>
              <w:pStyle w:val="P68B1DB1-Normal9"/>
              <w:spacing w:after="0" w:line="240" w:lineRule="auto"/>
              <w:rPr>
                <w:noProof/>
              </w:rPr>
            </w:pPr>
            <w:r>
              <w:rPr>
                <w:noProof/>
              </w:rPr>
              <w:t>Țintă</w:t>
            </w:r>
          </w:p>
        </w:tc>
        <w:tc>
          <w:tcPr>
            <w:tcW w:w="1630" w:type="dxa"/>
            <w:gridSpan w:val="2"/>
            <w:tcBorders>
              <w:top w:val="nil"/>
              <w:left w:val="single" w:sz="4" w:space="0" w:color="auto"/>
              <w:bottom w:val="single" w:sz="4" w:space="0" w:color="auto"/>
              <w:right w:val="single" w:sz="4" w:space="0" w:color="auto"/>
            </w:tcBorders>
            <w:shd w:val="clear" w:color="auto" w:fill="C6EFCE"/>
            <w:noWrap/>
          </w:tcPr>
          <w:p w14:paraId="5E3E24AE" w14:textId="77777777" w:rsidR="00FE6F09" w:rsidRDefault="00435AFB">
            <w:pPr>
              <w:pStyle w:val="P68B1DB1-Normal9"/>
              <w:spacing w:after="0" w:line="240" w:lineRule="auto"/>
              <w:rPr>
                <w:noProof/>
              </w:rPr>
            </w:pPr>
            <w:r>
              <w:rPr>
                <w:noProof/>
              </w:rPr>
              <w:t>Procentul municipalităților care semnează un acord de punere în aplicare</w:t>
            </w:r>
          </w:p>
        </w:tc>
        <w:tc>
          <w:tcPr>
            <w:tcW w:w="1200" w:type="dxa"/>
            <w:tcBorders>
              <w:top w:val="nil"/>
              <w:left w:val="single" w:sz="4" w:space="0" w:color="auto"/>
              <w:bottom w:val="single" w:sz="4" w:space="0" w:color="auto"/>
              <w:right w:val="single" w:sz="4" w:space="0" w:color="auto"/>
            </w:tcBorders>
            <w:shd w:val="clear" w:color="auto" w:fill="C6EFCE"/>
            <w:noWrap/>
          </w:tcPr>
          <w:p w14:paraId="1112016E" w14:textId="77777777" w:rsidR="00FE6F09" w:rsidRDefault="00435AFB">
            <w:pPr>
              <w:pStyle w:val="P68B1DB1-Normal9"/>
              <w:spacing w:after="0" w:line="240" w:lineRule="auto"/>
              <w:jc w:val="center"/>
              <w:rPr>
                <w:noProof/>
              </w:rPr>
            </w:pPr>
            <w:r>
              <w:rPr>
                <w:noProof/>
              </w:rPr>
              <w:t>-</w:t>
            </w:r>
          </w:p>
        </w:tc>
        <w:tc>
          <w:tcPr>
            <w:tcW w:w="1162" w:type="dxa"/>
            <w:tcBorders>
              <w:top w:val="single" w:sz="4" w:space="0" w:color="auto"/>
              <w:left w:val="single" w:sz="4" w:space="0" w:color="auto"/>
              <w:bottom w:val="single" w:sz="4" w:space="0" w:color="auto"/>
              <w:right w:val="single" w:sz="4" w:space="0" w:color="auto"/>
            </w:tcBorders>
            <w:shd w:val="clear" w:color="auto" w:fill="C6EFCE"/>
            <w:noWrap/>
          </w:tcPr>
          <w:p w14:paraId="7ACD8C35" w14:textId="77777777" w:rsidR="00FE6F09" w:rsidRDefault="00435AFB">
            <w:pPr>
              <w:pStyle w:val="P68B1DB1-Normal9"/>
              <w:spacing w:after="0" w:line="240" w:lineRule="auto"/>
              <w:jc w:val="center"/>
              <w:rPr>
                <w:noProof/>
              </w:rPr>
            </w:pPr>
            <w:r>
              <w:rPr>
                <w:noProof/>
              </w:rPr>
              <w:t>Procentul</w:t>
            </w:r>
          </w:p>
        </w:tc>
        <w:tc>
          <w:tcPr>
            <w:tcW w:w="993" w:type="dxa"/>
            <w:tcBorders>
              <w:top w:val="single" w:sz="4" w:space="0" w:color="auto"/>
              <w:left w:val="nil"/>
              <w:bottom w:val="single" w:sz="4" w:space="0" w:color="auto"/>
              <w:right w:val="single" w:sz="4" w:space="0" w:color="auto"/>
            </w:tcBorders>
            <w:shd w:val="clear" w:color="auto" w:fill="C6EFCE"/>
            <w:noWrap/>
          </w:tcPr>
          <w:p w14:paraId="3A88D6BF" w14:textId="77777777" w:rsidR="00FE6F09" w:rsidRDefault="00435AFB">
            <w:pPr>
              <w:pStyle w:val="P68B1DB1-Normal9"/>
              <w:spacing w:after="0" w:line="240" w:lineRule="auto"/>
              <w:jc w:val="center"/>
              <w:rPr>
                <w:noProof/>
              </w:rPr>
            </w:pPr>
            <w:r>
              <w:rPr>
                <w:noProof/>
              </w:rPr>
              <w:t>0</w:t>
            </w:r>
          </w:p>
        </w:tc>
        <w:tc>
          <w:tcPr>
            <w:tcW w:w="708" w:type="dxa"/>
            <w:tcBorders>
              <w:top w:val="nil"/>
              <w:left w:val="nil"/>
              <w:bottom w:val="single" w:sz="4" w:space="0" w:color="auto"/>
              <w:right w:val="single" w:sz="4" w:space="0" w:color="auto"/>
            </w:tcBorders>
            <w:shd w:val="clear" w:color="auto" w:fill="C6EFCE"/>
            <w:noWrap/>
          </w:tcPr>
          <w:p w14:paraId="2EA34337" w14:textId="77777777" w:rsidR="00FE6F09" w:rsidRDefault="00435AFB">
            <w:pPr>
              <w:pStyle w:val="P68B1DB1-Normal9"/>
              <w:spacing w:after="0" w:line="240" w:lineRule="auto"/>
              <w:jc w:val="center"/>
              <w:rPr>
                <w:noProof/>
              </w:rPr>
            </w:pPr>
            <w:r>
              <w:rPr>
                <w:noProof/>
              </w:rPr>
              <w:t>50</w:t>
            </w:r>
          </w:p>
        </w:tc>
        <w:tc>
          <w:tcPr>
            <w:tcW w:w="993" w:type="dxa"/>
            <w:tcBorders>
              <w:top w:val="nil"/>
              <w:left w:val="single" w:sz="4" w:space="0" w:color="auto"/>
              <w:bottom w:val="single" w:sz="4" w:space="0" w:color="auto"/>
              <w:right w:val="single" w:sz="4" w:space="0" w:color="auto"/>
            </w:tcBorders>
            <w:shd w:val="clear" w:color="auto" w:fill="C6EFCE"/>
            <w:noWrap/>
          </w:tcPr>
          <w:p w14:paraId="4856690D" w14:textId="77777777" w:rsidR="00FE6F09" w:rsidRDefault="00435AFB">
            <w:pPr>
              <w:pStyle w:val="P68B1DB1-Normal9"/>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3608E9EC" w14:textId="77777777" w:rsidR="00FE6F09" w:rsidRDefault="00435AFB">
            <w:pPr>
              <w:pStyle w:val="P68B1DB1-Normal9"/>
              <w:spacing w:after="0" w:line="240" w:lineRule="auto"/>
              <w:jc w:val="center"/>
              <w:rPr>
                <w:noProof/>
              </w:rPr>
            </w:pPr>
            <w:r>
              <w:rPr>
                <w:noProof/>
              </w:rPr>
              <w:t>2022</w:t>
            </w:r>
          </w:p>
        </w:tc>
        <w:tc>
          <w:tcPr>
            <w:tcW w:w="4380" w:type="dxa"/>
            <w:gridSpan w:val="2"/>
            <w:tcBorders>
              <w:top w:val="nil"/>
              <w:left w:val="nil"/>
              <w:bottom w:val="single" w:sz="4" w:space="0" w:color="auto"/>
              <w:right w:val="single" w:sz="4" w:space="0" w:color="auto"/>
            </w:tcBorders>
            <w:shd w:val="clear" w:color="auto" w:fill="C6EFCE"/>
            <w:noWrap/>
          </w:tcPr>
          <w:p w14:paraId="0F02C02E" w14:textId="77777777" w:rsidR="00FE6F09" w:rsidRDefault="00435AFB">
            <w:pPr>
              <w:pStyle w:val="P68B1DB1-Normal9"/>
              <w:spacing w:after="0" w:line="240" w:lineRule="auto"/>
              <w:jc w:val="both"/>
              <w:rPr>
                <w:noProof/>
              </w:rPr>
            </w:pPr>
            <w:r>
              <w:rPr>
                <w:noProof/>
              </w:rPr>
              <w:t xml:space="preserve">Semnarea acordului de punere în aplicare cu cel puțin 50 % din municipalitățile din Luxemburg. Acest acord precizează, printre altele, modalitățile de plată a sprijinului financiar la care are dreptul municipalitatea. </w:t>
            </w:r>
          </w:p>
        </w:tc>
      </w:tr>
    </w:tbl>
    <w:p w14:paraId="6DE76E6C" w14:textId="77777777" w:rsidR="00FE6F09" w:rsidRDefault="00FE6F09">
      <w:pPr>
        <w:spacing w:before="120" w:after="120" w:line="240" w:lineRule="auto"/>
        <w:jc w:val="both"/>
        <w:rPr>
          <w:rFonts w:ascii="Times New Roman" w:eastAsia="Times New Roman" w:hAnsi="Times New Roman" w:cs="Times New Roman"/>
          <w:noProof/>
          <w:color w:val="006100"/>
          <w:sz w:val="20"/>
          <w:szCs w:val="20"/>
        </w:rPr>
      </w:pPr>
    </w:p>
    <w:p w14:paraId="4B42E467" w14:textId="77777777" w:rsidR="00FE6F09" w:rsidRDefault="00FE6F09">
      <w:pPr>
        <w:jc w:val="center"/>
        <w:rPr>
          <w:rFonts w:ascii="Times New Roman" w:eastAsia="Times New Roman" w:hAnsi="Times New Roman" w:cs="Times New Roman"/>
          <w:noProof/>
          <w:sz w:val="20"/>
          <w:szCs w:val="20"/>
        </w:rPr>
      </w:pPr>
    </w:p>
    <w:p w14:paraId="3C4591A0" w14:textId="77777777" w:rsidR="00FE6F09" w:rsidRDefault="00FE6F09">
      <w:pPr>
        <w:rPr>
          <w:rFonts w:ascii="Times New Roman" w:hAnsi="Times New Roman" w:cs="Times New Roman"/>
          <w:noProof/>
          <w:sz w:val="24"/>
        </w:rPr>
      </w:pPr>
    </w:p>
    <w:p w14:paraId="0E76CBC4" w14:textId="77777777" w:rsidR="00FE6F09" w:rsidRDefault="00FE6F09">
      <w:pPr>
        <w:rPr>
          <w:rFonts w:ascii="Times New Roman" w:hAnsi="Times New Roman" w:cs="Times New Roman"/>
          <w:noProof/>
          <w:sz w:val="24"/>
        </w:rPr>
      </w:pPr>
    </w:p>
    <w:p w14:paraId="6A5A7EBA" w14:textId="77777777" w:rsidR="00FE6F09" w:rsidRDefault="00FE6F09">
      <w:pPr>
        <w:rPr>
          <w:rFonts w:ascii="Times New Roman" w:hAnsi="Times New Roman" w:cs="Times New Roman"/>
          <w:noProof/>
          <w:sz w:val="24"/>
        </w:rPr>
        <w:sectPr w:rsidR="00FE6F09" w:rsidSect="009823F0">
          <w:headerReference w:type="even" r:id="rId44"/>
          <w:headerReference w:type="default" r:id="rId45"/>
          <w:footerReference w:type="even" r:id="rId46"/>
          <w:footerReference w:type="default" r:id="rId47"/>
          <w:headerReference w:type="first" r:id="rId48"/>
          <w:footerReference w:type="first" r:id="rId49"/>
          <w:pgSz w:w="16839" w:h="11907" w:orient="landscape"/>
          <w:pgMar w:top="720" w:right="720" w:bottom="720" w:left="720" w:header="709" w:footer="709" w:gutter="0"/>
          <w:cols w:space="720"/>
          <w:docGrid w:linePitch="360"/>
        </w:sectPr>
      </w:pPr>
    </w:p>
    <w:p w14:paraId="2CBCA5C6" w14:textId="77777777" w:rsidR="00FE6F09" w:rsidRDefault="00435AFB">
      <w:pPr>
        <w:pStyle w:val="P68B1DB1-Normal2"/>
        <w:spacing w:before="120" w:after="120" w:line="240" w:lineRule="auto"/>
        <w:jc w:val="both"/>
        <w:rPr>
          <w:bCs/>
          <w:noProof/>
        </w:rPr>
      </w:pPr>
      <w:r>
        <w:rPr>
          <w:noProof/>
        </w:rPr>
        <w:t xml:space="preserve">D. COMPONENTUL 2A: Decarbonizarea transporturilor </w:t>
      </w:r>
    </w:p>
    <w:p w14:paraId="5C306E9A" w14:textId="77777777" w:rsidR="00FE6F09" w:rsidRDefault="00435AFB">
      <w:pPr>
        <w:pStyle w:val="P68B1DB1-Normal12"/>
        <w:spacing w:before="120" w:after="0" w:line="240" w:lineRule="auto"/>
        <w:jc w:val="both"/>
        <w:rPr>
          <w:rFonts w:ascii="Times New Roman" w:hAnsi="Times New Roman" w:cs="Times New Roman"/>
          <w:noProof/>
        </w:rPr>
      </w:pPr>
      <w:r>
        <w:rPr>
          <w:rFonts w:ascii="Times New Roman" w:eastAsia="Times New Roman" w:hAnsi="Times New Roman" w:cs="Times New Roman"/>
          <w:noProof/>
        </w:rPr>
        <w:t xml:space="preserve">Această componentă </w:t>
      </w:r>
      <w:r>
        <w:rPr>
          <w:rFonts w:ascii="Times New Roman" w:hAnsi="Times New Roman" w:cs="Times New Roman"/>
          <w:noProof/>
          <w:color w:val="000000"/>
        </w:rPr>
        <w:t>a planului de redresare și reziliență al Luxemburgului</w:t>
      </w:r>
      <w:r>
        <w:rPr>
          <w:rFonts w:ascii="Times New Roman" w:eastAsia="Times New Roman" w:hAnsi="Times New Roman" w:cs="Times New Roman"/>
          <w:noProof/>
        </w:rPr>
        <w:t xml:space="preserve"> </w:t>
      </w:r>
      <w:r>
        <w:rPr>
          <w:rFonts w:ascii="Times New Roman" w:hAnsi="Times New Roman" w:cs="Times New Roman"/>
          <w:noProof/>
        </w:rPr>
        <w:t>urmărește să contribuie la decarbonizarea sectorului transportului rutier (care a reprezentat 50 % din emisiile Luxemburgului în 2018, mai mult decât dublul mediei UE de 21 %,</w:t>
      </w:r>
      <w:r>
        <w:rPr>
          <w:rFonts w:ascii="Times New Roman" w:hAnsi="Times New Roman" w:cs="Times New Roman"/>
          <w:noProof/>
        </w:rPr>
        <w:footnoteReference w:id="1"/>
      </w:r>
      <w:r>
        <w:rPr>
          <w:rFonts w:ascii="Times New Roman" w:hAnsi="Times New Roman" w:cs="Times New Roman"/>
          <w:noProof/>
        </w:rPr>
        <w:t xml:space="preserve"> parțial din cauza transportului de tranzit), în special prin promovarea unei electrificări sporite a mobilității. </w:t>
      </w:r>
    </w:p>
    <w:p w14:paraId="490FE356" w14:textId="77777777" w:rsidR="00FE6F09" w:rsidRDefault="00435AFB">
      <w:pPr>
        <w:pStyle w:val="P68B1DB1-Normal15"/>
        <w:spacing w:before="120" w:after="0" w:line="240" w:lineRule="auto"/>
        <w:jc w:val="both"/>
        <w:rPr>
          <w:noProof/>
        </w:rPr>
      </w:pPr>
      <w:r>
        <w:rPr>
          <w:noProof/>
        </w:rPr>
        <w:t xml:space="preserve">Aceasta constă într-o reformă menită să promoveze achiziționarea de vehicule cu emisii zero sau cu emisii scăzute de la autoritățile și entitățile contractante și o investiție pentru a implementa în continuare o rețea de puncte de încărcare pentru vehiculele electrice în întreaga țară. </w:t>
      </w:r>
    </w:p>
    <w:p w14:paraId="01912879" w14:textId="191281FA" w:rsidR="00FE6F09" w:rsidRDefault="00435AFB">
      <w:pPr>
        <w:pStyle w:val="P68B1DB1-Normal12"/>
        <w:spacing w:before="120" w:after="0" w:line="240"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Această componentă contribuie la abordarea </w:t>
      </w:r>
      <w:r>
        <w:rPr>
          <w:rFonts w:ascii="Times New Roman" w:hAnsi="Times New Roman" w:cs="Times New Roman"/>
          <w:noProof/>
          <w:color w:val="000000" w:themeColor="text1"/>
        </w:rPr>
        <w:t>recomandării specifice fiecărei țări adresate Luxemburgului (Recomandarea specifică fiecărei țări 3 2019 și Recomandarea</w:t>
      </w:r>
      <w:r w:rsidR="001B52FB">
        <w:rPr>
          <w:rFonts w:ascii="Times New Roman" w:hAnsi="Times New Roman" w:cs="Times New Roman"/>
          <w:noProof/>
          <w:color w:val="000000" w:themeColor="text1"/>
        </w:rPr>
        <w:t xml:space="preserve"> </w:t>
      </w:r>
      <w:r>
        <w:rPr>
          <w:rFonts w:ascii="Times New Roman" w:hAnsi="Times New Roman" w:cs="Times New Roman"/>
          <w:noProof/>
          <w:color w:val="000000" w:themeColor="text1"/>
        </w:rPr>
        <w:t xml:space="preserve">specifică fiecărei țări 3 </w:t>
      </w:r>
      <w:r>
        <w:rPr>
          <w:rFonts w:ascii="Times New Roman" w:eastAsia="Times New Roman" w:hAnsi="Times New Roman" w:cs="Times New Roman"/>
          <w:noProof/>
        </w:rPr>
        <w:t>2020) pentru a „axa investițiile pe tranziția verde (…), în special pe transportul durabil”.</w:t>
      </w:r>
    </w:p>
    <w:p w14:paraId="38CA4F59" w14:textId="77777777" w:rsidR="00FE6F09" w:rsidRDefault="00435AFB">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452D550" w14:textId="77777777" w:rsidR="00FE6F09" w:rsidRDefault="00FE6F09">
      <w:pPr>
        <w:spacing w:before="120" w:after="120" w:line="240" w:lineRule="auto"/>
        <w:jc w:val="both"/>
        <w:rPr>
          <w:rFonts w:ascii="Times New Roman" w:hAnsi="Times New Roman" w:cs="Times New Roman"/>
          <w:noProof/>
          <w:sz w:val="24"/>
        </w:rPr>
      </w:pPr>
    </w:p>
    <w:p w14:paraId="38CE240C" w14:textId="77777777" w:rsidR="00FE6F09" w:rsidRDefault="00435AFB">
      <w:pPr>
        <w:pStyle w:val="P68B1DB1-Normal1"/>
        <w:spacing w:before="120" w:after="120" w:line="240" w:lineRule="auto"/>
        <w:jc w:val="both"/>
        <w:rPr>
          <w:bCs/>
          <w:noProof/>
        </w:rPr>
      </w:pPr>
      <w:r>
        <w:rPr>
          <w:noProof/>
        </w:rPr>
        <w:t xml:space="preserve">D.1. </w:t>
      </w:r>
      <w:r>
        <w:rPr>
          <w:noProof/>
        </w:rPr>
        <w:tab/>
        <w:t>Descrierea reformelor și a investițiilor pentru sprijinul financiar nerambursabil</w:t>
      </w:r>
    </w:p>
    <w:p w14:paraId="5749ACDC" w14:textId="77777777" w:rsidR="00FE6F09" w:rsidRDefault="00435AFB">
      <w:pPr>
        <w:pStyle w:val="P68B1DB1-Normal10"/>
        <w:spacing w:before="120" w:after="120" w:line="240" w:lineRule="auto"/>
        <w:jc w:val="both"/>
        <w:rPr>
          <w:noProof/>
        </w:rPr>
      </w:pPr>
      <w:r>
        <w:rPr>
          <w:noProof/>
        </w:rPr>
        <w:t>Reformă: Electrificarea flotei autorităților și entităților contractante și a transportului public</w:t>
      </w:r>
    </w:p>
    <w:p w14:paraId="40795F38" w14:textId="77777777" w:rsidR="00FE6F09" w:rsidRDefault="00435AFB">
      <w:pPr>
        <w:pStyle w:val="P68B1DB1-Normal4"/>
        <w:spacing w:before="120" w:after="0" w:line="240" w:lineRule="auto"/>
        <w:jc w:val="both"/>
        <w:rPr>
          <w:rFonts w:eastAsia="Times New Roman"/>
          <w:noProof/>
        </w:rPr>
      </w:pPr>
      <w:r>
        <w:rPr>
          <w:noProof/>
        </w:rPr>
        <w:t>Directiva privind vehiculele nepoluante</w:t>
      </w:r>
      <w:r>
        <w:rPr>
          <w:noProof/>
        </w:rPr>
        <w:footnoteReference w:id="2"/>
      </w:r>
      <w:r>
        <w:rPr>
          <w:noProof/>
        </w:rPr>
        <w:t xml:space="preserve"> prevede că statele membre trebuie să se asigure că achizițiile de vehicule ușoare și grele de către autoritățile contractante și entitățile contractante respectă obiectivele naționale minime privind achizițiile de vehicule nepoluante, pe perioade de referință de cinci ani (cel puțin 38,5 % dintre vehiculele ușoare, 45 % dintre autobuzele nepoluante și 10 % dintre vehiculele grele în perioada 2021-2025). </w:t>
      </w:r>
    </w:p>
    <w:p w14:paraId="0B46C562" w14:textId="77777777" w:rsidR="00FE6F09" w:rsidRDefault="00435AFB">
      <w:pPr>
        <w:pStyle w:val="P68B1DB1-Normal15"/>
        <w:spacing w:before="120" w:after="0" w:line="240" w:lineRule="auto"/>
        <w:jc w:val="both"/>
        <w:rPr>
          <w:noProof/>
        </w:rPr>
      </w:pPr>
      <w:r>
        <w:rPr>
          <w:noProof/>
        </w:rPr>
        <w:t xml:space="preserve">Această reformă constă în depășirea acestei obligații, impunând nu numai ca obiectivele minime să fie atinse ca medie națională pentru toate vehiculele achiziționate, ci și ca fiecare autoritate contractantă și entitate contractantă să le îndeplinească în mod individual. </w:t>
      </w:r>
    </w:p>
    <w:p w14:paraId="350EF281" w14:textId="77777777" w:rsidR="00FE6F09" w:rsidRDefault="00435AFB">
      <w:pPr>
        <w:pStyle w:val="P68B1DB1-Normal15"/>
        <w:spacing w:before="120" w:after="0" w:line="240" w:lineRule="auto"/>
        <w:jc w:val="both"/>
        <w:rPr>
          <w:noProof/>
        </w:rPr>
      </w:pPr>
      <w:r>
        <w:rPr>
          <w:noProof/>
        </w:rPr>
        <w:t>În plus, statul luxemburghez, în calitate de autoritate contractantă, și-a stabilit obiective interne mai ambițioase și intenționează să electrifice complet parcul de autobuze exploatate de operatorul de transport public RGTR până în 2030.</w:t>
      </w:r>
    </w:p>
    <w:p w14:paraId="197A17A8" w14:textId="77777777" w:rsidR="00FE6F09" w:rsidRDefault="00FE6F09">
      <w:pPr>
        <w:spacing w:before="120" w:after="0" w:line="240" w:lineRule="auto"/>
        <w:jc w:val="both"/>
        <w:rPr>
          <w:rFonts w:ascii="Times New Roman" w:eastAsia="Times New Roman" w:hAnsi="Times New Roman" w:cs="Times New Roman"/>
          <w:noProof/>
          <w:sz w:val="24"/>
        </w:rPr>
      </w:pPr>
    </w:p>
    <w:p w14:paraId="7BEA44DF" w14:textId="77777777" w:rsidR="00FE6F09" w:rsidRDefault="00435AFB">
      <w:pPr>
        <w:pStyle w:val="P68B1DB1-Normal7"/>
        <w:spacing w:before="120" w:after="120" w:line="240" w:lineRule="auto"/>
        <w:jc w:val="both"/>
        <w:rPr>
          <w:noProof/>
        </w:rPr>
      </w:pPr>
      <w:r>
        <w:rPr>
          <w:noProof/>
        </w:rPr>
        <w:t>Investiții: Schema de sprijin pentru punctele de încărcare</w:t>
      </w:r>
    </w:p>
    <w:p w14:paraId="65610BBB" w14:textId="14B4B750" w:rsidR="00FE6F09" w:rsidRDefault="00435AFB">
      <w:pPr>
        <w:pStyle w:val="P68B1DB1-Normal14"/>
        <w:spacing w:before="120" w:after="0" w:line="240" w:lineRule="auto"/>
        <w:jc w:val="both"/>
        <w:rPr>
          <w:noProof/>
        </w:rPr>
      </w:pPr>
      <w:r>
        <w:rPr>
          <w:noProof/>
        </w:rPr>
        <w:t xml:space="preserve">Această investiție vizează consolidarea rețelei de puncte de încărcare pentru vehiculele electrice în Luxemburg. Această investiție constă în adoptarea unei scheme de sprijin pentru punctele de încărcare, care poate include, fără a se limita la acestea, puncte de încărcare publice, semiprivate sau private. </w:t>
      </w:r>
    </w:p>
    <w:p w14:paraId="570BF45A" w14:textId="77777777" w:rsidR="00FE6F09" w:rsidRDefault="00FE6F09">
      <w:pPr>
        <w:spacing w:before="120" w:after="0" w:line="240" w:lineRule="auto"/>
        <w:jc w:val="both"/>
        <w:rPr>
          <w:rFonts w:ascii="Times New Roman" w:eastAsia="Times New Roman" w:hAnsi="Times New Roman" w:cs="Times New Roman"/>
          <w:noProof/>
          <w:sz w:val="24"/>
          <w:szCs w:val="24"/>
        </w:rPr>
      </w:pPr>
    </w:p>
    <w:p w14:paraId="00A9FE5C" w14:textId="77777777" w:rsidR="00FE6F09" w:rsidRDefault="00FE6F09">
      <w:pPr>
        <w:spacing w:before="120" w:after="0" w:line="240" w:lineRule="auto"/>
        <w:jc w:val="both"/>
        <w:rPr>
          <w:rFonts w:ascii="Times New Roman" w:eastAsia="Calibri" w:hAnsi="Times New Roman" w:cs="Times New Roman"/>
          <w:noProof/>
          <w:color w:val="000000" w:themeColor="text1"/>
          <w:sz w:val="20"/>
          <w:szCs w:val="20"/>
        </w:rPr>
        <w:sectPr w:rsidR="00FE6F09" w:rsidSect="009823F0">
          <w:headerReference w:type="even" r:id="rId50"/>
          <w:headerReference w:type="default" r:id="rId51"/>
          <w:footerReference w:type="even" r:id="rId52"/>
          <w:footerReference w:type="default" r:id="rId53"/>
          <w:headerReference w:type="first" r:id="rId54"/>
          <w:footerReference w:type="first" r:id="rId55"/>
          <w:pgSz w:w="11907" w:h="16839"/>
          <w:pgMar w:top="1134" w:right="1417" w:bottom="1134" w:left="1417" w:header="709" w:footer="709" w:gutter="0"/>
          <w:cols w:space="720"/>
          <w:docGrid w:linePitch="360"/>
        </w:sectPr>
      </w:pPr>
    </w:p>
    <w:p w14:paraId="148FC4D9" w14:textId="77777777" w:rsidR="00FE6F09" w:rsidRDefault="00435AFB">
      <w:pPr>
        <w:pStyle w:val="P68B1DB1-Normal6"/>
        <w:spacing w:before="120" w:after="120" w:line="240" w:lineRule="auto"/>
        <w:jc w:val="center"/>
        <w:rPr>
          <w:bCs/>
          <w:noProof/>
        </w:rPr>
      </w:pPr>
      <w:r>
        <w:rPr>
          <w:noProof/>
        </w:rPr>
        <w:t xml:space="preserve">D.2. </w:t>
      </w:r>
      <w:r>
        <w:rPr>
          <w:noProof/>
        </w:rPr>
        <w:tab/>
        <w:t>Jaloane, ținte, indicatori și calendar pentru monitorizarea și punerea în aplicare a sprijinului financiar nerambursabil</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18"/>
        <w:gridCol w:w="1134"/>
        <w:gridCol w:w="1276"/>
        <w:gridCol w:w="1275"/>
        <w:gridCol w:w="993"/>
        <w:gridCol w:w="992"/>
        <w:gridCol w:w="709"/>
        <w:gridCol w:w="992"/>
        <w:gridCol w:w="992"/>
        <w:gridCol w:w="4592"/>
      </w:tblGrid>
      <w:tr w:rsidR="00FE6F09" w14:paraId="7A2E631D" w14:textId="77777777">
        <w:trPr>
          <w:trHeight w:val="927"/>
          <w:tblHeader/>
          <w:jc w:val="center"/>
        </w:trPr>
        <w:tc>
          <w:tcPr>
            <w:tcW w:w="1129" w:type="dxa"/>
            <w:vMerge w:val="restart"/>
            <w:shd w:val="clear" w:color="auto" w:fill="BDD7EE"/>
            <w:vAlign w:val="center"/>
            <w:hideMark/>
          </w:tcPr>
          <w:p w14:paraId="6A7F7FDD" w14:textId="77777777" w:rsidR="00FE6F09" w:rsidRDefault="00435AFB">
            <w:pPr>
              <w:pStyle w:val="P68B1DB1-Normal8"/>
              <w:spacing w:after="0" w:line="240" w:lineRule="auto"/>
              <w:jc w:val="center"/>
              <w:rPr>
                <w:bCs/>
                <w:noProof/>
              </w:rPr>
            </w:pPr>
            <w:r>
              <w:rPr>
                <w:noProof/>
              </w:rPr>
              <w:t>Număr secvențial</w:t>
            </w:r>
          </w:p>
        </w:tc>
        <w:tc>
          <w:tcPr>
            <w:tcW w:w="1418" w:type="dxa"/>
            <w:vMerge w:val="restart"/>
            <w:shd w:val="clear" w:color="auto" w:fill="BDD7EE"/>
            <w:vAlign w:val="center"/>
            <w:hideMark/>
          </w:tcPr>
          <w:p w14:paraId="38592E1F" w14:textId="77777777" w:rsidR="00FE6F09" w:rsidRDefault="00435AFB">
            <w:pPr>
              <w:pStyle w:val="P68B1DB1-Normal8"/>
              <w:spacing w:after="0" w:line="240" w:lineRule="auto"/>
              <w:jc w:val="center"/>
              <w:rPr>
                <w:bCs/>
                <w:noProof/>
              </w:rPr>
            </w:pPr>
            <w:r>
              <w:rPr>
                <w:noProof/>
              </w:rPr>
              <w:t>Măsură conexă (reformă sau investiție)</w:t>
            </w:r>
          </w:p>
        </w:tc>
        <w:tc>
          <w:tcPr>
            <w:tcW w:w="1134" w:type="dxa"/>
            <w:vMerge w:val="restart"/>
            <w:shd w:val="clear" w:color="auto" w:fill="BDD7EE"/>
            <w:vAlign w:val="center"/>
            <w:hideMark/>
          </w:tcPr>
          <w:p w14:paraId="504B1B8D" w14:textId="712E7AF3" w:rsidR="00FE6F09" w:rsidRDefault="00435AFB">
            <w:pPr>
              <w:pStyle w:val="P68B1DB1-Normal8"/>
              <w:spacing w:after="0" w:line="240" w:lineRule="auto"/>
              <w:jc w:val="center"/>
              <w:rPr>
                <w:bCs/>
                <w:noProof/>
              </w:rPr>
            </w:pPr>
            <w:r>
              <w:rPr>
                <w:noProof/>
              </w:rPr>
              <w:t>Etapa/ținta</w:t>
            </w:r>
          </w:p>
        </w:tc>
        <w:tc>
          <w:tcPr>
            <w:tcW w:w="1276" w:type="dxa"/>
            <w:vMerge w:val="restart"/>
            <w:shd w:val="clear" w:color="auto" w:fill="BDD7EE"/>
            <w:vAlign w:val="center"/>
            <w:hideMark/>
          </w:tcPr>
          <w:p w14:paraId="6C6CC437" w14:textId="77777777" w:rsidR="00FE6F09" w:rsidRDefault="00435AFB">
            <w:pPr>
              <w:pStyle w:val="P68B1DB1-Normal8"/>
              <w:spacing w:after="0" w:line="240" w:lineRule="auto"/>
              <w:jc w:val="center"/>
              <w:rPr>
                <w:bCs/>
                <w:noProof/>
              </w:rPr>
            </w:pPr>
            <w:r>
              <w:rPr>
                <w:noProof/>
              </w:rPr>
              <w:t>Denumire</w:t>
            </w:r>
          </w:p>
        </w:tc>
        <w:tc>
          <w:tcPr>
            <w:tcW w:w="1275" w:type="dxa"/>
            <w:vMerge w:val="restart"/>
            <w:shd w:val="clear" w:color="auto" w:fill="BDD7EE"/>
            <w:vAlign w:val="center"/>
            <w:hideMark/>
          </w:tcPr>
          <w:p w14:paraId="23B06393"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sz w:val="24"/>
              </w:rPr>
              <w:br/>
            </w:r>
            <w:r>
              <w:rPr>
                <w:rFonts w:ascii="Times New Roman" w:eastAsia="Times New Roman" w:hAnsi="Times New Roman" w:cs="Times New Roman"/>
                <w:b/>
                <w:noProof/>
                <w:sz w:val="20"/>
                <w:szCs w:val="20"/>
              </w:rPr>
              <w:t>(pentru jaloane)</w:t>
            </w:r>
          </w:p>
        </w:tc>
        <w:tc>
          <w:tcPr>
            <w:tcW w:w="2694" w:type="dxa"/>
            <w:gridSpan w:val="3"/>
            <w:shd w:val="clear" w:color="auto" w:fill="BDD7EE"/>
            <w:vAlign w:val="center"/>
            <w:hideMark/>
          </w:tcPr>
          <w:p w14:paraId="40E8BFF7"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sz w:val="24"/>
              </w:rPr>
              <w:br/>
            </w:r>
            <w:r>
              <w:rPr>
                <w:rFonts w:ascii="Times New Roman" w:eastAsia="Times New Roman" w:hAnsi="Times New Roman" w:cs="Times New Roman"/>
                <w:b/>
                <w:noProof/>
                <w:sz w:val="20"/>
                <w:szCs w:val="20"/>
              </w:rPr>
              <w:t>(pentru obiective)</w:t>
            </w:r>
          </w:p>
        </w:tc>
        <w:tc>
          <w:tcPr>
            <w:tcW w:w="1984" w:type="dxa"/>
            <w:gridSpan w:val="2"/>
            <w:shd w:val="clear" w:color="auto" w:fill="BDD7EE"/>
            <w:vAlign w:val="center"/>
            <w:hideMark/>
          </w:tcPr>
          <w:p w14:paraId="3C193E19" w14:textId="77777777" w:rsidR="00FE6F09" w:rsidRDefault="00435AFB">
            <w:pPr>
              <w:pStyle w:val="P68B1DB1-Normal8"/>
              <w:spacing w:after="0" w:line="240" w:lineRule="auto"/>
              <w:jc w:val="center"/>
              <w:rPr>
                <w:bCs/>
                <w:noProof/>
              </w:rPr>
            </w:pPr>
            <w:r>
              <w:rPr>
                <w:noProof/>
              </w:rPr>
              <w:t xml:space="preserve">Calendar orientativ pentru finalizare </w:t>
            </w:r>
          </w:p>
        </w:tc>
        <w:tc>
          <w:tcPr>
            <w:tcW w:w="4592" w:type="dxa"/>
            <w:vMerge w:val="restart"/>
            <w:shd w:val="clear" w:color="auto" w:fill="BDD7EE"/>
            <w:vAlign w:val="center"/>
            <w:hideMark/>
          </w:tcPr>
          <w:p w14:paraId="2F7016FB" w14:textId="77777777" w:rsidR="00FE6F09" w:rsidRDefault="00435AFB">
            <w:pPr>
              <w:pStyle w:val="P68B1DB1-Normal8"/>
              <w:spacing w:after="0" w:line="240" w:lineRule="auto"/>
              <w:jc w:val="center"/>
              <w:rPr>
                <w:bCs/>
                <w:noProof/>
              </w:rPr>
            </w:pPr>
            <w:r>
              <w:rPr>
                <w:noProof/>
              </w:rPr>
              <w:t>Descrierea fiecărui jalon și a fiecărei ținte</w:t>
            </w:r>
          </w:p>
        </w:tc>
      </w:tr>
      <w:tr w:rsidR="00FE6F09" w14:paraId="7270806C" w14:textId="77777777">
        <w:trPr>
          <w:trHeight w:val="1013"/>
          <w:jc w:val="center"/>
        </w:trPr>
        <w:tc>
          <w:tcPr>
            <w:tcW w:w="1129" w:type="dxa"/>
            <w:vMerge/>
            <w:vAlign w:val="center"/>
            <w:hideMark/>
          </w:tcPr>
          <w:p w14:paraId="609D37C2" w14:textId="77777777" w:rsidR="00FE6F09" w:rsidRDefault="00FE6F09">
            <w:pPr>
              <w:spacing w:after="0" w:line="240" w:lineRule="auto"/>
              <w:rPr>
                <w:rFonts w:ascii="Times New Roman" w:eastAsia="Times New Roman" w:hAnsi="Times New Roman" w:cs="Times New Roman"/>
                <w:b/>
                <w:noProof/>
                <w:sz w:val="20"/>
                <w:szCs w:val="20"/>
              </w:rPr>
            </w:pPr>
          </w:p>
        </w:tc>
        <w:tc>
          <w:tcPr>
            <w:tcW w:w="1418" w:type="dxa"/>
            <w:vMerge/>
            <w:vAlign w:val="center"/>
            <w:hideMark/>
          </w:tcPr>
          <w:p w14:paraId="0A7100CB" w14:textId="77777777" w:rsidR="00FE6F09" w:rsidRDefault="00FE6F09">
            <w:pPr>
              <w:spacing w:after="0" w:line="240" w:lineRule="auto"/>
              <w:rPr>
                <w:rFonts w:ascii="Times New Roman" w:eastAsia="Times New Roman" w:hAnsi="Times New Roman" w:cs="Times New Roman"/>
                <w:b/>
                <w:noProof/>
                <w:sz w:val="20"/>
                <w:szCs w:val="20"/>
              </w:rPr>
            </w:pPr>
          </w:p>
        </w:tc>
        <w:tc>
          <w:tcPr>
            <w:tcW w:w="1134" w:type="dxa"/>
            <w:vMerge/>
            <w:vAlign w:val="center"/>
            <w:hideMark/>
          </w:tcPr>
          <w:p w14:paraId="2C383421" w14:textId="77777777" w:rsidR="00FE6F09" w:rsidRDefault="00FE6F09">
            <w:pPr>
              <w:spacing w:after="0" w:line="240" w:lineRule="auto"/>
              <w:rPr>
                <w:rFonts w:ascii="Times New Roman" w:eastAsia="Times New Roman" w:hAnsi="Times New Roman" w:cs="Times New Roman"/>
                <w:b/>
                <w:noProof/>
                <w:sz w:val="20"/>
                <w:szCs w:val="20"/>
              </w:rPr>
            </w:pPr>
          </w:p>
        </w:tc>
        <w:tc>
          <w:tcPr>
            <w:tcW w:w="1276" w:type="dxa"/>
            <w:vMerge/>
            <w:vAlign w:val="center"/>
            <w:hideMark/>
          </w:tcPr>
          <w:p w14:paraId="03349B4D" w14:textId="77777777" w:rsidR="00FE6F09" w:rsidRDefault="00FE6F09">
            <w:pPr>
              <w:spacing w:after="0" w:line="240" w:lineRule="auto"/>
              <w:rPr>
                <w:rFonts w:ascii="Times New Roman" w:eastAsia="Times New Roman" w:hAnsi="Times New Roman" w:cs="Times New Roman"/>
                <w:b/>
                <w:noProof/>
                <w:sz w:val="20"/>
                <w:szCs w:val="20"/>
              </w:rPr>
            </w:pPr>
          </w:p>
        </w:tc>
        <w:tc>
          <w:tcPr>
            <w:tcW w:w="1275" w:type="dxa"/>
            <w:vMerge/>
            <w:vAlign w:val="center"/>
            <w:hideMark/>
          </w:tcPr>
          <w:p w14:paraId="14368D20" w14:textId="77777777" w:rsidR="00FE6F09" w:rsidRDefault="00FE6F09">
            <w:pPr>
              <w:spacing w:after="0" w:line="240" w:lineRule="auto"/>
              <w:rPr>
                <w:rFonts w:ascii="Times New Roman" w:eastAsia="Times New Roman" w:hAnsi="Times New Roman" w:cs="Times New Roman"/>
                <w:b/>
                <w:noProof/>
                <w:sz w:val="20"/>
                <w:szCs w:val="20"/>
              </w:rPr>
            </w:pPr>
          </w:p>
        </w:tc>
        <w:tc>
          <w:tcPr>
            <w:tcW w:w="993" w:type="dxa"/>
            <w:shd w:val="clear" w:color="auto" w:fill="BDD7EE"/>
            <w:vAlign w:val="center"/>
            <w:hideMark/>
          </w:tcPr>
          <w:p w14:paraId="0BD0C84B" w14:textId="77777777" w:rsidR="00FE6F09" w:rsidRDefault="00435AFB">
            <w:pPr>
              <w:pStyle w:val="P68B1DB1-Normal8"/>
              <w:spacing w:after="0" w:line="240" w:lineRule="auto"/>
              <w:jc w:val="center"/>
              <w:rPr>
                <w:bCs/>
                <w:noProof/>
              </w:rPr>
            </w:pPr>
            <w:r>
              <w:rPr>
                <w:noProof/>
              </w:rPr>
              <w:t>Unitatea de măsură</w:t>
            </w:r>
          </w:p>
        </w:tc>
        <w:tc>
          <w:tcPr>
            <w:tcW w:w="992" w:type="dxa"/>
            <w:shd w:val="clear" w:color="auto" w:fill="BDD7EE"/>
            <w:vAlign w:val="center"/>
            <w:hideMark/>
          </w:tcPr>
          <w:p w14:paraId="63A08A2F" w14:textId="77777777" w:rsidR="00FE6F09" w:rsidRDefault="00435AFB">
            <w:pPr>
              <w:pStyle w:val="P68B1DB1-Normal8"/>
              <w:spacing w:after="0" w:line="240" w:lineRule="auto"/>
              <w:jc w:val="center"/>
              <w:rPr>
                <w:bCs/>
                <w:noProof/>
              </w:rPr>
            </w:pPr>
            <w:r>
              <w:rPr>
                <w:noProof/>
              </w:rPr>
              <w:t xml:space="preserve">Situația de referință </w:t>
            </w:r>
          </w:p>
        </w:tc>
        <w:tc>
          <w:tcPr>
            <w:tcW w:w="709" w:type="dxa"/>
            <w:shd w:val="clear" w:color="auto" w:fill="BDD7EE"/>
            <w:vAlign w:val="center"/>
            <w:hideMark/>
          </w:tcPr>
          <w:p w14:paraId="20E21BF8" w14:textId="77777777" w:rsidR="00FE6F09" w:rsidRDefault="00435AFB">
            <w:pPr>
              <w:pStyle w:val="P68B1DB1-Normal8"/>
              <w:spacing w:after="0" w:line="240" w:lineRule="auto"/>
              <w:jc w:val="center"/>
              <w:rPr>
                <w:bCs/>
                <w:noProof/>
              </w:rPr>
            </w:pPr>
            <w:r>
              <w:rPr>
                <w:noProof/>
              </w:rPr>
              <w:t xml:space="preserve">Obiectiv </w:t>
            </w:r>
          </w:p>
        </w:tc>
        <w:tc>
          <w:tcPr>
            <w:tcW w:w="992" w:type="dxa"/>
            <w:shd w:val="clear" w:color="auto" w:fill="BDD7EE"/>
            <w:vAlign w:val="center"/>
            <w:hideMark/>
          </w:tcPr>
          <w:p w14:paraId="1D57CC57" w14:textId="77777777" w:rsidR="00FE6F09" w:rsidRDefault="00435AFB">
            <w:pPr>
              <w:pStyle w:val="P68B1DB1-Normal8"/>
              <w:spacing w:after="0" w:line="240" w:lineRule="auto"/>
              <w:jc w:val="center"/>
              <w:rPr>
                <w:bCs/>
                <w:noProof/>
              </w:rPr>
            </w:pPr>
            <w:r>
              <w:rPr>
                <w:noProof/>
              </w:rPr>
              <w:t>Trimestrul</w:t>
            </w:r>
          </w:p>
        </w:tc>
        <w:tc>
          <w:tcPr>
            <w:tcW w:w="992" w:type="dxa"/>
            <w:shd w:val="clear" w:color="auto" w:fill="BDD7EE"/>
            <w:vAlign w:val="center"/>
            <w:hideMark/>
          </w:tcPr>
          <w:p w14:paraId="4C46F7E0" w14:textId="77777777" w:rsidR="00FE6F09" w:rsidRDefault="00435AFB">
            <w:pPr>
              <w:pStyle w:val="P68B1DB1-Normal8"/>
              <w:spacing w:after="0" w:line="240" w:lineRule="auto"/>
              <w:jc w:val="center"/>
              <w:rPr>
                <w:bCs/>
                <w:noProof/>
              </w:rPr>
            </w:pPr>
            <w:r>
              <w:rPr>
                <w:noProof/>
              </w:rPr>
              <w:t>Anul</w:t>
            </w:r>
          </w:p>
        </w:tc>
        <w:tc>
          <w:tcPr>
            <w:tcW w:w="4592" w:type="dxa"/>
            <w:vMerge/>
            <w:vAlign w:val="center"/>
            <w:hideMark/>
          </w:tcPr>
          <w:p w14:paraId="59A03726" w14:textId="77777777" w:rsidR="00FE6F09" w:rsidRDefault="00FE6F09">
            <w:pPr>
              <w:spacing w:after="0" w:line="240" w:lineRule="auto"/>
              <w:jc w:val="both"/>
              <w:rPr>
                <w:rFonts w:ascii="Times New Roman" w:eastAsia="Times New Roman" w:hAnsi="Times New Roman" w:cs="Times New Roman"/>
                <w:b/>
                <w:noProof/>
                <w:sz w:val="20"/>
                <w:szCs w:val="20"/>
              </w:rPr>
            </w:pPr>
          </w:p>
        </w:tc>
      </w:tr>
      <w:tr w:rsidR="00FE6F09" w14:paraId="09E4D498" w14:textId="77777777">
        <w:trPr>
          <w:trHeight w:val="309"/>
          <w:jc w:val="center"/>
        </w:trPr>
        <w:tc>
          <w:tcPr>
            <w:tcW w:w="1129" w:type="dxa"/>
            <w:shd w:val="clear" w:color="auto" w:fill="C6EFCE"/>
            <w:noWrap/>
          </w:tcPr>
          <w:p w14:paraId="60FBA458" w14:textId="77777777" w:rsidR="00FE6F09" w:rsidRDefault="00435AFB">
            <w:pPr>
              <w:pStyle w:val="P68B1DB1-Normal9"/>
              <w:spacing w:after="0" w:line="240" w:lineRule="auto"/>
              <w:jc w:val="center"/>
              <w:rPr>
                <w:noProof/>
              </w:rPr>
            </w:pPr>
            <w:r>
              <w:rPr>
                <w:noProof/>
              </w:rPr>
              <w:t>2A-1</w:t>
            </w:r>
          </w:p>
        </w:tc>
        <w:tc>
          <w:tcPr>
            <w:tcW w:w="1418" w:type="dxa"/>
            <w:shd w:val="clear" w:color="auto" w:fill="C6EFCE"/>
            <w:noWrap/>
          </w:tcPr>
          <w:p w14:paraId="30DCC093" w14:textId="77777777" w:rsidR="00FE6F09" w:rsidRDefault="00435AFB">
            <w:pPr>
              <w:pStyle w:val="P68B1DB1-Normal9"/>
              <w:spacing w:after="0" w:line="240" w:lineRule="auto"/>
              <w:rPr>
                <w:noProof/>
              </w:rPr>
            </w:pPr>
            <w:r>
              <w:rPr>
                <w:noProof/>
              </w:rPr>
              <w:t>Reformă: Electrificarea flotei autorităților și entităților contractante și a transportului public</w:t>
            </w:r>
          </w:p>
        </w:tc>
        <w:tc>
          <w:tcPr>
            <w:tcW w:w="1134" w:type="dxa"/>
            <w:shd w:val="clear" w:color="auto" w:fill="C6EFCE"/>
            <w:noWrap/>
          </w:tcPr>
          <w:p w14:paraId="1FD4A3DE" w14:textId="77777777" w:rsidR="00FE6F09" w:rsidRDefault="00435AFB">
            <w:pPr>
              <w:pStyle w:val="P68B1DB1-Normal9"/>
              <w:spacing w:after="0" w:line="240" w:lineRule="auto"/>
              <w:jc w:val="center"/>
              <w:rPr>
                <w:noProof/>
              </w:rPr>
            </w:pPr>
            <w:r>
              <w:rPr>
                <w:noProof/>
              </w:rPr>
              <w:t>Etapa de referință</w:t>
            </w:r>
          </w:p>
        </w:tc>
        <w:tc>
          <w:tcPr>
            <w:tcW w:w="1276" w:type="dxa"/>
            <w:shd w:val="clear" w:color="auto" w:fill="C6EFCE"/>
            <w:noWrap/>
          </w:tcPr>
          <w:p w14:paraId="3B9F34AB" w14:textId="77777777" w:rsidR="00FE6F09" w:rsidRDefault="00435AFB">
            <w:pPr>
              <w:pStyle w:val="P68B1DB1-Normal9"/>
              <w:spacing w:after="0" w:line="240" w:lineRule="auto"/>
              <w:rPr>
                <w:noProof/>
              </w:rPr>
            </w:pPr>
            <w:r>
              <w:rPr>
                <w:noProof/>
              </w:rPr>
              <w:t xml:space="preserve">Regulamentul Marelui Ducat privind achizițiile publice de vehicule nepoluante </w:t>
            </w:r>
          </w:p>
        </w:tc>
        <w:tc>
          <w:tcPr>
            <w:tcW w:w="1275" w:type="dxa"/>
            <w:shd w:val="clear" w:color="auto" w:fill="C6EFCE"/>
            <w:noWrap/>
          </w:tcPr>
          <w:p w14:paraId="65B466BA" w14:textId="77777777" w:rsidR="00FE6F09" w:rsidRDefault="00435AFB">
            <w:pPr>
              <w:pStyle w:val="P68B1DB1-Normal9"/>
              <w:spacing w:after="0" w:line="240" w:lineRule="auto"/>
              <w:rPr>
                <w:noProof/>
              </w:rPr>
            </w:pPr>
            <w:r>
              <w:rPr>
                <w:noProof/>
              </w:rPr>
              <w:t>Intrarea în vigoare</w:t>
            </w:r>
          </w:p>
        </w:tc>
        <w:tc>
          <w:tcPr>
            <w:tcW w:w="993" w:type="dxa"/>
            <w:shd w:val="clear" w:color="auto" w:fill="C6EFCE"/>
            <w:noWrap/>
          </w:tcPr>
          <w:p w14:paraId="54D5C8E8" w14:textId="77777777" w:rsidR="00FE6F09" w:rsidRDefault="00435AFB">
            <w:pPr>
              <w:pStyle w:val="P68B1DB1-Normal9"/>
              <w:spacing w:after="0" w:line="240" w:lineRule="auto"/>
              <w:jc w:val="center"/>
              <w:rPr>
                <w:noProof/>
              </w:rPr>
            </w:pPr>
            <w:r>
              <w:rPr>
                <w:noProof/>
              </w:rPr>
              <w:t>-</w:t>
            </w:r>
          </w:p>
        </w:tc>
        <w:tc>
          <w:tcPr>
            <w:tcW w:w="992" w:type="dxa"/>
            <w:shd w:val="clear" w:color="auto" w:fill="C6EFCE"/>
            <w:noWrap/>
          </w:tcPr>
          <w:p w14:paraId="2889563B" w14:textId="77777777" w:rsidR="00FE6F09" w:rsidRDefault="00435AFB">
            <w:pPr>
              <w:pStyle w:val="P68B1DB1-Normal9"/>
              <w:spacing w:after="0" w:line="240" w:lineRule="auto"/>
              <w:jc w:val="center"/>
              <w:rPr>
                <w:noProof/>
              </w:rPr>
            </w:pPr>
            <w:r>
              <w:rPr>
                <w:noProof/>
              </w:rPr>
              <w:t>-</w:t>
            </w:r>
          </w:p>
        </w:tc>
        <w:tc>
          <w:tcPr>
            <w:tcW w:w="709" w:type="dxa"/>
            <w:shd w:val="clear" w:color="auto" w:fill="C6EFCE"/>
            <w:noWrap/>
          </w:tcPr>
          <w:p w14:paraId="37BDE921" w14:textId="77777777" w:rsidR="00FE6F09" w:rsidRDefault="00435AFB">
            <w:pPr>
              <w:pStyle w:val="P68B1DB1-Normal9"/>
              <w:spacing w:after="0" w:line="240" w:lineRule="auto"/>
              <w:jc w:val="center"/>
              <w:rPr>
                <w:noProof/>
              </w:rPr>
            </w:pPr>
            <w:r>
              <w:rPr>
                <w:noProof/>
              </w:rPr>
              <w:t>-</w:t>
            </w:r>
          </w:p>
        </w:tc>
        <w:tc>
          <w:tcPr>
            <w:tcW w:w="992" w:type="dxa"/>
            <w:shd w:val="clear" w:color="auto" w:fill="C6EFCE"/>
            <w:noWrap/>
          </w:tcPr>
          <w:p w14:paraId="0BA56CB6" w14:textId="77777777" w:rsidR="00FE6F09" w:rsidRDefault="00435AFB">
            <w:pPr>
              <w:pStyle w:val="P68B1DB1-Normal9"/>
              <w:spacing w:after="0" w:line="240" w:lineRule="auto"/>
              <w:jc w:val="center"/>
              <w:rPr>
                <w:noProof/>
              </w:rPr>
            </w:pPr>
            <w:r>
              <w:rPr>
                <w:noProof/>
              </w:rPr>
              <w:t>T3</w:t>
            </w:r>
          </w:p>
        </w:tc>
        <w:tc>
          <w:tcPr>
            <w:tcW w:w="992" w:type="dxa"/>
            <w:shd w:val="clear" w:color="auto" w:fill="C6EFCE"/>
            <w:noWrap/>
          </w:tcPr>
          <w:p w14:paraId="64482DCC" w14:textId="77777777" w:rsidR="00FE6F09" w:rsidRDefault="00435AFB">
            <w:pPr>
              <w:pStyle w:val="P68B1DB1-Normal9"/>
              <w:spacing w:after="0" w:line="240" w:lineRule="auto"/>
              <w:jc w:val="center"/>
              <w:rPr>
                <w:noProof/>
              </w:rPr>
            </w:pPr>
            <w:r>
              <w:rPr>
                <w:noProof/>
              </w:rPr>
              <w:t>2021</w:t>
            </w:r>
          </w:p>
        </w:tc>
        <w:tc>
          <w:tcPr>
            <w:tcW w:w="4592" w:type="dxa"/>
            <w:shd w:val="clear" w:color="auto" w:fill="C6EFCE"/>
            <w:noWrap/>
          </w:tcPr>
          <w:p w14:paraId="4011E757" w14:textId="77777777" w:rsidR="00FE6F09" w:rsidRDefault="00435AFB">
            <w:pPr>
              <w:pStyle w:val="P68B1DB1-Normal9"/>
              <w:spacing w:after="0" w:line="240" w:lineRule="auto"/>
              <w:jc w:val="both"/>
              <w:rPr>
                <w:noProof/>
              </w:rPr>
            </w:pPr>
            <w:r>
              <w:rPr>
                <w:noProof/>
              </w:rPr>
              <w:t>Intrarea în vigoare a Regulamentului Marelui Ducat de definire a procentelor minime de vehicule nepoluante (vehicule ușoare, autobuze, vehicule grele) dintre vehiculele achiziționate prin contracte de achiziții publice care trebuie atinse de fiecare autoritate contractantă și entitate contractantă în perioada 2021-2025</w:t>
            </w:r>
          </w:p>
        </w:tc>
      </w:tr>
      <w:tr w:rsidR="00FE6F09" w14:paraId="37CDB876" w14:textId="77777777">
        <w:trPr>
          <w:trHeight w:val="309"/>
          <w:jc w:val="center"/>
        </w:trPr>
        <w:tc>
          <w:tcPr>
            <w:tcW w:w="1129" w:type="dxa"/>
            <w:shd w:val="clear" w:color="auto" w:fill="C6EFCE"/>
            <w:noWrap/>
          </w:tcPr>
          <w:p w14:paraId="2ABC727C" w14:textId="77777777" w:rsidR="00FE6F09" w:rsidRDefault="00435AFB">
            <w:pPr>
              <w:pStyle w:val="P68B1DB1-Normal9"/>
              <w:spacing w:after="0" w:line="240" w:lineRule="auto"/>
              <w:jc w:val="center"/>
              <w:rPr>
                <w:noProof/>
              </w:rPr>
            </w:pPr>
            <w:r>
              <w:rPr>
                <w:noProof/>
              </w:rPr>
              <w:t>2A-2</w:t>
            </w:r>
          </w:p>
        </w:tc>
        <w:tc>
          <w:tcPr>
            <w:tcW w:w="1418" w:type="dxa"/>
            <w:shd w:val="clear" w:color="auto" w:fill="C6EFCE"/>
            <w:noWrap/>
          </w:tcPr>
          <w:p w14:paraId="1A80B96B" w14:textId="77777777" w:rsidR="00FE6F09" w:rsidRDefault="00435AFB">
            <w:pPr>
              <w:pStyle w:val="P68B1DB1-Normal9"/>
              <w:spacing w:after="0" w:line="240" w:lineRule="auto"/>
              <w:rPr>
                <w:noProof/>
              </w:rPr>
            </w:pPr>
            <w:r>
              <w:rPr>
                <w:noProof/>
              </w:rPr>
              <w:t>Investiții: Schema de sprijin pentru punctele de încărcare</w:t>
            </w:r>
          </w:p>
        </w:tc>
        <w:tc>
          <w:tcPr>
            <w:tcW w:w="1134" w:type="dxa"/>
            <w:shd w:val="clear" w:color="auto" w:fill="C6EFCE"/>
            <w:noWrap/>
          </w:tcPr>
          <w:p w14:paraId="57560474" w14:textId="77777777" w:rsidR="00FE6F09" w:rsidRDefault="00435AFB">
            <w:pPr>
              <w:pStyle w:val="P68B1DB1-Normal9"/>
              <w:spacing w:after="0" w:line="240" w:lineRule="auto"/>
              <w:jc w:val="center"/>
              <w:rPr>
                <w:noProof/>
              </w:rPr>
            </w:pPr>
            <w:r>
              <w:rPr>
                <w:noProof/>
              </w:rPr>
              <w:t>Etapa de referință</w:t>
            </w:r>
          </w:p>
        </w:tc>
        <w:tc>
          <w:tcPr>
            <w:tcW w:w="1276" w:type="dxa"/>
            <w:shd w:val="clear" w:color="auto" w:fill="C6EFCE"/>
            <w:noWrap/>
          </w:tcPr>
          <w:p w14:paraId="19F5B407" w14:textId="77777777" w:rsidR="00FE6F09" w:rsidRDefault="00435AFB">
            <w:pPr>
              <w:pStyle w:val="P68B1DB1-Normal9"/>
              <w:spacing w:after="0" w:line="240" w:lineRule="auto"/>
              <w:rPr>
                <w:noProof/>
              </w:rPr>
            </w:pPr>
            <w:r>
              <w:rPr>
                <w:noProof/>
              </w:rPr>
              <w:t>Legea privind schema de sprijin pentru punctele de încărcare</w:t>
            </w:r>
          </w:p>
        </w:tc>
        <w:tc>
          <w:tcPr>
            <w:tcW w:w="1275" w:type="dxa"/>
            <w:shd w:val="clear" w:color="auto" w:fill="C6EFCE"/>
            <w:noWrap/>
          </w:tcPr>
          <w:p w14:paraId="02083AE0" w14:textId="77777777" w:rsidR="00FE6F09" w:rsidRDefault="00435AFB">
            <w:pPr>
              <w:pStyle w:val="P68B1DB1-Normal9"/>
              <w:spacing w:after="0" w:line="240" w:lineRule="auto"/>
              <w:rPr>
                <w:noProof/>
              </w:rPr>
            </w:pPr>
            <w:r>
              <w:rPr>
                <w:noProof/>
              </w:rPr>
              <w:t>Intrarea în vigoare</w:t>
            </w:r>
          </w:p>
        </w:tc>
        <w:tc>
          <w:tcPr>
            <w:tcW w:w="993" w:type="dxa"/>
            <w:shd w:val="clear" w:color="auto" w:fill="C6EFCE"/>
            <w:noWrap/>
          </w:tcPr>
          <w:p w14:paraId="10C75E0C" w14:textId="77777777" w:rsidR="00FE6F09" w:rsidRDefault="00435AFB">
            <w:pPr>
              <w:pStyle w:val="P68B1DB1-Normal9"/>
              <w:spacing w:after="0" w:line="240" w:lineRule="auto"/>
              <w:jc w:val="center"/>
              <w:rPr>
                <w:noProof/>
              </w:rPr>
            </w:pPr>
            <w:r>
              <w:rPr>
                <w:noProof/>
              </w:rPr>
              <w:t>-</w:t>
            </w:r>
          </w:p>
        </w:tc>
        <w:tc>
          <w:tcPr>
            <w:tcW w:w="992" w:type="dxa"/>
            <w:shd w:val="clear" w:color="auto" w:fill="C6EFCE"/>
            <w:noWrap/>
          </w:tcPr>
          <w:p w14:paraId="4B6FAE74" w14:textId="77777777" w:rsidR="00FE6F09" w:rsidRDefault="00435AFB">
            <w:pPr>
              <w:pStyle w:val="P68B1DB1-Normal9"/>
              <w:spacing w:after="0" w:line="240" w:lineRule="auto"/>
              <w:jc w:val="center"/>
              <w:rPr>
                <w:noProof/>
              </w:rPr>
            </w:pPr>
            <w:r>
              <w:rPr>
                <w:noProof/>
              </w:rPr>
              <w:t>-</w:t>
            </w:r>
          </w:p>
        </w:tc>
        <w:tc>
          <w:tcPr>
            <w:tcW w:w="709" w:type="dxa"/>
            <w:shd w:val="clear" w:color="auto" w:fill="C6EFCE"/>
            <w:noWrap/>
          </w:tcPr>
          <w:p w14:paraId="16847C8C" w14:textId="77777777" w:rsidR="00FE6F09" w:rsidRDefault="00435AFB">
            <w:pPr>
              <w:pStyle w:val="P68B1DB1-Normal9"/>
              <w:spacing w:after="0" w:line="240" w:lineRule="auto"/>
              <w:jc w:val="center"/>
              <w:rPr>
                <w:noProof/>
              </w:rPr>
            </w:pPr>
            <w:r>
              <w:rPr>
                <w:noProof/>
              </w:rPr>
              <w:t>-</w:t>
            </w:r>
          </w:p>
        </w:tc>
        <w:tc>
          <w:tcPr>
            <w:tcW w:w="992" w:type="dxa"/>
            <w:shd w:val="clear" w:color="auto" w:fill="C6EFCE"/>
            <w:noWrap/>
          </w:tcPr>
          <w:p w14:paraId="73AAC99E" w14:textId="77777777" w:rsidR="00FE6F09" w:rsidRDefault="00435AFB">
            <w:pPr>
              <w:pStyle w:val="P68B1DB1-Normal9"/>
              <w:spacing w:after="0" w:line="240" w:lineRule="auto"/>
              <w:jc w:val="center"/>
              <w:rPr>
                <w:noProof/>
              </w:rPr>
            </w:pPr>
            <w:r>
              <w:rPr>
                <w:noProof/>
              </w:rPr>
              <w:t>Q1</w:t>
            </w:r>
          </w:p>
        </w:tc>
        <w:tc>
          <w:tcPr>
            <w:tcW w:w="992" w:type="dxa"/>
            <w:shd w:val="clear" w:color="auto" w:fill="C6EFCE"/>
            <w:noWrap/>
          </w:tcPr>
          <w:p w14:paraId="7A05AC87" w14:textId="77777777" w:rsidR="00FE6F09" w:rsidRDefault="00435AFB">
            <w:pPr>
              <w:pStyle w:val="P68B1DB1-Normal9"/>
              <w:spacing w:after="0" w:line="240" w:lineRule="auto"/>
              <w:jc w:val="center"/>
              <w:rPr>
                <w:noProof/>
              </w:rPr>
            </w:pPr>
            <w:r>
              <w:rPr>
                <w:noProof/>
              </w:rPr>
              <w:t>2022</w:t>
            </w:r>
          </w:p>
        </w:tc>
        <w:tc>
          <w:tcPr>
            <w:tcW w:w="4592" w:type="dxa"/>
            <w:shd w:val="clear" w:color="auto" w:fill="C6EFCE"/>
            <w:noWrap/>
          </w:tcPr>
          <w:p w14:paraId="46B8BA3E" w14:textId="77777777" w:rsidR="00FE6F09" w:rsidRDefault="00435AFB">
            <w:pPr>
              <w:pStyle w:val="P68B1DB1-Normal9"/>
              <w:spacing w:after="0" w:line="240" w:lineRule="auto"/>
              <w:jc w:val="both"/>
              <w:rPr>
                <w:noProof/>
              </w:rPr>
            </w:pPr>
            <w:r>
              <w:rPr>
                <w:noProof/>
              </w:rPr>
              <w:t>Intrarea în vigoare a legii de instituire a unei scheme de sprijin pentru infrastructura de încărcare pentru vehiculele electrice. Schema de sprijin este pusă la dispoziția întreprinderilor și sprijină punctele de încărcare accesibile publicului sau nu.</w:t>
            </w:r>
          </w:p>
        </w:tc>
      </w:tr>
      <w:tr w:rsidR="00FE6F09" w14:paraId="458EBD32" w14:textId="77777777">
        <w:trPr>
          <w:trHeight w:val="309"/>
          <w:jc w:val="center"/>
        </w:trPr>
        <w:tc>
          <w:tcPr>
            <w:tcW w:w="1129" w:type="dxa"/>
            <w:shd w:val="clear" w:color="auto" w:fill="C6EFCE"/>
            <w:noWrap/>
          </w:tcPr>
          <w:p w14:paraId="6A2A5BD5" w14:textId="77777777" w:rsidR="00FE6F09" w:rsidRDefault="00435AFB">
            <w:pPr>
              <w:pStyle w:val="P68B1DB1-Normal9"/>
              <w:spacing w:after="0" w:line="240" w:lineRule="auto"/>
              <w:jc w:val="center"/>
              <w:rPr>
                <w:noProof/>
              </w:rPr>
            </w:pPr>
            <w:r>
              <w:rPr>
                <w:noProof/>
              </w:rPr>
              <w:t>2A-4</w:t>
            </w:r>
          </w:p>
        </w:tc>
        <w:tc>
          <w:tcPr>
            <w:tcW w:w="1418" w:type="dxa"/>
            <w:shd w:val="clear" w:color="auto" w:fill="C6EFCE"/>
            <w:noWrap/>
          </w:tcPr>
          <w:p w14:paraId="7611F9D4" w14:textId="77777777" w:rsidR="00FE6F09" w:rsidRDefault="00435AFB">
            <w:pPr>
              <w:pStyle w:val="P68B1DB1-Normal9"/>
              <w:spacing w:after="0" w:line="240" w:lineRule="auto"/>
              <w:rPr>
                <w:noProof/>
              </w:rPr>
            </w:pPr>
            <w:r>
              <w:rPr>
                <w:noProof/>
              </w:rPr>
              <w:t>Investiții: Schema de sprijin pentru punctele de încărcare</w:t>
            </w:r>
          </w:p>
        </w:tc>
        <w:tc>
          <w:tcPr>
            <w:tcW w:w="1134" w:type="dxa"/>
            <w:shd w:val="clear" w:color="auto" w:fill="C6EFCE"/>
            <w:noWrap/>
          </w:tcPr>
          <w:p w14:paraId="2AAA3918" w14:textId="77777777" w:rsidR="00FE6F09" w:rsidRDefault="00435AFB">
            <w:pPr>
              <w:pStyle w:val="P68B1DB1-Normal9"/>
              <w:spacing w:after="0" w:line="240" w:lineRule="auto"/>
              <w:jc w:val="center"/>
              <w:rPr>
                <w:noProof/>
              </w:rPr>
            </w:pPr>
            <w:r>
              <w:rPr>
                <w:noProof/>
              </w:rPr>
              <w:t>Țintă</w:t>
            </w:r>
          </w:p>
        </w:tc>
        <w:tc>
          <w:tcPr>
            <w:tcW w:w="1276" w:type="dxa"/>
            <w:shd w:val="clear" w:color="auto" w:fill="C6EFCE"/>
            <w:noWrap/>
          </w:tcPr>
          <w:p w14:paraId="5F5D29F4" w14:textId="77777777" w:rsidR="00FE6F09" w:rsidRDefault="00435AFB">
            <w:pPr>
              <w:pStyle w:val="P68B1DB1-Normal9"/>
              <w:spacing w:after="0" w:line="240" w:lineRule="auto"/>
              <w:rPr>
                <w:noProof/>
              </w:rPr>
            </w:pPr>
            <w:r>
              <w:rPr>
                <w:noProof/>
              </w:rPr>
              <w:t xml:space="preserve">Numărul de puncte de încărcare instalate </w:t>
            </w:r>
          </w:p>
        </w:tc>
        <w:tc>
          <w:tcPr>
            <w:tcW w:w="1275" w:type="dxa"/>
            <w:shd w:val="clear" w:color="auto" w:fill="C6EFCE"/>
            <w:noWrap/>
          </w:tcPr>
          <w:p w14:paraId="141F667C" w14:textId="77777777" w:rsidR="00FE6F09" w:rsidRDefault="00435AFB">
            <w:pPr>
              <w:pStyle w:val="P68B1DB1-Normal9"/>
              <w:spacing w:after="0" w:line="240" w:lineRule="auto"/>
              <w:jc w:val="center"/>
              <w:rPr>
                <w:noProof/>
              </w:rPr>
            </w:pPr>
            <w:r>
              <w:rPr>
                <w:noProof/>
              </w:rPr>
              <w:t>-</w:t>
            </w:r>
          </w:p>
        </w:tc>
        <w:tc>
          <w:tcPr>
            <w:tcW w:w="993" w:type="dxa"/>
            <w:shd w:val="clear" w:color="auto" w:fill="C6EFCE"/>
            <w:noWrap/>
          </w:tcPr>
          <w:p w14:paraId="13AB6BA8" w14:textId="77777777" w:rsidR="00FE6F09" w:rsidRDefault="00435AFB">
            <w:pPr>
              <w:pStyle w:val="P68B1DB1-Normal9"/>
              <w:spacing w:after="0" w:line="240" w:lineRule="auto"/>
              <w:rPr>
                <w:noProof/>
              </w:rPr>
            </w:pPr>
            <w:r>
              <w:rPr>
                <w:noProof/>
              </w:rPr>
              <w:t>Indicatorul de aprovizionare</w:t>
            </w:r>
          </w:p>
        </w:tc>
        <w:tc>
          <w:tcPr>
            <w:tcW w:w="992" w:type="dxa"/>
            <w:shd w:val="clear" w:color="auto" w:fill="C6EFCE"/>
            <w:noWrap/>
          </w:tcPr>
          <w:p w14:paraId="324DBFE2" w14:textId="77777777" w:rsidR="00FE6F09" w:rsidRDefault="00435AFB">
            <w:pPr>
              <w:pStyle w:val="P68B1DB1-Normal9"/>
              <w:spacing w:after="0" w:line="240" w:lineRule="auto"/>
              <w:jc w:val="center"/>
              <w:rPr>
                <w:noProof/>
              </w:rPr>
            </w:pPr>
            <w:r>
              <w:rPr>
                <w:noProof/>
              </w:rPr>
              <w:t>0</w:t>
            </w:r>
          </w:p>
        </w:tc>
        <w:tc>
          <w:tcPr>
            <w:tcW w:w="709" w:type="dxa"/>
            <w:shd w:val="clear" w:color="auto" w:fill="C6EFCE"/>
            <w:noWrap/>
          </w:tcPr>
          <w:p w14:paraId="6BC70F40" w14:textId="77777777" w:rsidR="00FE6F09" w:rsidRDefault="00435AFB">
            <w:pPr>
              <w:pStyle w:val="P68B1DB1-Normal9"/>
              <w:spacing w:after="0" w:line="240" w:lineRule="auto"/>
              <w:jc w:val="center"/>
              <w:rPr>
                <w:noProof/>
              </w:rPr>
            </w:pPr>
            <w:r>
              <w:rPr>
                <w:noProof/>
              </w:rPr>
              <w:t>2 986</w:t>
            </w:r>
          </w:p>
        </w:tc>
        <w:tc>
          <w:tcPr>
            <w:tcW w:w="992" w:type="dxa"/>
            <w:shd w:val="clear" w:color="auto" w:fill="C6EFCE"/>
            <w:noWrap/>
          </w:tcPr>
          <w:p w14:paraId="4EA0F566" w14:textId="77777777" w:rsidR="00FE6F09" w:rsidRDefault="00435AFB">
            <w:pPr>
              <w:pStyle w:val="P68B1DB1-Normal9"/>
              <w:spacing w:after="0" w:line="240" w:lineRule="auto"/>
              <w:jc w:val="center"/>
              <w:rPr>
                <w:noProof/>
              </w:rPr>
            </w:pPr>
            <w:r>
              <w:rPr>
                <w:noProof/>
              </w:rPr>
              <w:t>T4</w:t>
            </w:r>
          </w:p>
        </w:tc>
        <w:tc>
          <w:tcPr>
            <w:tcW w:w="992" w:type="dxa"/>
            <w:shd w:val="clear" w:color="auto" w:fill="C6EFCE"/>
            <w:noWrap/>
          </w:tcPr>
          <w:p w14:paraId="0FF31A4E" w14:textId="77777777" w:rsidR="00FE6F09" w:rsidRDefault="00435AFB">
            <w:pPr>
              <w:pStyle w:val="P68B1DB1-Normal9"/>
              <w:spacing w:after="0" w:line="240" w:lineRule="auto"/>
              <w:jc w:val="center"/>
              <w:rPr>
                <w:noProof/>
              </w:rPr>
            </w:pPr>
            <w:r>
              <w:rPr>
                <w:noProof/>
              </w:rPr>
              <w:t>2025</w:t>
            </w:r>
          </w:p>
        </w:tc>
        <w:tc>
          <w:tcPr>
            <w:tcW w:w="4592" w:type="dxa"/>
            <w:shd w:val="clear" w:color="auto" w:fill="C6EFCE"/>
            <w:noWrap/>
          </w:tcPr>
          <w:p w14:paraId="7C44EA6A" w14:textId="77777777" w:rsidR="00FE6F09" w:rsidRDefault="00435AFB">
            <w:pPr>
              <w:pStyle w:val="P68B1DB1-Normal9"/>
              <w:spacing w:after="0" w:line="240" w:lineRule="auto"/>
              <w:jc w:val="both"/>
              <w:rPr>
                <w:noProof/>
              </w:rPr>
            </w:pPr>
            <w:r>
              <w:rPr>
                <w:noProof/>
              </w:rPr>
              <w:t>Numărul de puncte de încărcare instalate (exprimat ca indicator de alimentare).</w:t>
            </w:r>
          </w:p>
          <w:p w14:paraId="7AE1DAAB" w14:textId="77777777" w:rsidR="00FE6F09" w:rsidRDefault="00435AFB">
            <w:pPr>
              <w:pStyle w:val="P68B1DB1-Normal9"/>
              <w:spacing w:after="0" w:line="240" w:lineRule="auto"/>
              <w:jc w:val="both"/>
              <w:rPr>
                <w:noProof/>
              </w:rPr>
            </w:pPr>
            <w:r>
              <w:rPr>
                <w:noProof/>
              </w:rPr>
              <w:t>„Indicatorul de aprovizionare” se calculează în conformitate cu metodologia definită în raportul Transport &amp; Environment (2020) „Recharge EU: numărul de puncte de încărcare de care vor avea nevoie Europa și statele sale membre în anii 2020, aplicând însă aceeași pondere pentru stațiile de încărcare care nu sunt publice ca și pentru stațiile de încărcare semipublice.</w:t>
            </w:r>
          </w:p>
        </w:tc>
      </w:tr>
    </w:tbl>
    <w:p w14:paraId="0FFCF05F"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56"/>
          <w:headerReference w:type="default" r:id="rId57"/>
          <w:footerReference w:type="even" r:id="rId58"/>
          <w:footerReference w:type="default" r:id="rId59"/>
          <w:headerReference w:type="first" r:id="rId60"/>
          <w:footerReference w:type="first" r:id="rId61"/>
          <w:pgSz w:w="16839" w:h="11907" w:orient="landscape"/>
          <w:pgMar w:top="1417" w:right="1134" w:bottom="1417" w:left="1134" w:header="709" w:footer="709" w:gutter="0"/>
          <w:cols w:space="720"/>
          <w:docGrid w:linePitch="360"/>
        </w:sectPr>
      </w:pPr>
    </w:p>
    <w:p w14:paraId="50E73FEE" w14:textId="77777777" w:rsidR="00FE6F09" w:rsidRDefault="00435AFB">
      <w:pPr>
        <w:pStyle w:val="P68B1DB1-Normal2"/>
        <w:spacing w:before="120" w:after="120" w:line="240" w:lineRule="auto"/>
        <w:jc w:val="both"/>
        <w:rPr>
          <w:bCs/>
          <w:noProof/>
        </w:rPr>
      </w:pPr>
      <w:r>
        <w:rPr>
          <w:noProof/>
        </w:rPr>
        <w:t xml:space="preserve">E. COMPONENTUL 2B: Protecția mediului și a biodiversității </w:t>
      </w:r>
    </w:p>
    <w:p w14:paraId="528C7BAE" w14:textId="77777777" w:rsidR="00FE6F09" w:rsidRDefault="00435AFB">
      <w:pPr>
        <w:pStyle w:val="P68B1DB1-Normal5"/>
        <w:spacing w:before="120" w:after="120" w:line="240" w:lineRule="auto"/>
        <w:jc w:val="both"/>
        <w:rPr>
          <w:rFonts w:eastAsia="Times New Roman"/>
          <w:noProof/>
        </w:rPr>
      </w:pPr>
      <w:r>
        <w:rPr>
          <w:noProof/>
        </w:rPr>
        <w:t xml:space="preserve">Această componentă </w:t>
      </w:r>
      <w:r>
        <w:rPr>
          <w:noProof/>
          <w:color w:val="000000"/>
        </w:rPr>
        <w:t xml:space="preserve">a planului de redresare și reziliență al Luxemburgului </w:t>
      </w:r>
      <w:r>
        <w:rPr>
          <w:noProof/>
        </w:rPr>
        <w:t>urmărește să promoveze biodiversitatea și protecția și conservarea ecosistemelor în Luxemburg, ca modalitate de consolidare a rezilienței, ținând seama în special de legăturile dintre sănătatea umană și sănătatea ecosistemelor. Obiectivele includ refacerea habitatelor, creșterea continuității ecologice și reziliența și refacerea ecosistemelor, precum și sensibilizarea susținută și schimbul de cunoștințe.</w:t>
      </w:r>
    </w:p>
    <w:p w14:paraId="7271A377" w14:textId="77777777" w:rsidR="00FE6F09" w:rsidRDefault="00435AFB">
      <w:pPr>
        <w:pStyle w:val="P68B1DB1-Normal12"/>
        <w:spacing w:before="120" w:after="120" w:line="240" w:lineRule="auto"/>
        <w:jc w:val="both"/>
        <w:rPr>
          <w:rFonts w:ascii="Times New Roman" w:eastAsia="Times New Roman" w:hAnsi="Times New Roman" w:cs="Times New Roman"/>
          <w:noProof/>
        </w:rPr>
      </w:pPr>
      <w:r>
        <w:rPr>
          <w:rFonts w:ascii="Times New Roman" w:eastAsia="Times New Roman" w:hAnsi="Times New Roman" w:cs="Times New Roman"/>
          <w:noProof/>
        </w:rPr>
        <w:t>Componenta constă într-o singură măsură, care cuprinde unele elemente de reformă și unele elemente de investiții, pentru a sprijini eforturile municipalităților în ceea ce privește acțiunile de conservare a mediului natural și a biodiversității.</w:t>
      </w:r>
      <w:r>
        <w:rPr>
          <w:rFonts w:ascii="Times New Roman" w:hAnsi="Times New Roman" w:cs="Times New Roman"/>
          <w:noProof/>
          <w:color w:val="000000"/>
        </w:rPr>
        <w:t xml:space="preserve"> Măsura propune un plan de acțiune care pregătește municipalitățile să abordeze provocările declinului biodiversității și ale degradării ecosistemelor.</w:t>
      </w:r>
    </w:p>
    <w:p w14:paraId="0C990398" w14:textId="77777777" w:rsidR="00FE6F09" w:rsidRDefault="00435AFB">
      <w:pPr>
        <w:pStyle w:val="P68B1DB1-Normal12"/>
        <w:spacing w:before="120" w:after="120" w:line="240"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Deși recomandările specifice fiecărei țări adresate Luxemburgului nu se referă la mediul natural și la biodiversitate ca fiind o provocare specifică pentru această țară, această componentă contribuie, în general, la </w:t>
      </w:r>
      <w:r>
        <w:rPr>
          <w:rFonts w:ascii="Times New Roman" w:hAnsi="Times New Roman" w:cs="Times New Roman"/>
          <w:noProof/>
          <w:color w:val="000000" w:themeColor="text1"/>
        </w:rPr>
        <w:t>Recomandarea specifică fiecărei țări</w:t>
      </w:r>
      <w:r>
        <w:rPr>
          <w:rFonts w:ascii="Times New Roman" w:eastAsia="Times New Roman" w:hAnsi="Times New Roman" w:cs="Times New Roman"/>
          <w:noProof/>
        </w:rPr>
        <w:t xml:space="preserve"> nr. 3 din 2020 privind „concentrarea investițiilor asupra tranziției verzi (…)”.</w:t>
      </w:r>
    </w:p>
    <w:p w14:paraId="652B9F54" w14:textId="77777777" w:rsidR="00FE6F09" w:rsidRDefault="00435AFB">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558C53CC" w14:textId="77777777" w:rsidR="00FE6F09" w:rsidRDefault="00FE6F09">
      <w:pPr>
        <w:spacing w:before="120" w:after="120" w:line="240" w:lineRule="auto"/>
        <w:jc w:val="both"/>
        <w:rPr>
          <w:rFonts w:ascii="Times New Roman" w:hAnsi="Times New Roman" w:cs="Times New Roman"/>
          <w:noProof/>
          <w:sz w:val="24"/>
        </w:rPr>
      </w:pPr>
    </w:p>
    <w:p w14:paraId="0377A3BD" w14:textId="77777777" w:rsidR="00FE6F09" w:rsidRDefault="00435AFB">
      <w:pPr>
        <w:pStyle w:val="P68B1DB1-Normal6"/>
        <w:spacing w:before="120" w:after="120" w:line="240" w:lineRule="auto"/>
        <w:jc w:val="both"/>
        <w:rPr>
          <w:bCs/>
          <w:noProof/>
        </w:rPr>
      </w:pPr>
      <w:r>
        <w:rPr>
          <w:noProof/>
        </w:rPr>
        <w:t xml:space="preserve">E.1. </w:t>
      </w:r>
      <w:r>
        <w:rPr>
          <w:noProof/>
        </w:rPr>
        <w:tab/>
        <w:t>Descrierea reformelor și a investițiilor pentru sprijinul financiar nerambursabil</w:t>
      </w:r>
    </w:p>
    <w:p w14:paraId="1FD128FC" w14:textId="77777777" w:rsidR="00FE6F09" w:rsidRDefault="00435AFB">
      <w:pPr>
        <w:pStyle w:val="P68B1DB1-Normal7"/>
        <w:spacing w:before="120" w:after="120" w:line="240" w:lineRule="auto"/>
        <w:jc w:val="both"/>
        <w:rPr>
          <w:noProof/>
        </w:rPr>
      </w:pPr>
      <w:r>
        <w:rPr>
          <w:noProof/>
        </w:rPr>
        <w:t xml:space="preserve">Reforme și investiții: </w:t>
      </w:r>
      <w:r>
        <w:rPr>
          <w:i/>
          <w:noProof/>
        </w:rPr>
        <w:t>„Naturpakt”</w:t>
      </w:r>
    </w:p>
    <w:p w14:paraId="361DFC2D" w14:textId="77777777" w:rsidR="00FE6F09" w:rsidRDefault="00435AFB">
      <w:pPr>
        <w:pStyle w:val="P68B1DB1-Normal15"/>
        <w:spacing w:before="120" w:after="120" w:line="240" w:lineRule="auto"/>
        <w:jc w:val="both"/>
        <w:rPr>
          <w:noProof/>
          <w:szCs w:val="24"/>
        </w:rPr>
      </w:pPr>
      <w:r>
        <w:rPr>
          <w:noProof/>
        </w:rPr>
        <w:t xml:space="preserve">Măsura urmărește să încurajeze municipalitățile să se implice în acțiuni de protecție a mediului natural și a biodiversității. </w:t>
      </w:r>
      <w:r>
        <w:rPr>
          <w:noProof/>
          <w:szCs w:val="24"/>
        </w:rPr>
        <w:t xml:space="preserve">Măsura constă în sprijinirea municipalităților care semnează un contract </w:t>
      </w:r>
      <w:r>
        <w:rPr>
          <w:i/>
          <w:noProof/>
          <w:szCs w:val="24"/>
        </w:rPr>
        <w:t>„Naturpakt”</w:t>
      </w:r>
      <w:r>
        <w:rPr>
          <w:noProof/>
          <w:szCs w:val="24"/>
        </w:rPr>
        <w:t xml:space="preserve"> cu statul și care obțin certificarea pentru performanța lor. </w:t>
      </w:r>
    </w:p>
    <w:p w14:paraId="37601FC4" w14:textId="77777777" w:rsidR="00FE6F09" w:rsidRDefault="00FE6F09">
      <w:pPr>
        <w:spacing w:before="120" w:after="120" w:line="240" w:lineRule="auto"/>
        <w:jc w:val="both"/>
        <w:rPr>
          <w:rFonts w:ascii="Times New Roman" w:hAnsi="Times New Roman" w:cs="Times New Roman"/>
          <w:noProof/>
          <w:sz w:val="24"/>
          <w:u w:val="single"/>
        </w:rPr>
        <w:sectPr w:rsidR="00FE6F09" w:rsidSect="009823F0">
          <w:headerReference w:type="even" r:id="rId62"/>
          <w:headerReference w:type="default" r:id="rId63"/>
          <w:footerReference w:type="even" r:id="rId64"/>
          <w:footerReference w:type="default" r:id="rId65"/>
          <w:headerReference w:type="first" r:id="rId66"/>
          <w:footerReference w:type="first" r:id="rId67"/>
          <w:pgSz w:w="11907" w:h="16839"/>
          <w:pgMar w:top="1134" w:right="1417" w:bottom="1134" w:left="1417" w:header="709" w:footer="709" w:gutter="0"/>
          <w:cols w:space="720"/>
          <w:docGrid w:linePitch="360"/>
        </w:sectPr>
      </w:pPr>
    </w:p>
    <w:p w14:paraId="7DAF7EBC" w14:textId="77777777" w:rsidR="00FE6F09" w:rsidRDefault="00435AFB">
      <w:pPr>
        <w:pStyle w:val="P68B1DB1-Normal6"/>
        <w:spacing w:before="120" w:after="120" w:line="240" w:lineRule="auto"/>
        <w:jc w:val="center"/>
        <w:rPr>
          <w:bCs/>
          <w:noProof/>
        </w:rPr>
      </w:pPr>
      <w:r>
        <w:rPr>
          <w:noProof/>
        </w:rPr>
        <w:t xml:space="preserve">E.2. </w:t>
      </w:r>
      <w:r>
        <w:rPr>
          <w:noProof/>
        </w:rPr>
        <w:tab/>
        <w:t>Jaloane, ținte, indicatori și calendar pentru monitorizarea și punerea în aplicare a sprijinului financiar nerambursabil</w:t>
      </w:r>
    </w:p>
    <w:tbl>
      <w:tblPr>
        <w:tblW w:w="15502" w:type="dxa"/>
        <w:jc w:val="center"/>
        <w:tblLayout w:type="fixed"/>
        <w:tblLook w:val="04A0" w:firstRow="1" w:lastRow="0" w:firstColumn="1" w:lastColumn="0" w:noHBand="0" w:noVBand="1"/>
      </w:tblPr>
      <w:tblGrid>
        <w:gridCol w:w="1129"/>
        <w:gridCol w:w="1305"/>
        <w:gridCol w:w="1134"/>
        <w:gridCol w:w="1417"/>
        <w:gridCol w:w="1279"/>
        <w:gridCol w:w="1244"/>
        <w:gridCol w:w="709"/>
        <w:gridCol w:w="710"/>
        <w:gridCol w:w="991"/>
        <w:gridCol w:w="10"/>
        <w:gridCol w:w="699"/>
        <w:gridCol w:w="4875"/>
      </w:tblGrid>
      <w:tr w:rsidR="00FE6F09" w14:paraId="2F358902" w14:textId="77777777">
        <w:trPr>
          <w:trHeight w:val="927"/>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9DFF03" w14:textId="77777777" w:rsidR="00FE6F09" w:rsidRDefault="00435AFB">
            <w:pPr>
              <w:pStyle w:val="P68B1DB1-Normal8"/>
              <w:spacing w:after="0" w:line="240" w:lineRule="auto"/>
              <w:jc w:val="center"/>
              <w:rPr>
                <w:bCs/>
                <w:noProof/>
              </w:rPr>
            </w:pPr>
            <w:r>
              <w:rPr>
                <w:noProof/>
              </w:rPr>
              <w:t>Număr secvențial</w:t>
            </w:r>
          </w:p>
        </w:tc>
        <w:tc>
          <w:tcPr>
            <w:tcW w:w="13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4CF4B9" w14:textId="77777777" w:rsidR="00FE6F09" w:rsidRDefault="00435AFB">
            <w:pPr>
              <w:pStyle w:val="P68B1DB1-Normal8"/>
              <w:spacing w:after="0" w:line="240" w:lineRule="auto"/>
              <w:jc w:val="center"/>
              <w:rPr>
                <w:bCs/>
                <w:noProof/>
              </w:rPr>
            </w:pPr>
            <w:r>
              <w:rPr>
                <w:noProof/>
              </w:rPr>
              <w:t>Măsură conexă (reformă sau investiție)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5546DC" w14:textId="057717C1" w:rsidR="00FE6F09" w:rsidRDefault="00435AFB">
            <w:pPr>
              <w:pStyle w:val="P68B1DB1-Normal8"/>
              <w:spacing w:after="0" w:line="240" w:lineRule="auto"/>
              <w:jc w:val="center"/>
              <w:rPr>
                <w:bCs/>
                <w:noProof/>
              </w:rPr>
            </w:pPr>
            <w:r>
              <w:rPr>
                <w:noProof/>
              </w:rPr>
              <w:t>Etapa/ținta</w:t>
            </w:r>
          </w:p>
        </w:tc>
        <w:tc>
          <w:tcPr>
            <w:tcW w:w="1417" w:type="dxa"/>
            <w:vMerge w:val="restart"/>
            <w:tcBorders>
              <w:top w:val="single" w:sz="4" w:space="0" w:color="auto"/>
              <w:left w:val="nil"/>
              <w:bottom w:val="single" w:sz="4" w:space="0" w:color="auto"/>
              <w:right w:val="single" w:sz="4" w:space="0" w:color="auto"/>
            </w:tcBorders>
            <w:shd w:val="clear" w:color="auto" w:fill="BDD7EE"/>
            <w:vAlign w:val="center"/>
            <w:hideMark/>
          </w:tcPr>
          <w:p w14:paraId="318C1DBF" w14:textId="77777777" w:rsidR="00FE6F09" w:rsidRDefault="00435AFB">
            <w:pPr>
              <w:pStyle w:val="P68B1DB1-Normal8"/>
              <w:spacing w:after="0" w:line="240" w:lineRule="auto"/>
              <w:jc w:val="center"/>
              <w:rPr>
                <w:bCs/>
                <w:noProof/>
              </w:rPr>
            </w:pPr>
            <w:r>
              <w:rPr>
                <w:noProof/>
              </w:rPr>
              <w:t>Denumire</w:t>
            </w:r>
          </w:p>
        </w:tc>
        <w:tc>
          <w:tcPr>
            <w:tcW w:w="12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5DE839"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sz w:val="24"/>
              </w:rPr>
              <w:br/>
            </w:r>
            <w:r>
              <w:rPr>
                <w:rFonts w:ascii="Times New Roman" w:eastAsia="Times New Roman" w:hAnsi="Times New Roman" w:cs="Times New Roman"/>
                <w:b/>
                <w:noProof/>
                <w:sz w:val="20"/>
                <w:szCs w:val="20"/>
              </w:rPr>
              <w:t>(pentru jaloane)</w:t>
            </w:r>
          </w:p>
        </w:tc>
        <w:tc>
          <w:tcPr>
            <w:tcW w:w="2663" w:type="dxa"/>
            <w:gridSpan w:val="3"/>
            <w:tcBorders>
              <w:top w:val="single" w:sz="4" w:space="0" w:color="auto"/>
              <w:left w:val="nil"/>
              <w:bottom w:val="single" w:sz="4" w:space="0" w:color="auto"/>
              <w:right w:val="single" w:sz="4" w:space="0" w:color="auto"/>
            </w:tcBorders>
            <w:shd w:val="clear" w:color="auto" w:fill="BDD7EE"/>
            <w:vAlign w:val="center"/>
            <w:hideMark/>
          </w:tcPr>
          <w:p w14:paraId="18A2C99F"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sz w:val="24"/>
              </w:rPr>
              <w:br/>
            </w:r>
            <w:r>
              <w:rPr>
                <w:rFonts w:ascii="Times New Roman" w:eastAsia="Times New Roman" w:hAnsi="Times New Roman" w:cs="Times New Roman"/>
                <w:b/>
                <w:noProof/>
                <w:sz w:val="20"/>
                <w:szCs w:val="20"/>
              </w:rPr>
              <w:t>(pentru obiective)</w:t>
            </w:r>
          </w:p>
        </w:tc>
        <w:tc>
          <w:tcPr>
            <w:tcW w:w="1700" w:type="dxa"/>
            <w:gridSpan w:val="3"/>
            <w:tcBorders>
              <w:top w:val="single" w:sz="4" w:space="0" w:color="auto"/>
              <w:left w:val="nil"/>
              <w:bottom w:val="single" w:sz="4" w:space="0" w:color="auto"/>
              <w:right w:val="single" w:sz="4" w:space="0" w:color="auto"/>
            </w:tcBorders>
            <w:shd w:val="clear" w:color="auto" w:fill="BDD7EE"/>
            <w:vAlign w:val="center"/>
            <w:hideMark/>
          </w:tcPr>
          <w:p w14:paraId="381D965B" w14:textId="1F2FBC1B" w:rsidR="00FE6F09" w:rsidRDefault="00435AFB">
            <w:pPr>
              <w:pStyle w:val="P68B1DB1-Normal8"/>
              <w:spacing w:after="0" w:line="240" w:lineRule="auto"/>
              <w:jc w:val="center"/>
              <w:rPr>
                <w:bCs/>
                <w:noProof/>
              </w:rPr>
            </w:pPr>
            <w:r>
              <w:rPr>
                <w:noProof/>
              </w:rPr>
              <w:t>Calendar orientativ pentru finalizare</w:t>
            </w:r>
          </w:p>
        </w:tc>
        <w:tc>
          <w:tcPr>
            <w:tcW w:w="48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1DE05F" w14:textId="77777777" w:rsidR="00FE6F09" w:rsidRDefault="00435AFB">
            <w:pPr>
              <w:pStyle w:val="P68B1DB1-Normal8"/>
              <w:spacing w:after="0" w:line="240" w:lineRule="auto"/>
              <w:jc w:val="center"/>
              <w:rPr>
                <w:bCs/>
                <w:noProof/>
              </w:rPr>
            </w:pPr>
            <w:r>
              <w:rPr>
                <w:noProof/>
              </w:rPr>
              <w:t>Descrierea fiecărui jalon și a fiecărei ținte</w:t>
            </w:r>
          </w:p>
        </w:tc>
      </w:tr>
      <w:tr w:rsidR="00FE6F09" w14:paraId="430B1D0B" w14:textId="77777777">
        <w:trPr>
          <w:trHeight w:val="10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3D5EC2B"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hideMark/>
          </w:tcPr>
          <w:p w14:paraId="30D1EA50" w14:textId="77777777" w:rsidR="00FE6F09" w:rsidRDefault="00FE6F09">
            <w:pPr>
              <w:spacing w:after="0" w:line="240" w:lineRule="auto"/>
              <w:rPr>
                <w:rFonts w:ascii="Times New Roman" w:eastAsia="Times New Roman" w:hAnsi="Times New Roman" w:cs="Times New Roman"/>
                <w:b/>
                <w:noProof/>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016DDDA" w14:textId="77777777" w:rsidR="00FE6F09" w:rsidRDefault="00FE6F09">
            <w:pPr>
              <w:spacing w:after="0" w:line="240" w:lineRule="auto"/>
              <w:rPr>
                <w:rFonts w:ascii="Times New Roman" w:eastAsia="Times New Roman" w:hAnsi="Times New Roman" w:cs="Times New Roman"/>
                <w:b/>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8499F0F" w14:textId="77777777" w:rsidR="00FE6F09" w:rsidRDefault="00FE6F09">
            <w:pPr>
              <w:spacing w:after="0" w:line="240" w:lineRule="auto"/>
              <w:rPr>
                <w:rFonts w:ascii="Times New Roman" w:eastAsia="Times New Roman" w:hAnsi="Times New Roman" w:cs="Times New Roman"/>
                <w:b/>
                <w:noProof/>
                <w:sz w:val="20"/>
                <w:szCs w:val="20"/>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14:paraId="0B67B209" w14:textId="77777777" w:rsidR="00FE6F09" w:rsidRDefault="00FE6F09">
            <w:pPr>
              <w:spacing w:after="0" w:line="240" w:lineRule="auto"/>
              <w:rPr>
                <w:rFonts w:ascii="Times New Roman" w:eastAsia="Times New Roman" w:hAnsi="Times New Roman" w:cs="Times New Roman"/>
                <w:b/>
                <w:noProof/>
                <w:sz w:val="20"/>
                <w:szCs w:val="20"/>
              </w:rPr>
            </w:pPr>
          </w:p>
        </w:tc>
        <w:tc>
          <w:tcPr>
            <w:tcW w:w="124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25AB27" w14:textId="77777777" w:rsidR="00FE6F09" w:rsidRDefault="00435AFB">
            <w:pPr>
              <w:pStyle w:val="P68B1DB1-Normal8"/>
              <w:spacing w:after="0" w:line="240" w:lineRule="auto"/>
              <w:jc w:val="center"/>
              <w:rPr>
                <w:bCs/>
                <w:noProof/>
              </w:rPr>
            </w:pPr>
            <w:r>
              <w:rPr>
                <w:noProof/>
              </w:rPr>
              <w:t>Unitatea de măsură</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23BB12" w14:textId="05502D28" w:rsidR="00FE6F09" w:rsidRDefault="00435AFB">
            <w:pPr>
              <w:pStyle w:val="P68B1DB1-Normal8"/>
              <w:spacing w:after="0" w:line="240" w:lineRule="auto"/>
              <w:jc w:val="center"/>
              <w:rPr>
                <w:bCs/>
                <w:noProof/>
              </w:rPr>
            </w:pPr>
            <w:r>
              <w:rPr>
                <w:noProof/>
              </w:rPr>
              <w:t>Situația de referință</w:t>
            </w:r>
          </w:p>
        </w:tc>
        <w:tc>
          <w:tcPr>
            <w:tcW w:w="71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CC893D" w14:textId="6FE106BC" w:rsidR="00FE6F09" w:rsidRDefault="00435AFB">
            <w:pPr>
              <w:pStyle w:val="P68B1DB1-Normal8"/>
              <w:spacing w:after="0" w:line="240" w:lineRule="auto"/>
              <w:jc w:val="center"/>
              <w:rPr>
                <w:bCs/>
                <w:noProof/>
              </w:rPr>
            </w:pPr>
            <w:r>
              <w:rPr>
                <w:noProof/>
              </w:rPr>
              <w:t>Obiectiv</w:t>
            </w:r>
          </w:p>
        </w:tc>
        <w:tc>
          <w:tcPr>
            <w:tcW w:w="9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B9D1FC" w14:textId="77777777" w:rsidR="00FE6F09" w:rsidRDefault="00435AFB">
            <w:pPr>
              <w:pStyle w:val="P68B1DB1-Normal8"/>
              <w:spacing w:after="0" w:line="240" w:lineRule="auto"/>
              <w:jc w:val="center"/>
              <w:rPr>
                <w:bCs/>
                <w:noProof/>
              </w:rPr>
            </w:pPr>
            <w:r>
              <w:rPr>
                <w:noProof/>
              </w:rPr>
              <w:t>Trimestrul</w:t>
            </w:r>
          </w:p>
        </w:tc>
        <w:tc>
          <w:tcPr>
            <w:tcW w:w="70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1B98EE2" w14:textId="77777777" w:rsidR="00FE6F09" w:rsidRDefault="00435AFB">
            <w:pPr>
              <w:pStyle w:val="P68B1DB1-Normal8"/>
              <w:spacing w:after="0" w:line="240" w:lineRule="auto"/>
              <w:jc w:val="center"/>
              <w:rPr>
                <w:bCs/>
                <w:noProof/>
              </w:rPr>
            </w:pPr>
            <w:r>
              <w:rPr>
                <w:noProof/>
              </w:rPr>
              <w:t>Anul</w:t>
            </w:r>
          </w:p>
        </w:tc>
        <w:tc>
          <w:tcPr>
            <w:tcW w:w="4875" w:type="dxa"/>
            <w:vMerge/>
            <w:tcBorders>
              <w:top w:val="single" w:sz="4" w:space="0" w:color="auto"/>
              <w:left w:val="single" w:sz="4" w:space="0" w:color="auto"/>
              <w:bottom w:val="single" w:sz="4" w:space="0" w:color="auto"/>
              <w:right w:val="single" w:sz="4" w:space="0" w:color="auto"/>
            </w:tcBorders>
            <w:vAlign w:val="center"/>
            <w:hideMark/>
          </w:tcPr>
          <w:p w14:paraId="16AB41E1" w14:textId="77777777" w:rsidR="00FE6F09" w:rsidRDefault="00FE6F09">
            <w:pPr>
              <w:spacing w:after="0" w:line="240" w:lineRule="auto"/>
              <w:jc w:val="both"/>
              <w:rPr>
                <w:rFonts w:ascii="Times New Roman" w:eastAsia="Times New Roman" w:hAnsi="Times New Roman" w:cs="Times New Roman"/>
                <w:b/>
                <w:noProof/>
                <w:sz w:val="20"/>
                <w:szCs w:val="20"/>
              </w:rPr>
            </w:pPr>
          </w:p>
        </w:tc>
      </w:tr>
      <w:tr w:rsidR="00FE6F09" w14:paraId="5BE19A05"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C6613B4" w14:textId="77777777" w:rsidR="00FE6F09" w:rsidRDefault="00435AFB">
            <w:pPr>
              <w:pStyle w:val="P68B1DB1-Normal9"/>
              <w:spacing w:after="0" w:line="240" w:lineRule="auto"/>
              <w:jc w:val="center"/>
              <w:rPr>
                <w:noProof/>
              </w:rPr>
            </w:pPr>
            <w:r>
              <w:rPr>
                <w:noProof/>
              </w:rPr>
              <w:t>2B-1</w:t>
            </w:r>
          </w:p>
        </w:tc>
        <w:tc>
          <w:tcPr>
            <w:tcW w:w="1305" w:type="dxa"/>
            <w:tcBorders>
              <w:top w:val="single" w:sz="4" w:space="0" w:color="auto"/>
              <w:left w:val="nil"/>
              <w:bottom w:val="single" w:sz="4" w:space="0" w:color="auto"/>
              <w:right w:val="single" w:sz="4" w:space="0" w:color="auto"/>
            </w:tcBorders>
            <w:shd w:val="clear" w:color="auto" w:fill="C6EFCE"/>
            <w:noWrap/>
          </w:tcPr>
          <w:p w14:paraId="130E98AA" w14:textId="77777777" w:rsidR="00FE6F09" w:rsidRDefault="00435AFB">
            <w:pPr>
              <w:pStyle w:val="P68B1DB1-Normal9"/>
              <w:spacing w:after="0" w:line="240" w:lineRule="auto"/>
              <w:rPr>
                <w:noProof/>
              </w:rPr>
            </w:pPr>
            <w:r>
              <w:rPr>
                <w:noProof/>
              </w:rPr>
              <w:t xml:space="preserve">Reforme și investiții: </w:t>
            </w:r>
            <w:r>
              <w:rPr>
                <w:i/>
                <w:noProof/>
              </w:rPr>
              <w:t>„Naturpakt”</w:t>
            </w:r>
          </w:p>
        </w:tc>
        <w:tc>
          <w:tcPr>
            <w:tcW w:w="1134" w:type="dxa"/>
            <w:tcBorders>
              <w:top w:val="single" w:sz="4" w:space="0" w:color="auto"/>
              <w:left w:val="nil"/>
              <w:bottom w:val="single" w:sz="4" w:space="0" w:color="auto"/>
              <w:right w:val="single" w:sz="4" w:space="0" w:color="auto"/>
            </w:tcBorders>
            <w:shd w:val="clear" w:color="auto" w:fill="C6EFCE"/>
            <w:noWrap/>
          </w:tcPr>
          <w:p w14:paraId="3203750B" w14:textId="77777777" w:rsidR="00FE6F09" w:rsidRDefault="00435AFB">
            <w:pPr>
              <w:pStyle w:val="P68B1DB1-Normal9"/>
              <w:spacing w:after="0" w:line="240" w:lineRule="auto"/>
              <w:jc w:val="center"/>
              <w:rPr>
                <w:noProof/>
              </w:rPr>
            </w:pPr>
            <w:r>
              <w:rPr>
                <w:noProof/>
              </w:rPr>
              <w:t>Etapa de referință</w:t>
            </w:r>
          </w:p>
        </w:tc>
        <w:tc>
          <w:tcPr>
            <w:tcW w:w="1417" w:type="dxa"/>
            <w:tcBorders>
              <w:top w:val="single" w:sz="4" w:space="0" w:color="auto"/>
              <w:left w:val="nil"/>
              <w:bottom w:val="single" w:sz="4" w:space="0" w:color="auto"/>
              <w:right w:val="single" w:sz="4" w:space="0" w:color="auto"/>
            </w:tcBorders>
            <w:shd w:val="clear" w:color="auto" w:fill="C6EFCE"/>
            <w:noWrap/>
          </w:tcPr>
          <w:p w14:paraId="49AE052E" w14:textId="77777777" w:rsidR="00FE6F09" w:rsidRDefault="00435AFB">
            <w:pPr>
              <w:pStyle w:val="P68B1DB1-Normal9"/>
              <w:spacing w:after="0" w:line="240" w:lineRule="auto"/>
              <w:rPr>
                <w:noProof/>
              </w:rPr>
            </w:pPr>
            <w:r>
              <w:rPr>
                <w:noProof/>
              </w:rPr>
              <w:t>Finalizarea catalogului de măsuri</w:t>
            </w:r>
          </w:p>
        </w:tc>
        <w:tc>
          <w:tcPr>
            <w:tcW w:w="1279" w:type="dxa"/>
            <w:tcBorders>
              <w:top w:val="single" w:sz="4" w:space="0" w:color="auto"/>
              <w:left w:val="nil"/>
              <w:bottom w:val="single" w:sz="4" w:space="0" w:color="auto"/>
              <w:right w:val="single" w:sz="4" w:space="0" w:color="auto"/>
            </w:tcBorders>
            <w:shd w:val="clear" w:color="auto" w:fill="C6EFCE"/>
            <w:noWrap/>
          </w:tcPr>
          <w:p w14:paraId="34099BEA" w14:textId="77777777" w:rsidR="00FE6F09" w:rsidRDefault="00435AFB">
            <w:pPr>
              <w:pStyle w:val="P68B1DB1-Normal9"/>
              <w:spacing w:after="0" w:line="240" w:lineRule="auto"/>
              <w:jc w:val="both"/>
              <w:rPr>
                <w:noProof/>
              </w:rPr>
            </w:pPr>
            <w:r>
              <w:rPr>
                <w:noProof/>
              </w:rPr>
              <w:t>Publicare</w:t>
            </w:r>
          </w:p>
        </w:tc>
        <w:tc>
          <w:tcPr>
            <w:tcW w:w="1244" w:type="dxa"/>
            <w:tcBorders>
              <w:top w:val="single" w:sz="4" w:space="0" w:color="auto"/>
              <w:left w:val="nil"/>
              <w:bottom w:val="single" w:sz="4" w:space="0" w:color="auto"/>
              <w:right w:val="single" w:sz="4" w:space="0" w:color="auto"/>
            </w:tcBorders>
            <w:shd w:val="clear" w:color="auto" w:fill="C6EFCE"/>
            <w:noWrap/>
          </w:tcPr>
          <w:p w14:paraId="6FAF308E" w14:textId="77777777" w:rsidR="00FE6F09" w:rsidRDefault="00435AFB">
            <w:pPr>
              <w:pStyle w:val="P68B1DB1-Normal9"/>
              <w:spacing w:after="0" w:line="240" w:lineRule="auto"/>
              <w:jc w:val="center"/>
              <w:rPr>
                <w:noProof/>
              </w:rPr>
            </w:pPr>
            <w:r>
              <w:rPr>
                <w:noProof/>
              </w:rPr>
              <w:t>-</w:t>
            </w:r>
          </w:p>
        </w:tc>
        <w:tc>
          <w:tcPr>
            <w:tcW w:w="709" w:type="dxa"/>
            <w:tcBorders>
              <w:top w:val="single" w:sz="4" w:space="0" w:color="auto"/>
              <w:left w:val="nil"/>
              <w:bottom w:val="single" w:sz="4" w:space="0" w:color="auto"/>
              <w:right w:val="single" w:sz="4" w:space="0" w:color="auto"/>
            </w:tcBorders>
            <w:shd w:val="clear" w:color="auto" w:fill="C6EFCE"/>
            <w:noWrap/>
          </w:tcPr>
          <w:p w14:paraId="2EE69B8B" w14:textId="77777777" w:rsidR="00FE6F09" w:rsidRDefault="00435AFB">
            <w:pPr>
              <w:pStyle w:val="P68B1DB1-Normal9"/>
              <w:spacing w:after="0" w:line="240" w:lineRule="auto"/>
              <w:jc w:val="center"/>
              <w:rPr>
                <w:noProof/>
              </w:rPr>
            </w:pPr>
            <w:r>
              <w:rPr>
                <w:noProof/>
              </w:rPr>
              <w:t>-</w:t>
            </w:r>
          </w:p>
        </w:tc>
        <w:tc>
          <w:tcPr>
            <w:tcW w:w="710" w:type="dxa"/>
            <w:tcBorders>
              <w:top w:val="single" w:sz="4" w:space="0" w:color="auto"/>
              <w:left w:val="nil"/>
              <w:bottom w:val="single" w:sz="4" w:space="0" w:color="auto"/>
              <w:right w:val="single" w:sz="4" w:space="0" w:color="auto"/>
            </w:tcBorders>
            <w:shd w:val="clear" w:color="auto" w:fill="C6EFCE"/>
            <w:noWrap/>
          </w:tcPr>
          <w:p w14:paraId="5FE9E2F5" w14:textId="77777777" w:rsidR="00FE6F09" w:rsidRDefault="00435AFB">
            <w:pPr>
              <w:pStyle w:val="P68B1DB1-Normal9"/>
              <w:spacing w:after="0" w:line="240" w:lineRule="auto"/>
              <w:jc w:val="center"/>
              <w:rPr>
                <w:noProof/>
              </w:rPr>
            </w:pPr>
            <w:r>
              <w:rPr>
                <w:noProof/>
              </w:rPr>
              <w:t>-</w:t>
            </w:r>
          </w:p>
        </w:tc>
        <w:tc>
          <w:tcPr>
            <w:tcW w:w="1001" w:type="dxa"/>
            <w:gridSpan w:val="2"/>
            <w:tcBorders>
              <w:top w:val="single" w:sz="4" w:space="0" w:color="auto"/>
              <w:left w:val="nil"/>
              <w:bottom w:val="single" w:sz="4" w:space="0" w:color="auto"/>
              <w:right w:val="single" w:sz="4" w:space="0" w:color="auto"/>
            </w:tcBorders>
            <w:shd w:val="clear" w:color="auto" w:fill="C6EFCE"/>
            <w:noWrap/>
          </w:tcPr>
          <w:p w14:paraId="2AB4CB70" w14:textId="77777777" w:rsidR="00FE6F09" w:rsidRDefault="00435AFB">
            <w:pPr>
              <w:pStyle w:val="P68B1DB1-Normal9"/>
              <w:spacing w:after="0" w:line="240" w:lineRule="auto"/>
              <w:jc w:val="center"/>
              <w:rPr>
                <w:noProof/>
              </w:rPr>
            </w:pPr>
            <w:r>
              <w:rPr>
                <w:noProof/>
              </w:rPr>
              <w:t>T3</w:t>
            </w:r>
          </w:p>
        </w:tc>
        <w:tc>
          <w:tcPr>
            <w:tcW w:w="699" w:type="dxa"/>
            <w:tcBorders>
              <w:top w:val="single" w:sz="4" w:space="0" w:color="auto"/>
              <w:left w:val="nil"/>
              <w:bottom w:val="single" w:sz="4" w:space="0" w:color="auto"/>
              <w:right w:val="single" w:sz="4" w:space="0" w:color="auto"/>
            </w:tcBorders>
            <w:shd w:val="clear" w:color="auto" w:fill="C6EFCE"/>
            <w:noWrap/>
          </w:tcPr>
          <w:p w14:paraId="74ED59E2" w14:textId="77777777" w:rsidR="00FE6F09" w:rsidRDefault="00435AFB">
            <w:pPr>
              <w:pStyle w:val="P68B1DB1-Normal9"/>
              <w:spacing w:after="0" w:line="240" w:lineRule="auto"/>
              <w:jc w:val="center"/>
              <w:rPr>
                <w:noProof/>
              </w:rPr>
            </w:pPr>
            <w:r>
              <w:rPr>
                <w:noProof/>
              </w:rPr>
              <w:t>2021</w:t>
            </w:r>
          </w:p>
        </w:tc>
        <w:tc>
          <w:tcPr>
            <w:tcW w:w="4875" w:type="dxa"/>
            <w:tcBorders>
              <w:top w:val="single" w:sz="4" w:space="0" w:color="auto"/>
              <w:left w:val="nil"/>
              <w:bottom w:val="single" w:sz="4" w:space="0" w:color="auto"/>
              <w:right w:val="single" w:sz="4" w:space="0" w:color="auto"/>
            </w:tcBorders>
            <w:shd w:val="clear" w:color="auto" w:fill="C6EFCE"/>
            <w:noWrap/>
          </w:tcPr>
          <w:p w14:paraId="509E16E8" w14:textId="77777777" w:rsidR="00FE6F09" w:rsidRDefault="00435AFB">
            <w:pPr>
              <w:pStyle w:val="P68B1DB1-Normal9"/>
              <w:spacing w:after="0" w:line="240" w:lineRule="auto"/>
              <w:jc w:val="both"/>
              <w:rPr>
                <w:noProof/>
              </w:rPr>
            </w:pPr>
            <w:r>
              <w:rPr>
                <w:noProof/>
              </w:rPr>
              <w:t xml:space="preserve">Publicarea catalogului adoptat de măsuri referitoare la politicile privind mediul natural și biodiversitatea în contextul </w:t>
            </w:r>
            <w:r>
              <w:rPr>
                <w:i/>
                <w:noProof/>
              </w:rPr>
              <w:t>„Naturpakt”,</w:t>
            </w:r>
            <w:r>
              <w:rPr>
                <w:noProof/>
              </w:rPr>
              <w:t xml:space="preserve"> care este în conformitate cu principiul DNSH.</w:t>
            </w:r>
          </w:p>
        </w:tc>
      </w:tr>
      <w:tr w:rsidR="00FE6F09" w14:paraId="7CAA9001" w14:textId="77777777">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tcPr>
          <w:p w14:paraId="78DEA68D" w14:textId="77777777" w:rsidR="00FE6F09" w:rsidRDefault="00435AFB">
            <w:pPr>
              <w:pStyle w:val="P68B1DB1-Normal9"/>
              <w:spacing w:after="0" w:line="240" w:lineRule="auto"/>
              <w:jc w:val="center"/>
              <w:rPr>
                <w:noProof/>
              </w:rPr>
            </w:pPr>
            <w:r>
              <w:rPr>
                <w:noProof/>
              </w:rPr>
              <w:t>2B-2</w:t>
            </w:r>
          </w:p>
        </w:tc>
        <w:tc>
          <w:tcPr>
            <w:tcW w:w="1305" w:type="dxa"/>
            <w:tcBorders>
              <w:top w:val="nil"/>
              <w:left w:val="nil"/>
              <w:bottom w:val="single" w:sz="4" w:space="0" w:color="auto"/>
              <w:right w:val="single" w:sz="4" w:space="0" w:color="auto"/>
            </w:tcBorders>
            <w:shd w:val="clear" w:color="auto" w:fill="C6EFCE"/>
            <w:noWrap/>
          </w:tcPr>
          <w:p w14:paraId="10A86F47" w14:textId="77777777" w:rsidR="00FE6F09" w:rsidRDefault="00435AFB">
            <w:pPr>
              <w:pStyle w:val="P68B1DB1-Normal9"/>
              <w:spacing w:after="0" w:line="240" w:lineRule="auto"/>
              <w:rPr>
                <w:noProof/>
              </w:rPr>
            </w:pPr>
            <w:r>
              <w:rPr>
                <w:noProof/>
              </w:rPr>
              <w:t xml:space="preserve">Reforme și investiții: </w:t>
            </w:r>
            <w:r>
              <w:rPr>
                <w:i/>
                <w:noProof/>
              </w:rPr>
              <w:t>„Naturpakt”</w:t>
            </w:r>
          </w:p>
        </w:tc>
        <w:tc>
          <w:tcPr>
            <w:tcW w:w="1134" w:type="dxa"/>
            <w:tcBorders>
              <w:top w:val="nil"/>
              <w:left w:val="nil"/>
              <w:bottom w:val="single" w:sz="4" w:space="0" w:color="auto"/>
              <w:right w:val="single" w:sz="4" w:space="0" w:color="auto"/>
            </w:tcBorders>
            <w:shd w:val="clear" w:color="auto" w:fill="C6EFCE"/>
            <w:noWrap/>
          </w:tcPr>
          <w:p w14:paraId="28C1BA9B" w14:textId="77777777" w:rsidR="00FE6F09" w:rsidRDefault="00435AFB">
            <w:pPr>
              <w:pStyle w:val="P68B1DB1-Normal9"/>
              <w:spacing w:after="0" w:line="240" w:lineRule="auto"/>
              <w:jc w:val="center"/>
              <w:rPr>
                <w:noProof/>
              </w:rPr>
            </w:pPr>
            <w:r>
              <w:rPr>
                <w:noProof/>
              </w:rPr>
              <w:t>Etapa de referință</w:t>
            </w:r>
          </w:p>
        </w:tc>
        <w:tc>
          <w:tcPr>
            <w:tcW w:w="1417" w:type="dxa"/>
            <w:tcBorders>
              <w:top w:val="nil"/>
              <w:left w:val="nil"/>
              <w:bottom w:val="single" w:sz="4" w:space="0" w:color="auto"/>
              <w:right w:val="single" w:sz="4" w:space="0" w:color="auto"/>
            </w:tcBorders>
            <w:shd w:val="clear" w:color="auto" w:fill="C6EFCE"/>
            <w:noWrap/>
          </w:tcPr>
          <w:p w14:paraId="2B208E8C" w14:textId="77777777" w:rsidR="00FE6F09" w:rsidRDefault="00435AFB">
            <w:pPr>
              <w:pStyle w:val="P68B1DB1-Normal9"/>
              <w:spacing w:after="0" w:line="240" w:lineRule="auto"/>
              <w:rPr>
                <w:noProof/>
              </w:rPr>
            </w:pPr>
            <w:r>
              <w:rPr>
                <w:noProof/>
              </w:rPr>
              <w:t xml:space="preserve">Legea </w:t>
            </w:r>
            <w:r>
              <w:rPr>
                <w:i/>
                <w:noProof/>
              </w:rPr>
              <w:t>privind „Naturpakt”</w:t>
            </w:r>
            <w:r>
              <w:rPr>
                <w:noProof/>
              </w:rPr>
              <w:t xml:space="preserve"> </w:t>
            </w:r>
          </w:p>
        </w:tc>
        <w:tc>
          <w:tcPr>
            <w:tcW w:w="1279" w:type="dxa"/>
            <w:tcBorders>
              <w:top w:val="nil"/>
              <w:left w:val="nil"/>
              <w:bottom w:val="single" w:sz="4" w:space="0" w:color="auto"/>
              <w:right w:val="single" w:sz="4" w:space="0" w:color="auto"/>
            </w:tcBorders>
            <w:shd w:val="clear" w:color="auto" w:fill="C6EFCE"/>
            <w:noWrap/>
          </w:tcPr>
          <w:p w14:paraId="1B095A37" w14:textId="77777777" w:rsidR="00FE6F09" w:rsidRDefault="00435AFB">
            <w:pPr>
              <w:pStyle w:val="P68B1DB1-Normal9"/>
              <w:spacing w:after="0" w:line="240" w:lineRule="auto"/>
              <w:rPr>
                <w:noProof/>
              </w:rPr>
            </w:pPr>
            <w:r>
              <w:rPr>
                <w:noProof/>
              </w:rPr>
              <w:t>Intrarea în vigoare</w:t>
            </w:r>
          </w:p>
        </w:tc>
        <w:tc>
          <w:tcPr>
            <w:tcW w:w="1244" w:type="dxa"/>
            <w:tcBorders>
              <w:top w:val="nil"/>
              <w:left w:val="nil"/>
              <w:bottom w:val="single" w:sz="4" w:space="0" w:color="auto"/>
              <w:right w:val="single" w:sz="4" w:space="0" w:color="auto"/>
            </w:tcBorders>
            <w:shd w:val="clear" w:color="auto" w:fill="C6EFCE"/>
            <w:noWrap/>
          </w:tcPr>
          <w:p w14:paraId="50D6C326" w14:textId="77777777" w:rsidR="00FE6F09" w:rsidRDefault="00435AFB">
            <w:pPr>
              <w:pStyle w:val="P68B1DB1-Normal9"/>
              <w:spacing w:after="0" w:line="240" w:lineRule="auto"/>
              <w:jc w:val="center"/>
              <w:rPr>
                <w:noProof/>
              </w:rPr>
            </w:pPr>
            <w:r>
              <w:rPr>
                <w:noProof/>
              </w:rPr>
              <w:t>-</w:t>
            </w:r>
          </w:p>
        </w:tc>
        <w:tc>
          <w:tcPr>
            <w:tcW w:w="709" w:type="dxa"/>
            <w:tcBorders>
              <w:top w:val="nil"/>
              <w:left w:val="nil"/>
              <w:bottom w:val="single" w:sz="4" w:space="0" w:color="auto"/>
              <w:right w:val="single" w:sz="4" w:space="0" w:color="auto"/>
            </w:tcBorders>
            <w:shd w:val="clear" w:color="auto" w:fill="C6EFCE"/>
            <w:noWrap/>
          </w:tcPr>
          <w:p w14:paraId="5A097A78" w14:textId="77777777" w:rsidR="00FE6F09" w:rsidRDefault="00435AFB">
            <w:pPr>
              <w:pStyle w:val="P68B1DB1-Normal9"/>
              <w:spacing w:after="0" w:line="240" w:lineRule="auto"/>
              <w:jc w:val="center"/>
              <w:rPr>
                <w:noProof/>
              </w:rPr>
            </w:pPr>
            <w:r>
              <w:rPr>
                <w:noProof/>
              </w:rPr>
              <w:t>-</w:t>
            </w:r>
          </w:p>
        </w:tc>
        <w:tc>
          <w:tcPr>
            <w:tcW w:w="710" w:type="dxa"/>
            <w:tcBorders>
              <w:top w:val="nil"/>
              <w:left w:val="nil"/>
              <w:bottom w:val="single" w:sz="4" w:space="0" w:color="auto"/>
              <w:right w:val="single" w:sz="4" w:space="0" w:color="auto"/>
            </w:tcBorders>
            <w:shd w:val="clear" w:color="auto" w:fill="C6EFCE"/>
            <w:noWrap/>
          </w:tcPr>
          <w:p w14:paraId="38AC3C7D" w14:textId="77777777" w:rsidR="00FE6F09" w:rsidRDefault="00435AFB">
            <w:pPr>
              <w:pStyle w:val="P68B1DB1-Normal9"/>
              <w:spacing w:after="0" w:line="240" w:lineRule="auto"/>
              <w:jc w:val="center"/>
              <w:rPr>
                <w:noProof/>
              </w:rPr>
            </w:pPr>
            <w:r>
              <w:rPr>
                <w:noProof/>
              </w:rPr>
              <w:t>-</w:t>
            </w:r>
          </w:p>
        </w:tc>
        <w:tc>
          <w:tcPr>
            <w:tcW w:w="1001" w:type="dxa"/>
            <w:gridSpan w:val="2"/>
            <w:tcBorders>
              <w:top w:val="nil"/>
              <w:left w:val="nil"/>
              <w:bottom w:val="single" w:sz="4" w:space="0" w:color="auto"/>
              <w:right w:val="single" w:sz="4" w:space="0" w:color="auto"/>
            </w:tcBorders>
            <w:shd w:val="clear" w:color="auto" w:fill="C6EFCE"/>
            <w:noWrap/>
          </w:tcPr>
          <w:p w14:paraId="42995AA8" w14:textId="77777777" w:rsidR="00FE6F09" w:rsidRDefault="00435AFB">
            <w:pPr>
              <w:pStyle w:val="P68B1DB1-Normal9"/>
              <w:spacing w:after="0" w:line="240" w:lineRule="auto"/>
              <w:jc w:val="center"/>
              <w:rPr>
                <w:noProof/>
              </w:rPr>
            </w:pPr>
            <w:r>
              <w:rPr>
                <w:noProof/>
              </w:rPr>
              <w:t>T4</w:t>
            </w:r>
          </w:p>
        </w:tc>
        <w:tc>
          <w:tcPr>
            <w:tcW w:w="699" w:type="dxa"/>
            <w:tcBorders>
              <w:top w:val="nil"/>
              <w:left w:val="nil"/>
              <w:bottom w:val="single" w:sz="4" w:space="0" w:color="auto"/>
              <w:right w:val="single" w:sz="4" w:space="0" w:color="auto"/>
            </w:tcBorders>
            <w:shd w:val="clear" w:color="auto" w:fill="C6EFCE"/>
            <w:noWrap/>
          </w:tcPr>
          <w:p w14:paraId="1037B14E" w14:textId="77777777" w:rsidR="00FE6F09" w:rsidRDefault="00435AFB">
            <w:pPr>
              <w:pStyle w:val="P68B1DB1-Normal9"/>
              <w:spacing w:after="0" w:line="240" w:lineRule="auto"/>
              <w:jc w:val="center"/>
              <w:rPr>
                <w:noProof/>
              </w:rPr>
            </w:pPr>
            <w:r>
              <w:rPr>
                <w:noProof/>
              </w:rPr>
              <w:t>2021</w:t>
            </w:r>
          </w:p>
        </w:tc>
        <w:tc>
          <w:tcPr>
            <w:tcW w:w="4875" w:type="dxa"/>
            <w:tcBorders>
              <w:top w:val="nil"/>
              <w:left w:val="nil"/>
              <w:bottom w:val="single" w:sz="4" w:space="0" w:color="auto"/>
              <w:right w:val="single" w:sz="4" w:space="0" w:color="auto"/>
            </w:tcBorders>
            <w:shd w:val="clear" w:color="auto" w:fill="C6EFCE"/>
            <w:noWrap/>
          </w:tcPr>
          <w:p w14:paraId="4399C1BF" w14:textId="77777777" w:rsidR="00FE6F09" w:rsidRDefault="00435AFB">
            <w:pPr>
              <w:pStyle w:val="P68B1DB1-Normal16"/>
              <w:spacing w:after="0" w:line="240" w:lineRule="auto"/>
              <w:jc w:val="both"/>
              <w:rPr>
                <w:noProof/>
                <w:color w:val="006100"/>
                <w:sz w:val="20"/>
                <w:szCs w:val="20"/>
              </w:rPr>
            </w:pPr>
            <w:r>
              <w:rPr>
                <w:noProof/>
                <w:color w:val="006100"/>
                <w:sz w:val="20"/>
                <w:szCs w:val="20"/>
              </w:rPr>
              <w:t xml:space="preserve">Intrarea în vigoare a Legii de instituire a unui </w:t>
            </w:r>
            <w:r>
              <w:rPr>
                <w:i/>
                <w:noProof/>
                <w:color w:val="006100"/>
                <w:sz w:val="20"/>
                <w:szCs w:val="20"/>
              </w:rPr>
              <w:t>„Naturpakt”</w:t>
            </w:r>
            <w:r>
              <w:rPr>
                <w:noProof/>
                <w:color w:val="006100"/>
                <w:sz w:val="20"/>
                <w:szCs w:val="20"/>
              </w:rPr>
              <w:t xml:space="preserve"> care permite municipalităților să semneze un </w:t>
            </w:r>
            <w:r>
              <w:rPr>
                <w:i/>
                <w:noProof/>
                <w:color w:val="006100"/>
                <w:sz w:val="20"/>
                <w:szCs w:val="20"/>
              </w:rPr>
              <w:t>„contract Naturpakt”</w:t>
            </w:r>
            <w:r>
              <w:rPr>
                <w:noProof/>
                <w:color w:val="006100"/>
                <w:sz w:val="20"/>
                <w:szCs w:val="20"/>
              </w:rPr>
              <w:t xml:space="preserve"> cu statul, prin care se angajează să pună în aplicare acțiuni de protecție a mediului natural și a biodiversității pe teritoriul lor pentru perioada până în 2030 și să primească o certificare și subvenții financiare asociate odată ce prezintă un nivel suficient de performanță în lumina unui catalog de măsuri legate de politicile privind mediul natural și biodiversitatea.</w:t>
            </w:r>
          </w:p>
        </w:tc>
      </w:tr>
      <w:tr w:rsidR="00FE6F09" w14:paraId="5EDAF4AA" w14:textId="77777777">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tcPr>
          <w:p w14:paraId="36636B7A" w14:textId="77777777" w:rsidR="00FE6F09" w:rsidRDefault="00435AFB">
            <w:pPr>
              <w:pStyle w:val="P68B1DB1-Normal9"/>
              <w:spacing w:after="0" w:line="240" w:lineRule="auto"/>
              <w:jc w:val="center"/>
              <w:rPr>
                <w:noProof/>
              </w:rPr>
            </w:pPr>
            <w:r>
              <w:rPr>
                <w:noProof/>
              </w:rPr>
              <w:t>2B-5</w:t>
            </w:r>
          </w:p>
        </w:tc>
        <w:tc>
          <w:tcPr>
            <w:tcW w:w="1305" w:type="dxa"/>
            <w:tcBorders>
              <w:top w:val="nil"/>
              <w:left w:val="nil"/>
              <w:bottom w:val="single" w:sz="4" w:space="0" w:color="auto"/>
              <w:right w:val="single" w:sz="4" w:space="0" w:color="auto"/>
            </w:tcBorders>
            <w:shd w:val="clear" w:color="auto" w:fill="C6EFCE"/>
            <w:noWrap/>
          </w:tcPr>
          <w:p w14:paraId="1F1EFD91" w14:textId="77777777" w:rsidR="00FE6F09" w:rsidRDefault="00435AFB">
            <w:pPr>
              <w:pStyle w:val="P68B1DB1-Normal9"/>
              <w:spacing w:after="0" w:line="240" w:lineRule="auto"/>
              <w:rPr>
                <w:noProof/>
              </w:rPr>
            </w:pPr>
            <w:r>
              <w:rPr>
                <w:noProof/>
              </w:rPr>
              <w:t xml:space="preserve">Reforme și investiții: </w:t>
            </w:r>
            <w:r>
              <w:rPr>
                <w:i/>
                <w:noProof/>
              </w:rPr>
              <w:t>„Naturpakt”</w:t>
            </w:r>
          </w:p>
        </w:tc>
        <w:tc>
          <w:tcPr>
            <w:tcW w:w="1134" w:type="dxa"/>
            <w:tcBorders>
              <w:top w:val="nil"/>
              <w:left w:val="nil"/>
              <w:bottom w:val="single" w:sz="4" w:space="0" w:color="auto"/>
              <w:right w:val="single" w:sz="4" w:space="0" w:color="auto"/>
            </w:tcBorders>
            <w:shd w:val="clear" w:color="auto" w:fill="C6EFCE"/>
            <w:noWrap/>
          </w:tcPr>
          <w:p w14:paraId="02F259C7" w14:textId="77777777" w:rsidR="00FE6F09" w:rsidRDefault="00435AFB">
            <w:pPr>
              <w:pStyle w:val="P68B1DB1-Normal9"/>
              <w:spacing w:after="0" w:line="240" w:lineRule="auto"/>
              <w:jc w:val="center"/>
              <w:rPr>
                <w:noProof/>
              </w:rPr>
            </w:pPr>
            <w:r>
              <w:rPr>
                <w:noProof/>
              </w:rPr>
              <w:t>Țintă</w:t>
            </w:r>
          </w:p>
        </w:tc>
        <w:tc>
          <w:tcPr>
            <w:tcW w:w="1417" w:type="dxa"/>
            <w:tcBorders>
              <w:top w:val="nil"/>
              <w:left w:val="nil"/>
              <w:bottom w:val="single" w:sz="4" w:space="0" w:color="auto"/>
              <w:right w:val="single" w:sz="4" w:space="0" w:color="auto"/>
            </w:tcBorders>
            <w:shd w:val="clear" w:color="auto" w:fill="C6EFCE"/>
            <w:noWrap/>
          </w:tcPr>
          <w:p w14:paraId="266AE051" w14:textId="77777777" w:rsidR="00FE6F09" w:rsidRDefault="00435AFB">
            <w:pPr>
              <w:pStyle w:val="P68B1DB1-Normal9"/>
              <w:spacing w:after="0" w:line="240" w:lineRule="auto"/>
              <w:rPr>
                <w:noProof/>
              </w:rPr>
            </w:pPr>
            <w:r>
              <w:rPr>
                <w:noProof/>
              </w:rPr>
              <w:t xml:space="preserve">Certificarea </w:t>
            </w:r>
            <w:r>
              <w:rPr>
                <w:i/>
                <w:noProof/>
              </w:rPr>
              <w:t>„Naturpakt”</w:t>
            </w:r>
          </w:p>
        </w:tc>
        <w:tc>
          <w:tcPr>
            <w:tcW w:w="1279" w:type="dxa"/>
            <w:tcBorders>
              <w:top w:val="nil"/>
              <w:left w:val="nil"/>
              <w:bottom w:val="single" w:sz="4" w:space="0" w:color="auto"/>
              <w:right w:val="single" w:sz="4" w:space="0" w:color="auto"/>
            </w:tcBorders>
            <w:shd w:val="clear" w:color="auto" w:fill="C6EFCE"/>
            <w:noWrap/>
          </w:tcPr>
          <w:p w14:paraId="6D2C3FAB" w14:textId="77777777" w:rsidR="00FE6F09" w:rsidRDefault="00435AFB">
            <w:pPr>
              <w:pStyle w:val="P68B1DB1-Normal9"/>
              <w:spacing w:after="0" w:line="240" w:lineRule="auto"/>
              <w:jc w:val="center"/>
              <w:rPr>
                <w:noProof/>
              </w:rPr>
            </w:pPr>
            <w:r>
              <w:rPr>
                <w:noProof/>
              </w:rPr>
              <w:t>-</w:t>
            </w:r>
          </w:p>
        </w:tc>
        <w:tc>
          <w:tcPr>
            <w:tcW w:w="1244" w:type="dxa"/>
            <w:tcBorders>
              <w:top w:val="nil"/>
              <w:left w:val="nil"/>
              <w:bottom w:val="single" w:sz="4" w:space="0" w:color="auto"/>
              <w:right w:val="single" w:sz="4" w:space="0" w:color="auto"/>
            </w:tcBorders>
            <w:shd w:val="clear" w:color="auto" w:fill="C6EFCE"/>
            <w:noWrap/>
          </w:tcPr>
          <w:p w14:paraId="55937576" w14:textId="77777777" w:rsidR="00FE6F09" w:rsidRDefault="00435AFB">
            <w:pPr>
              <w:pStyle w:val="P68B1DB1-Normal9"/>
              <w:spacing w:after="0" w:line="240" w:lineRule="auto"/>
              <w:jc w:val="center"/>
              <w:rPr>
                <w:noProof/>
              </w:rPr>
            </w:pPr>
            <w:r>
              <w:rPr>
                <w:noProof/>
              </w:rPr>
              <w:t>Certificarea</w:t>
            </w:r>
          </w:p>
        </w:tc>
        <w:tc>
          <w:tcPr>
            <w:tcW w:w="709" w:type="dxa"/>
            <w:tcBorders>
              <w:top w:val="nil"/>
              <w:left w:val="nil"/>
              <w:bottom w:val="single" w:sz="4" w:space="0" w:color="auto"/>
              <w:right w:val="single" w:sz="4" w:space="0" w:color="auto"/>
            </w:tcBorders>
            <w:shd w:val="clear" w:color="auto" w:fill="C6EFCE"/>
            <w:noWrap/>
          </w:tcPr>
          <w:p w14:paraId="150E10E7" w14:textId="77777777" w:rsidR="00FE6F09" w:rsidRDefault="00435AFB">
            <w:pPr>
              <w:pStyle w:val="P68B1DB1-Normal9"/>
              <w:spacing w:after="0" w:line="240" w:lineRule="auto"/>
              <w:jc w:val="center"/>
              <w:rPr>
                <w:noProof/>
              </w:rPr>
            </w:pPr>
            <w:r>
              <w:rPr>
                <w:noProof/>
              </w:rPr>
              <w:t>0</w:t>
            </w:r>
          </w:p>
        </w:tc>
        <w:tc>
          <w:tcPr>
            <w:tcW w:w="710" w:type="dxa"/>
            <w:tcBorders>
              <w:top w:val="nil"/>
              <w:left w:val="nil"/>
              <w:bottom w:val="single" w:sz="4" w:space="0" w:color="auto"/>
              <w:right w:val="single" w:sz="4" w:space="0" w:color="auto"/>
            </w:tcBorders>
            <w:shd w:val="clear" w:color="auto" w:fill="C6EFCE"/>
            <w:noWrap/>
          </w:tcPr>
          <w:p w14:paraId="57AB2A02" w14:textId="77777777" w:rsidR="00FE6F09" w:rsidRDefault="00435AFB">
            <w:pPr>
              <w:pStyle w:val="P68B1DB1-Normal9"/>
              <w:spacing w:after="0" w:line="240" w:lineRule="auto"/>
              <w:jc w:val="center"/>
              <w:rPr>
                <w:noProof/>
              </w:rPr>
            </w:pPr>
            <w:r>
              <w:rPr>
                <w:noProof/>
              </w:rPr>
              <w:t>50</w:t>
            </w:r>
          </w:p>
        </w:tc>
        <w:tc>
          <w:tcPr>
            <w:tcW w:w="1001" w:type="dxa"/>
            <w:gridSpan w:val="2"/>
            <w:tcBorders>
              <w:top w:val="nil"/>
              <w:left w:val="nil"/>
              <w:bottom w:val="single" w:sz="4" w:space="0" w:color="auto"/>
              <w:right w:val="single" w:sz="4" w:space="0" w:color="auto"/>
            </w:tcBorders>
            <w:shd w:val="clear" w:color="auto" w:fill="C6EFCE"/>
            <w:noWrap/>
          </w:tcPr>
          <w:p w14:paraId="5C77827D" w14:textId="77777777" w:rsidR="00FE6F09" w:rsidRDefault="00435AFB">
            <w:pPr>
              <w:pStyle w:val="P68B1DB1-Normal9"/>
              <w:spacing w:after="0" w:line="240" w:lineRule="auto"/>
              <w:jc w:val="center"/>
              <w:rPr>
                <w:noProof/>
              </w:rPr>
            </w:pPr>
            <w:r>
              <w:rPr>
                <w:noProof/>
              </w:rPr>
              <w:t>Q1</w:t>
            </w:r>
          </w:p>
        </w:tc>
        <w:tc>
          <w:tcPr>
            <w:tcW w:w="699" w:type="dxa"/>
            <w:tcBorders>
              <w:top w:val="nil"/>
              <w:left w:val="nil"/>
              <w:bottom w:val="single" w:sz="4" w:space="0" w:color="auto"/>
              <w:right w:val="single" w:sz="4" w:space="0" w:color="auto"/>
            </w:tcBorders>
            <w:shd w:val="clear" w:color="auto" w:fill="C6EFCE"/>
            <w:noWrap/>
          </w:tcPr>
          <w:p w14:paraId="6FD5E799" w14:textId="77777777" w:rsidR="00FE6F09" w:rsidRDefault="00435AFB">
            <w:pPr>
              <w:pStyle w:val="P68B1DB1-Normal9"/>
              <w:spacing w:after="0" w:line="240" w:lineRule="auto"/>
              <w:jc w:val="center"/>
              <w:rPr>
                <w:noProof/>
              </w:rPr>
            </w:pPr>
            <w:r>
              <w:rPr>
                <w:noProof/>
              </w:rPr>
              <w:t>2025</w:t>
            </w:r>
          </w:p>
        </w:tc>
        <w:tc>
          <w:tcPr>
            <w:tcW w:w="4875" w:type="dxa"/>
            <w:tcBorders>
              <w:top w:val="nil"/>
              <w:left w:val="nil"/>
              <w:bottom w:val="single" w:sz="4" w:space="0" w:color="auto"/>
              <w:right w:val="single" w:sz="4" w:space="0" w:color="auto"/>
            </w:tcBorders>
            <w:shd w:val="clear" w:color="auto" w:fill="C6EFCE"/>
            <w:noWrap/>
          </w:tcPr>
          <w:p w14:paraId="7C22D1E3" w14:textId="77777777" w:rsidR="00FE6F09" w:rsidRDefault="00435AFB">
            <w:pPr>
              <w:pStyle w:val="P68B1DB1-Normal9"/>
              <w:spacing w:after="0" w:line="240" w:lineRule="auto"/>
              <w:jc w:val="both"/>
              <w:rPr>
                <w:noProof/>
              </w:rPr>
            </w:pPr>
            <w:r>
              <w:rPr>
                <w:noProof/>
              </w:rPr>
              <w:t xml:space="preserve">Un număr total de 50 de municipalități sunt certificate în cadrul </w:t>
            </w:r>
            <w:r>
              <w:rPr>
                <w:i/>
                <w:noProof/>
              </w:rPr>
              <w:t>sistemului „Naturpakt”,</w:t>
            </w:r>
            <w:r>
              <w:rPr>
                <w:noProof/>
              </w:rPr>
              <w:t xml:space="preserve"> pe baza unei evaluări pozitive a auditului, conform căreia fiecare municipalitate a atins un nivel de performanță de 40 % din punctajul maxim realizabil.</w:t>
            </w:r>
          </w:p>
        </w:tc>
      </w:tr>
    </w:tbl>
    <w:p w14:paraId="10E8F9B3"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68"/>
          <w:headerReference w:type="default" r:id="rId69"/>
          <w:footerReference w:type="even" r:id="rId70"/>
          <w:footerReference w:type="default" r:id="rId71"/>
          <w:headerReference w:type="first" r:id="rId72"/>
          <w:footerReference w:type="first" r:id="rId73"/>
          <w:pgSz w:w="16839" w:h="11907" w:orient="landscape"/>
          <w:pgMar w:top="720" w:right="720" w:bottom="720" w:left="720" w:header="709" w:footer="709" w:gutter="0"/>
          <w:cols w:space="720"/>
          <w:docGrid w:linePitch="360"/>
        </w:sectPr>
      </w:pPr>
    </w:p>
    <w:p w14:paraId="54BFF6A2" w14:textId="77777777" w:rsidR="00FE6F09" w:rsidRDefault="00435AFB">
      <w:pPr>
        <w:pStyle w:val="P68B1DB1-Normal17"/>
        <w:spacing w:before="120" w:after="120" w:line="240" w:lineRule="auto"/>
        <w:jc w:val="both"/>
        <w:rPr>
          <w:noProof/>
        </w:rPr>
      </w:pPr>
      <w:r>
        <w:rPr>
          <w:noProof/>
        </w:rPr>
        <w:t xml:space="preserve">F. COMPONENTUL 3A: Promovarea economiei bazate pe date </w:t>
      </w:r>
    </w:p>
    <w:p w14:paraId="63657DF1" w14:textId="09A880B3" w:rsidR="00FE6F09" w:rsidRDefault="00435AFB">
      <w:pPr>
        <w:pStyle w:val="P68B1DB1-Normal5"/>
        <w:spacing w:before="120" w:after="120" w:line="240" w:lineRule="auto"/>
        <w:jc w:val="both"/>
        <w:rPr>
          <w:noProof/>
        </w:rPr>
      </w:pPr>
      <w:r>
        <w:rPr>
          <w:noProof/>
        </w:rPr>
        <w:t xml:space="preserve">Securitatea datelor cu caracter personal reprezintă o provocare majoră pentru societate, deoarece agenții economici și sociali se bazează din ce în ce mai mult pe comunicațiile digitale. Această componentă </w:t>
      </w:r>
      <w:r>
        <w:rPr>
          <w:noProof/>
          <w:color w:val="000000"/>
        </w:rPr>
        <w:t>a planului de redresare și reziliență al Luxemburgului,</w:t>
      </w:r>
      <w:r>
        <w:rPr>
          <w:noProof/>
        </w:rPr>
        <w:t xml:space="preserve"> „Promovarea unei economii bazate pe date”, este menită să abordeze această provocare. Obiectivul său este de a dezvolta o infrastructură de comunicații ultra-securizată, bazată pe tehnologia cuantică, cu scopul de a spori securitatea comunicațiilor de date sensibile. Această componentă vizează, de asemenea, crearea unui nou ecosistem tehnologic în Luxemburg, menit să creeze locuri de muncă și să atragă experți științifici în domeniu.</w:t>
      </w:r>
    </w:p>
    <w:p w14:paraId="479D5F44" w14:textId="3F97EF10" w:rsidR="00FE6F09" w:rsidRDefault="00435AFB">
      <w:pPr>
        <w:pStyle w:val="P68B1DB1-Normal4"/>
        <w:spacing w:before="120" w:after="120" w:line="240" w:lineRule="auto"/>
        <w:jc w:val="both"/>
        <w:rPr>
          <w:noProof/>
        </w:rPr>
      </w:pPr>
      <w:r>
        <w:rPr>
          <w:noProof/>
        </w:rPr>
        <w:t xml:space="preserve">În acest context, infrastructura de comunicații cuantice (QCI) instalată trebuie să aibă o parte terestră, capabilă să conecteze două puncte la o distanță maximă de 100 km. </w:t>
      </w:r>
    </w:p>
    <w:p w14:paraId="7B5C8FF0" w14:textId="7D2A1F36" w:rsidR="00FE6F09" w:rsidRDefault="00435AFB">
      <w:pPr>
        <w:pStyle w:val="P68B1DB1-Normal5"/>
        <w:spacing w:before="120" w:after="120" w:line="240" w:lineRule="auto"/>
        <w:jc w:val="both"/>
        <w:rPr>
          <w:noProof/>
        </w:rPr>
      </w:pPr>
      <w:r>
        <w:rPr>
          <w:noProof/>
        </w:rPr>
        <w:t xml:space="preserve">Componenta este menită să contribuie la abordarea </w:t>
      </w:r>
      <w:r>
        <w:rPr>
          <w:noProof/>
          <w:color w:val="000000" w:themeColor="text1"/>
        </w:rPr>
        <w:t>recomandărilor specifice fiecărei țări primite</w:t>
      </w:r>
      <w:r>
        <w:rPr>
          <w:noProof/>
        </w:rPr>
        <w:t xml:space="preserve"> de Luxemburg în 2019 și 2020, care recomandă orientarea politicii economice legate de investiții pentru a încuraja digitalizarea și inovarea. Componenta contribuie, de asemenea, la tranziția digitală. </w:t>
      </w:r>
    </w:p>
    <w:p w14:paraId="290ADB08" w14:textId="77777777" w:rsidR="00FE6F09" w:rsidRDefault="00435AFB">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20818AAA" w14:textId="77777777" w:rsidR="00FE6F09" w:rsidRDefault="00FE6F09">
      <w:pPr>
        <w:spacing w:before="120" w:after="120" w:line="240" w:lineRule="auto"/>
        <w:jc w:val="both"/>
        <w:rPr>
          <w:rFonts w:ascii="Times New Roman" w:hAnsi="Times New Roman" w:cs="Times New Roman"/>
          <w:noProof/>
          <w:sz w:val="24"/>
        </w:rPr>
      </w:pPr>
    </w:p>
    <w:p w14:paraId="24B15D8C" w14:textId="77777777" w:rsidR="00FE6F09" w:rsidRDefault="00435AFB">
      <w:pPr>
        <w:pStyle w:val="P68B1DB1-Normal6"/>
        <w:spacing w:before="120" w:after="120" w:line="240" w:lineRule="auto"/>
        <w:jc w:val="both"/>
        <w:rPr>
          <w:bCs/>
          <w:noProof/>
        </w:rPr>
      </w:pPr>
      <w:r>
        <w:rPr>
          <w:noProof/>
        </w:rPr>
        <w:t xml:space="preserve">F.1. </w:t>
      </w:r>
      <w:r>
        <w:rPr>
          <w:noProof/>
        </w:rPr>
        <w:tab/>
        <w:t>Descrierea reformelor și a investițiilor pentru sprijinul financiar nerambursabil</w:t>
      </w:r>
    </w:p>
    <w:p w14:paraId="435E89C5" w14:textId="77777777" w:rsidR="00FE6F09" w:rsidRDefault="00435AFB">
      <w:pPr>
        <w:pStyle w:val="P68B1DB1-Normal7"/>
        <w:spacing w:before="120" w:after="120" w:line="240" w:lineRule="auto"/>
        <w:jc w:val="both"/>
        <w:rPr>
          <w:noProof/>
        </w:rPr>
      </w:pPr>
      <w:r>
        <w:rPr>
          <w:noProof/>
        </w:rPr>
        <w:t>Reforma 1: Promovarea creării unui nou ecosistem tehnologic în Luxemburg</w:t>
      </w:r>
    </w:p>
    <w:p w14:paraId="1CD8101A" w14:textId="77777777" w:rsidR="00FE6F09" w:rsidRDefault="00435AFB">
      <w:pPr>
        <w:pStyle w:val="P68B1DB1-Normal18"/>
        <w:spacing w:before="120" w:after="120" w:line="240" w:lineRule="auto"/>
        <w:jc w:val="both"/>
        <w:rPr>
          <w:noProof/>
          <w:color w:val="000000"/>
          <w:shd w:val="clear" w:color="auto" w:fill="FFFFFF"/>
        </w:rPr>
      </w:pPr>
      <w:r>
        <w:rPr>
          <w:noProof/>
        </w:rPr>
        <w:t xml:space="preserve">Dezvoltarea și implementarea tehnologiei de comunicare cuantică se află încă într-o etapă experimentală. Reforma propusă vizează stimularea dezvoltării unui nou ecosistem în Luxemburg în legătură cu această nouă tehnologie, încurajând participarea întreprinderilor private și a cercetătorilor. </w:t>
      </w:r>
    </w:p>
    <w:p w14:paraId="27EE7E81" w14:textId="77777777" w:rsidR="00FE6F09" w:rsidRDefault="00FE6F09">
      <w:pPr>
        <w:spacing w:before="120" w:after="120" w:line="240" w:lineRule="auto"/>
        <w:jc w:val="both"/>
        <w:rPr>
          <w:rFonts w:ascii="Times New Roman" w:hAnsi="Times New Roman" w:cs="Times New Roman"/>
          <w:noProof/>
          <w:sz w:val="24"/>
          <w:szCs w:val="24"/>
          <w:u w:val="single"/>
        </w:rPr>
      </w:pPr>
    </w:p>
    <w:p w14:paraId="0377D22A" w14:textId="77777777" w:rsidR="00FE6F09" w:rsidRDefault="00435AFB">
      <w:pPr>
        <w:pStyle w:val="P68B1DB1-Normal7"/>
        <w:spacing w:before="120" w:after="120" w:line="240" w:lineRule="auto"/>
        <w:jc w:val="both"/>
        <w:rPr>
          <w:noProof/>
        </w:rPr>
      </w:pPr>
      <w:r>
        <w:rPr>
          <w:noProof/>
        </w:rPr>
        <w:t>Investiția 1: Dezvoltarea și implementarea infrastructurii de testare și a soluțiilor de conectivitate ultra-securizate</w:t>
      </w:r>
    </w:p>
    <w:p w14:paraId="26C64AAF" w14:textId="2A8E9E94" w:rsidR="00FE6F09" w:rsidRDefault="00435AFB">
      <w:pPr>
        <w:pStyle w:val="P68B1DB1-Normal4"/>
        <w:spacing w:before="120" w:after="120" w:line="240" w:lineRule="auto"/>
        <w:jc w:val="both"/>
        <w:rPr>
          <w:noProof/>
        </w:rPr>
      </w:pPr>
      <w:r>
        <w:rPr>
          <w:noProof/>
        </w:rPr>
        <w:t xml:space="preserve">Această investiție constă în dezvoltarea și implementarea infrastructurii de cercetare necesare pentru a dobândi cunoștințe și experiență în domeniul comunicării bazate pe tehnologia cuantică. În acest scop, laboratorul LuxQCI este creat în colaborare cu Institutul de Cercetare SnT. O demonstrație este de a fi efectuate pentru a câștiga experiență în ceea ce privește tehnologia. </w:t>
      </w:r>
    </w:p>
    <w:p w14:paraId="202BE29C"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74"/>
          <w:headerReference w:type="default" r:id="rId75"/>
          <w:footerReference w:type="even" r:id="rId76"/>
          <w:footerReference w:type="default" r:id="rId77"/>
          <w:headerReference w:type="first" r:id="rId78"/>
          <w:footerReference w:type="first" r:id="rId79"/>
          <w:pgSz w:w="11907" w:h="16839"/>
          <w:pgMar w:top="1134" w:right="1417" w:bottom="1134" w:left="1417" w:header="709" w:footer="709" w:gutter="0"/>
          <w:cols w:space="720"/>
          <w:docGrid w:linePitch="360"/>
        </w:sectPr>
      </w:pPr>
    </w:p>
    <w:p w14:paraId="4EA135A4" w14:textId="77777777" w:rsidR="00FE6F09" w:rsidRDefault="00435AFB">
      <w:pPr>
        <w:pStyle w:val="P68B1DB1-Normal6"/>
        <w:spacing w:before="120" w:after="120" w:line="240" w:lineRule="auto"/>
        <w:ind w:left="142"/>
        <w:jc w:val="center"/>
        <w:rPr>
          <w:bCs/>
          <w:noProof/>
        </w:rPr>
      </w:pPr>
      <w:r>
        <w:rPr>
          <w:noProof/>
        </w:rPr>
        <w:t xml:space="preserve">F.2. </w:t>
      </w:r>
      <w:r>
        <w:rPr>
          <w:noProof/>
        </w:rPr>
        <w:tab/>
        <w:t>Jaloane, ținte, indicatori și calendar pentru monitorizarea și punerea în aplicare a sprijinului financiar nerambursabil</w:t>
      </w:r>
    </w:p>
    <w:tbl>
      <w:tblPr>
        <w:tblW w:w="15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03"/>
        <w:gridCol w:w="2231"/>
        <w:gridCol w:w="992"/>
        <w:gridCol w:w="1843"/>
        <w:gridCol w:w="1417"/>
        <w:gridCol w:w="851"/>
        <w:gridCol w:w="850"/>
        <w:gridCol w:w="567"/>
        <w:gridCol w:w="851"/>
        <w:gridCol w:w="684"/>
        <w:gridCol w:w="4107"/>
      </w:tblGrid>
      <w:tr w:rsidR="00FE6F09" w14:paraId="56364CC5" w14:textId="77777777">
        <w:trPr>
          <w:trHeight w:val="915"/>
          <w:tblHeader/>
          <w:jc w:val="center"/>
        </w:trPr>
        <w:tc>
          <w:tcPr>
            <w:tcW w:w="1103" w:type="dxa"/>
            <w:vMerge w:val="restart"/>
            <w:shd w:val="clear" w:color="auto" w:fill="BDD7EE"/>
            <w:vAlign w:val="center"/>
            <w:hideMark/>
          </w:tcPr>
          <w:p w14:paraId="1993AC8C" w14:textId="77777777" w:rsidR="00FE6F09" w:rsidRDefault="00435AFB">
            <w:pPr>
              <w:pStyle w:val="P68B1DB1-Normal19"/>
              <w:spacing w:after="0" w:line="240" w:lineRule="auto"/>
              <w:jc w:val="center"/>
              <w:textAlignment w:val="baseline"/>
              <w:rPr>
                <w:noProof/>
              </w:rPr>
            </w:pPr>
            <w:r>
              <w:rPr>
                <w:b/>
                <w:noProof/>
              </w:rPr>
              <w:t>Număr secvențial</w:t>
            </w:r>
            <w:r>
              <w:rPr>
                <w:noProof/>
              </w:rPr>
              <w:t> </w:t>
            </w:r>
          </w:p>
        </w:tc>
        <w:tc>
          <w:tcPr>
            <w:tcW w:w="2231" w:type="dxa"/>
            <w:vMerge w:val="restart"/>
            <w:shd w:val="clear" w:color="auto" w:fill="BDD7EE"/>
            <w:vAlign w:val="center"/>
            <w:hideMark/>
          </w:tcPr>
          <w:p w14:paraId="514F33C6" w14:textId="77777777" w:rsidR="00FE6F09" w:rsidRDefault="00435AFB">
            <w:pPr>
              <w:pStyle w:val="P68B1DB1-Normal19"/>
              <w:spacing w:after="0" w:line="240" w:lineRule="auto"/>
              <w:jc w:val="center"/>
              <w:textAlignment w:val="baseline"/>
              <w:rPr>
                <w:noProof/>
              </w:rPr>
            </w:pPr>
            <w:r>
              <w:rPr>
                <w:b/>
                <w:noProof/>
              </w:rPr>
              <w:t>Măsură conexă (reformă sau investiție)</w:t>
            </w:r>
            <w:r>
              <w:rPr>
                <w:noProof/>
              </w:rPr>
              <w:t> </w:t>
            </w:r>
          </w:p>
        </w:tc>
        <w:tc>
          <w:tcPr>
            <w:tcW w:w="992" w:type="dxa"/>
            <w:vMerge w:val="restart"/>
            <w:shd w:val="clear" w:color="auto" w:fill="BDD7EE"/>
            <w:vAlign w:val="center"/>
            <w:hideMark/>
          </w:tcPr>
          <w:p w14:paraId="6682269E" w14:textId="77777777" w:rsidR="00FE6F09" w:rsidRDefault="00435AFB">
            <w:pPr>
              <w:pStyle w:val="P68B1DB1-Normal19"/>
              <w:spacing w:after="0" w:line="240" w:lineRule="auto"/>
              <w:jc w:val="center"/>
              <w:textAlignment w:val="baseline"/>
              <w:rPr>
                <w:noProof/>
              </w:rPr>
            </w:pPr>
            <w:r>
              <w:rPr>
                <w:b/>
                <w:noProof/>
              </w:rPr>
              <w:t>Etapa/ținta</w:t>
            </w:r>
            <w:r>
              <w:rPr>
                <w:noProof/>
              </w:rPr>
              <w:t> </w:t>
            </w:r>
          </w:p>
        </w:tc>
        <w:tc>
          <w:tcPr>
            <w:tcW w:w="1843" w:type="dxa"/>
            <w:vMerge w:val="restart"/>
            <w:shd w:val="clear" w:color="auto" w:fill="BDD7EE"/>
            <w:vAlign w:val="center"/>
            <w:hideMark/>
          </w:tcPr>
          <w:p w14:paraId="2A10669F" w14:textId="77777777" w:rsidR="00FE6F09" w:rsidRDefault="00435AFB">
            <w:pPr>
              <w:pStyle w:val="P68B1DB1-Normal19"/>
              <w:spacing w:after="0" w:line="240" w:lineRule="auto"/>
              <w:jc w:val="center"/>
              <w:textAlignment w:val="baseline"/>
              <w:rPr>
                <w:noProof/>
              </w:rPr>
            </w:pPr>
            <w:r>
              <w:rPr>
                <w:b/>
                <w:noProof/>
              </w:rPr>
              <w:t>Denumire</w:t>
            </w:r>
            <w:r>
              <w:rPr>
                <w:noProof/>
              </w:rPr>
              <w:t> </w:t>
            </w:r>
          </w:p>
        </w:tc>
        <w:tc>
          <w:tcPr>
            <w:tcW w:w="1417" w:type="dxa"/>
            <w:vMerge w:val="restart"/>
            <w:shd w:val="clear" w:color="auto" w:fill="BDD7EE"/>
            <w:vAlign w:val="center"/>
            <w:hideMark/>
          </w:tcPr>
          <w:p w14:paraId="523DB8D4" w14:textId="21F93B0E" w:rsidR="00FE6F09" w:rsidRDefault="00435AFB">
            <w:pPr>
              <w:spacing w:after="0" w:line="240" w:lineRule="auto"/>
              <w:jc w:val="center"/>
              <w:textAlignment w:val="baseline"/>
              <w:rPr>
                <w:rFonts w:ascii="Times New Roman" w:eastAsia="Times New Roman" w:hAnsi="Times New Roman" w:cs="Times New Roman"/>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sz w:val="24"/>
              </w:rPr>
              <w:br/>
            </w:r>
            <w:r>
              <w:rPr>
                <w:rFonts w:ascii="Times New Roman" w:eastAsia="Times New Roman" w:hAnsi="Times New Roman" w:cs="Times New Roman"/>
                <w:b/>
                <w:noProof/>
                <w:sz w:val="20"/>
                <w:szCs w:val="20"/>
              </w:rPr>
              <w:t>(pentru jaloane)</w:t>
            </w:r>
            <w:r>
              <w:rPr>
                <w:rFonts w:ascii="Times New Roman" w:eastAsia="Times New Roman" w:hAnsi="Times New Roman" w:cs="Times New Roman"/>
                <w:noProof/>
                <w:sz w:val="20"/>
                <w:szCs w:val="20"/>
              </w:rPr>
              <w:t> </w:t>
            </w:r>
          </w:p>
        </w:tc>
        <w:tc>
          <w:tcPr>
            <w:tcW w:w="2268" w:type="dxa"/>
            <w:gridSpan w:val="3"/>
            <w:shd w:val="clear" w:color="auto" w:fill="BDD7EE"/>
            <w:vAlign w:val="center"/>
            <w:hideMark/>
          </w:tcPr>
          <w:p w14:paraId="24E87967" w14:textId="58A91FB3" w:rsidR="00FE6F09" w:rsidRDefault="00435AFB">
            <w:pPr>
              <w:spacing w:after="0" w:line="240" w:lineRule="auto"/>
              <w:jc w:val="center"/>
              <w:textAlignment w:val="baseline"/>
              <w:rPr>
                <w:rFonts w:ascii="Times New Roman" w:eastAsia="Times New Roman" w:hAnsi="Times New Roman" w:cs="Times New Roman"/>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sz w:val="24"/>
              </w:rPr>
              <w:br/>
            </w:r>
            <w:r>
              <w:rPr>
                <w:rFonts w:ascii="Times New Roman" w:eastAsia="Times New Roman" w:hAnsi="Times New Roman" w:cs="Times New Roman"/>
                <w:b/>
                <w:noProof/>
                <w:sz w:val="20"/>
                <w:szCs w:val="20"/>
              </w:rPr>
              <w:t>(pentru obiective)</w:t>
            </w:r>
            <w:r>
              <w:rPr>
                <w:rFonts w:ascii="Times New Roman" w:eastAsia="Times New Roman" w:hAnsi="Times New Roman" w:cs="Times New Roman"/>
                <w:noProof/>
                <w:sz w:val="20"/>
                <w:szCs w:val="20"/>
              </w:rPr>
              <w:t> </w:t>
            </w:r>
          </w:p>
        </w:tc>
        <w:tc>
          <w:tcPr>
            <w:tcW w:w="1535" w:type="dxa"/>
            <w:gridSpan w:val="2"/>
            <w:shd w:val="clear" w:color="auto" w:fill="BDD7EE"/>
            <w:vAlign w:val="center"/>
            <w:hideMark/>
          </w:tcPr>
          <w:p w14:paraId="05863CD6" w14:textId="7A04B8B1" w:rsidR="00FE6F09" w:rsidRDefault="00435AFB">
            <w:pPr>
              <w:pStyle w:val="P68B1DB1-Normal8"/>
              <w:spacing w:after="0" w:line="240" w:lineRule="auto"/>
              <w:jc w:val="center"/>
              <w:textAlignment w:val="baseline"/>
              <w:rPr>
                <w:noProof/>
              </w:rPr>
            </w:pPr>
            <w:r>
              <w:rPr>
                <w:noProof/>
              </w:rPr>
              <w:t xml:space="preserve">Calendar orientativ pentru finalizare </w:t>
            </w:r>
          </w:p>
        </w:tc>
        <w:tc>
          <w:tcPr>
            <w:tcW w:w="4107" w:type="dxa"/>
            <w:vMerge w:val="restart"/>
            <w:shd w:val="clear" w:color="auto" w:fill="BDD7EE"/>
            <w:vAlign w:val="center"/>
            <w:hideMark/>
          </w:tcPr>
          <w:p w14:paraId="09D89E1C" w14:textId="77777777" w:rsidR="00FE6F09" w:rsidRDefault="00435AFB">
            <w:pPr>
              <w:pStyle w:val="P68B1DB1-Normal19"/>
              <w:spacing w:after="0" w:line="240" w:lineRule="auto"/>
              <w:jc w:val="center"/>
              <w:textAlignment w:val="baseline"/>
              <w:rPr>
                <w:noProof/>
              </w:rPr>
            </w:pPr>
            <w:r>
              <w:rPr>
                <w:b/>
                <w:noProof/>
              </w:rPr>
              <w:t>Descrierea fiecărui jalon și a fiecărei ținte</w:t>
            </w:r>
            <w:r>
              <w:rPr>
                <w:noProof/>
              </w:rPr>
              <w:t> </w:t>
            </w:r>
          </w:p>
        </w:tc>
      </w:tr>
      <w:tr w:rsidR="00FE6F09" w14:paraId="1DB4BFD1" w14:textId="77777777">
        <w:trPr>
          <w:trHeight w:val="1005"/>
          <w:jc w:val="center"/>
        </w:trPr>
        <w:tc>
          <w:tcPr>
            <w:tcW w:w="1103" w:type="dxa"/>
            <w:vMerge/>
            <w:vAlign w:val="center"/>
            <w:hideMark/>
          </w:tcPr>
          <w:p w14:paraId="7C2C0F09" w14:textId="77777777" w:rsidR="00FE6F09" w:rsidRDefault="00FE6F09">
            <w:pPr>
              <w:spacing w:after="0" w:line="240" w:lineRule="auto"/>
              <w:rPr>
                <w:rFonts w:ascii="Times New Roman" w:eastAsia="Times New Roman" w:hAnsi="Times New Roman" w:cs="Times New Roman"/>
                <w:noProof/>
                <w:sz w:val="20"/>
                <w:szCs w:val="20"/>
              </w:rPr>
            </w:pPr>
          </w:p>
        </w:tc>
        <w:tc>
          <w:tcPr>
            <w:tcW w:w="2231" w:type="dxa"/>
            <w:vMerge/>
            <w:vAlign w:val="center"/>
            <w:hideMark/>
          </w:tcPr>
          <w:p w14:paraId="4149B492" w14:textId="77777777" w:rsidR="00FE6F09" w:rsidRDefault="00FE6F09">
            <w:pPr>
              <w:spacing w:after="0" w:line="240" w:lineRule="auto"/>
              <w:rPr>
                <w:rFonts w:ascii="Times New Roman" w:eastAsia="Times New Roman" w:hAnsi="Times New Roman" w:cs="Times New Roman"/>
                <w:noProof/>
                <w:sz w:val="20"/>
                <w:szCs w:val="20"/>
              </w:rPr>
            </w:pPr>
          </w:p>
        </w:tc>
        <w:tc>
          <w:tcPr>
            <w:tcW w:w="992" w:type="dxa"/>
            <w:vMerge/>
            <w:vAlign w:val="center"/>
            <w:hideMark/>
          </w:tcPr>
          <w:p w14:paraId="43A118E2" w14:textId="77777777" w:rsidR="00FE6F09" w:rsidRDefault="00FE6F09">
            <w:pPr>
              <w:spacing w:after="0" w:line="240" w:lineRule="auto"/>
              <w:rPr>
                <w:rFonts w:ascii="Times New Roman" w:eastAsia="Times New Roman" w:hAnsi="Times New Roman" w:cs="Times New Roman"/>
                <w:noProof/>
                <w:sz w:val="20"/>
                <w:szCs w:val="20"/>
              </w:rPr>
            </w:pPr>
          </w:p>
        </w:tc>
        <w:tc>
          <w:tcPr>
            <w:tcW w:w="1843" w:type="dxa"/>
            <w:vMerge/>
            <w:vAlign w:val="center"/>
            <w:hideMark/>
          </w:tcPr>
          <w:p w14:paraId="164479C2" w14:textId="77777777" w:rsidR="00FE6F09" w:rsidRDefault="00FE6F09">
            <w:pPr>
              <w:spacing w:after="0" w:line="240" w:lineRule="auto"/>
              <w:rPr>
                <w:rFonts w:ascii="Times New Roman" w:eastAsia="Times New Roman" w:hAnsi="Times New Roman" w:cs="Times New Roman"/>
                <w:noProof/>
                <w:sz w:val="20"/>
                <w:szCs w:val="20"/>
              </w:rPr>
            </w:pPr>
          </w:p>
        </w:tc>
        <w:tc>
          <w:tcPr>
            <w:tcW w:w="1417" w:type="dxa"/>
            <w:vMerge/>
            <w:vAlign w:val="center"/>
            <w:hideMark/>
          </w:tcPr>
          <w:p w14:paraId="5BFFD148" w14:textId="77777777" w:rsidR="00FE6F09" w:rsidRDefault="00FE6F09">
            <w:pPr>
              <w:spacing w:after="0" w:line="240" w:lineRule="auto"/>
              <w:rPr>
                <w:rFonts w:ascii="Times New Roman" w:eastAsia="Times New Roman" w:hAnsi="Times New Roman" w:cs="Times New Roman"/>
                <w:noProof/>
                <w:sz w:val="20"/>
                <w:szCs w:val="20"/>
              </w:rPr>
            </w:pPr>
          </w:p>
        </w:tc>
        <w:tc>
          <w:tcPr>
            <w:tcW w:w="851" w:type="dxa"/>
            <w:shd w:val="clear" w:color="auto" w:fill="BDD7EE"/>
            <w:vAlign w:val="center"/>
            <w:hideMark/>
          </w:tcPr>
          <w:p w14:paraId="000C8DC7" w14:textId="77777777" w:rsidR="00FE6F09" w:rsidRDefault="00435AFB">
            <w:pPr>
              <w:pStyle w:val="P68B1DB1-Normal19"/>
              <w:spacing w:after="0" w:line="240" w:lineRule="auto"/>
              <w:jc w:val="center"/>
              <w:textAlignment w:val="baseline"/>
              <w:rPr>
                <w:noProof/>
              </w:rPr>
            </w:pPr>
            <w:r>
              <w:rPr>
                <w:b/>
                <w:noProof/>
              </w:rPr>
              <w:t>Unitatea de măsură</w:t>
            </w:r>
            <w:r>
              <w:rPr>
                <w:noProof/>
              </w:rPr>
              <w:t> </w:t>
            </w:r>
          </w:p>
        </w:tc>
        <w:tc>
          <w:tcPr>
            <w:tcW w:w="850" w:type="dxa"/>
            <w:shd w:val="clear" w:color="auto" w:fill="BDD7EE"/>
            <w:vAlign w:val="center"/>
            <w:hideMark/>
          </w:tcPr>
          <w:p w14:paraId="7CA7BDDE" w14:textId="65A1E6FE" w:rsidR="00FE6F09" w:rsidRDefault="00435AFB">
            <w:pPr>
              <w:pStyle w:val="P68B1DB1-Normal8"/>
              <w:spacing w:after="0" w:line="240" w:lineRule="auto"/>
              <w:jc w:val="center"/>
              <w:textAlignment w:val="baseline"/>
              <w:rPr>
                <w:noProof/>
              </w:rPr>
            </w:pPr>
            <w:r>
              <w:rPr>
                <w:noProof/>
              </w:rPr>
              <w:t xml:space="preserve">Situația de referință </w:t>
            </w:r>
          </w:p>
        </w:tc>
        <w:tc>
          <w:tcPr>
            <w:tcW w:w="567" w:type="dxa"/>
            <w:shd w:val="clear" w:color="auto" w:fill="BDD7EE"/>
            <w:vAlign w:val="center"/>
            <w:hideMark/>
          </w:tcPr>
          <w:p w14:paraId="4A2BDECB" w14:textId="78B35CA5" w:rsidR="00FE6F09" w:rsidRDefault="00435AFB">
            <w:pPr>
              <w:pStyle w:val="P68B1DB1-Normal8"/>
              <w:spacing w:after="0" w:line="240" w:lineRule="auto"/>
              <w:jc w:val="center"/>
              <w:textAlignment w:val="baseline"/>
              <w:rPr>
                <w:noProof/>
              </w:rPr>
            </w:pPr>
            <w:r>
              <w:rPr>
                <w:noProof/>
              </w:rPr>
              <w:t xml:space="preserve">Obiectiv </w:t>
            </w:r>
          </w:p>
        </w:tc>
        <w:tc>
          <w:tcPr>
            <w:tcW w:w="851" w:type="dxa"/>
            <w:shd w:val="clear" w:color="auto" w:fill="BDD7EE"/>
            <w:vAlign w:val="center"/>
            <w:hideMark/>
          </w:tcPr>
          <w:p w14:paraId="100EDDA7" w14:textId="77777777" w:rsidR="00FE6F09" w:rsidRDefault="00435AFB">
            <w:pPr>
              <w:pStyle w:val="P68B1DB1-Normal19"/>
              <w:spacing w:after="0" w:line="240" w:lineRule="auto"/>
              <w:jc w:val="center"/>
              <w:textAlignment w:val="baseline"/>
              <w:rPr>
                <w:noProof/>
              </w:rPr>
            </w:pPr>
            <w:r>
              <w:rPr>
                <w:b/>
                <w:noProof/>
              </w:rPr>
              <w:t>Trimestrul</w:t>
            </w:r>
            <w:r>
              <w:rPr>
                <w:noProof/>
              </w:rPr>
              <w:t> </w:t>
            </w:r>
          </w:p>
        </w:tc>
        <w:tc>
          <w:tcPr>
            <w:tcW w:w="684" w:type="dxa"/>
            <w:shd w:val="clear" w:color="auto" w:fill="BDD7EE"/>
            <w:vAlign w:val="center"/>
            <w:hideMark/>
          </w:tcPr>
          <w:p w14:paraId="255A0338" w14:textId="77777777" w:rsidR="00FE6F09" w:rsidRDefault="00435AFB">
            <w:pPr>
              <w:pStyle w:val="P68B1DB1-Normal19"/>
              <w:spacing w:after="0" w:line="240" w:lineRule="auto"/>
              <w:jc w:val="center"/>
              <w:textAlignment w:val="baseline"/>
              <w:rPr>
                <w:noProof/>
              </w:rPr>
            </w:pPr>
            <w:r>
              <w:rPr>
                <w:b/>
                <w:noProof/>
              </w:rPr>
              <w:t>Anul</w:t>
            </w:r>
            <w:r>
              <w:rPr>
                <w:noProof/>
              </w:rPr>
              <w:t> </w:t>
            </w:r>
          </w:p>
        </w:tc>
        <w:tc>
          <w:tcPr>
            <w:tcW w:w="4107" w:type="dxa"/>
            <w:vMerge/>
            <w:vAlign w:val="center"/>
            <w:hideMark/>
          </w:tcPr>
          <w:p w14:paraId="093A53FD" w14:textId="77777777" w:rsidR="00FE6F09" w:rsidRDefault="00FE6F09">
            <w:pPr>
              <w:spacing w:after="0" w:line="240" w:lineRule="auto"/>
              <w:rPr>
                <w:rFonts w:ascii="Times New Roman" w:eastAsia="Times New Roman" w:hAnsi="Times New Roman" w:cs="Times New Roman"/>
                <w:noProof/>
                <w:sz w:val="20"/>
                <w:szCs w:val="20"/>
              </w:rPr>
            </w:pPr>
          </w:p>
        </w:tc>
      </w:tr>
      <w:tr w:rsidR="00FE6F09" w14:paraId="5198BDD2" w14:textId="77777777">
        <w:trPr>
          <w:trHeight w:val="300"/>
          <w:jc w:val="center"/>
        </w:trPr>
        <w:tc>
          <w:tcPr>
            <w:tcW w:w="1103" w:type="dxa"/>
            <w:shd w:val="clear" w:color="auto" w:fill="C6EFCE"/>
            <w:hideMark/>
          </w:tcPr>
          <w:p w14:paraId="3A2F8387" w14:textId="77777777" w:rsidR="00FE6F09" w:rsidRDefault="00435AFB">
            <w:pPr>
              <w:pStyle w:val="P68B1DB1-Normal9"/>
              <w:spacing w:after="0" w:line="240" w:lineRule="auto"/>
              <w:jc w:val="center"/>
              <w:textAlignment w:val="baseline"/>
              <w:rPr>
                <w:noProof/>
              </w:rPr>
            </w:pPr>
            <w:r>
              <w:rPr>
                <w:noProof/>
              </w:rPr>
              <w:t>3A-2</w:t>
            </w:r>
          </w:p>
        </w:tc>
        <w:tc>
          <w:tcPr>
            <w:tcW w:w="2231" w:type="dxa"/>
            <w:shd w:val="clear" w:color="auto" w:fill="C6EFCE"/>
            <w:hideMark/>
          </w:tcPr>
          <w:p w14:paraId="4BD59A46" w14:textId="0A73B4A1" w:rsidR="00FE6F09" w:rsidRDefault="00435AFB">
            <w:pPr>
              <w:pStyle w:val="P68B1DB1-Normal9"/>
              <w:spacing w:after="0" w:line="240" w:lineRule="auto"/>
              <w:ind w:left="89"/>
              <w:textAlignment w:val="baseline"/>
              <w:rPr>
                <w:noProof/>
              </w:rPr>
            </w:pPr>
            <w:r>
              <w:rPr>
                <w:noProof/>
              </w:rPr>
              <w:t>Reforma 1 – Stimularea creării unui nou ecosistem în Luxemburg</w:t>
            </w:r>
          </w:p>
        </w:tc>
        <w:tc>
          <w:tcPr>
            <w:tcW w:w="992" w:type="dxa"/>
            <w:shd w:val="clear" w:color="auto" w:fill="C6EFCE"/>
            <w:hideMark/>
          </w:tcPr>
          <w:p w14:paraId="5C8C4D2A" w14:textId="77777777" w:rsidR="00FE6F09" w:rsidRDefault="00435AFB">
            <w:pPr>
              <w:pStyle w:val="P68B1DB1-Normal9"/>
              <w:spacing w:after="0" w:line="240" w:lineRule="auto"/>
              <w:ind w:left="89"/>
              <w:textAlignment w:val="baseline"/>
              <w:rPr>
                <w:noProof/>
              </w:rPr>
            </w:pPr>
            <w:r>
              <w:rPr>
                <w:noProof/>
              </w:rPr>
              <w:t>Țintă </w:t>
            </w:r>
          </w:p>
        </w:tc>
        <w:tc>
          <w:tcPr>
            <w:tcW w:w="1843" w:type="dxa"/>
            <w:shd w:val="clear" w:color="auto" w:fill="C6EFCE"/>
            <w:hideMark/>
          </w:tcPr>
          <w:p w14:paraId="7BDA875C" w14:textId="5CE2C1EB" w:rsidR="00FE6F09" w:rsidRDefault="00435AFB">
            <w:pPr>
              <w:pStyle w:val="P68B1DB1-Normal9"/>
              <w:spacing w:after="0" w:line="240" w:lineRule="auto"/>
              <w:ind w:left="89"/>
              <w:textAlignment w:val="baseline"/>
              <w:rPr>
                <w:noProof/>
              </w:rPr>
            </w:pPr>
            <w:r>
              <w:rPr>
                <w:noProof/>
              </w:rPr>
              <w:t>Distribuția cheilor cuantice </w:t>
            </w:r>
          </w:p>
        </w:tc>
        <w:tc>
          <w:tcPr>
            <w:tcW w:w="1417" w:type="dxa"/>
            <w:shd w:val="clear" w:color="auto" w:fill="C6EFCE"/>
            <w:hideMark/>
          </w:tcPr>
          <w:p w14:paraId="0987DC7F" w14:textId="77777777" w:rsidR="00FE6F09" w:rsidRDefault="00435AFB">
            <w:pPr>
              <w:pStyle w:val="P68B1DB1-Normal9"/>
              <w:spacing w:after="0" w:line="240" w:lineRule="auto"/>
              <w:ind w:left="89"/>
              <w:textAlignment w:val="baseline"/>
              <w:rPr>
                <w:noProof/>
              </w:rPr>
            </w:pPr>
            <w:r>
              <w:rPr>
                <w:noProof/>
              </w:rPr>
              <w:t> </w:t>
            </w:r>
          </w:p>
        </w:tc>
        <w:tc>
          <w:tcPr>
            <w:tcW w:w="851" w:type="dxa"/>
            <w:shd w:val="clear" w:color="auto" w:fill="C6EFCE"/>
            <w:hideMark/>
          </w:tcPr>
          <w:p w14:paraId="3C22A238" w14:textId="77777777" w:rsidR="00FE6F09" w:rsidRDefault="00435AFB">
            <w:pPr>
              <w:pStyle w:val="P68B1DB1-Normal9"/>
              <w:spacing w:after="0" w:line="240" w:lineRule="auto"/>
              <w:jc w:val="center"/>
              <w:textAlignment w:val="baseline"/>
              <w:rPr>
                <w:noProof/>
              </w:rPr>
            </w:pPr>
            <w:r>
              <w:rPr>
                <w:noProof/>
              </w:rPr>
              <w:t>Număr</w:t>
            </w:r>
          </w:p>
        </w:tc>
        <w:tc>
          <w:tcPr>
            <w:tcW w:w="850" w:type="dxa"/>
            <w:shd w:val="clear" w:color="auto" w:fill="C6EFCE"/>
            <w:hideMark/>
          </w:tcPr>
          <w:p w14:paraId="17B60D05" w14:textId="77777777" w:rsidR="00FE6F09" w:rsidRDefault="00435AFB">
            <w:pPr>
              <w:pStyle w:val="P68B1DB1-Normal9"/>
              <w:spacing w:after="0" w:line="240" w:lineRule="auto"/>
              <w:jc w:val="center"/>
              <w:textAlignment w:val="baseline"/>
              <w:rPr>
                <w:noProof/>
              </w:rPr>
            </w:pPr>
            <w:r>
              <w:rPr>
                <w:noProof/>
              </w:rPr>
              <w:t>0</w:t>
            </w:r>
          </w:p>
        </w:tc>
        <w:tc>
          <w:tcPr>
            <w:tcW w:w="567" w:type="dxa"/>
            <w:shd w:val="clear" w:color="auto" w:fill="C6EFCE"/>
            <w:hideMark/>
          </w:tcPr>
          <w:p w14:paraId="3E1E4804" w14:textId="77777777" w:rsidR="00FE6F09" w:rsidRDefault="00435AFB">
            <w:pPr>
              <w:pStyle w:val="P68B1DB1-Normal9"/>
              <w:spacing w:after="0" w:line="240" w:lineRule="auto"/>
              <w:jc w:val="center"/>
              <w:textAlignment w:val="baseline"/>
              <w:rPr>
                <w:noProof/>
              </w:rPr>
            </w:pPr>
            <w:r>
              <w:rPr>
                <w:noProof/>
              </w:rPr>
              <w:t>2</w:t>
            </w:r>
          </w:p>
        </w:tc>
        <w:tc>
          <w:tcPr>
            <w:tcW w:w="851" w:type="dxa"/>
            <w:shd w:val="clear" w:color="auto" w:fill="C6EFCE"/>
            <w:hideMark/>
          </w:tcPr>
          <w:p w14:paraId="2ABD9B12" w14:textId="77777777" w:rsidR="00FE6F09" w:rsidRDefault="00435AFB">
            <w:pPr>
              <w:pStyle w:val="P68B1DB1-Normal9"/>
              <w:spacing w:after="0" w:line="240" w:lineRule="auto"/>
              <w:jc w:val="center"/>
              <w:textAlignment w:val="baseline"/>
              <w:rPr>
                <w:noProof/>
              </w:rPr>
            </w:pPr>
            <w:r>
              <w:rPr>
                <w:noProof/>
              </w:rPr>
              <w:t>T2</w:t>
            </w:r>
          </w:p>
        </w:tc>
        <w:tc>
          <w:tcPr>
            <w:tcW w:w="684" w:type="dxa"/>
            <w:shd w:val="clear" w:color="auto" w:fill="C6EFCE"/>
            <w:hideMark/>
          </w:tcPr>
          <w:p w14:paraId="46F2BE4E" w14:textId="77777777" w:rsidR="00FE6F09" w:rsidRDefault="00435AFB">
            <w:pPr>
              <w:pStyle w:val="P68B1DB1-Normal9"/>
              <w:spacing w:after="0" w:line="240" w:lineRule="auto"/>
              <w:jc w:val="center"/>
              <w:textAlignment w:val="baseline"/>
              <w:rPr>
                <w:noProof/>
              </w:rPr>
            </w:pPr>
            <w:r>
              <w:rPr>
                <w:noProof/>
              </w:rPr>
              <w:t>2022</w:t>
            </w:r>
          </w:p>
        </w:tc>
        <w:tc>
          <w:tcPr>
            <w:tcW w:w="4107" w:type="dxa"/>
            <w:shd w:val="clear" w:color="auto" w:fill="C6EFCE"/>
            <w:hideMark/>
          </w:tcPr>
          <w:p w14:paraId="461FEB75" w14:textId="4B255503" w:rsidR="00FE6F09" w:rsidRDefault="00435AFB">
            <w:pPr>
              <w:pStyle w:val="P68B1DB1-Normal9"/>
              <w:spacing w:after="0" w:line="240" w:lineRule="auto"/>
              <w:ind w:left="89" w:right="63"/>
              <w:textAlignment w:val="baseline"/>
              <w:rPr>
                <w:noProof/>
              </w:rPr>
            </w:pPr>
            <w:r>
              <w:rPr>
                <w:noProof/>
              </w:rPr>
              <w:t>Conectarea cu succes a 2 situri în cadrul LuxQCI Lab prin crearea unei rețele terestre.</w:t>
            </w:r>
          </w:p>
        </w:tc>
      </w:tr>
      <w:tr w:rsidR="00FE6F09" w14:paraId="4BE24CFB" w14:textId="77777777">
        <w:trPr>
          <w:trHeight w:val="300"/>
          <w:jc w:val="center"/>
        </w:trPr>
        <w:tc>
          <w:tcPr>
            <w:tcW w:w="1103" w:type="dxa"/>
            <w:shd w:val="clear" w:color="auto" w:fill="C6EFCE"/>
            <w:hideMark/>
          </w:tcPr>
          <w:p w14:paraId="6BB704B7" w14:textId="77777777" w:rsidR="00FE6F09" w:rsidRDefault="00435AFB">
            <w:pPr>
              <w:pStyle w:val="P68B1DB1-Normal9"/>
              <w:spacing w:after="0" w:line="240" w:lineRule="auto"/>
              <w:jc w:val="center"/>
              <w:textAlignment w:val="baseline"/>
              <w:rPr>
                <w:noProof/>
              </w:rPr>
            </w:pPr>
            <w:r>
              <w:rPr>
                <w:noProof/>
              </w:rPr>
              <w:t>3A-3</w:t>
            </w:r>
          </w:p>
        </w:tc>
        <w:tc>
          <w:tcPr>
            <w:tcW w:w="2231" w:type="dxa"/>
            <w:shd w:val="clear" w:color="auto" w:fill="C6EFCE"/>
            <w:hideMark/>
          </w:tcPr>
          <w:p w14:paraId="673CE21B" w14:textId="77777777" w:rsidR="00FE6F09" w:rsidRDefault="00435AFB">
            <w:pPr>
              <w:pStyle w:val="P68B1DB1-Normal9"/>
              <w:spacing w:after="0" w:line="240" w:lineRule="auto"/>
              <w:ind w:left="89"/>
              <w:textAlignment w:val="baseline"/>
              <w:rPr>
                <w:noProof/>
              </w:rPr>
            </w:pPr>
            <w:r>
              <w:rPr>
                <w:noProof/>
              </w:rPr>
              <w:t>Investiția 1 - Dezvoltarea și implementarea infrastructurii de testare și a soluțiilor de conectivitate ultrasecurizate </w:t>
            </w:r>
          </w:p>
        </w:tc>
        <w:tc>
          <w:tcPr>
            <w:tcW w:w="992" w:type="dxa"/>
            <w:shd w:val="clear" w:color="auto" w:fill="C6EFCE"/>
            <w:hideMark/>
          </w:tcPr>
          <w:p w14:paraId="25BB08F1" w14:textId="77777777" w:rsidR="00FE6F09" w:rsidRDefault="00435AFB">
            <w:pPr>
              <w:pStyle w:val="P68B1DB1-Normal9"/>
              <w:spacing w:after="0" w:line="240" w:lineRule="auto"/>
              <w:ind w:left="89"/>
              <w:textAlignment w:val="baseline"/>
              <w:rPr>
                <w:noProof/>
              </w:rPr>
            </w:pPr>
            <w:r>
              <w:rPr>
                <w:noProof/>
              </w:rPr>
              <w:t>Etapa de referință </w:t>
            </w:r>
          </w:p>
        </w:tc>
        <w:tc>
          <w:tcPr>
            <w:tcW w:w="1843" w:type="dxa"/>
            <w:shd w:val="clear" w:color="auto" w:fill="C6EFCE"/>
            <w:hideMark/>
          </w:tcPr>
          <w:p w14:paraId="1352C4F1" w14:textId="77777777" w:rsidR="00FE6F09" w:rsidRDefault="00435AFB">
            <w:pPr>
              <w:pStyle w:val="P68B1DB1-Normal9"/>
              <w:spacing w:after="0" w:line="240" w:lineRule="auto"/>
              <w:ind w:left="89"/>
              <w:textAlignment w:val="baseline"/>
              <w:rPr>
                <w:noProof/>
              </w:rPr>
            </w:pPr>
            <w:r>
              <w:rPr>
                <w:noProof/>
              </w:rPr>
              <w:t>Laboratorul LuxQCI </w:t>
            </w:r>
          </w:p>
        </w:tc>
        <w:tc>
          <w:tcPr>
            <w:tcW w:w="1417" w:type="dxa"/>
            <w:shd w:val="clear" w:color="auto" w:fill="C6EFCE"/>
            <w:hideMark/>
          </w:tcPr>
          <w:p w14:paraId="4156C2FC" w14:textId="62977E0E" w:rsidR="00FE6F09" w:rsidRDefault="00435AFB">
            <w:pPr>
              <w:pStyle w:val="P68B1DB1-Normal9"/>
              <w:spacing w:after="0" w:line="240" w:lineRule="auto"/>
              <w:ind w:left="89"/>
              <w:textAlignment w:val="baseline"/>
              <w:rPr>
                <w:noProof/>
              </w:rPr>
            </w:pPr>
            <w:r>
              <w:rPr>
                <w:noProof/>
              </w:rPr>
              <w:t>Intrarea în funcțiune a laboratorului LuxQCI </w:t>
            </w:r>
          </w:p>
        </w:tc>
        <w:tc>
          <w:tcPr>
            <w:tcW w:w="851" w:type="dxa"/>
            <w:shd w:val="clear" w:color="auto" w:fill="C6EFCE"/>
            <w:hideMark/>
          </w:tcPr>
          <w:p w14:paraId="388320FA" w14:textId="77777777" w:rsidR="00FE6F09" w:rsidRDefault="00FE6F09">
            <w:pPr>
              <w:spacing w:after="0" w:line="240" w:lineRule="auto"/>
              <w:jc w:val="center"/>
              <w:textAlignment w:val="baseline"/>
              <w:rPr>
                <w:rFonts w:ascii="Times New Roman" w:eastAsia="Times New Roman" w:hAnsi="Times New Roman" w:cs="Times New Roman"/>
                <w:noProof/>
                <w:sz w:val="20"/>
                <w:szCs w:val="20"/>
              </w:rPr>
            </w:pPr>
          </w:p>
        </w:tc>
        <w:tc>
          <w:tcPr>
            <w:tcW w:w="850" w:type="dxa"/>
            <w:shd w:val="clear" w:color="auto" w:fill="C6EFCE"/>
            <w:hideMark/>
          </w:tcPr>
          <w:p w14:paraId="1994F216" w14:textId="77777777" w:rsidR="00FE6F09" w:rsidRDefault="00FE6F09">
            <w:pPr>
              <w:spacing w:after="0" w:line="240" w:lineRule="auto"/>
              <w:jc w:val="center"/>
              <w:textAlignment w:val="baseline"/>
              <w:rPr>
                <w:rFonts w:ascii="Times New Roman" w:eastAsia="Times New Roman" w:hAnsi="Times New Roman" w:cs="Times New Roman"/>
                <w:noProof/>
                <w:sz w:val="20"/>
                <w:szCs w:val="20"/>
              </w:rPr>
            </w:pPr>
          </w:p>
        </w:tc>
        <w:tc>
          <w:tcPr>
            <w:tcW w:w="567" w:type="dxa"/>
            <w:shd w:val="clear" w:color="auto" w:fill="C6EFCE"/>
            <w:hideMark/>
          </w:tcPr>
          <w:p w14:paraId="0217F29D" w14:textId="77777777" w:rsidR="00FE6F09" w:rsidRDefault="00FE6F09">
            <w:pPr>
              <w:spacing w:after="0" w:line="240" w:lineRule="auto"/>
              <w:jc w:val="center"/>
              <w:textAlignment w:val="baseline"/>
              <w:rPr>
                <w:rFonts w:ascii="Times New Roman" w:eastAsia="Times New Roman" w:hAnsi="Times New Roman" w:cs="Times New Roman"/>
                <w:noProof/>
                <w:sz w:val="20"/>
                <w:szCs w:val="20"/>
              </w:rPr>
            </w:pPr>
          </w:p>
        </w:tc>
        <w:tc>
          <w:tcPr>
            <w:tcW w:w="851" w:type="dxa"/>
            <w:shd w:val="clear" w:color="auto" w:fill="C6EFCE"/>
            <w:hideMark/>
          </w:tcPr>
          <w:p w14:paraId="6BC3227C" w14:textId="77777777" w:rsidR="00FE6F09" w:rsidRDefault="00435AFB">
            <w:pPr>
              <w:pStyle w:val="P68B1DB1-Normal9"/>
              <w:spacing w:after="0" w:line="240" w:lineRule="auto"/>
              <w:jc w:val="center"/>
              <w:textAlignment w:val="baseline"/>
              <w:rPr>
                <w:noProof/>
              </w:rPr>
            </w:pPr>
            <w:r>
              <w:rPr>
                <w:noProof/>
              </w:rPr>
              <w:t>T3</w:t>
            </w:r>
          </w:p>
        </w:tc>
        <w:tc>
          <w:tcPr>
            <w:tcW w:w="684" w:type="dxa"/>
            <w:shd w:val="clear" w:color="auto" w:fill="C6EFCE"/>
            <w:hideMark/>
          </w:tcPr>
          <w:p w14:paraId="380EEAC2" w14:textId="77777777" w:rsidR="00FE6F09" w:rsidRDefault="00435AFB">
            <w:pPr>
              <w:pStyle w:val="P68B1DB1-Normal9"/>
              <w:spacing w:after="0" w:line="240" w:lineRule="auto"/>
              <w:jc w:val="center"/>
              <w:textAlignment w:val="baseline"/>
              <w:rPr>
                <w:noProof/>
              </w:rPr>
            </w:pPr>
            <w:r>
              <w:rPr>
                <w:noProof/>
              </w:rPr>
              <w:t>2021</w:t>
            </w:r>
          </w:p>
        </w:tc>
        <w:tc>
          <w:tcPr>
            <w:tcW w:w="4107" w:type="dxa"/>
            <w:shd w:val="clear" w:color="auto" w:fill="C6EFCE"/>
            <w:hideMark/>
          </w:tcPr>
          <w:p w14:paraId="2F50DAB0" w14:textId="6181B4E2" w:rsidR="00FE6F09" w:rsidRDefault="00435AFB">
            <w:pPr>
              <w:pStyle w:val="P68B1DB1-Normal9"/>
              <w:spacing w:after="0" w:line="240" w:lineRule="auto"/>
              <w:ind w:left="89" w:right="63"/>
              <w:textAlignment w:val="baseline"/>
              <w:rPr>
                <w:noProof/>
              </w:rPr>
            </w:pPr>
            <w:r>
              <w:rPr>
                <w:noProof/>
              </w:rPr>
              <w:t xml:space="preserve">Laboratorul LuxQCI, destinat să dobândească expertiza necesară pentru dezvoltarea și exploatarea unei infrastructuri de comunicații cuantice, este operațional. </w:t>
            </w:r>
          </w:p>
        </w:tc>
      </w:tr>
      <w:tr w:rsidR="00FE6F09" w14:paraId="55F84380" w14:textId="77777777">
        <w:trPr>
          <w:trHeight w:val="300"/>
          <w:jc w:val="center"/>
        </w:trPr>
        <w:tc>
          <w:tcPr>
            <w:tcW w:w="1103" w:type="dxa"/>
            <w:shd w:val="clear" w:color="auto" w:fill="C6EFCE"/>
            <w:hideMark/>
          </w:tcPr>
          <w:p w14:paraId="43B0181E" w14:textId="77777777" w:rsidR="00FE6F09" w:rsidRDefault="00435AFB">
            <w:pPr>
              <w:pStyle w:val="P68B1DB1-Normal9"/>
              <w:spacing w:after="0" w:line="240" w:lineRule="auto"/>
              <w:jc w:val="center"/>
              <w:textAlignment w:val="baseline"/>
              <w:rPr>
                <w:noProof/>
              </w:rPr>
            </w:pPr>
            <w:r>
              <w:rPr>
                <w:noProof/>
              </w:rPr>
              <w:t>3A-4</w:t>
            </w:r>
          </w:p>
        </w:tc>
        <w:tc>
          <w:tcPr>
            <w:tcW w:w="2231" w:type="dxa"/>
            <w:shd w:val="clear" w:color="auto" w:fill="C6EFCE"/>
            <w:hideMark/>
          </w:tcPr>
          <w:p w14:paraId="559A160E" w14:textId="70C7791A" w:rsidR="00FE6F09" w:rsidRDefault="00435AFB">
            <w:pPr>
              <w:pStyle w:val="P68B1DB1-Normal9"/>
              <w:spacing w:after="0" w:line="240" w:lineRule="auto"/>
              <w:ind w:left="89"/>
              <w:textAlignment w:val="baseline"/>
              <w:rPr>
                <w:noProof/>
              </w:rPr>
            </w:pPr>
            <w:r>
              <w:rPr>
                <w:noProof/>
              </w:rPr>
              <w:t>Investiția 1 - Dezvoltarea și implementarea infrastructurii de testare și a soluțiilor de conectivitate ultrasecurizate</w:t>
            </w:r>
          </w:p>
        </w:tc>
        <w:tc>
          <w:tcPr>
            <w:tcW w:w="992" w:type="dxa"/>
            <w:shd w:val="clear" w:color="auto" w:fill="C6EFCE"/>
            <w:hideMark/>
          </w:tcPr>
          <w:p w14:paraId="134D0B27" w14:textId="77777777" w:rsidR="00FE6F09" w:rsidRDefault="00435AFB">
            <w:pPr>
              <w:pStyle w:val="P68B1DB1-Normal9"/>
              <w:spacing w:after="0" w:line="240" w:lineRule="auto"/>
              <w:ind w:left="89"/>
              <w:textAlignment w:val="baseline"/>
              <w:rPr>
                <w:noProof/>
              </w:rPr>
            </w:pPr>
            <w:r>
              <w:rPr>
                <w:noProof/>
              </w:rPr>
              <w:t>Etapa de referință </w:t>
            </w:r>
          </w:p>
        </w:tc>
        <w:tc>
          <w:tcPr>
            <w:tcW w:w="1843" w:type="dxa"/>
            <w:shd w:val="clear" w:color="auto" w:fill="C6EFCE"/>
            <w:hideMark/>
          </w:tcPr>
          <w:p w14:paraId="713475AF" w14:textId="0B3C986A" w:rsidR="00FE6F09" w:rsidRDefault="00435AFB">
            <w:pPr>
              <w:pStyle w:val="P68B1DB1-Normal9"/>
              <w:spacing w:after="0" w:line="240" w:lineRule="auto"/>
              <w:ind w:left="89"/>
              <w:textAlignment w:val="baseline"/>
              <w:rPr>
                <w:noProof/>
              </w:rPr>
            </w:pPr>
            <w:r>
              <w:rPr>
                <w:noProof/>
              </w:rPr>
              <w:t>Raport ex post privind demonstrarea conexiunii terestre transfrontaliere cu chei cuantice de distribuție</w:t>
            </w:r>
          </w:p>
        </w:tc>
        <w:tc>
          <w:tcPr>
            <w:tcW w:w="1417" w:type="dxa"/>
            <w:shd w:val="clear" w:color="auto" w:fill="C6EFCE"/>
            <w:hideMark/>
          </w:tcPr>
          <w:p w14:paraId="0493BF34" w14:textId="77777777" w:rsidR="00FE6F09" w:rsidRDefault="00435AFB">
            <w:pPr>
              <w:pStyle w:val="P68B1DB1-Normal9"/>
              <w:spacing w:after="0" w:line="240" w:lineRule="auto"/>
              <w:ind w:left="89"/>
              <w:textAlignment w:val="baseline"/>
              <w:rPr>
                <w:noProof/>
              </w:rPr>
            </w:pPr>
            <w:r>
              <w:rPr>
                <w:noProof/>
              </w:rPr>
              <w:t>Prezentarea raportului ex post</w:t>
            </w:r>
          </w:p>
        </w:tc>
        <w:tc>
          <w:tcPr>
            <w:tcW w:w="851" w:type="dxa"/>
            <w:shd w:val="clear" w:color="auto" w:fill="C6EFCE"/>
            <w:hideMark/>
          </w:tcPr>
          <w:p w14:paraId="331ACE7C" w14:textId="77777777" w:rsidR="00FE6F09" w:rsidRDefault="00FE6F09">
            <w:pPr>
              <w:spacing w:after="0" w:line="240" w:lineRule="auto"/>
              <w:jc w:val="center"/>
              <w:textAlignment w:val="baseline"/>
              <w:rPr>
                <w:rFonts w:ascii="Times New Roman" w:eastAsia="Times New Roman" w:hAnsi="Times New Roman" w:cs="Times New Roman"/>
                <w:noProof/>
                <w:sz w:val="20"/>
                <w:szCs w:val="20"/>
              </w:rPr>
            </w:pPr>
          </w:p>
        </w:tc>
        <w:tc>
          <w:tcPr>
            <w:tcW w:w="850" w:type="dxa"/>
            <w:shd w:val="clear" w:color="auto" w:fill="C6EFCE"/>
            <w:hideMark/>
          </w:tcPr>
          <w:p w14:paraId="2670456A" w14:textId="77777777" w:rsidR="00FE6F09" w:rsidRDefault="00FE6F09">
            <w:pPr>
              <w:spacing w:after="0" w:line="240" w:lineRule="auto"/>
              <w:jc w:val="center"/>
              <w:textAlignment w:val="baseline"/>
              <w:rPr>
                <w:rFonts w:ascii="Times New Roman" w:eastAsia="Times New Roman" w:hAnsi="Times New Roman" w:cs="Times New Roman"/>
                <w:noProof/>
                <w:sz w:val="20"/>
                <w:szCs w:val="20"/>
              </w:rPr>
            </w:pPr>
          </w:p>
        </w:tc>
        <w:tc>
          <w:tcPr>
            <w:tcW w:w="567" w:type="dxa"/>
            <w:shd w:val="clear" w:color="auto" w:fill="C6EFCE"/>
            <w:hideMark/>
          </w:tcPr>
          <w:p w14:paraId="3C23A93B" w14:textId="77777777" w:rsidR="00FE6F09" w:rsidRDefault="00FE6F09">
            <w:pPr>
              <w:spacing w:after="0" w:line="240" w:lineRule="auto"/>
              <w:jc w:val="center"/>
              <w:textAlignment w:val="baseline"/>
              <w:rPr>
                <w:rFonts w:ascii="Times New Roman" w:eastAsia="Times New Roman" w:hAnsi="Times New Roman" w:cs="Times New Roman"/>
                <w:noProof/>
                <w:sz w:val="20"/>
                <w:szCs w:val="20"/>
              </w:rPr>
            </w:pPr>
          </w:p>
        </w:tc>
        <w:tc>
          <w:tcPr>
            <w:tcW w:w="851" w:type="dxa"/>
            <w:shd w:val="clear" w:color="auto" w:fill="C6EFCE"/>
            <w:hideMark/>
          </w:tcPr>
          <w:p w14:paraId="3F201F57" w14:textId="77777777" w:rsidR="00FE6F09" w:rsidRDefault="00435AFB">
            <w:pPr>
              <w:pStyle w:val="P68B1DB1-Normal9"/>
              <w:spacing w:after="0" w:line="240" w:lineRule="auto"/>
              <w:jc w:val="center"/>
              <w:textAlignment w:val="baseline"/>
              <w:rPr>
                <w:noProof/>
              </w:rPr>
            </w:pPr>
            <w:r>
              <w:rPr>
                <w:noProof/>
              </w:rPr>
              <w:t>Q1</w:t>
            </w:r>
          </w:p>
        </w:tc>
        <w:tc>
          <w:tcPr>
            <w:tcW w:w="684" w:type="dxa"/>
            <w:shd w:val="clear" w:color="auto" w:fill="C6EFCE"/>
            <w:hideMark/>
          </w:tcPr>
          <w:p w14:paraId="4E5F1D74" w14:textId="77777777" w:rsidR="00FE6F09" w:rsidRDefault="00435AFB">
            <w:pPr>
              <w:pStyle w:val="P68B1DB1-Normal9"/>
              <w:spacing w:after="0" w:line="240" w:lineRule="auto"/>
              <w:jc w:val="center"/>
              <w:textAlignment w:val="baseline"/>
              <w:rPr>
                <w:noProof/>
              </w:rPr>
            </w:pPr>
            <w:r>
              <w:rPr>
                <w:noProof/>
              </w:rPr>
              <w:t>2023</w:t>
            </w:r>
          </w:p>
        </w:tc>
        <w:tc>
          <w:tcPr>
            <w:tcW w:w="4107" w:type="dxa"/>
            <w:shd w:val="clear" w:color="auto" w:fill="C6EFCE"/>
            <w:hideMark/>
          </w:tcPr>
          <w:p w14:paraId="31F9C49B" w14:textId="77777777" w:rsidR="00FE6F09" w:rsidRDefault="00435AFB">
            <w:pPr>
              <w:pStyle w:val="P68B1DB1-Normal9"/>
              <w:spacing w:after="0" w:line="240" w:lineRule="auto"/>
              <w:ind w:left="89" w:right="63"/>
              <w:textAlignment w:val="baseline"/>
              <w:rPr>
                <w:noProof/>
              </w:rPr>
            </w:pPr>
            <w:r>
              <w:rPr>
                <w:noProof/>
              </w:rPr>
              <w:t xml:space="preserve">Raport ex post prezentat de contractant cu privire la demonstrarea conexiunii terestre transfrontaliere cu cheie de distribuție cuantică. </w:t>
            </w:r>
          </w:p>
        </w:tc>
      </w:tr>
    </w:tbl>
    <w:p w14:paraId="3042737F"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80"/>
          <w:headerReference w:type="default" r:id="rId81"/>
          <w:footerReference w:type="even" r:id="rId82"/>
          <w:footerReference w:type="default" r:id="rId83"/>
          <w:headerReference w:type="first" r:id="rId84"/>
          <w:footerReference w:type="first" r:id="rId85"/>
          <w:pgSz w:w="16839" w:h="11907" w:orient="landscape"/>
          <w:pgMar w:top="720" w:right="720" w:bottom="720" w:left="720" w:header="709" w:footer="709" w:gutter="0"/>
          <w:cols w:space="720"/>
          <w:docGrid w:linePitch="360"/>
        </w:sectPr>
      </w:pPr>
    </w:p>
    <w:p w14:paraId="00559B7E" w14:textId="77777777" w:rsidR="00FE6F09" w:rsidRDefault="00435AFB">
      <w:pPr>
        <w:pStyle w:val="P68B1DB1-Normal2"/>
        <w:spacing w:before="120" w:after="120" w:line="240" w:lineRule="auto"/>
        <w:jc w:val="both"/>
        <w:rPr>
          <w:bCs/>
          <w:noProof/>
        </w:rPr>
      </w:pPr>
      <w:r>
        <w:rPr>
          <w:noProof/>
        </w:rPr>
        <w:t>G. COMPONENTUL 3B: Modernizarea administrației publice</w:t>
      </w:r>
    </w:p>
    <w:p w14:paraId="6F3AE7C5" w14:textId="77777777" w:rsidR="00FE6F09" w:rsidRDefault="00435AFB">
      <w:pPr>
        <w:pStyle w:val="P68B1DB1-Normal5"/>
        <w:spacing w:before="120" w:after="120" w:line="240" w:lineRule="auto"/>
        <w:jc w:val="both"/>
        <w:rPr>
          <w:noProof/>
        </w:rPr>
      </w:pPr>
      <w:r>
        <w:rPr>
          <w:noProof/>
        </w:rPr>
        <w:t xml:space="preserve">Pandemia de COVID-19 și măsurile de izolare au demonstrat necesitatea urgentă de a dezvolta în continuare soluții digitale interoperabile adecvate pentru serviciile publice și administrații. Această componentă vizează abordarea acestei provocări, prin creșterea eficacității și a eficienței administrațiilor publice și a serviciilor acestora prin digitalizarea lor, ținând seama de provocările, nevoile și așteptările actuale ale cetățenilor și ale funcționarilor guvernamentali. </w:t>
      </w:r>
    </w:p>
    <w:p w14:paraId="41DA56D8" w14:textId="77777777" w:rsidR="00FE6F09" w:rsidRDefault="00435AFB">
      <w:pPr>
        <w:pStyle w:val="P68B1DB1-Normal5"/>
        <w:spacing w:before="120" w:after="120" w:line="240" w:lineRule="auto"/>
        <w:jc w:val="both"/>
        <w:rPr>
          <w:noProof/>
        </w:rPr>
      </w:pPr>
      <w:r>
        <w:rPr>
          <w:noProof/>
        </w:rPr>
        <w:t xml:space="preserve">Componenta </w:t>
      </w:r>
      <w:r>
        <w:rPr>
          <w:noProof/>
          <w:color w:val="000000"/>
        </w:rPr>
        <w:t xml:space="preserve">planului de redresare și reziliență al Luxemburgului este </w:t>
      </w:r>
      <w:r>
        <w:rPr>
          <w:noProof/>
        </w:rPr>
        <w:t xml:space="preserve">menită să răspundă </w:t>
      </w:r>
      <w:r>
        <w:rPr>
          <w:noProof/>
          <w:color w:val="000000" w:themeColor="text1"/>
        </w:rPr>
        <w:t>recomandărilor specifice fiecărei țări adresate</w:t>
      </w:r>
      <w:r>
        <w:rPr>
          <w:noProof/>
        </w:rPr>
        <w:t xml:space="preserve"> Luxemburgului în 2019 și 2020, care au recomandat promovarea inovării și a digitalizării, în special în sectorul afacerilor, precum și orientarea politicii economice legate de investiții pentru a încuraja digitalizarea și inovarea. Componenta contribuie, de asemenea, la tranziția digitală. </w:t>
      </w:r>
    </w:p>
    <w:p w14:paraId="70428272" w14:textId="77777777" w:rsidR="00FE6F09" w:rsidRDefault="00435AFB">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293316C" w14:textId="77777777" w:rsidR="00FE6F09" w:rsidRDefault="00FE6F09">
      <w:pPr>
        <w:spacing w:before="120" w:after="120" w:line="240" w:lineRule="auto"/>
        <w:jc w:val="both"/>
        <w:rPr>
          <w:rFonts w:ascii="Times New Roman" w:hAnsi="Times New Roman" w:cs="Times New Roman"/>
          <w:noProof/>
          <w:sz w:val="24"/>
        </w:rPr>
      </w:pPr>
    </w:p>
    <w:p w14:paraId="23DBC631" w14:textId="77777777" w:rsidR="00FE6F09" w:rsidRDefault="00435AFB">
      <w:pPr>
        <w:pStyle w:val="P68B1DB1-Normal6"/>
        <w:spacing w:before="120" w:after="120" w:line="240" w:lineRule="auto"/>
        <w:jc w:val="both"/>
        <w:rPr>
          <w:bCs/>
          <w:noProof/>
        </w:rPr>
      </w:pPr>
      <w:r>
        <w:rPr>
          <w:noProof/>
        </w:rPr>
        <w:t xml:space="preserve">G.1. </w:t>
      </w:r>
      <w:r>
        <w:rPr>
          <w:noProof/>
        </w:rPr>
        <w:tab/>
        <w:t>Descrierea reformelor și a investițiilor pentru sprijinul financiar nerambursabil</w:t>
      </w:r>
    </w:p>
    <w:p w14:paraId="414F03FE" w14:textId="77777777" w:rsidR="00FE6F09" w:rsidRDefault="00435AFB">
      <w:pPr>
        <w:pStyle w:val="P68B1DB1-Normal10"/>
        <w:spacing w:before="120" w:after="120" w:line="240" w:lineRule="auto"/>
        <w:jc w:val="both"/>
        <w:rPr>
          <w:noProof/>
        </w:rPr>
      </w:pPr>
      <w:r>
        <w:rPr>
          <w:noProof/>
        </w:rPr>
        <w:t>Investiția 1: Gestionarea electronică a documentelor și gestionarea cazurilor</w:t>
      </w:r>
    </w:p>
    <w:p w14:paraId="0F58F7F9" w14:textId="77777777" w:rsidR="00FE6F09" w:rsidRDefault="00435AFB">
      <w:pPr>
        <w:pStyle w:val="P68B1DB1-Normal4"/>
        <w:spacing w:before="120" w:after="120" w:line="240" w:lineRule="auto"/>
        <w:jc w:val="both"/>
        <w:rPr>
          <w:noProof/>
        </w:rPr>
      </w:pPr>
      <w:r>
        <w:rPr>
          <w:noProof/>
        </w:rPr>
        <w:t>Măsura vizează digitalizarea gestionării documentelor în administrația publică. Această investiție constă în dezvoltarea unei platforme centrale pentru gestionarea electronică a documentelor (platforma „Hive”) și în acordarea accesului la platformă pentru cinci entități guvernamentale.</w:t>
      </w:r>
    </w:p>
    <w:p w14:paraId="632DD6FC" w14:textId="77777777" w:rsidR="00FE6F09" w:rsidRDefault="00FE6F09">
      <w:pPr>
        <w:spacing w:before="120" w:after="120" w:line="240" w:lineRule="auto"/>
        <w:jc w:val="both"/>
        <w:rPr>
          <w:rFonts w:ascii="Times New Roman" w:hAnsi="Times New Roman" w:cs="Times New Roman"/>
          <w:noProof/>
          <w:sz w:val="24"/>
          <w:u w:val="single"/>
        </w:rPr>
      </w:pPr>
    </w:p>
    <w:p w14:paraId="709D5EFB" w14:textId="77777777" w:rsidR="00FE6F09" w:rsidRDefault="00435AFB">
      <w:pPr>
        <w:pStyle w:val="P68B1DB1-Normal7"/>
        <w:spacing w:before="120" w:after="120" w:line="240" w:lineRule="auto"/>
        <w:jc w:val="both"/>
        <w:rPr>
          <w:noProof/>
        </w:rPr>
      </w:pPr>
      <w:r>
        <w:rPr>
          <w:noProof/>
        </w:rPr>
        <w:t>Investiția 2: Dezvoltarea MyGuichet – Proiectul 1/3 – Programări virtuale</w:t>
      </w:r>
    </w:p>
    <w:p w14:paraId="6051B06D" w14:textId="1560067B" w:rsidR="00FE6F09" w:rsidRDefault="00435AFB">
      <w:pPr>
        <w:pStyle w:val="P68B1DB1-Normal4"/>
        <w:spacing w:before="120" w:after="120" w:line="240" w:lineRule="auto"/>
        <w:jc w:val="both"/>
        <w:rPr>
          <w:noProof/>
        </w:rPr>
      </w:pPr>
      <w:r>
        <w:rPr>
          <w:noProof/>
        </w:rPr>
        <w:t xml:space="preserve">Obiectivul principal al acestei investiții este de a permite administrațiilor publice să ofere programări virtuale și să stabilească accesul la diferite funcționalități prin intermediul programărilor prin videoconferință. </w:t>
      </w:r>
    </w:p>
    <w:p w14:paraId="38EA3F82" w14:textId="77777777" w:rsidR="00FE6F09" w:rsidRDefault="00FE6F09">
      <w:pPr>
        <w:spacing w:before="120" w:after="120" w:line="240" w:lineRule="auto"/>
        <w:jc w:val="both"/>
        <w:rPr>
          <w:rFonts w:ascii="Times New Roman" w:hAnsi="Times New Roman" w:cs="Times New Roman"/>
          <w:noProof/>
          <w:sz w:val="24"/>
          <w:u w:val="single"/>
        </w:rPr>
      </w:pPr>
    </w:p>
    <w:p w14:paraId="0D932603" w14:textId="77777777" w:rsidR="00FE6F09" w:rsidRDefault="00435AFB">
      <w:pPr>
        <w:pStyle w:val="P68B1DB1-Normal7"/>
        <w:spacing w:before="120" w:after="120" w:line="240" w:lineRule="auto"/>
        <w:jc w:val="both"/>
        <w:rPr>
          <w:noProof/>
        </w:rPr>
      </w:pPr>
      <w:r>
        <w:rPr>
          <w:noProof/>
        </w:rPr>
        <w:t xml:space="preserve">Investiția 2: Dezvoltarea MyGuichet – Proiectul 2/3 – Diverse proceduri între cetățeni și administrațiile publice (C2G) și între întreprinderi și administrațiile publice (B2G) </w:t>
      </w:r>
    </w:p>
    <w:p w14:paraId="6125F503" w14:textId="77777777" w:rsidR="00FE6F09" w:rsidRDefault="00435AFB">
      <w:pPr>
        <w:pStyle w:val="P68B1DB1-Normal5"/>
        <w:spacing w:before="120" w:after="120" w:line="240" w:lineRule="auto"/>
        <w:jc w:val="both"/>
        <w:rPr>
          <w:noProof/>
        </w:rPr>
      </w:pPr>
      <w:r>
        <w:rPr>
          <w:noProof/>
        </w:rPr>
        <w:t xml:space="preserve">Investiția 2 vizează introducerea a 12 noi servicii online – aliniate la prioritățile Regulamentului privind portalul digital unic – pentru a extinde oferta digitală la cetățeni și întreprinderi și pentru a simplifica diferitele procese administrative. De exemplu, va fi introdusă o abordare </w:t>
      </w:r>
      <w:r>
        <w:rPr>
          <w:noProof/>
          <w:u w:val="single"/>
        </w:rPr>
        <w:t>de tip „business to government”</w:t>
      </w:r>
      <w:r>
        <w:rPr>
          <w:noProof/>
        </w:rPr>
        <w:t xml:space="preserve"> în ceea ce privește deducerea fiscală a angajaților, astfel încât cetățenii să poată avea acces la aceste informații prin intermediul MyGuichet. Un alt serviciu care va fi pus în aplicare este introducerea unei abordări </w:t>
      </w:r>
      <w:r>
        <w:rPr>
          <w:noProof/>
          <w:u w:val="single"/>
        </w:rPr>
        <w:t>cetățenești față de guvern</w:t>
      </w:r>
      <w:r>
        <w:rPr>
          <w:noProof/>
        </w:rPr>
        <w:t xml:space="preserve"> pentru a facilita aplicarea permiselor de vânătoare prin intermediul MyGuichet. </w:t>
      </w:r>
    </w:p>
    <w:p w14:paraId="08356F93" w14:textId="77777777" w:rsidR="00FE6F09" w:rsidRDefault="00FE6F09">
      <w:pPr>
        <w:spacing w:before="120" w:after="120" w:line="240" w:lineRule="auto"/>
        <w:jc w:val="both"/>
        <w:rPr>
          <w:rFonts w:ascii="Times New Roman" w:hAnsi="Times New Roman" w:cs="Times New Roman"/>
          <w:noProof/>
          <w:sz w:val="24"/>
          <w:u w:val="single"/>
        </w:rPr>
      </w:pPr>
    </w:p>
    <w:p w14:paraId="05061B12" w14:textId="77777777" w:rsidR="00FE6F09" w:rsidRDefault="00435AFB">
      <w:pPr>
        <w:pStyle w:val="P68B1DB1-Normal7"/>
        <w:spacing w:before="120" w:after="120" w:line="240" w:lineRule="auto"/>
        <w:jc w:val="both"/>
        <w:rPr>
          <w:noProof/>
        </w:rPr>
      </w:pPr>
      <w:r>
        <w:rPr>
          <w:noProof/>
        </w:rPr>
        <w:t>Investiția 2: Dezvoltarea MyGuichet – Proiectul 3/3 – Aplicația mobilă MyGuichet.lu</w:t>
      </w:r>
    </w:p>
    <w:p w14:paraId="501C5C4A" w14:textId="5D53E241" w:rsidR="00FE6F09" w:rsidRDefault="00435AFB">
      <w:pPr>
        <w:pStyle w:val="P68B1DB1-Normal5"/>
        <w:spacing w:before="120" w:after="120" w:line="240" w:lineRule="auto"/>
        <w:jc w:val="both"/>
        <w:rPr>
          <w:noProof/>
        </w:rPr>
      </w:pPr>
      <w:r>
        <w:rPr>
          <w:noProof/>
        </w:rPr>
        <w:t xml:space="preserve">Scopul acestei investiții este de a transfera funcționalitățile oferite în MyGuichet.lu către o aplicație mobilă. Această aplicație mobilă va fi disponibilă publicului larg și vizează îmbunătățirea eficacității procedurilor pentru cetățeni și întreprinderi. Aplicația oferă acces la funcțiile desktop, cum ar fi procedurile cu administrația publică, de pe un telefon mobil personal. O altă funcție pe care această aplicație va oferi este posibilitatea de scanare a documentelor. Astfel, smartphone-ul trebuie să poată înlocui un scaner. </w:t>
      </w:r>
    </w:p>
    <w:p w14:paraId="6B0D6CAE" w14:textId="77777777" w:rsidR="00FE6F09" w:rsidRDefault="00435AFB">
      <w:pPr>
        <w:pStyle w:val="P68B1DB1-Normal10"/>
        <w:spacing w:before="120" w:after="120" w:line="240" w:lineRule="auto"/>
        <w:jc w:val="both"/>
        <w:rPr>
          <w:noProof/>
        </w:rPr>
      </w:pPr>
      <w:r>
        <w:rPr>
          <w:noProof/>
        </w:rPr>
        <w:t>Investiția 3: MyADEM</w:t>
      </w:r>
    </w:p>
    <w:p w14:paraId="7D0F3B54" w14:textId="77777777" w:rsidR="00FE6F09" w:rsidRDefault="00435AFB">
      <w:pPr>
        <w:pStyle w:val="P68B1DB1-Normal4"/>
        <w:spacing w:before="120" w:after="120" w:line="240" w:lineRule="auto"/>
        <w:jc w:val="both"/>
        <w:rPr>
          <w:noProof/>
        </w:rPr>
      </w:pPr>
      <w:r>
        <w:rPr>
          <w:noProof/>
        </w:rPr>
        <w:t>Măsura vizează digitalizarea serviciilor agenției publice de ocupare a forței de muncă (ADEM). Această investiție constă în adoptarea Strategiei ADEM 2025 și în facilitarea accesului la procedurile administrative digitale legate de MyADEM prin intermediul MyGuichet.</w:t>
      </w:r>
    </w:p>
    <w:p w14:paraId="4C6409EA" w14:textId="77777777" w:rsidR="00FE6F09" w:rsidRDefault="00435AFB">
      <w:pPr>
        <w:pStyle w:val="P68B1DB1-Normal7"/>
        <w:spacing w:before="120" w:after="120" w:line="240" w:lineRule="auto"/>
        <w:jc w:val="both"/>
        <w:rPr>
          <w:noProof/>
        </w:rPr>
      </w:pPr>
      <w:r>
        <w:rPr>
          <w:noProof/>
        </w:rPr>
        <w:t>Investiția 4: Platforma națională de gestionare a anchetelor publice</w:t>
      </w:r>
    </w:p>
    <w:p w14:paraId="34DD2E59" w14:textId="77777777" w:rsidR="00FE6F09" w:rsidRDefault="00435AFB">
      <w:pPr>
        <w:pStyle w:val="P68B1DB1-Normal4"/>
        <w:spacing w:before="120" w:after="120" w:line="240" w:lineRule="auto"/>
        <w:jc w:val="both"/>
        <w:rPr>
          <w:noProof/>
        </w:rPr>
      </w:pPr>
      <w:r>
        <w:rPr>
          <w:noProof/>
        </w:rPr>
        <w:t>Măsura urmărește să sprijine dezvoltarea unei platforme naționale pentru gestionarea anchetelor publice. Această investiție constă în crearea unei platforme naționale care să permită administrațiilor publice să gestioneze și să creeze sondaje publice.</w:t>
      </w:r>
    </w:p>
    <w:p w14:paraId="2447EC18" w14:textId="77777777" w:rsidR="00FE6F09" w:rsidRDefault="00FE6F09">
      <w:pPr>
        <w:spacing w:before="120" w:after="120" w:line="240" w:lineRule="auto"/>
        <w:ind w:left="709"/>
        <w:jc w:val="both"/>
        <w:rPr>
          <w:rFonts w:ascii="Times New Roman" w:hAnsi="Times New Roman" w:cs="Times New Roman"/>
          <w:noProof/>
          <w:sz w:val="24"/>
        </w:rPr>
        <w:sectPr w:rsidR="00FE6F09" w:rsidSect="009823F0">
          <w:headerReference w:type="even" r:id="rId86"/>
          <w:headerReference w:type="default" r:id="rId87"/>
          <w:footerReference w:type="even" r:id="rId88"/>
          <w:footerReference w:type="default" r:id="rId89"/>
          <w:headerReference w:type="first" r:id="rId90"/>
          <w:footerReference w:type="first" r:id="rId91"/>
          <w:pgSz w:w="11907" w:h="16839"/>
          <w:pgMar w:top="1134" w:right="1417" w:bottom="1134" w:left="1417" w:header="709" w:footer="709" w:gutter="0"/>
          <w:cols w:space="720"/>
          <w:docGrid w:linePitch="360"/>
        </w:sectPr>
      </w:pPr>
    </w:p>
    <w:p w14:paraId="76390D70" w14:textId="77777777" w:rsidR="00FE6F09" w:rsidRDefault="00435AFB">
      <w:pPr>
        <w:pStyle w:val="P68B1DB1-Normal6"/>
        <w:spacing w:before="120" w:after="120" w:line="240" w:lineRule="auto"/>
        <w:jc w:val="center"/>
        <w:rPr>
          <w:bCs/>
          <w:noProof/>
        </w:rPr>
      </w:pPr>
      <w:r>
        <w:rPr>
          <w:noProof/>
        </w:rPr>
        <w:t xml:space="preserve">G.2. </w:t>
      </w:r>
      <w:r>
        <w:rPr>
          <w:noProof/>
        </w:rPr>
        <w:tab/>
        <w:t>Jaloane, ținte, indicatori și calendar pentru monitorizarea și punerea în aplicare a sprijinului financiar nerambursabil</w:t>
      </w:r>
    </w:p>
    <w:tbl>
      <w:tblPr>
        <w:tblW w:w="15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1437"/>
        <w:gridCol w:w="1183"/>
        <w:gridCol w:w="1938"/>
        <w:gridCol w:w="1483"/>
        <w:gridCol w:w="950"/>
        <w:gridCol w:w="968"/>
        <w:gridCol w:w="939"/>
        <w:gridCol w:w="1135"/>
        <w:gridCol w:w="1383"/>
        <w:gridCol w:w="3687"/>
      </w:tblGrid>
      <w:tr w:rsidR="00FE6F09" w14:paraId="277734A7" w14:textId="77777777">
        <w:trPr>
          <w:trHeight w:val="927"/>
          <w:tblHeader/>
          <w:jc w:val="center"/>
        </w:trPr>
        <w:tc>
          <w:tcPr>
            <w:tcW w:w="1117" w:type="dxa"/>
            <w:vMerge w:val="restart"/>
            <w:shd w:val="clear" w:color="auto" w:fill="BDD7EE"/>
            <w:vAlign w:val="center"/>
            <w:hideMark/>
          </w:tcPr>
          <w:p w14:paraId="05C56EC9" w14:textId="77777777" w:rsidR="00FE6F09" w:rsidRDefault="00435AFB">
            <w:pPr>
              <w:pStyle w:val="P68B1DB1-Normal8"/>
              <w:spacing w:after="0" w:line="240" w:lineRule="auto"/>
              <w:jc w:val="center"/>
              <w:rPr>
                <w:bCs/>
                <w:noProof/>
              </w:rPr>
            </w:pPr>
            <w:r>
              <w:rPr>
                <w:noProof/>
              </w:rPr>
              <w:t>Număr secvențial</w:t>
            </w:r>
          </w:p>
        </w:tc>
        <w:tc>
          <w:tcPr>
            <w:tcW w:w="1437" w:type="dxa"/>
            <w:vMerge w:val="restart"/>
            <w:shd w:val="clear" w:color="auto" w:fill="BDD7EE"/>
            <w:vAlign w:val="center"/>
            <w:hideMark/>
          </w:tcPr>
          <w:p w14:paraId="0237DA7B" w14:textId="77777777" w:rsidR="00FE6F09" w:rsidRDefault="00435AFB">
            <w:pPr>
              <w:pStyle w:val="P68B1DB1-Normal8"/>
              <w:spacing w:after="0" w:line="240" w:lineRule="auto"/>
              <w:jc w:val="center"/>
              <w:rPr>
                <w:bCs/>
                <w:noProof/>
              </w:rPr>
            </w:pPr>
            <w:r>
              <w:rPr>
                <w:noProof/>
              </w:rPr>
              <w:t>Măsură conexă (reformă sau investiție)</w:t>
            </w:r>
          </w:p>
        </w:tc>
        <w:tc>
          <w:tcPr>
            <w:tcW w:w="1120" w:type="dxa"/>
            <w:vMerge w:val="restart"/>
            <w:shd w:val="clear" w:color="auto" w:fill="BDD7EE"/>
            <w:vAlign w:val="center"/>
            <w:hideMark/>
          </w:tcPr>
          <w:p w14:paraId="33C562C5" w14:textId="315E1347" w:rsidR="00FE6F09" w:rsidRDefault="00435AFB">
            <w:pPr>
              <w:pStyle w:val="P68B1DB1-Normal8"/>
              <w:spacing w:after="0" w:line="240" w:lineRule="auto"/>
              <w:jc w:val="center"/>
              <w:rPr>
                <w:bCs/>
                <w:noProof/>
              </w:rPr>
            </w:pPr>
            <w:r>
              <w:rPr>
                <w:noProof/>
              </w:rPr>
              <w:t>Etapa/ținta</w:t>
            </w:r>
          </w:p>
        </w:tc>
        <w:tc>
          <w:tcPr>
            <w:tcW w:w="1938" w:type="dxa"/>
            <w:vMerge w:val="restart"/>
            <w:shd w:val="clear" w:color="auto" w:fill="BDD7EE"/>
            <w:vAlign w:val="center"/>
            <w:hideMark/>
          </w:tcPr>
          <w:p w14:paraId="366B015A" w14:textId="77777777" w:rsidR="00FE6F09" w:rsidRDefault="00435AFB">
            <w:pPr>
              <w:pStyle w:val="P68B1DB1-Normal8"/>
              <w:spacing w:after="0" w:line="240" w:lineRule="auto"/>
              <w:jc w:val="center"/>
              <w:rPr>
                <w:bCs/>
                <w:noProof/>
              </w:rPr>
            </w:pPr>
            <w:r>
              <w:rPr>
                <w:noProof/>
              </w:rPr>
              <w:t>Denumire</w:t>
            </w:r>
          </w:p>
        </w:tc>
        <w:tc>
          <w:tcPr>
            <w:tcW w:w="1483" w:type="dxa"/>
            <w:vMerge w:val="restart"/>
            <w:shd w:val="clear" w:color="auto" w:fill="BDD7EE"/>
            <w:vAlign w:val="center"/>
            <w:hideMark/>
          </w:tcPr>
          <w:p w14:paraId="421FA5BF"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sz w:val="24"/>
              </w:rPr>
              <w:br/>
            </w:r>
            <w:r>
              <w:rPr>
                <w:rFonts w:ascii="Times New Roman" w:eastAsia="Times New Roman" w:hAnsi="Times New Roman" w:cs="Times New Roman"/>
                <w:b/>
                <w:noProof/>
                <w:sz w:val="20"/>
                <w:szCs w:val="20"/>
              </w:rPr>
              <w:t>(pentru jaloane)</w:t>
            </w:r>
          </w:p>
        </w:tc>
        <w:tc>
          <w:tcPr>
            <w:tcW w:w="2544" w:type="dxa"/>
            <w:gridSpan w:val="3"/>
            <w:shd w:val="clear" w:color="auto" w:fill="BDD7EE"/>
            <w:vAlign w:val="center"/>
            <w:hideMark/>
          </w:tcPr>
          <w:p w14:paraId="5326783D"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sz w:val="24"/>
              </w:rPr>
              <w:br/>
            </w:r>
            <w:r>
              <w:rPr>
                <w:rFonts w:ascii="Times New Roman" w:eastAsia="Times New Roman" w:hAnsi="Times New Roman" w:cs="Times New Roman"/>
                <w:b/>
                <w:noProof/>
                <w:sz w:val="20"/>
                <w:szCs w:val="20"/>
              </w:rPr>
              <w:t>(pentru obiective)</w:t>
            </w:r>
          </w:p>
        </w:tc>
        <w:tc>
          <w:tcPr>
            <w:tcW w:w="2299" w:type="dxa"/>
            <w:gridSpan w:val="2"/>
            <w:shd w:val="clear" w:color="auto" w:fill="BDD7EE"/>
            <w:vAlign w:val="center"/>
            <w:hideMark/>
          </w:tcPr>
          <w:p w14:paraId="05DF8C90" w14:textId="06EDC321" w:rsidR="00FE6F09" w:rsidRDefault="00435AFB">
            <w:pPr>
              <w:pStyle w:val="P68B1DB1-Normal8"/>
              <w:spacing w:after="0" w:line="240" w:lineRule="auto"/>
              <w:jc w:val="center"/>
              <w:rPr>
                <w:bCs/>
                <w:noProof/>
              </w:rPr>
            </w:pPr>
            <w:r>
              <w:rPr>
                <w:noProof/>
              </w:rPr>
              <w:t>Calendar orientativ pentru finalizare</w:t>
            </w:r>
          </w:p>
        </w:tc>
        <w:tc>
          <w:tcPr>
            <w:tcW w:w="3687" w:type="dxa"/>
            <w:vMerge w:val="restart"/>
            <w:shd w:val="clear" w:color="auto" w:fill="BDD7EE"/>
            <w:vAlign w:val="center"/>
            <w:hideMark/>
          </w:tcPr>
          <w:p w14:paraId="6C201FF7" w14:textId="77777777" w:rsidR="00FE6F09" w:rsidRDefault="00435AFB">
            <w:pPr>
              <w:pStyle w:val="P68B1DB1-Normal8"/>
              <w:spacing w:after="0" w:line="240" w:lineRule="auto"/>
              <w:jc w:val="center"/>
              <w:rPr>
                <w:bCs/>
                <w:noProof/>
              </w:rPr>
            </w:pPr>
            <w:r>
              <w:rPr>
                <w:noProof/>
              </w:rPr>
              <w:t>Descrierea fiecărui jalon și a fiecărei ținte</w:t>
            </w:r>
          </w:p>
        </w:tc>
      </w:tr>
      <w:tr w:rsidR="00FE6F09" w14:paraId="5B1559D8" w14:textId="77777777">
        <w:trPr>
          <w:trHeight w:val="1013"/>
          <w:tblHeader/>
          <w:jc w:val="center"/>
        </w:trPr>
        <w:tc>
          <w:tcPr>
            <w:tcW w:w="1117" w:type="dxa"/>
            <w:vMerge/>
            <w:vAlign w:val="center"/>
            <w:hideMark/>
          </w:tcPr>
          <w:p w14:paraId="232BB021"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437" w:type="dxa"/>
            <w:vMerge/>
            <w:vAlign w:val="center"/>
            <w:hideMark/>
          </w:tcPr>
          <w:p w14:paraId="5E10A413" w14:textId="77777777" w:rsidR="00FE6F09" w:rsidRDefault="00FE6F09">
            <w:pPr>
              <w:spacing w:after="0" w:line="240" w:lineRule="auto"/>
              <w:rPr>
                <w:rFonts w:ascii="Times New Roman" w:eastAsia="Times New Roman" w:hAnsi="Times New Roman" w:cs="Times New Roman"/>
                <w:b/>
                <w:noProof/>
                <w:sz w:val="20"/>
                <w:szCs w:val="20"/>
              </w:rPr>
            </w:pPr>
          </w:p>
        </w:tc>
        <w:tc>
          <w:tcPr>
            <w:tcW w:w="1120" w:type="dxa"/>
            <w:vMerge/>
            <w:vAlign w:val="center"/>
            <w:hideMark/>
          </w:tcPr>
          <w:p w14:paraId="3F734EAF"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938" w:type="dxa"/>
            <w:vMerge/>
            <w:vAlign w:val="center"/>
            <w:hideMark/>
          </w:tcPr>
          <w:p w14:paraId="459E6AFD" w14:textId="77777777" w:rsidR="00FE6F09" w:rsidRDefault="00FE6F09">
            <w:pPr>
              <w:spacing w:after="0" w:line="240" w:lineRule="auto"/>
              <w:rPr>
                <w:rFonts w:ascii="Times New Roman" w:eastAsia="Times New Roman" w:hAnsi="Times New Roman" w:cs="Times New Roman"/>
                <w:b/>
                <w:noProof/>
                <w:sz w:val="20"/>
                <w:szCs w:val="20"/>
              </w:rPr>
            </w:pPr>
          </w:p>
        </w:tc>
        <w:tc>
          <w:tcPr>
            <w:tcW w:w="1483" w:type="dxa"/>
            <w:vMerge/>
            <w:vAlign w:val="center"/>
            <w:hideMark/>
          </w:tcPr>
          <w:p w14:paraId="697B3676" w14:textId="77777777" w:rsidR="00FE6F09" w:rsidRDefault="00FE6F09">
            <w:pPr>
              <w:spacing w:after="0" w:line="240" w:lineRule="auto"/>
              <w:rPr>
                <w:rFonts w:ascii="Times New Roman" w:eastAsia="Times New Roman" w:hAnsi="Times New Roman" w:cs="Times New Roman"/>
                <w:b/>
                <w:noProof/>
                <w:sz w:val="20"/>
                <w:szCs w:val="20"/>
              </w:rPr>
            </w:pPr>
          </w:p>
        </w:tc>
        <w:tc>
          <w:tcPr>
            <w:tcW w:w="938" w:type="dxa"/>
            <w:shd w:val="clear" w:color="auto" w:fill="BDD7EE"/>
            <w:vAlign w:val="center"/>
            <w:hideMark/>
          </w:tcPr>
          <w:p w14:paraId="36E542CE" w14:textId="77777777" w:rsidR="00FE6F09" w:rsidRDefault="00435AFB">
            <w:pPr>
              <w:pStyle w:val="P68B1DB1-Normal8"/>
              <w:spacing w:after="0" w:line="240" w:lineRule="auto"/>
              <w:jc w:val="center"/>
              <w:rPr>
                <w:bCs/>
                <w:noProof/>
              </w:rPr>
            </w:pPr>
            <w:r>
              <w:rPr>
                <w:noProof/>
              </w:rPr>
              <w:t>Unitatea de măsură</w:t>
            </w:r>
          </w:p>
        </w:tc>
        <w:tc>
          <w:tcPr>
            <w:tcW w:w="928" w:type="dxa"/>
            <w:shd w:val="clear" w:color="auto" w:fill="BDD7EE"/>
            <w:vAlign w:val="center"/>
            <w:hideMark/>
          </w:tcPr>
          <w:p w14:paraId="1440AEEE" w14:textId="4FA405AF" w:rsidR="00FE6F09" w:rsidRDefault="00435AFB">
            <w:pPr>
              <w:pStyle w:val="P68B1DB1-Normal8"/>
              <w:spacing w:after="0" w:line="240" w:lineRule="auto"/>
              <w:jc w:val="center"/>
              <w:rPr>
                <w:bCs/>
                <w:noProof/>
              </w:rPr>
            </w:pPr>
            <w:r>
              <w:rPr>
                <w:noProof/>
              </w:rPr>
              <w:t>Situația de referință</w:t>
            </w:r>
          </w:p>
        </w:tc>
        <w:tc>
          <w:tcPr>
            <w:tcW w:w="678" w:type="dxa"/>
            <w:shd w:val="clear" w:color="auto" w:fill="BDD7EE"/>
            <w:vAlign w:val="center"/>
            <w:hideMark/>
          </w:tcPr>
          <w:p w14:paraId="1083AEFD" w14:textId="627AF844" w:rsidR="00FE6F09" w:rsidRDefault="00435AFB">
            <w:pPr>
              <w:pStyle w:val="P68B1DB1-Normal8"/>
              <w:spacing w:after="0" w:line="240" w:lineRule="auto"/>
              <w:jc w:val="center"/>
              <w:rPr>
                <w:bCs/>
                <w:noProof/>
              </w:rPr>
            </w:pPr>
            <w:r>
              <w:rPr>
                <w:noProof/>
              </w:rPr>
              <w:t>Obiectiv</w:t>
            </w:r>
          </w:p>
        </w:tc>
        <w:tc>
          <w:tcPr>
            <w:tcW w:w="916" w:type="dxa"/>
            <w:shd w:val="clear" w:color="auto" w:fill="BDD7EE"/>
            <w:vAlign w:val="center"/>
            <w:hideMark/>
          </w:tcPr>
          <w:p w14:paraId="26DCE12D" w14:textId="77777777" w:rsidR="00FE6F09" w:rsidRDefault="00435AFB">
            <w:pPr>
              <w:pStyle w:val="P68B1DB1-Normal8"/>
              <w:spacing w:after="0" w:line="240" w:lineRule="auto"/>
              <w:jc w:val="center"/>
              <w:rPr>
                <w:bCs/>
                <w:noProof/>
              </w:rPr>
            </w:pPr>
            <w:r>
              <w:rPr>
                <w:noProof/>
              </w:rPr>
              <w:t>Trimestrul</w:t>
            </w:r>
          </w:p>
        </w:tc>
        <w:tc>
          <w:tcPr>
            <w:tcW w:w="1383" w:type="dxa"/>
            <w:shd w:val="clear" w:color="auto" w:fill="BDD7EE"/>
            <w:vAlign w:val="center"/>
            <w:hideMark/>
          </w:tcPr>
          <w:p w14:paraId="02B736D8" w14:textId="77777777" w:rsidR="00FE6F09" w:rsidRDefault="00435AFB">
            <w:pPr>
              <w:pStyle w:val="P68B1DB1-Normal8"/>
              <w:spacing w:after="0" w:line="240" w:lineRule="auto"/>
              <w:jc w:val="center"/>
              <w:rPr>
                <w:bCs/>
                <w:noProof/>
              </w:rPr>
            </w:pPr>
            <w:r>
              <w:rPr>
                <w:noProof/>
              </w:rPr>
              <w:t>Anul</w:t>
            </w:r>
          </w:p>
        </w:tc>
        <w:tc>
          <w:tcPr>
            <w:tcW w:w="3687" w:type="dxa"/>
            <w:vMerge/>
            <w:vAlign w:val="center"/>
            <w:hideMark/>
          </w:tcPr>
          <w:p w14:paraId="49BFB87C" w14:textId="77777777" w:rsidR="00FE6F09" w:rsidRDefault="00FE6F09">
            <w:pPr>
              <w:spacing w:after="0" w:line="240" w:lineRule="auto"/>
              <w:jc w:val="both"/>
              <w:rPr>
                <w:rFonts w:ascii="Times New Roman" w:eastAsia="Times New Roman" w:hAnsi="Times New Roman" w:cs="Times New Roman"/>
                <w:b/>
                <w:noProof/>
                <w:sz w:val="20"/>
                <w:szCs w:val="20"/>
              </w:rPr>
            </w:pPr>
          </w:p>
        </w:tc>
      </w:tr>
      <w:tr w:rsidR="00FE6F09" w14:paraId="1D1BD37F" w14:textId="77777777">
        <w:trPr>
          <w:trHeight w:val="309"/>
          <w:jc w:val="center"/>
        </w:trPr>
        <w:tc>
          <w:tcPr>
            <w:tcW w:w="1117" w:type="dxa"/>
            <w:shd w:val="clear" w:color="auto" w:fill="C6EFCE"/>
            <w:noWrap/>
          </w:tcPr>
          <w:p w14:paraId="5D249A6B" w14:textId="77777777" w:rsidR="00FE6F09" w:rsidRDefault="00435AFB">
            <w:pPr>
              <w:pStyle w:val="P68B1DB1-Normal9"/>
              <w:spacing w:after="0" w:line="240" w:lineRule="auto"/>
              <w:jc w:val="center"/>
              <w:rPr>
                <w:noProof/>
              </w:rPr>
            </w:pPr>
            <w:r>
              <w:rPr>
                <w:noProof/>
              </w:rPr>
              <w:t>3B-1</w:t>
            </w:r>
          </w:p>
        </w:tc>
        <w:tc>
          <w:tcPr>
            <w:tcW w:w="1437" w:type="dxa"/>
            <w:shd w:val="clear" w:color="auto" w:fill="C6EFCE"/>
            <w:noWrap/>
          </w:tcPr>
          <w:p w14:paraId="6044EABD" w14:textId="77777777" w:rsidR="00FE6F09" w:rsidRDefault="00435AFB">
            <w:pPr>
              <w:pStyle w:val="P68B1DB1-Normal9"/>
              <w:spacing w:after="0" w:line="240" w:lineRule="auto"/>
              <w:rPr>
                <w:noProof/>
              </w:rPr>
            </w:pPr>
            <w:r>
              <w:rPr>
                <w:noProof/>
              </w:rPr>
              <w:t>Investiția 1 – Gestionarea electronică a documentelor și gestionarea cazurilor</w:t>
            </w:r>
          </w:p>
        </w:tc>
        <w:tc>
          <w:tcPr>
            <w:tcW w:w="1120" w:type="dxa"/>
            <w:shd w:val="clear" w:color="auto" w:fill="C6EFCE"/>
            <w:noWrap/>
          </w:tcPr>
          <w:p w14:paraId="4EEE35C4" w14:textId="77777777" w:rsidR="00FE6F09" w:rsidRDefault="00435AFB">
            <w:pPr>
              <w:pStyle w:val="P68B1DB1-Normal9"/>
              <w:spacing w:after="0" w:line="240" w:lineRule="auto"/>
              <w:jc w:val="center"/>
              <w:rPr>
                <w:noProof/>
              </w:rPr>
            </w:pPr>
            <w:r>
              <w:rPr>
                <w:noProof/>
              </w:rPr>
              <w:t>Etapa de referință</w:t>
            </w:r>
          </w:p>
        </w:tc>
        <w:tc>
          <w:tcPr>
            <w:tcW w:w="1938" w:type="dxa"/>
            <w:shd w:val="clear" w:color="auto" w:fill="C6EFCE"/>
            <w:noWrap/>
          </w:tcPr>
          <w:p w14:paraId="239189A1" w14:textId="77777777" w:rsidR="00FE6F09" w:rsidRDefault="00435AFB">
            <w:pPr>
              <w:pStyle w:val="P68B1DB1-Normal9"/>
              <w:spacing w:after="0" w:line="240" w:lineRule="auto"/>
              <w:rPr>
                <w:noProof/>
              </w:rPr>
            </w:pPr>
            <w:r>
              <w:rPr>
                <w:noProof/>
              </w:rPr>
              <w:t>Punerea în funcțiune a unei platforme centrale pentru gestionarea electronică a documentelor și gestionarea cazurilor.</w:t>
            </w:r>
          </w:p>
        </w:tc>
        <w:tc>
          <w:tcPr>
            <w:tcW w:w="1483" w:type="dxa"/>
            <w:shd w:val="clear" w:color="auto" w:fill="C6EFCE"/>
            <w:noWrap/>
          </w:tcPr>
          <w:p w14:paraId="2159AEC5" w14:textId="77777777" w:rsidR="00FE6F09" w:rsidRDefault="00435AFB">
            <w:pPr>
              <w:pStyle w:val="P68B1DB1-Normal9"/>
              <w:spacing w:after="0" w:line="240" w:lineRule="auto"/>
              <w:rPr>
                <w:noProof/>
              </w:rPr>
            </w:pPr>
            <w:r>
              <w:rPr>
                <w:noProof/>
              </w:rPr>
              <w:t>Punerea în funcțiune a unei platforme complete</w:t>
            </w:r>
          </w:p>
        </w:tc>
        <w:tc>
          <w:tcPr>
            <w:tcW w:w="938" w:type="dxa"/>
            <w:shd w:val="clear" w:color="auto" w:fill="C6EFCE"/>
            <w:noWrap/>
          </w:tcPr>
          <w:p w14:paraId="089287C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shd w:val="clear" w:color="auto" w:fill="C6EFCE"/>
            <w:noWrap/>
          </w:tcPr>
          <w:p w14:paraId="786F5FFD"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678" w:type="dxa"/>
            <w:shd w:val="clear" w:color="auto" w:fill="C6EFCE"/>
            <w:noWrap/>
          </w:tcPr>
          <w:p w14:paraId="63C25B6D"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16" w:type="dxa"/>
            <w:shd w:val="clear" w:color="auto" w:fill="C6EFCE"/>
            <w:noWrap/>
          </w:tcPr>
          <w:p w14:paraId="323A61CE" w14:textId="77777777" w:rsidR="00FE6F09" w:rsidRDefault="00435AFB">
            <w:pPr>
              <w:pStyle w:val="P68B1DB1-Normal9"/>
              <w:spacing w:after="0" w:line="240" w:lineRule="auto"/>
              <w:jc w:val="center"/>
              <w:rPr>
                <w:noProof/>
              </w:rPr>
            </w:pPr>
            <w:r>
              <w:rPr>
                <w:noProof/>
              </w:rPr>
              <w:t>T4</w:t>
            </w:r>
          </w:p>
        </w:tc>
        <w:tc>
          <w:tcPr>
            <w:tcW w:w="1383" w:type="dxa"/>
            <w:shd w:val="clear" w:color="auto" w:fill="C6EFCE"/>
            <w:noWrap/>
          </w:tcPr>
          <w:p w14:paraId="04C6E352" w14:textId="77777777" w:rsidR="00FE6F09" w:rsidRDefault="00435AFB">
            <w:pPr>
              <w:pStyle w:val="P68B1DB1-Normal9"/>
              <w:spacing w:after="0" w:line="240" w:lineRule="auto"/>
              <w:jc w:val="center"/>
              <w:rPr>
                <w:noProof/>
              </w:rPr>
            </w:pPr>
            <w:r>
              <w:rPr>
                <w:noProof/>
              </w:rPr>
              <w:t>2021</w:t>
            </w:r>
          </w:p>
        </w:tc>
        <w:tc>
          <w:tcPr>
            <w:tcW w:w="3687" w:type="dxa"/>
            <w:shd w:val="clear" w:color="auto" w:fill="C6EFCE"/>
            <w:noWrap/>
          </w:tcPr>
          <w:p w14:paraId="5D0B7F34" w14:textId="77777777" w:rsidR="00FE6F09" w:rsidRDefault="00435AFB">
            <w:pPr>
              <w:pStyle w:val="P68B1DB1-Normal9"/>
              <w:spacing w:after="0" w:line="240" w:lineRule="auto"/>
              <w:jc w:val="both"/>
              <w:rPr>
                <w:noProof/>
              </w:rPr>
            </w:pPr>
            <w:r>
              <w:rPr>
                <w:noProof/>
              </w:rPr>
              <w:t>O platformă centrală care să permită gestionarea electronică a documentelor și schimburile de documente între administrațiile publice este operațională, îmbunătățind gestionarea documentelor de către administrațiile publice.</w:t>
            </w:r>
          </w:p>
        </w:tc>
      </w:tr>
      <w:tr w:rsidR="00FE6F09" w14:paraId="313E8D9E" w14:textId="77777777">
        <w:trPr>
          <w:trHeight w:val="309"/>
          <w:jc w:val="center"/>
        </w:trPr>
        <w:tc>
          <w:tcPr>
            <w:tcW w:w="1117" w:type="dxa"/>
            <w:shd w:val="clear" w:color="auto" w:fill="C6EFCE"/>
            <w:noWrap/>
          </w:tcPr>
          <w:p w14:paraId="4F8D6E4D" w14:textId="77777777" w:rsidR="00FE6F09" w:rsidRDefault="00435AFB">
            <w:pPr>
              <w:pStyle w:val="P68B1DB1-Normal9"/>
              <w:spacing w:after="0" w:line="240" w:lineRule="auto"/>
              <w:jc w:val="center"/>
              <w:rPr>
                <w:noProof/>
              </w:rPr>
            </w:pPr>
            <w:r>
              <w:rPr>
                <w:noProof/>
              </w:rPr>
              <w:t>3B-4</w:t>
            </w:r>
          </w:p>
        </w:tc>
        <w:tc>
          <w:tcPr>
            <w:tcW w:w="1437" w:type="dxa"/>
            <w:shd w:val="clear" w:color="auto" w:fill="C6EFCE"/>
            <w:noWrap/>
          </w:tcPr>
          <w:p w14:paraId="7FCD5E87" w14:textId="77777777" w:rsidR="00FE6F09" w:rsidRDefault="00435AFB">
            <w:pPr>
              <w:pStyle w:val="P68B1DB1-Normal9"/>
              <w:spacing w:after="0" w:line="240" w:lineRule="auto"/>
              <w:rPr>
                <w:noProof/>
              </w:rPr>
            </w:pPr>
            <w:r>
              <w:rPr>
                <w:noProof/>
              </w:rPr>
              <w:t xml:space="preserve">Investiția 1 – Gestionarea electronică a documentelor și gestionarea cazurilor </w:t>
            </w:r>
          </w:p>
        </w:tc>
        <w:tc>
          <w:tcPr>
            <w:tcW w:w="1120" w:type="dxa"/>
            <w:shd w:val="clear" w:color="auto" w:fill="C6EFCE"/>
            <w:noWrap/>
          </w:tcPr>
          <w:p w14:paraId="04B06A17" w14:textId="77777777" w:rsidR="00FE6F09" w:rsidRDefault="00435AFB">
            <w:pPr>
              <w:pStyle w:val="P68B1DB1-Normal9"/>
              <w:spacing w:after="0" w:line="240" w:lineRule="auto"/>
              <w:jc w:val="center"/>
              <w:rPr>
                <w:noProof/>
              </w:rPr>
            </w:pPr>
            <w:r>
              <w:rPr>
                <w:noProof/>
              </w:rPr>
              <w:t>Țintă</w:t>
            </w:r>
          </w:p>
        </w:tc>
        <w:tc>
          <w:tcPr>
            <w:tcW w:w="1938" w:type="dxa"/>
            <w:shd w:val="clear" w:color="auto" w:fill="C6EFCE"/>
            <w:noWrap/>
          </w:tcPr>
          <w:p w14:paraId="7EE2B05F" w14:textId="77777777" w:rsidR="00FE6F09" w:rsidRDefault="00435AFB">
            <w:pPr>
              <w:pStyle w:val="P68B1DB1-Normal9"/>
              <w:spacing w:after="0" w:line="240" w:lineRule="auto"/>
              <w:rPr>
                <w:noProof/>
              </w:rPr>
            </w:pPr>
            <w:r>
              <w:rPr>
                <w:noProof/>
              </w:rPr>
              <w:t>Cinci entități guvernamentale au primit acces la platforma „Hive”</w:t>
            </w:r>
          </w:p>
        </w:tc>
        <w:tc>
          <w:tcPr>
            <w:tcW w:w="1483" w:type="dxa"/>
            <w:shd w:val="clear" w:color="auto" w:fill="C6EFCE"/>
            <w:noWrap/>
          </w:tcPr>
          <w:p w14:paraId="47F8BBA6" w14:textId="4EE69D26" w:rsidR="00FE6F09" w:rsidRDefault="00FE6F09">
            <w:pPr>
              <w:spacing w:after="0" w:line="240" w:lineRule="auto"/>
              <w:rPr>
                <w:rFonts w:ascii="Times New Roman" w:eastAsia="Times New Roman" w:hAnsi="Times New Roman" w:cs="Times New Roman"/>
                <w:noProof/>
                <w:color w:val="006100"/>
                <w:sz w:val="20"/>
                <w:szCs w:val="20"/>
              </w:rPr>
            </w:pPr>
          </w:p>
        </w:tc>
        <w:tc>
          <w:tcPr>
            <w:tcW w:w="938" w:type="dxa"/>
            <w:shd w:val="clear" w:color="auto" w:fill="C6EFCE"/>
            <w:noWrap/>
          </w:tcPr>
          <w:p w14:paraId="2C43A1E1" w14:textId="77777777" w:rsidR="00FE6F09" w:rsidRDefault="00435AFB">
            <w:pPr>
              <w:pStyle w:val="P68B1DB1-Normal9"/>
              <w:spacing w:after="0" w:line="240" w:lineRule="auto"/>
              <w:jc w:val="center"/>
              <w:rPr>
                <w:noProof/>
              </w:rPr>
            </w:pPr>
            <w:r>
              <w:rPr>
                <w:noProof/>
              </w:rPr>
              <w:t>Număr</w:t>
            </w:r>
          </w:p>
        </w:tc>
        <w:tc>
          <w:tcPr>
            <w:tcW w:w="928" w:type="dxa"/>
            <w:shd w:val="clear" w:color="auto" w:fill="C6EFCE"/>
            <w:noWrap/>
          </w:tcPr>
          <w:p w14:paraId="39A5EEA9" w14:textId="77777777" w:rsidR="00FE6F09" w:rsidRDefault="00435AFB">
            <w:pPr>
              <w:pStyle w:val="P68B1DB1-Normal9"/>
              <w:spacing w:after="0" w:line="240" w:lineRule="auto"/>
              <w:jc w:val="center"/>
              <w:rPr>
                <w:noProof/>
              </w:rPr>
            </w:pPr>
            <w:r>
              <w:rPr>
                <w:noProof/>
              </w:rPr>
              <w:t>0</w:t>
            </w:r>
          </w:p>
        </w:tc>
        <w:tc>
          <w:tcPr>
            <w:tcW w:w="678" w:type="dxa"/>
            <w:shd w:val="clear" w:color="auto" w:fill="C6EFCE"/>
            <w:noWrap/>
          </w:tcPr>
          <w:p w14:paraId="2DC18C88" w14:textId="77777777" w:rsidR="00FE6F09" w:rsidRDefault="00435AFB">
            <w:pPr>
              <w:pStyle w:val="P68B1DB1-Normal9"/>
              <w:spacing w:after="0" w:line="240" w:lineRule="auto"/>
              <w:jc w:val="center"/>
              <w:rPr>
                <w:noProof/>
              </w:rPr>
            </w:pPr>
            <w:r>
              <w:rPr>
                <w:noProof/>
              </w:rPr>
              <w:t>5</w:t>
            </w:r>
          </w:p>
        </w:tc>
        <w:tc>
          <w:tcPr>
            <w:tcW w:w="916" w:type="dxa"/>
            <w:shd w:val="clear" w:color="auto" w:fill="C6EFCE"/>
            <w:noWrap/>
          </w:tcPr>
          <w:p w14:paraId="75390DA7" w14:textId="77777777" w:rsidR="00FE6F09" w:rsidRDefault="00435AFB">
            <w:pPr>
              <w:pStyle w:val="P68B1DB1-Normal9"/>
              <w:spacing w:after="0" w:line="240" w:lineRule="auto"/>
              <w:jc w:val="center"/>
              <w:rPr>
                <w:noProof/>
              </w:rPr>
            </w:pPr>
            <w:r>
              <w:rPr>
                <w:noProof/>
              </w:rPr>
              <w:t>T2</w:t>
            </w:r>
          </w:p>
        </w:tc>
        <w:tc>
          <w:tcPr>
            <w:tcW w:w="1383" w:type="dxa"/>
            <w:shd w:val="clear" w:color="auto" w:fill="C6EFCE"/>
            <w:noWrap/>
          </w:tcPr>
          <w:p w14:paraId="28CDAE1D" w14:textId="77777777" w:rsidR="00FE6F09" w:rsidRDefault="00435AFB">
            <w:pPr>
              <w:pStyle w:val="P68B1DB1-Normal9"/>
              <w:spacing w:after="0" w:line="240" w:lineRule="auto"/>
              <w:jc w:val="center"/>
              <w:rPr>
                <w:noProof/>
              </w:rPr>
            </w:pPr>
            <w:r>
              <w:rPr>
                <w:noProof/>
              </w:rPr>
              <w:t>2024</w:t>
            </w:r>
          </w:p>
        </w:tc>
        <w:tc>
          <w:tcPr>
            <w:tcW w:w="3687" w:type="dxa"/>
            <w:shd w:val="clear" w:color="auto" w:fill="C6EFCE"/>
            <w:noWrap/>
          </w:tcPr>
          <w:p w14:paraId="759D5E7B" w14:textId="77777777" w:rsidR="00FE6F09" w:rsidRDefault="00435AFB">
            <w:pPr>
              <w:pStyle w:val="P68B1DB1-Normal9"/>
              <w:spacing w:after="0" w:line="240" w:lineRule="auto"/>
              <w:jc w:val="both"/>
              <w:rPr>
                <w:noProof/>
              </w:rPr>
            </w:pPr>
            <w:r>
              <w:rPr>
                <w:noProof/>
              </w:rPr>
              <w:t xml:space="preserve">Se acordă acces la platforma „Hive” unui număr de cinci entități guvernamentale. </w:t>
            </w:r>
          </w:p>
        </w:tc>
      </w:tr>
      <w:tr w:rsidR="00FE6F09" w14:paraId="17D64A9D" w14:textId="77777777">
        <w:trPr>
          <w:trHeight w:val="309"/>
          <w:jc w:val="center"/>
        </w:trPr>
        <w:tc>
          <w:tcPr>
            <w:tcW w:w="1117" w:type="dxa"/>
            <w:shd w:val="clear" w:color="auto" w:fill="C6EFCE"/>
            <w:noWrap/>
          </w:tcPr>
          <w:p w14:paraId="47CBC6D5" w14:textId="77777777" w:rsidR="00FE6F09" w:rsidRDefault="00435AFB">
            <w:pPr>
              <w:pStyle w:val="P68B1DB1-Normal9"/>
              <w:spacing w:after="0" w:line="240" w:lineRule="auto"/>
              <w:jc w:val="center"/>
              <w:rPr>
                <w:noProof/>
              </w:rPr>
            </w:pPr>
            <w:r>
              <w:rPr>
                <w:noProof/>
              </w:rPr>
              <w:t>3B-5</w:t>
            </w:r>
          </w:p>
        </w:tc>
        <w:tc>
          <w:tcPr>
            <w:tcW w:w="1437" w:type="dxa"/>
            <w:shd w:val="clear" w:color="auto" w:fill="C6EFCE"/>
            <w:noWrap/>
          </w:tcPr>
          <w:p w14:paraId="6F97AA73" w14:textId="77777777" w:rsidR="00FE6F09" w:rsidRDefault="00435AFB">
            <w:pPr>
              <w:pStyle w:val="P68B1DB1-Normal9"/>
              <w:spacing w:after="0" w:line="240" w:lineRule="auto"/>
              <w:rPr>
                <w:noProof/>
              </w:rPr>
            </w:pPr>
            <w:r>
              <w:rPr>
                <w:noProof/>
              </w:rPr>
              <w:t>Investiția 2 – Dezvoltarea MyGuichet – Proiectul 1/3: Numire virtuală</w:t>
            </w:r>
          </w:p>
        </w:tc>
        <w:tc>
          <w:tcPr>
            <w:tcW w:w="1120" w:type="dxa"/>
            <w:shd w:val="clear" w:color="auto" w:fill="C6EFCE"/>
            <w:noWrap/>
          </w:tcPr>
          <w:p w14:paraId="2872EC26" w14:textId="77777777" w:rsidR="00FE6F09" w:rsidRDefault="00435AFB">
            <w:pPr>
              <w:pStyle w:val="P68B1DB1-Normal9"/>
              <w:spacing w:after="0" w:line="240" w:lineRule="auto"/>
              <w:jc w:val="center"/>
              <w:rPr>
                <w:noProof/>
              </w:rPr>
            </w:pPr>
            <w:r>
              <w:rPr>
                <w:noProof/>
              </w:rPr>
              <w:t>Etapa de referință</w:t>
            </w:r>
          </w:p>
        </w:tc>
        <w:tc>
          <w:tcPr>
            <w:tcW w:w="1938" w:type="dxa"/>
            <w:shd w:val="clear" w:color="auto" w:fill="C6EFCE"/>
            <w:noWrap/>
          </w:tcPr>
          <w:p w14:paraId="5D71B3D7" w14:textId="0BAC01FE" w:rsidR="00FE6F09" w:rsidRDefault="00435AFB">
            <w:pPr>
              <w:pStyle w:val="P68B1DB1-Normal9"/>
              <w:spacing w:after="0" w:line="240" w:lineRule="auto"/>
              <w:rPr>
                <w:noProof/>
              </w:rPr>
            </w:pPr>
            <w:r>
              <w:rPr>
                <w:noProof/>
              </w:rPr>
              <w:t>Faza 1 a schimbului prin videoconferință</w:t>
            </w:r>
          </w:p>
        </w:tc>
        <w:tc>
          <w:tcPr>
            <w:tcW w:w="1483" w:type="dxa"/>
            <w:shd w:val="clear" w:color="auto" w:fill="C6EFCE"/>
            <w:noWrap/>
          </w:tcPr>
          <w:p w14:paraId="6E0D2322" w14:textId="77777777" w:rsidR="00FE6F09" w:rsidRDefault="00435AFB">
            <w:pPr>
              <w:pStyle w:val="P68B1DB1-Normal9"/>
              <w:spacing w:after="0" w:line="240" w:lineRule="auto"/>
              <w:rPr>
                <w:noProof/>
              </w:rPr>
            </w:pPr>
            <w:r>
              <w:rPr>
                <w:noProof/>
              </w:rPr>
              <w:t>Implementarea infrastructurii necesare pentru a pune la dispoziție programări virtuale</w:t>
            </w:r>
          </w:p>
        </w:tc>
        <w:tc>
          <w:tcPr>
            <w:tcW w:w="938" w:type="dxa"/>
            <w:shd w:val="clear" w:color="auto" w:fill="C6EFCE"/>
            <w:noWrap/>
          </w:tcPr>
          <w:p w14:paraId="0909BC00"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shd w:val="clear" w:color="auto" w:fill="C6EFCE"/>
            <w:noWrap/>
          </w:tcPr>
          <w:p w14:paraId="557E0E29"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678" w:type="dxa"/>
            <w:shd w:val="clear" w:color="auto" w:fill="C6EFCE"/>
            <w:noWrap/>
          </w:tcPr>
          <w:p w14:paraId="5FF223A5"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16" w:type="dxa"/>
            <w:shd w:val="clear" w:color="auto" w:fill="C6EFCE"/>
            <w:noWrap/>
          </w:tcPr>
          <w:p w14:paraId="674E483B" w14:textId="77777777" w:rsidR="00FE6F09" w:rsidRDefault="00435AFB">
            <w:pPr>
              <w:pStyle w:val="P68B1DB1-Normal9"/>
              <w:spacing w:after="0" w:line="240" w:lineRule="auto"/>
              <w:jc w:val="center"/>
              <w:rPr>
                <w:noProof/>
              </w:rPr>
            </w:pPr>
            <w:r>
              <w:rPr>
                <w:noProof/>
              </w:rPr>
              <w:t>T2</w:t>
            </w:r>
          </w:p>
        </w:tc>
        <w:tc>
          <w:tcPr>
            <w:tcW w:w="1383" w:type="dxa"/>
            <w:shd w:val="clear" w:color="auto" w:fill="C6EFCE"/>
            <w:noWrap/>
          </w:tcPr>
          <w:p w14:paraId="4135F0BA" w14:textId="77777777" w:rsidR="00FE6F09" w:rsidRDefault="00435AFB">
            <w:pPr>
              <w:pStyle w:val="P68B1DB1-Normal9"/>
              <w:spacing w:after="0" w:line="240" w:lineRule="auto"/>
              <w:jc w:val="center"/>
              <w:rPr>
                <w:noProof/>
              </w:rPr>
            </w:pPr>
            <w:r>
              <w:rPr>
                <w:noProof/>
              </w:rPr>
              <w:t>2022</w:t>
            </w:r>
          </w:p>
        </w:tc>
        <w:tc>
          <w:tcPr>
            <w:tcW w:w="3687" w:type="dxa"/>
            <w:shd w:val="clear" w:color="auto" w:fill="C6EFCE"/>
            <w:noWrap/>
          </w:tcPr>
          <w:p w14:paraId="4D60DB9F" w14:textId="77777777" w:rsidR="00FE6F09" w:rsidRDefault="00435AFB">
            <w:pPr>
              <w:pStyle w:val="P68B1DB1-Normal9"/>
              <w:spacing w:after="0" w:line="240" w:lineRule="auto"/>
              <w:jc w:val="both"/>
              <w:rPr>
                <w:noProof/>
              </w:rPr>
            </w:pPr>
            <w:r>
              <w:rPr>
                <w:noProof/>
              </w:rPr>
              <w:t xml:space="preserve">Punerea în aplicare a unui proiect de infrastructură care să permită unui număr de două persoane să facă schimb de informații prin videoconferință cu browserele lor web. Este vorba despre numiri virtuale între cetățeni sau întreprinderi și administrația publică. </w:t>
            </w:r>
          </w:p>
        </w:tc>
      </w:tr>
      <w:tr w:rsidR="00FE6F09" w14:paraId="0AE940C4" w14:textId="77777777">
        <w:trPr>
          <w:trHeight w:val="309"/>
          <w:jc w:val="center"/>
        </w:trPr>
        <w:tc>
          <w:tcPr>
            <w:tcW w:w="1117" w:type="dxa"/>
            <w:shd w:val="clear" w:color="auto" w:fill="C6EFCE"/>
            <w:noWrap/>
          </w:tcPr>
          <w:p w14:paraId="12F93970" w14:textId="77777777" w:rsidR="00FE6F09" w:rsidRDefault="00435AFB">
            <w:pPr>
              <w:pStyle w:val="P68B1DB1-Normal9"/>
              <w:spacing w:after="0" w:line="240" w:lineRule="auto"/>
              <w:jc w:val="center"/>
              <w:rPr>
                <w:noProof/>
              </w:rPr>
            </w:pPr>
            <w:r>
              <w:rPr>
                <w:noProof/>
              </w:rPr>
              <w:t>3B-6</w:t>
            </w:r>
          </w:p>
        </w:tc>
        <w:tc>
          <w:tcPr>
            <w:tcW w:w="1437" w:type="dxa"/>
            <w:shd w:val="clear" w:color="auto" w:fill="C6EFCE"/>
            <w:noWrap/>
          </w:tcPr>
          <w:p w14:paraId="7E1D2D57" w14:textId="77777777" w:rsidR="00FE6F09" w:rsidRDefault="00435AFB">
            <w:pPr>
              <w:pStyle w:val="P68B1DB1-Normal9"/>
              <w:spacing w:after="0" w:line="240" w:lineRule="auto"/>
              <w:rPr>
                <w:noProof/>
              </w:rPr>
            </w:pPr>
            <w:r>
              <w:rPr>
                <w:noProof/>
              </w:rPr>
              <w:t>Investiția 2 – Dezvoltarea MyGuichet – Proiectul 1/3: Numire virtuală</w:t>
            </w:r>
          </w:p>
        </w:tc>
        <w:tc>
          <w:tcPr>
            <w:tcW w:w="1120" w:type="dxa"/>
            <w:shd w:val="clear" w:color="auto" w:fill="C6EFCE"/>
            <w:noWrap/>
          </w:tcPr>
          <w:p w14:paraId="40615087" w14:textId="77777777" w:rsidR="00FE6F09" w:rsidRDefault="00435AFB">
            <w:pPr>
              <w:pStyle w:val="P68B1DB1-Normal9"/>
              <w:spacing w:after="0" w:line="240" w:lineRule="auto"/>
              <w:jc w:val="center"/>
              <w:rPr>
                <w:noProof/>
              </w:rPr>
            </w:pPr>
            <w:r>
              <w:rPr>
                <w:noProof/>
              </w:rPr>
              <w:t>Etapa de referință</w:t>
            </w:r>
          </w:p>
        </w:tc>
        <w:tc>
          <w:tcPr>
            <w:tcW w:w="1938" w:type="dxa"/>
            <w:shd w:val="clear" w:color="auto" w:fill="C6EFCE"/>
            <w:noWrap/>
          </w:tcPr>
          <w:p w14:paraId="705B1080" w14:textId="77777777" w:rsidR="00FE6F09" w:rsidRDefault="00435AFB">
            <w:pPr>
              <w:pStyle w:val="P68B1DB1-Normal9"/>
              <w:spacing w:after="0" w:line="240" w:lineRule="auto"/>
              <w:rPr>
                <w:noProof/>
              </w:rPr>
            </w:pPr>
            <w:r>
              <w:rPr>
                <w:noProof/>
              </w:rPr>
              <w:t>Faza 2 a schimbului prin videoconferință</w:t>
            </w:r>
          </w:p>
        </w:tc>
        <w:tc>
          <w:tcPr>
            <w:tcW w:w="1483" w:type="dxa"/>
            <w:shd w:val="clear" w:color="auto" w:fill="C6EFCE"/>
            <w:noWrap/>
          </w:tcPr>
          <w:p w14:paraId="7094E6F3" w14:textId="77777777" w:rsidR="00FE6F09" w:rsidRDefault="00435AFB">
            <w:pPr>
              <w:pStyle w:val="P68B1DB1-Normal9"/>
              <w:spacing w:after="0" w:line="240" w:lineRule="auto"/>
              <w:rPr>
                <w:noProof/>
              </w:rPr>
            </w:pPr>
            <w:r>
              <w:rPr>
                <w:noProof/>
              </w:rPr>
              <w:t>Introducerea programărilor virtuale în MyGuichet.lu</w:t>
            </w:r>
          </w:p>
        </w:tc>
        <w:tc>
          <w:tcPr>
            <w:tcW w:w="938" w:type="dxa"/>
            <w:shd w:val="clear" w:color="auto" w:fill="C6EFCE"/>
            <w:noWrap/>
          </w:tcPr>
          <w:p w14:paraId="1B6CDA3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shd w:val="clear" w:color="auto" w:fill="C6EFCE"/>
            <w:noWrap/>
          </w:tcPr>
          <w:p w14:paraId="39FC0CAE"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678" w:type="dxa"/>
            <w:shd w:val="clear" w:color="auto" w:fill="C6EFCE"/>
            <w:noWrap/>
          </w:tcPr>
          <w:p w14:paraId="157F387E"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16" w:type="dxa"/>
            <w:shd w:val="clear" w:color="auto" w:fill="C6EFCE"/>
            <w:noWrap/>
          </w:tcPr>
          <w:p w14:paraId="4CA705FA" w14:textId="77777777" w:rsidR="00FE6F09" w:rsidRDefault="00435AFB">
            <w:pPr>
              <w:pStyle w:val="P68B1DB1-Normal9"/>
              <w:spacing w:after="0" w:line="240" w:lineRule="auto"/>
              <w:jc w:val="center"/>
              <w:rPr>
                <w:noProof/>
              </w:rPr>
            </w:pPr>
            <w:r>
              <w:rPr>
                <w:noProof/>
              </w:rPr>
              <w:t>T4</w:t>
            </w:r>
          </w:p>
        </w:tc>
        <w:tc>
          <w:tcPr>
            <w:tcW w:w="1383" w:type="dxa"/>
            <w:shd w:val="clear" w:color="auto" w:fill="C6EFCE"/>
            <w:noWrap/>
          </w:tcPr>
          <w:p w14:paraId="3E9D173F" w14:textId="77777777" w:rsidR="00FE6F09" w:rsidRDefault="00435AFB">
            <w:pPr>
              <w:pStyle w:val="P68B1DB1-Normal9"/>
              <w:spacing w:after="0" w:line="240" w:lineRule="auto"/>
              <w:jc w:val="center"/>
              <w:rPr>
                <w:noProof/>
              </w:rPr>
            </w:pPr>
            <w:r>
              <w:rPr>
                <w:noProof/>
              </w:rPr>
              <w:t>2022</w:t>
            </w:r>
          </w:p>
        </w:tc>
        <w:tc>
          <w:tcPr>
            <w:tcW w:w="3687" w:type="dxa"/>
            <w:shd w:val="clear" w:color="auto" w:fill="C6EFCE"/>
            <w:noWrap/>
          </w:tcPr>
          <w:p w14:paraId="2B91940B" w14:textId="77777777" w:rsidR="00FE6F09" w:rsidRDefault="00435AFB">
            <w:pPr>
              <w:pStyle w:val="P68B1DB1-Normal9"/>
              <w:spacing w:after="0" w:line="240" w:lineRule="auto"/>
              <w:jc w:val="both"/>
              <w:rPr>
                <w:noProof/>
              </w:rPr>
            </w:pPr>
            <w:r>
              <w:rPr>
                <w:noProof/>
              </w:rPr>
              <w:t>Disponibilitatea funcționalității de programare prin videoconferință în MyGuichet.lu (ajustarea procesului de programare, adaptarea ecranului listei de programări, dezvoltarea sălii de așteptare, adaptarea spațiilor personale pentru a vizualiza programările efectuate).</w:t>
            </w:r>
          </w:p>
        </w:tc>
      </w:tr>
      <w:tr w:rsidR="00FE6F09" w14:paraId="45D195B4" w14:textId="77777777">
        <w:trPr>
          <w:trHeight w:val="309"/>
          <w:jc w:val="center"/>
        </w:trPr>
        <w:tc>
          <w:tcPr>
            <w:tcW w:w="1117" w:type="dxa"/>
            <w:shd w:val="clear" w:color="auto" w:fill="C6EFCE"/>
            <w:noWrap/>
          </w:tcPr>
          <w:p w14:paraId="31665FB8" w14:textId="77777777" w:rsidR="00FE6F09" w:rsidRDefault="00435AFB">
            <w:pPr>
              <w:pStyle w:val="P68B1DB1-Normal9"/>
              <w:spacing w:after="0" w:line="240" w:lineRule="auto"/>
              <w:jc w:val="center"/>
              <w:rPr>
                <w:noProof/>
              </w:rPr>
            </w:pPr>
            <w:r>
              <w:rPr>
                <w:noProof/>
              </w:rPr>
              <w:t>3B-7</w:t>
            </w:r>
          </w:p>
        </w:tc>
        <w:tc>
          <w:tcPr>
            <w:tcW w:w="1437" w:type="dxa"/>
            <w:shd w:val="clear" w:color="auto" w:fill="C6EFCE"/>
            <w:noWrap/>
          </w:tcPr>
          <w:p w14:paraId="3F72D861" w14:textId="77777777" w:rsidR="00FE6F09" w:rsidRDefault="00435AFB">
            <w:pPr>
              <w:pStyle w:val="P68B1DB1-Normal9"/>
              <w:spacing w:after="0" w:line="240" w:lineRule="auto"/>
              <w:rPr>
                <w:noProof/>
              </w:rPr>
            </w:pPr>
            <w:r>
              <w:rPr>
                <w:noProof/>
              </w:rPr>
              <w:t>Investiția 2 – Dezvoltarea MyGuichet – Proiectul 2/3: Diverse abordări C2G și B2G</w:t>
            </w:r>
          </w:p>
        </w:tc>
        <w:tc>
          <w:tcPr>
            <w:tcW w:w="1120" w:type="dxa"/>
            <w:shd w:val="clear" w:color="auto" w:fill="C6EFCE"/>
            <w:noWrap/>
          </w:tcPr>
          <w:p w14:paraId="33E3E678" w14:textId="77777777" w:rsidR="00FE6F09" w:rsidRDefault="00435AFB">
            <w:pPr>
              <w:pStyle w:val="P68B1DB1-Normal9"/>
              <w:spacing w:after="0" w:line="240" w:lineRule="auto"/>
              <w:jc w:val="center"/>
              <w:rPr>
                <w:noProof/>
              </w:rPr>
            </w:pPr>
            <w:r>
              <w:rPr>
                <w:noProof/>
              </w:rPr>
              <w:t>Țintă</w:t>
            </w:r>
          </w:p>
        </w:tc>
        <w:tc>
          <w:tcPr>
            <w:tcW w:w="1938" w:type="dxa"/>
            <w:shd w:val="clear" w:color="auto" w:fill="C6EFCE"/>
            <w:noWrap/>
          </w:tcPr>
          <w:p w14:paraId="490D4C48" w14:textId="77777777" w:rsidR="00FE6F09" w:rsidRDefault="00435AFB">
            <w:pPr>
              <w:pStyle w:val="P68B1DB1-Normal9"/>
              <w:spacing w:after="0" w:line="240" w:lineRule="auto"/>
              <w:rPr>
                <w:noProof/>
              </w:rPr>
            </w:pPr>
            <w:r>
              <w:rPr>
                <w:noProof/>
              </w:rPr>
              <w:t>12 servicii noi</w:t>
            </w:r>
          </w:p>
        </w:tc>
        <w:tc>
          <w:tcPr>
            <w:tcW w:w="1483" w:type="dxa"/>
            <w:shd w:val="clear" w:color="auto" w:fill="C6EFCE"/>
            <w:noWrap/>
          </w:tcPr>
          <w:p w14:paraId="1E3432F6"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938" w:type="dxa"/>
            <w:shd w:val="clear" w:color="auto" w:fill="C6EFCE"/>
            <w:noWrap/>
          </w:tcPr>
          <w:p w14:paraId="5393C1CF" w14:textId="229345E9" w:rsidR="00FE6F09" w:rsidRDefault="00435AFB">
            <w:pPr>
              <w:pStyle w:val="P68B1DB1-Normal9"/>
              <w:spacing w:after="0" w:line="240" w:lineRule="auto"/>
              <w:jc w:val="center"/>
              <w:rPr>
                <w:noProof/>
              </w:rPr>
            </w:pPr>
            <w:r>
              <w:rPr>
                <w:noProof/>
              </w:rPr>
              <w:t>Număr</w:t>
            </w:r>
          </w:p>
        </w:tc>
        <w:tc>
          <w:tcPr>
            <w:tcW w:w="928" w:type="dxa"/>
            <w:shd w:val="clear" w:color="auto" w:fill="C6EFCE"/>
            <w:noWrap/>
          </w:tcPr>
          <w:p w14:paraId="667F161C" w14:textId="77777777" w:rsidR="00FE6F09" w:rsidRDefault="00435AFB">
            <w:pPr>
              <w:pStyle w:val="P68B1DB1-Normal9"/>
              <w:spacing w:after="0" w:line="240" w:lineRule="auto"/>
              <w:jc w:val="center"/>
              <w:rPr>
                <w:noProof/>
              </w:rPr>
            </w:pPr>
            <w:r>
              <w:rPr>
                <w:noProof/>
              </w:rPr>
              <w:t>0</w:t>
            </w:r>
          </w:p>
        </w:tc>
        <w:tc>
          <w:tcPr>
            <w:tcW w:w="678" w:type="dxa"/>
            <w:shd w:val="clear" w:color="auto" w:fill="C6EFCE"/>
            <w:noWrap/>
          </w:tcPr>
          <w:p w14:paraId="3480304D" w14:textId="77777777" w:rsidR="00FE6F09" w:rsidRDefault="00435AFB">
            <w:pPr>
              <w:pStyle w:val="P68B1DB1-Normal9"/>
              <w:spacing w:after="0" w:line="240" w:lineRule="auto"/>
              <w:jc w:val="center"/>
              <w:rPr>
                <w:noProof/>
              </w:rPr>
            </w:pPr>
            <w:r>
              <w:rPr>
                <w:noProof/>
              </w:rPr>
              <w:t>12</w:t>
            </w:r>
          </w:p>
        </w:tc>
        <w:tc>
          <w:tcPr>
            <w:tcW w:w="916" w:type="dxa"/>
            <w:shd w:val="clear" w:color="auto" w:fill="C6EFCE"/>
            <w:noWrap/>
          </w:tcPr>
          <w:p w14:paraId="34C9C4AD" w14:textId="77777777" w:rsidR="00FE6F09" w:rsidRDefault="00435AFB">
            <w:pPr>
              <w:pStyle w:val="P68B1DB1-Normal9"/>
              <w:spacing w:after="0" w:line="240" w:lineRule="auto"/>
              <w:jc w:val="center"/>
              <w:rPr>
                <w:noProof/>
              </w:rPr>
            </w:pPr>
            <w:r>
              <w:rPr>
                <w:noProof/>
              </w:rPr>
              <w:t>T4</w:t>
            </w:r>
          </w:p>
        </w:tc>
        <w:tc>
          <w:tcPr>
            <w:tcW w:w="1383" w:type="dxa"/>
            <w:shd w:val="clear" w:color="auto" w:fill="C6EFCE"/>
            <w:noWrap/>
          </w:tcPr>
          <w:p w14:paraId="3B8AFE5C" w14:textId="77777777" w:rsidR="00FE6F09" w:rsidRDefault="00435AFB">
            <w:pPr>
              <w:pStyle w:val="P68B1DB1-Normal9"/>
              <w:spacing w:after="0" w:line="240" w:lineRule="auto"/>
              <w:jc w:val="center"/>
              <w:rPr>
                <w:noProof/>
              </w:rPr>
            </w:pPr>
            <w:r>
              <w:rPr>
                <w:noProof/>
              </w:rPr>
              <w:t>2022</w:t>
            </w:r>
          </w:p>
        </w:tc>
        <w:tc>
          <w:tcPr>
            <w:tcW w:w="3687" w:type="dxa"/>
            <w:shd w:val="clear" w:color="auto" w:fill="C6EFCE"/>
            <w:noWrap/>
          </w:tcPr>
          <w:p w14:paraId="5E4CDD45" w14:textId="77777777" w:rsidR="00FE6F09" w:rsidRDefault="00435AFB">
            <w:pPr>
              <w:pStyle w:val="P68B1DB1-Normal9"/>
              <w:spacing w:after="0" w:line="240" w:lineRule="auto"/>
              <w:jc w:val="both"/>
              <w:rPr>
                <w:noProof/>
              </w:rPr>
            </w:pPr>
            <w:r>
              <w:rPr>
                <w:noProof/>
              </w:rPr>
              <w:t>Punerea în aplicare și disponibilitatea a 12 servicii noi pentru cetățeni și întreprinderi, accesibile prin intermediul MyGuichet.lu.</w:t>
            </w:r>
          </w:p>
        </w:tc>
      </w:tr>
      <w:tr w:rsidR="00FE6F09" w14:paraId="3AEE5D40" w14:textId="77777777">
        <w:trPr>
          <w:trHeight w:val="309"/>
          <w:jc w:val="center"/>
        </w:trPr>
        <w:tc>
          <w:tcPr>
            <w:tcW w:w="1117" w:type="dxa"/>
            <w:shd w:val="clear" w:color="auto" w:fill="C6EFCE"/>
            <w:noWrap/>
          </w:tcPr>
          <w:p w14:paraId="1468FAFA" w14:textId="77777777" w:rsidR="00FE6F09" w:rsidRDefault="00435AFB">
            <w:pPr>
              <w:pStyle w:val="P68B1DB1-Normal9"/>
              <w:spacing w:after="0" w:line="240" w:lineRule="auto"/>
              <w:jc w:val="center"/>
              <w:rPr>
                <w:noProof/>
              </w:rPr>
            </w:pPr>
            <w:r>
              <w:rPr>
                <w:noProof/>
              </w:rPr>
              <w:t>3B-8</w:t>
            </w:r>
          </w:p>
        </w:tc>
        <w:tc>
          <w:tcPr>
            <w:tcW w:w="1437" w:type="dxa"/>
            <w:shd w:val="clear" w:color="auto" w:fill="C6EFCE"/>
            <w:noWrap/>
          </w:tcPr>
          <w:p w14:paraId="1A710178" w14:textId="77777777" w:rsidR="00FE6F09" w:rsidRDefault="00435AFB">
            <w:pPr>
              <w:pStyle w:val="P68B1DB1-Normal9"/>
              <w:spacing w:after="0" w:line="240" w:lineRule="auto"/>
              <w:rPr>
                <w:noProof/>
              </w:rPr>
            </w:pPr>
            <w:r>
              <w:rPr>
                <w:noProof/>
              </w:rPr>
              <w:t>Investiția 2 – Dezvoltarea MyGuichet – Proiectul 3/3: Aplicația mobilă MyGuichet.lu</w:t>
            </w:r>
          </w:p>
        </w:tc>
        <w:tc>
          <w:tcPr>
            <w:tcW w:w="1120" w:type="dxa"/>
            <w:shd w:val="clear" w:color="auto" w:fill="C6EFCE"/>
            <w:noWrap/>
          </w:tcPr>
          <w:p w14:paraId="7C52185B" w14:textId="77777777" w:rsidR="00FE6F09" w:rsidRDefault="00435AFB">
            <w:pPr>
              <w:pStyle w:val="P68B1DB1-Normal9"/>
              <w:spacing w:after="0" w:line="240" w:lineRule="auto"/>
              <w:jc w:val="center"/>
              <w:rPr>
                <w:noProof/>
              </w:rPr>
            </w:pPr>
            <w:r>
              <w:rPr>
                <w:noProof/>
              </w:rPr>
              <w:t>Etapa de referință</w:t>
            </w:r>
          </w:p>
        </w:tc>
        <w:tc>
          <w:tcPr>
            <w:tcW w:w="1938" w:type="dxa"/>
            <w:shd w:val="clear" w:color="auto" w:fill="C6EFCE"/>
            <w:noWrap/>
          </w:tcPr>
          <w:p w14:paraId="747D4B00" w14:textId="77777777" w:rsidR="00FE6F09" w:rsidRDefault="00435AFB">
            <w:pPr>
              <w:pStyle w:val="P68B1DB1-Normal9"/>
              <w:spacing w:after="0" w:line="240" w:lineRule="auto"/>
              <w:rPr>
                <w:noProof/>
              </w:rPr>
            </w:pPr>
            <w:r>
              <w:rPr>
                <w:noProof/>
              </w:rPr>
              <w:t>Implementarea unei versiuni mobile a MyGuichet (public restricționat)</w:t>
            </w:r>
          </w:p>
        </w:tc>
        <w:tc>
          <w:tcPr>
            <w:tcW w:w="1483" w:type="dxa"/>
            <w:shd w:val="clear" w:color="auto" w:fill="C6EFCE"/>
            <w:noWrap/>
          </w:tcPr>
          <w:p w14:paraId="05B3273B" w14:textId="77777777" w:rsidR="00FE6F09" w:rsidRDefault="00435AFB">
            <w:pPr>
              <w:pStyle w:val="P68B1DB1-Normal9"/>
              <w:spacing w:after="0" w:line="240" w:lineRule="auto"/>
              <w:rPr>
                <w:noProof/>
              </w:rPr>
            </w:pPr>
            <w:r>
              <w:rPr>
                <w:noProof/>
              </w:rPr>
              <w:t>Versiunea mobilă a MyGuichet disponibilă pentru un public restrâns</w:t>
            </w:r>
          </w:p>
        </w:tc>
        <w:tc>
          <w:tcPr>
            <w:tcW w:w="938" w:type="dxa"/>
            <w:shd w:val="clear" w:color="auto" w:fill="C6EFCE"/>
            <w:noWrap/>
          </w:tcPr>
          <w:p w14:paraId="44F4A90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shd w:val="clear" w:color="auto" w:fill="C6EFCE"/>
            <w:noWrap/>
          </w:tcPr>
          <w:p w14:paraId="7905138F"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678" w:type="dxa"/>
            <w:shd w:val="clear" w:color="auto" w:fill="C6EFCE"/>
            <w:noWrap/>
          </w:tcPr>
          <w:p w14:paraId="52CC409F"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16" w:type="dxa"/>
            <w:shd w:val="clear" w:color="auto" w:fill="C6EFCE"/>
            <w:noWrap/>
          </w:tcPr>
          <w:p w14:paraId="00D7EE5B" w14:textId="77777777" w:rsidR="00FE6F09" w:rsidRDefault="00435AFB">
            <w:pPr>
              <w:pStyle w:val="P68B1DB1-Normal9"/>
              <w:spacing w:after="0" w:line="240" w:lineRule="auto"/>
              <w:jc w:val="center"/>
              <w:rPr>
                <w:noProof/>
              </w:rPr>
            </w:pPr>
            <w:r>
              <w:rPr>
                <w:noProof/>
              </w:rPr>
              <w:t>T2</w:t>
            </w:r>
          </w:p>
        </w:tc>
        <w:tc>
          <w:tcPr>
            <w:tcW w:w="1383" w:type="dxa"/>
            <w:shd w:val="clear" w:color="auto" w:fill="C6EFCE"/>
            <w:noWrap/>
          </w:tcPr>
          <w:p w14:paraId="76DFBD52" w14:textId="77777777" w:rsidR="00FE6F09" w:rsidRDefault="00435AFB">
            <w:pPr>
              <w:pStyle w:val="P68B1DB1-Normal9"/>
              <w:spacing w:after="0" w:line="240" w:lineRule="auto"/>
              <w:jc w:val="center"/>
              <w:rPr>
                <w:noProof/>
              </w:rPr>
            </w:pPr>
            <w:r>
              <w:rPr>
                <w:noProof/>
              </w:rPr>
              <w:t>2021</w:t>
            </w:r>
          </w:p>
        </w:tc>
        <w:tc>
          <w:tcPr>
            <w:tcW w:w="3687" w:type="dxa"/>
            <w:shd w:val="clear" w:color="auto" w:fill="C6EFCE"/>
            <w:noWrap/>
          </w:tcPr>
          <w:p w14:paraId="006EEFB3" w14:textId="77777777" w:rsidR="00FE6F09" w:rsidRDefault="00435AFB">
            <w:pPr>
              <w:pStyle w:val="P68B1DB1-Normal9"/>
              <w:spacing w:after="0" w:line="240" w:lineRule="auto"/>
              <w:jc w:val="both"/>
              <w:rPr>
                <w:noProof/>
              </w:rPr>
            </w:pPr>
            <w:r>
              <w:rPr>
                <w:noProof/>
              </w:rPr>
              <w:t>Implementarea unei versiuni mobile a MyGuichet operațională și disponibilă pentru un număr restrâns de utilizatori.</w:t>
            </w:r>
          </w:p>
        </w:tc>
      </w:tr>
      <w:tr w:rsidR="00FE6F09" w14:paraId="4CCEA75B" w14:textId="77777777">
        <w:trPr>
          <w:trHeight w:val="309"/>
          <w:jc w:val="center"/>
        </w:trPr>
        <w:tc>
          <w:tcPr>
            <w:tcW w:w="1117" w:type="dxa"/>
            <w:shd w:val="clear" w:color="auto" w:fill="C6EFCE"/>
            <w:noWrap/>
          </w:tcPr>
          <w:p w14:paraId="657C3511" w14:textId="77777777" w:rsidR="00FE6F09" w:rsidRDefault="00435AFB">
            <w:pPr>
              <w:pStyle w:val="P68B1DB1-Normal9"/>
              <w:spacing w:after="0" w:line="240" w:lineRule="auto"/>
              <w:jc w:val="center"/>
              <w:rPr>
                <w:noProof/>
              </w:rPr>
            </w:pPr>
            <w:r>
              <w:rPr>
                <w:noProof/>
              </w:rPr>
              <w:t>3B-9</w:t>
            </w:r>
          </w:p>
        </w:tc>
        <w:tc>
          <w:tcPr>
            <w:tcW w:w="1437" w:type="dxa"/>
            <w:shd w:val="clear" w:color="auto" w:fill="C6EFCE"/>
            <w:noWrap/>
          </w:tcPr>
          <w:p w14:paraId="690CCA27" w14:textId="77777777" w:rsidR="00FE6F09" w:rsidRDefault="00435AFB">
            <w:pPr>
              <w:pStyle w:val="P68B1DB1-Normal9"/>
              <w:spacing w:after="0" w:line="240" w:lineRule="auto"/>
              <w:rPr>
                <w:noProof/>
              </w:rPr>
            </w:pPr>
            <w:r>
              <w:rPr>
                <w:noProof/>
              </w:rPr>
              <w:t>Investiția 2 – Dezvoltarea MyGuichet – Proiectul 3/3: Aplicația mobilă MyGuichet.lu</w:t>
            </w:r>
          </w:p>
        </w:tc>
        <w:tc>
          <w:tcPr>
            <w:tcW w:w="1120" w:type="dxa"/>
            <w:shd w:val="clear" w:color="auto" w:fill="C6EFCE"/>
            <w:noWrap/>
          </w:tcPr>
          <w:p w14:paraId="2AB43979" w14:textId="77777777" w:rsidR="00FE6F09" w:rsidRDefault="00435AFB">
            <w:pPr>
              <w:pStyle w:val="P68B1DB1-Normal9"/>
              <w:spacing w:after="0" w:line="240" w:lineRule="auto"/>
              <w:jc w:val="center"/>
              <w:rPr>
                <w:noProof/>
              </w:rPr>
            </w:pPr>
            <w:r>
              <w:rPr>
                <w:noProof/>
              </w:rPr>
              <w:t>Etapa de referință</w:t>
            </w:r>
          </w:p>
        </w:tc>
        <w:tc>
          <w:tcPr>
            <w:tcW w:w="1938" w:type="dxa"/>
            <w:shd w:val="clear" w:color="auto" w:fill="C6EFCE"/>
            <w:noWrap/>
          </w:tcPr>
          <w:p w14:paraId="5F0DA1BC" w14:textId="77777777" w:rsidR="00FE6F09" w:rsidRDefault="00435AFB">
            <w:pPr>
              <w:pStyle w:val="P68B1DB1-Normal9"/>
              <w:spacing w:after="0" w:line="240" w:lineRule="auto"/>
              <w:rPr>
                <w:noProof/>
                <w:u w:val="single"/>
              </w:rPr>
            </w:pPr>
            <w:r>
              <w:rPr>
                <w:noProof/>
              </w:rPr>
              <w:t>Implementarea unei versiuni mobile a MyGuichet.lu pentru publicul larg</w:t>
            </w:r>
          </w:p>
        </w:tc>
        <w:tc>
          <w:tcPr>
            <w:tcW w:w="1483" w:type="dxa"/>
            <w:shd w:val="clear" w:color="auto" w:fill="C6EFCE"/>
            <w:noWrap/>
          </w:tcPr>
          <w:p w14:paraId="29028DC7" w14:textId="77777777" w:rsidR="00FE6F09" w:rsidRDefault="00435AFB">
            <w:pPr>
              <w:pStyle w:val="P68B1DB1-Normal9"/>
              <w:spacing w:after="0" w:line="240" w:lineRule="auto"/>
              <w:rPr>
                <w:noProof/>
              </w:rPr>
            </w:pPr>
            <w:r>
              <w:rPr>
                <w:noProof/>
              </w:rPr>
              <w:t>Versiunea mobilă a MyGuichet disponibilă publicului larg</w:t>
            </w:r>
          </w:p>
        </w:tc>
        <w:tc>
          <w:tcPr>
            <w:tcW w:w="938" w:type="dxa"/>
            <w:shd w:val="clear" w:color="auto" w:fill="C6EFCE"/>
            <w:noWrap/>
          </w:tcPr>
          <w:p w14:paraId="6205D505"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shd w:val="clear" w:color="auto" w:fill="C6EFCE"/>
            <w:noWrap/>
          </w:tcPr>
          <w:p w14:paraId="14CA16D5"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678" w:type="dxa"/>
            <w:shd w:val="clear" w:color="auto" w:fill="C6EFCE"/>
            <w:noWrap/>
          </w:tcPr>
          <w:p w14:paraId="27DAA014"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16" w:type="dxa"/>
            <w:shd w:val="clear" w:color="auto" w:fill="C6EFCE"/>
            <w:noWrap/>
          </w:tcPr>
          <w:p w14:paraId="093BE9AC" w14:textId="77777777" w:rsidR="00FE6F09" w:rsidRDefault="00435AFB">
            <w:pPr>
              <w:pStyle w:val="P68B1DB1-Normal9"/>
              <w:spacing w:after="0" w:line="240" w:lineRule="auto"/>
              <w:jc w:val="center"/>
              <w:rPr>
                <w:noProof/>
              </w:rPr>
            </w:pPr>
            <w:r>
              <w:rPr>
                <w:noProof/>
              </w:rPr>
              <w:t>T3</w:t>
            </w:r>
          </w:p>
        </w:tc>
        <w:tc>
          <w:tcPr>
            <w:tcW w:w="1383" w:type="dxa"/>
            <w:shd w:val="clear" w:color="auto" w:fill="C6EFCE"/>
            <w:noWrap/>
          </w:tcPr>
          <w:p w14:paraId="5A802D1F" w14:textId="77777777" w:rsidR="00FE6F09" w:rsidRDefault="00435AFB">
            <w:pPr>
              <w:pStyle w:val="P68B1DB1-Normal9"/>
              <w:spacing w:after="0" w:line="240" w:lineRule="auto"/>
              <w:jc w:val="center"/>
              <w:rPr>
                <w:noProof/>
              </w:rPr>
            </w:pPr>
            <w:r>
              <w:rPr>
                <w:noProof/>
              </w:rPr>
              <w:t>2021</w:t>
            </w:r>
          </w:p>
        </w:tc>
        <w:tc>
          <w:tcPr>
            <w:tcW w:w="3687" w:type="dxa"/>
            <w:shd w:val="clear" w:color="auto" w:fill="C6EFCE"/>
            <w:noWrap/>
          </w:tcPr>
          <w:p w14:paraId="024FDC9A" w14:textId="77777777" w:rsidR="00FE6F09" w:rsidRDefault="00435AFB">
            <w:pPr>
              <w:pStyle w:val="P68B1DB1-Normal9"/>
              <w:spacing w:after="0" w:line="240" w:lineRule="auto"/>
              <w:jc w:val="both"/>
              <w:rPr>
                <w:noProof/>
              </w:rPr>
            </w:pPr>
            <w:r>
              <w:rPr>
                <w:noProof/>
              </w:rPr>
              <w:t>Implementarea unei versiuni mobile a MyGuichet.lu disponibile publicului larg.</w:t>
            </w:r>
          </w:p>
        </w:tc>
      </w:tr>
      <w:tr w:rsidR="00FE6F09" w14:paraId="7908836A" w14:textId="77777777">
        <w:trPr>
          <w:trHeight w:val="309"/>
          <w:jc w:val="center"/>
        </w:trPr>
        <w:tc>
          <w:tcPr>
            <w:tcW w:w="1117" w:type="dxa"/>
            <w:shd w:val="clear" w:color="auto" w:fill="C6EFCE"/>
            <w:noWrap/>
          </w:tcPr>
          <w:p w14:paraId="2EF73CBB" w14:textId="77777777" w:rsidR="00FE6F09" w:rsidRDefault="00435AFB">
            <w:pPr>
              <w:pStyle w:val="P68B1DB1-Normal9"/>
              <w:spacing w:after="0" w:line="240" w:lineRule="auto"/>
              <w:jc w:val="center"/>
              <w:rPr>
                <w:noProof/>
              </w:rPr>
            </w:pPr>
            <w:r>
              <w:rPr>
                <w:noProof/>
              </w:rPr>
              <w:t>3B-10</w:t>
            </w:r>
          </w:p>
        </w:tc>
        <w:tc>
          <w:tcPr>
            <w:tcW w:w="1437" w:type="dxa"/>
            <w:shd w:val="clear" w:color="auto" w:fill="C6EFCE"/>
            <w:noWrap/>
          </w:tcPr>
          <w:p w14:paraId="5DE1A747" w14:textId="77777777" w:rsidR="00FE6F09" w:rsidRDefault="00435AFB">
            <w:pPr>
              <w:pStyle w:val="P68B1DB1-Normal9"/>
              <w:spacing w:after="0" w:line="240" w:lineRule="auto"/>
              <w:rPr>
                <w:noProof/>
              </w:rPr>
            </w:pPr>
            <w:r>
              <w:rPr>
                <w:noProof/>
              </w:rPr>
              <w:t>Investiția 3 – „eADEM”</w:t>
            </w:r>
          </w:p>
        </w:tc>
        <w:tc>
          <w:tcPr>
            <w:tcW w:w="1120" w:type="dxa"/>
            <w:shd w:val="clear" w:color="auto" w:fill="C6EFCE"/>
            <w:noWrap/>
          </w:tcPr>
          <w:p w14:paraId="34DB245D" w14:textId="77777777" w:rsidR="00FE6F09" w:rsidRDefault="00435AFB">
            <w:pPr>
              <w:pStyle w:val="P68B1DB1-Normal9"/>
              <w:spacing w:after="0" w:line="240" w:lineRule="auto"/>
              <w:jc w:val="center"/>
              <w:rPr>
                <w:noProof/>
              </w:rPr>
            </w:pPr>
            <w:r>
              <w:rPr>
                <w:noProof/>
              </w:rPr>
              <w:t>Etapa de referință</w:t>
            </w:r>
          </w:p>
        </w:tc>
        <w:tc>
          <w:tcPr>
            <w:tcW w:w="1938" w:type="dxa"/>
            <w:shd w:val="clear" w:color="auto" w:fill="C6EFCE"/>
            <w:noWrap/>
          </w:tcPr>
          <w:p w14:paraId="560EC7E5" w14:textId="77777777" w:rsidR="00FE6F09" w:rsidRDefault="00435AFB">
            <w:pPr>
              <w:pStyle w:val="P68B1DB1-Normal9"/>
              <w:spacing w:after="0" w:line="240" w:lineRule="auto"/>
              <w:rPr>
                <w:noProof/>
              </w:rPr>
            </w:pPr>
            <w:r>
              <w:rPr>
                <w:noProof/>
              </w:rPr>
              <w:t>Crearea strategiei ADEM 2025 pentru faza analitică</w:t>
            </w:r>
          </w:p>
        </w:tc>
        <w:tc>
          <w:tcPr>
            <w:tcW w:w="1483" w:type="dxa"/>
            <w:shd w:val="clear" w:color="auto" w:fill="C6EFCE"/>
            <w:noWrap/>
          </w:tcPr>
          <w:p w14:paraId="10177A4E" w14:textId="77777777" w:rsidR="00FE6F09" w:rsidRDefault="00435AFB">
            <w:pPr>
              <w:pStyle w:val="P68B1DB1-Normal9"/>
              <w:spacing w:after="0" w:line="240" w:lineRule="auto"/>
              <w:rPr>
                <w:noProof/>
              </w:rPr>
            </w:pPr>
            <w:r>
              <w:rPr>
                <w:noProof/>
              </w:rPr>
              <w:t>Adoptarea Strategiei ADEM 2025</w:t>
            </w:r>
          </w:p>
        </w:tc>
        <w:tc>
          <w:tcPr>
            <w:tcW w:w="938" w:type="dxa"/>
            <w:shd w:val="clear" w:color="auto" w:fill="C6EFCE"/>
            <w:noWrap/>
          </w:tcPr>
          <w:p w14:paraId="6FBBBB34"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shd w:val="clear" w:color="auto" w:fill="C6EFCE"/>
            <w:noWrap/>
          </w:tcPr>
          <w:p w14:paraId="1009B4ED"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678" w:type="dxa"/>
            <w:shd w:val="clear" w:color="auto" w:fill="C6EFCE"/>
            <w:noWrap/>
          </w:tcPr>
          <w:p w14:paraId="5F6EA57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16" w:type="dxa"/>
            <w:shd w:val="clear" w:color="auto" w:fill="C6EFCE"/>
            <w:noWrap/>
          </w:tcPr>
          <w:p w14:paraId="32CE9701" w14:textId="77777777" w:rsidR="00FE6F09" w:rsidRDefault="00435AFB">
            <w:pPr>
              <w:pStyle w:val="P68B1DB1-Normal9"/>
              <w:spacing w:after="0" w:line="240" w:lineRule="auto"/>
              <w:jc w:val="center"/>
              <w:rPr>
                <w:noProof/>
              </w:rPr>
            </w:pPr>
            <w:r>
              <w:rPr>
                <w:noProof/>
              </w:rPr>
              <w:t>T4</w:t>
            </w:r>
          </w:p>
        </w:tc>
        <w:tc>
          <w:tcPr>
            <w:tcW w:w="1383" w:type="dxa"/>
            <w:shd w:val="clear" w:color="auto" w:fill="C6EFCE"/>
            <w:noWrap/>
          </w:tcPr>
          <w:p w14:paraId="3A83D3DC" w14:textId="77777777" w:rsidR="00FE6F09" w:rsidRDefault="00435AFB">
            <w:pPr>
              <w:pStyle w:val="P68B1DB1-Normal9"/>
              <w:spacing w:after="0" w:line="240" w:lineRule="auto"/>
              <w:jc w:val="center"/>
              <w:rPr>
                <w:noProof/>
              </w:rPr>
            </w:pPr>
            <w:r>
              <w:rPr>
                <w:noProof/>
              </w:rPr>
              <w:t>2021</w:t>
            </w:r>
          </w:p>
        </w:tc>
        <w:tc>
          <w:tcPr>
            <w:tcW w:w="3687" w:type="dxa"/>
            <w:shd w:val="clear" w:color="auto" w:fill="C6EFCE"/>
            <w:noWrap/>
          </w:tcPr>
          <w:p w14:paraId="6E63783C" w14:textId="77777777" w:rsidR="00FE6F09" w:rsidRDefault="00435AFB">
            <w:pPr>
              <w:pStyle w:val="P68B1DB1-Normal9"/>
              <w:spacing w:after="0" w:line="240" w:lineRule="auto"/>
              <w:jc w:val="both"/>
              <w:rPr>
                <w:noProof/>
              </w:rPr>
            </w:pPr>
            <w:r>
              <w:rPr>
                <w:noProof/>
              </w:rPr>
              <w:t>Strategia ADEM 2025 și un program de lucru pe termen mediu au fost adoptate. Obiectivul este de a mobiliza personalul ADEM (Agence pour le développement de l´emploi) pentru a aborda provocările legate de transformarea operațională și digitală generate de „eADEM”.</w:t>
            </w:r>
          </w:p>
        </w:tc>
      </w:tr>
      <w:tr w:rsidR="00FE6F09" w14:paraId="730BB676" w14:textId="77777777">
        <w:trPr>
          <w:trHeight w:val="309"/>
          <w:jc w:val="center"/>
        </w:trPr>
        <w:tc>
          <w:tcPr>
            <w:tcW w:w="1117" w:type="dxa"/>
            <w:shd w:val="clear" w:color="auto" w:fill="C6EFCE"/>
            <w:noWrap/>
          </w:tcPr>
          <w:p w14:paraId="56A66FD2" w14:textId="77777777" w:rsidR="00FE6F09" w:rsidRDefault="00435AFB">
            <w:pPr>
              <w:pStyle w:val="P68B1DB1-Normal9"/>
              <w:spacing w:after="0" w:line="240" w:lineRule="auto"/>
              <w:jc w:val="center"/>
              <w:rPr>
                <w:noProof/>
              </w:rPr>
            </w:pPr>
            <w:r>
              <w:rPr>
                <w:noProof/>
              </w:rPr>
              <w:t>3B-12</w:t>
            </w:r>
          </w:p>
        </w:tc>
        <w:tc>
          <w:tcPr>
            <w:tcW w:w="1437" w:type="dxa"/>
            <w:shd w:val="clear" w:color="auto" w:fill="C6EFCE"/>
            <w:noWrap/>
          </w:tcPr>
          <w:p w14:paraId="4A1C9DEF" w14:textId="77777777" w:rsidR="00FE6F09" w:rsidRDefault="00435AFB">
            <w:pPr>
              <w:pStyle w:val="P68B1DB1-Normal9"/>
              <w:spacing w:after="0" w:line="240" w:lineRule="auto"/>
              <w:rPr>
                <w:noProof/>
              </w:rPr>
            </w:pPr>
            <w:r>
              <w:rPr>
                <w:noProof/>
              </w:rPr>
              <w:t>Investiția 3 – „MyADEM”</w:t>
            </w:r>
          </w:p>
        </w:tc>
        <w:tc>
          <w:tcPr>
            <w:tcW w:w="1120" w:type="dxa"/>
            <w:shd w:val="clear" w:color="auto" w:fill="C6EFCE"/>
            <w:noWrap/>
          </w:tcPr>
          <w:p w14:paraId="46E3C113" w14:textId="77777777" w:rsidR="00FE6F09" w:rsidRDefault="00435AFB">
            <w:pPr>
              <w:pStyle w:val="P68B1DB1-Normal9"/>
              <w:spacing w:after="0" w:line="240" w:lineRule="auto"/>
              <w:jc w:val="center"/>
              <w:rPr>
                <w:noProof/>
              </w:rPr>
            </w:pPr>
            <w:r>
              <w:rPr>
                <w:noProof/>
              </w:rPr>
              <w:t>Etapa de referință</w:t>
            </w:r>
          </w:p>
        </w:tc>
        <w:tc>
          <w:tcPr>
            <w:tcW w:w="1938" w:type="dxa"/>
            <w:shd w:val="clear" w:color="auto" w:fill="C6EFCE"/>
            <w:noWrap/>
          </w:tcPr>
          <w:p w14:paraId="2A72DB48" w14:textId="77777777" w:rsidR="00FE6F09" w:rsidRDefault="00435AFB">
            <w:pPr>
              <w:pStyle w:val="P68B1DB1-Normal9"/>
              <w:spacing w:after="0" w:line="240" w:lineRule="auto"/>
              <w:rPr>
                <w:noProof/>
              </w:rPr>
            </w:pPr>
            <w:r>
              <w:rPr>
                <w:noProof/>
              </w:rPr>
              <w:t>Proceduri administrative digitale legate de MyADEM</w:t>
            </w:r>
          </w:p>
        </w:tc>
        <w:tc>
          <w:tcPr>
            <w:tcW w:w="1483" w:type="dxa"/>
            <w:shd w:val="clear" w:color="auto" w:fill="C6EFCE"/>
            <w:noWrap/>
          </w:tcPr>
          <w:p w14:paraId="135329C8" w14:textId="77777777" w:rsidR="00FE6F09" w:rsidRDefault="00435AFB">
            <w:pPr>
              <w:pStyle w:val="P68B1DB1-Normal9"/>
              <w:spacing w:after="0" w:line="240" w:lineRule="auto"/>
              <w:rPr>
                <w:noProof/>
              </w:rPr>
            </w:pPr>
            <w:r>
              <w:rPr>
                <w:noProof/>
              </w:rPr>
              <w:t>Proceduri administrative digitale legate de MyADEM</w:t>
            </w:r>
          </w:p>
        </w:tc>
        <w:tc>
          <w:tcPr>
            <w:tcW w:w="938" w:type="dxa"/>
            <w:shd w:val="clear" w:color="auto" w:fill="C6EFCE"/>
            <w:noWrap/>
          </w:tcPr>
          <w:p w14:paraId="7876A23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shd w:val="clear" w:color="auto" w:fill="C6EFCE"/>
            <w:noWrap/>
          </w:tcPr>
          <w:p w14:paraId="7A39F989"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678" w:type="dxa"/>
            <w:shd w:val="clear" w:color="auto" w:fill="C6EFCE"/>
            <w:noWrap/>
          </w:tcPr>
          <w:p w14:paraId="1D26E9CB"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16" w:type="dxa"/>
            <w:shd w:val="clear" w:color="auto" w:fill="C6EFCE"/>
            <w:noWrap/>
          </w:tcPr>
          <w:p w14:paraId="78E3CF4F" w14:textId="77777777" w:rsidR="00FE6F09" w:rsidRDefault="00435AFB">
            <w:pPr>
              <w:pStyle w:val="P68B1DB1-Normal9"/>
              <w:spacing w:after="0" w:line="240" w:lineRule="auto"/>
              <w:jc w:val="center"/>
              <w:rPr>
                <w:noProof/>
              </w:rPr>
            </w:pPr>
            <w:r>
              <w:rPr>
                <w:noProof/>
              </w:rPr>
              <w:t>T2</w:t>
            </w:r>
          </w:p>
        </w:tc>
        <w:tc>
          <w:tcPr>
            <w:tcW w:w="1383" w:type="dxa"/>
            <w:shd w:val="clear" w:color="auto" w:fill="C6EFCE"/>
            <w:noWrap/>
          </w:tcPr>
          <w:p w14:paraId="5694FD3D" w14:textId="77777777" w:rsidR="00FE6F09" w:rsidRDefault="00435AFB">
            <w:pPr>
              <w:pStyle w:val="P68B1DB1-Normal9"/>
              <w:spacing w:after="0" w:line="240" w:lineRule="auto"/>
              <w:jc w:val="center"/>
              <w:rPr>
                <w:noProof/>
              </w:rPr>
            </w:pPr>
            <w:r>
              <w:rPr>
                <w:noProof/>
              </w:rPr>
              <w:t>2026</w:t>
            </w:r>
          </w:p>
        </w:tc>
        <w:tc>
          <w:tcPr>
            <w:tcW w:w="3687" w:type="dxa"/>
            <w:shd w:val="clear" w:color="auto" w:fill="C6EFCE"/>
            <w:noWrap/>
          </w:tcPr>
          <w:p w14:paraId="2CC3EA99" w14:textId="77777777" w:rsidR="00FE6F09" w:rsidRDefault="00435AFB">
            <w:pPr>
              <w:pStyle w:val="P68B1DB1-Normal9"/>
              <w:spacing w:after="0" w:line="240" w:lineRule="auto"/>
              <w:jc w:val="both"/>
              <w:rPr>
                <w:noProof/>
              </w:rPr>
            </w:pPr>
            <w:r>
              <w:rPr>
                <w:noProof/>
              </w:rPr>
              <w:t>Procedurile administrative digitale legate de MyADEM sunt accesibile prin intermediul MyGuichet.</w:t>
            </w:r>
          </w:p>
        </w:tc>
      </w:tr>
      <w:tr w:rsidR="00FE6F09" w14:paraId="7F9A148A" w14:textId="77777777">
        <w:trPr>
          <w:trHeight w:val="309"/>
          <w:jc w:val="center"/>
        </w:trPr>
        <w:tc>
          <w:tcPr>
            <w:tcW w:w="1117" w:type="dxa"/>
            <w:shd w:val="clear" w:color="auto" w:fill="C6EFCE"/>
            <w:noWrap/>
          </w:tcPr>
          <w:p w14:paraId="2363C6A1" w14:textId="77777777" w:rsidR="00FE6F09" w:rsidRDefault="00435AFB">
            <w:pPr>
              <w:pStyle w:val="P68B1DB1-Normal9"/>
              <w:spacing w:after="0" w:line="240" w:lineRule="auto"/>
              <w:jc w:val="center"/>
              <w:rPr>
                <w:noProof/>
              </w:rPr>
            </w:pPr>
            <w:r>
              <w:rPr>
                <w:noProof/>
              </w:rPr>
              <w:t>3B-13</w:t>
            </w:r>
          </w:p>
        </w:tc>
        <w:tc>
          <w:tcPr>
            <w:tcW w:w="1437" w:type="dxa"/>
            <w:shd w:val="clear" w:color="auto" w:fill="C6EFCE"/>
            <w:noWrap/>
          </w:tcPr>
          <w:p w14:paraId="45C7C868" w14:textId="77777777" w:rsidR="00FE6F09" w:rsidRDefault="00435AFB">
            <w:pPr>
              <w:pStyle w:val="P68B1DB1-Normal9"/>
              <w:spacing w:after="0" w:line="240" w:lineRule="auto"/>
              <w:rPr>
                <w:noProof/>
              </w:rPr>
            </w:pPr>
            <w:r>
              <w:rPr>
                <w:noProof/>
              </w:rPr>
              <w:t>Investiția 4 – Platforma națională pentru gestionarea investigațiilor publice</w:t>
            </w:r>
          </w:p>
        </w:tc>
        <w:tc>
          <w:tcPr>
            <w:tcW w:w="1120" w:type="dxa"/>
            <w:shd w:val="clear" w:color="auto" w:fill="C6EFCE"/>
            <w:noWrap/>
          </w:tcPr>
          <w:p w14:paraId="1C602748" w14:textId="77777777" w:rsidR="00FE6F09" w:rsidRDefault="00435AFB">
            <w:pPr>
              <w:pStyle w:val="P68B1DB1-Normal9"/>
              <w:spacing w:after="0" w:line="240" w:lineRule="auto"/>
              <w:jc w:val="center"/>
              <w:rPr>
                <w:noProof/>
              </w:rPr>
            </w:pPr>
            <w:r>
              <w:rPr>
                <w:noProof/>
              </w:rPr>
              <w:t>Etapa de referință</w:t>
            </w:r>
          </w:p>
        </w:tc>
        <w:tc>
          <w:tcPr>
            <w:tcW w:w="1938" w:type="dxa"/>
            <w:shd w:val="clear" w:color="auto" w:fill="C6EFCE"/>
            <w:noWrap/>
          </w:tcPr>
          <w:p w14:paraId="2FCFC568" w14:textId="77777777" w:rsidR="00FE6F09" w:rsidRDefault="00435AFB">
            <w:pPr>
              <w:pStyle w:val="P68B1DB1-Normal9"/>
              <w:spacing w:after="0" w:line="240" w:lineRule="auto"/>
              <w:rPr>
                <w:noProof/>
              </w:rPr>
            </w:pPr>
            <w:r>
              <w:rPr>
                <w:noProof/>
              </w:rPr>
              <w:t>Crearea unei platforme naționale pentru gestionarea și publicarea anchetelor publice și a documentelor conexe</w:t>
            </w:r>
          </w:p>
        </w:tc>
        <w:tc>
          <w:tcPr>
            <w:tcW w:w="1483" w:type="dxa"/>
            <w:shd w:val="clear" w:color="auto" w:fill="C6EFCE"/>
            <w:noWrap/>
          </w:tcPr>
          <w:p w14:paraId="50D4EEDD" w14:textId="77777777" w:rsidR="00FE6F09" w:rsidRDefault="00435AFB">
            <w:pPr>
              <w:pStyle w:val="P68B1DB1-Normal9"/>
              <w:spacing w:after="0" w:line="240" w:lineRule="auto"/>
              <w:rPr>
                <w:noProof/>
              </w:rPr>
            </w:pPr>
            <w:r>
              <w:rPr>
                <w:noProof/>
              </w:rPr>
              <w:t>Crearea unei platforme naționale</w:t>
            </w:r>
          </w:p>
        </w:tc>
        <w:tc>
          <w:tcPr>
            <w:tcW w:w="938" w:type="dxa"/>
            <w:shd w:val="clear" w:color="auto" w:fill="C6EFCE"/>
            <w:noWrap/>
          </w:tcPr>
          <w:p w14:paraId="13DC641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shd w:val="clear" w:color="auto" w:fill="C6EFCE"/>
            <w:noWrap/>
          </w:tcPr>
          <w:p w14:paraId="08F864A1"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678" w:type="dxa"/>
            <w:shd w:val="clear" w:color="auto" w:fill="C6EFCE"/>
            <w:noWrap/>
          </w:tcPr>
          <w:p w14:paraId="3C3936A7"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16" w:type="dxa"/>
            <w:shd w:val="clear" w:color="auto" w:fill="C6EFCE"/>
            <w:noWrap/>
          </w:tcPr>
          <w:p w14:paraId="79F2670D" w14:textId="77777777" w:rsidR="00FE6F09" w:rsidRDefault="00435AFB">
            <w:pPr>
              <w:pStyle w:val="P68B1DB1-Normal9"/>
              <w:spacing w:after="0" w:line="240" w:lineRule="auto"/>
              <w:jc w:val="center"/>
              <w:rPr>
                <w:noProof/>
              </w:rPr>
            </w:pPr>
            <w:r>
              <w:rPr>
                <w:noProof/>
              </w:rPr>
              <w:t>Q1</w:t>
            </w:r>
          </w:p>
        </w:tc>
        <w:tc>
          <w:tcPr>
            <w:tcW w:w="1383" w:type="dxa"/>
            <w:shd w:val="clear" w:color="auto" w:fill="C6EFCE"/>
            <w:noWrap/>
          </w:tcPr>
          <w:p w14:paraId="63685B60" w14:textId="77777777" w:rsidR="00FE6F09" w:rsidRDefault="00435AFB">
            <w:pPr>
              <w:pStyle w:val="P68B1DB1-Normal9"/>
              <w:spacing w:after="0" w:line="240" w:lineRule="auto"/>
              <w:jc w:val="center"/>
              <w:rPr>
                <w:noProof/>
              </w:rPr>
            </w:pPr>
            <w:r>
              <w:rPr>
                <w:noProof/>
              </w:rPr>
              <w:t>2021</w:t>
            </w:r>
          </w:p>
        </w:tc>
        <w:tc>
          <w:tcPr>
            <w:tcW w:w="3687" w:type="dxa"/>
            <w:shd w:val="clear" w:color="auto" w:fill="C6EFCE"/>
            <w:noWrap/>
          </w:tcPr>
          <w:p w14:paraId="3586633E" w14:textId="77777777" w:rsidR="00FE6F09" w:rsidRDefault="00435AFB">
            <w:pPr>
              <w:pStyle w:val="P68B1DB1-Normal9"/>
              <w:spacing w:after="0" w:line="240" w:lineRule="auto"/>
              <w:jc w:val="both"/>
              <w:rPr>
                <w:noProof/>
              </w:rPr>
            </w:pPr>
            <w:r>
              <w:rPr>
                <w:noProof/>
              </w:rPr>
              <w:t>O platformă națională este pusă la dispoziția tuturor administrațiilor publice care organizează anchete publice cu principalele funcționalități, inclusiv gestionarea și publicarea anchetelor publice și a documentelor conexe, precum și posibilitatea ca publicul larg să prezinte o contribuție online.</w:t>
            </w:r>
          </w:p>
        </w:tc>
      </w:tr>
    </w:tbl>
    <w:p w14:paraId="54630DEB"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92"/>
          <w:headerReference w:type="default" r:id="rId93"/>
          <w:footerReference w:type="even" r:id="rId94"/>
          <w:footerReference w:type="default" r:id="rId95"/>
          <w:headerReference w:type="first" r:id="rId96"/>
          <w:footerReference w:type="first" r:id="rId97"/>
          <w:pgSz w:w="16839" w:h="11907" w:orient="landscape"/>
          <w:pgMar w:top="720" w:right="720" w:bottom="720" w:left="720" w:header="709" w:footer="709" w:gutter="0"/>
          <w:cols w:space="720"/>
          <w:docGrid w:linePitch="360"/>
        </w:sectPr>
      </w:pPr>
    </w:p>
    <w:p w14:paraId="7719C9D5" w14:textId="77777777" w:rsidR="00FE6F09" w:rsidRDefault="00435AFB">
      <w:pPr>
        <w:pStyle w:val="P68B1DB1-Normal2"/>
        <w:spacing w:before="120" w:after="120" w:line="240" w:lineRule="auto"/>
        <w:jc w:val="both"/>
        <w:rPr>
          <w:bCs/>
          <w:noProof/>
        </w:rPr>
      </w:pPr>
      <w:r>
        <w:rPr>
          <w:noProof/>
        </w:rPr>
        <w:t xml:space="preserve">H. COMPONENTUL 3C: Promovarea unei economii transparente și echitabile </w:t>
      </w:r>
    </w:p>
    <w:p w14:paraId="3360EBF0" w14:textId="77777777" w:rsidR="00FE6F09" w:rsidRDefault="00435AFB">
      <w:pPr>
        <w:pStyle w:val="P68B1DB1-Normal5"/>
        <w:spacing w:before="120" w:after="120" w:line="240" w:lineRule="auto"/>
        <w:jc w:val="both"/>
        <w:rPr>
          <w:noProof/>
        </w:rPr>
      </w:pPr>
      <w:r>
        <w:rPr>
          <w:noProof/>
        </w:rPr>
        <w:t xml:space="preserve">Această componentă </w:t>
      </w:r>
      <w:r>
        <w:rPr>
          <w:noProof/>
          <w:color w:val="000000"/>
        </w:rPr>
        <w:t xml:space="preserve">a planului de redresare și reziliență al Luxemburgului </w:t>
      </w:r>
      <w:r>
        <w:rPr>
          <w:noProof/>
        </w:rPr>
        <w:t>conține o măsură legată de modernizarea impozitării societăților, și anume o lege care interzice deducerile în scopul impozitului pe profit ale dobânzilor și redevențelor plătite întreprinderilor afiliate stabilite în jurisdicțiile incluse pe lista UE a jurisdicțiilor necooperante în scopuri fiscale.</w:t>
      </w:r>
    </w:p>
    <w:p w14:paraId="28481DE5" w14:textId="77777777" w:rsidR="00FE6F09" w:rsidRDefault="00435AFB">
      <w:pPr>
        <w:pStyle w:val="P68B1DB1-Normal5"/>
        <w:spacing w:before="120" w:after="120" w:line="240" w:lineRule="auto"/>
        <w:jc w:val="both"/>
        <w:rPr>
          <w:noProof/>
        </w:rPr>
      </w:pPr>
      <w:r>
        <w:rPr>
          <w:noProof/>
        </w:rPr>
        <w:t>În completarea acestei măsuri, componenta indică faptul că Luxemburgul va efectua o evaluare a impactului legii menționate mai sus, „pentru a contribui la discuția privind extinderea măsurii la alte jurisdicții terțe decât cele incluse pe lista UE a jurisdicțiilor fiscale necooperante”.</w:t>
      </w:r>
    </w:p>
    <w:p w14:paraId="71AFAD82" w14:textId="77777777" w:rsidR="00FE6F09" w:rsidRDefault="00435AFB">
      <w:pPr>
        <w:pStyle w:val="P68B1DB1-Normal5"/>
        <w:spacing w:before="120" w:after="120" w:line="240" w:lineRule="auto"/>
        <w:jc w:val="both"/>
        <w:rPr>
          <w:noProof/>
        </w:rPr>
      </w:pPr>
      <w:r>
        <w:rPr>
          <w:noProof/>
        </w:rPr>
        <w:t>Componenta indică, de asemenea, că Luxemburgul va continua să adopte o atitudine constructivă în cadrul discuțiilor în curs și viitoare privind modernizarea sistemului fiscal al UE și a sistemului fiscal internațional aplicabil întreprinderilor, în special ca parte a Cadrului incluziv al OCDE în contextul inițiativelor anunțate în recenta comunicare a Comisiei intitulată „Impozitarea întreprinderilor pentru</w:t>
      </w:r>
      <w:r>
        <w:rPr>
          <w:noProof/>
          <w:vertAlign w:val="superscript"/>
        </w:rPr>
        <w:t xml:space="preserve"> secolul</w:t>
      </w:r>
      <w:r>
        <w:rPr>
          <w:noProof/>
        </w:rPr>
        <w:t xml:space="preserve"> XXI”.</w:t>
      </w:r>
    </w:p>
    <w:p w14:paraId="7BA053D3" w14:textId="77777777" w:rsidR="00FE6F09" w:rsidRDefault="00435AFB">
      <w:pPr>
        <w:pStyle w:val="P68B1DB1-Normal5"/>
        <w:spacing w:before="120" w:after="120" w:line="240" w:lineRule="auto"/>
        <w:jc w:val="both"/>
        <w:rPr>
          <w:noProof/>
        </w:rPr>
      </w:pPr>
      <w:r>
        <w:rPr>
          <w:noProof/>
        </w:rPr>
        <w:t>Această componentă conține, de asemenea, măsuri privind combaterea spălării banilor și a finanțării terorismului, care se preconizează că vor contribui la</w:t>
      </w:r>
      <w:r>
        <w:rPr>
          <w:noProof/>
          <w:color w:val="000000" w:themeColor="text1"/>
        </w:rPr>
        <w:t xml:space="preserve"> recomandarea specifică fiecărei țări de</w:t>
      </w:r>
      <w:r>
        <w:rPr>
          <w:noProof/>
        </w:rPr>
        <w:t xml:space="preserve"> a asigura supravegherea și aplicarea eficace a cadrului de combatere a spălării banilor în ceea ce privește profesioniștii care furnizează servicii de încredere și servicii pentru societăți, precum și servicii de investiții. </w:t>
      </w:r>
    </w:p>
    <w:p w14:paraId="50BCD2BE" w14:textId="77777777" w:rsidR="00FE6F09" w:rsidRDefault="00435AFB">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76ED9E0F" w14:textId="77777777" w:rsidR="00FE6F09" w:rsidRDefault="00FE6F09">
      <w:pPr>
        <w:spacing w:before="120" w:after="120" w:line="240" w:lineRule="auto"/>
        <w:jc w:val="both"/>
        <w:rPr>
          <w:rFonts w:ascii="Times New Roman" w:hAnsi="Times New Roman" w:cs="Times New Roman"/>
          <w:noProof/>
          <w:sz w:val="24"/>
        </w:rPr>
      </w:pPr>
    </w:p>
    <w:p w14:paraId="14D599E4" w14:textId="77777777" w:rsidR="00FE6F09" w:rsidRDefault="00435AFB">
      <w:pPr>
        <w:pStyle w:val="P68B1DB1-Normal6"/>
        <w:spacing w:before="120" w:after="120" w:line="240" w:lineRule="auto"/>
        <w:jc w:val="both"/>
        <w:rPr>
          <w:bCs/>
          <w:noProof/>
        </w:rPr>
      </w:pPr>
      <w:r>
        <w:rPr>
          <w:noProof/>
        </w:rPr>
        <w:t xml:space="preserve">H.1. </w:t>
      </w:r>
      <w:r>
        <w:rPr>
          <w:noProof/>
        </w:rPr>
        <w:tab/>
        <w:t>Descrierea reformelor și a investițiilor pentru sprijinul financiar nerambursabil</w:t>
      </w:r>
    </w:p>
    <w:p w14:paraId="617D7DCB" w14:textId="77777777" w:rsidR="00FE6F09" w:rsidRDefault="00435AFB">
      <w:pPr>
        <w:pStyle w:val="P68B1DB1-Normal7"/>
        <w:spacing w:before="120" w:after="120" w:line="240" w:lineRule="auto"/>
        <w:jc w:val="both"/>
        <w:rPr>
          <w:noProof/>
        </w:rPr>
      </w:pPr>
      <w:r>
        <w:rPr>
          <w:noProof/>
        </w:rPr>
        <w:t xml:space="preserve">Reforma 1: Modernizarea impozitării societăților comerciale </w:t>
      </w:r>
    </w:p>
    <w:p w14:paraId="264FB6E7" w14:textId="77777777" w:rsidR="00FE6F09" w:rsidRDefault="00435AFB">
      <w:pPr>
        <w:pStyle w:val="P68B1DB1-Normal12"/>
        <w:spacing w:before="120" w:after="120" w:line="240" w:lineRule="auto"/>
        <w:jc w:val="both"/>
        <w:rPr>
          <w:rFonts w:ascii="Times New Roman" w:hAnsi="Times New Roman" w:cs="Times New Roman"/>
          <w:noProof/>
        </w:rPr>
      </w:pPr>
      <w:r>
        <w:rPr>
          <w:rFonts w:ascii="Times New Roman" w:hAnsi="Times New Roman" w:cs="Times New Roman"/>
          <w:noProof/>
        </w:rPr>
        <w:t xml:space="preserve">Această reformă constă într-o măsură legislativă care interzice deducerile, în scopul impozitului pe profit, ale dobânzilor și redevențelor plătite întreprinderilor afiliate stabilite în jurisdicțiile incluse pe lista UE a jurisdicțiilor necooperante în scopuri fiscale. Această reformă </w:t>
      </w:r>
      <w:r>
        <w:rPr>
          <w:rFonts w:ascii="Times New Roman" w:eastAsiaTheme="minorEastAsia" w:hAnsi="Times New Roman" w:cs="Times New Roman"/>
          <w:noProof/>
          <w:szCs w:val="24"/>
        </w:rPr>
        <w:t xml:space="preserve">pune în aplicare un acord la care s-a ajuns în cadrul Consiliului UE din decembrie 2019. </w:t>
      </w:r>
    </w:p>
    <w:p w14:paraId="5B2893CF" w14:textId="77777777" w:rsidR="00FE6F09" w:rsidRDefault="00FE6F09">
      <w:pPr>
        <w:spacing w:before="120" w:after="120" w:line="240" w:lineRule="auto"/>
        <w:jc w:val="both"/>
        <w:rPr>
          <w:rFonts w:ascii="Times New Roman" w:hAnsi="Times New Roman" w:cs="Times New Roman"/>
          <w:noProof/>
          <w:sz w:val="24"/>
        </w:rPr>
      </w:pPr>
    </w:p>
    <w:p w14:paraId="3EBB4883" w14:textId="77777777" w:rsidR="00FE6F09" w:rsidRDefault="00435AFB">
      <w:pPr>
        <w:pStyle w:val="P68B1DB1-Normal10"/>
        <w:spacing w:before="120" w:after="120" w:line="240" w:lineRule="auto"/>
        <w:jc w:val="both"/>
        <w:rPr>
          <w:noProof/>
        </w:rPr>
      </w:pPr>
      <w:r>
        <w:rPr>
          <w:noProof/>
        </w:rPr>
        <w:t>Reforma 2: Combaterea spălării banilor și a finanțării terorismului</w:t>
      </w:r>
    </w:p>
    <w:p w14:paraId="31D99B0A" w14:textId="5CAC6C38" w:rsidR="00FE6F09" w:rsidRDefault="00435AFB">
      <w:pPr>
        <w:pStyle w:val="P68B1DB1-Normal5"/>
        <w:spacing w:before="120" w:after="120" w:line="240" w:lineRule="auto"/>
        <w:jc w:val="both"/>
        <w:rPr>
          <w:noProof/>
        </w:rPr>
      </w:pPr>
      <w:r>
        <w:rPr>
          <w:noProof/>
        </w:rPr>
        <w:t>Obiectivul acestei reforme este de a consolida cadrul pentru combaterea spălării banilor (SB) și a finanțării terorismului (FT), care este aplicabil profesioniștilor care furnizează servicii de încredere și servicii pentru întreprinderi, precum și servicii de investiții.</w:t>
      </w:r>
    </w:p>
    <w:p w14:paraId="041D931F" w14:textId="3EE7EE8B" w:rsidR="00FE6F09" w:rsidRDefault="00435AFB">
      <w:pPr>
        <w:pStyle w:val="P68B1DB1-Normal5"/>
        <w:spacing w:before="120" w:after="120" w:line="240" w:lineRule="auto"/>
        <w:jc w:val="both"/>
        <w:rPr>
          <w:noProof/>
        </w:rPr>
      </w:pPr>
      <w:r>
        <w:rPr>
          <w:noProof/>
        </w:rPr>
        <w:t>Măsurile conexe constau în consolidarea dispozițiilor naționale privind combaterea spălării banilor și a finanțării terorismului, publicarea evaluărilor riscurilor de spălare a banilor și de finanțare a terorismului, revizuirea cadrului legislativ și a instrumentelor digitale ale Registrului comerțului din Luxemburg și consolidarea cadrului juridic aplicabil prestatorilor de servicii pentru fiducii și societăți.</w:t>
      </w:r>
    </w:p>
    <w:p w14:paraId="7DA1C07C" w14:textId="77777777" w:rsidR="00FE6F09" w:rsidRDefault="00FE6F09">
      <w:pPr>
        <w:spacing w:before="120" w:after="120" w:line="240" w:lineRule="auto"/>
        <w:jc w:val="both"/>
        <w:rPr>
          <w:rFonts w:ascii="Times New Roman" w:hAnsi="Times New Roman" w:cs="Times New Roman"/>
          <w:noProof/>
          <w:sz w:val="24"/>
        </w:rPr>
      </w:pPr>
    </w:p>
    <w:p w14:paraId="4162460A" w14:textId="77777777" w:rsidR="00FE6F09" w:rsidRDefault="00FE6F09">
      <w:pPr>
        <w:spacing w:before="120" w:after="120" w:line="240" w:lineRule="auto"/>
        <w:jc w:val="both"/>
        <w:rPr>
          <w:rFonts w:ascii="Times New Roman" w:hAnsi="Times New Roman" w:cs="Times New Roman"/>
          <w:noProof/>
          <w:sz w:val="24"/>
        </w:rPr>
      </w:pPr>
    </w:p>
    <w:p w14:paraId="7225C42C" w14:textId="77777777" w:rsidR="00FE6F09" w:rsidRDefault="00FE6F09">
      <w:pPr>
        <w:spacing w:before="120" w:after="120" w:line="240" w:lineRule="auto"/>
        <w:ind w:left="709"/>
        <w:jc w:val="both"/>
        <w:rPr>
          <w:rFonts w:ascii="Times New Roman" w:hAnsi="Times New Roman" w:cs="Times New Roman"/>
          <w:noProof/>
          <w:sz w:val="24"/>
        </w:rPr>
        <w:sectPr w:rsidR="00FE6F09" w:rsidSect="009823F0">
          <w:headerReference w:type="even" r:id="rId98"/>
          <w:headerReference w:type="default" r:id="rId99"/>
          <w:footerReference w:type="even" r:id="rId100"/>
          <w:footerReference w:type="default" r:id="rId101"/>
          <w:headerReference w:type="first" r:id="rId102"/>
          <w:footerReference w:type="first" r:id="rId103"/>
          <w:pgSz w:w="11907" w:h="16839"/>
          <w:pgMar w:top="1134" w:right="1417" w:bottom="1134" w:left="1417" w:header="709" w:footer="709" w:gutter="0"/>
          <w:cols w:space="720"/>
          <w:docGrid w:linePitch="360"/>
        </w:sectPr>
      </w:pPr>
    </w:p>
    <w:p w14:paraId="2DE3C452" w14:textId="77777777" w:rsidR="00FE6F09" w:rsidRDefault="00435AFB">
      <w:pPr>
        <w:pStyle w:val="P68B1DB1-Normal6"/>
        <w:spacing w:before="120" w:after="120" w:line="240" w:lineRule="auto"/>
        <w:jc w:val="center"/>
        <w:rPr>
          <w:bCs/>
          <w:noProof/>
        </w:rPr>
      </w:pPr>
      <w:r>
        <w:rPr>
          <w:noProof/>
        </w:rPr>
        <w:t xml:space="preserve">H.2. </w:t>
      </w:r>
      <w:r>
        <w:rPr>
          <w:noProof/>
        </w:rPr>
        <w:tab/>
        <w:t>Jaloane, ținte, indicatori și calendar pentru monitorizarea și punerea în aplicare a sprijinului financiar nerambursabil</w:t>
      </w:r>
    </w:p>
    <w:tbl>
      <w:tblPr>
        <w:tblW w:w="15502" w:type="dxa"/>
        <w:jc w:val="center"/>
        <w:tblLayout w:type="fixed"/>
        <w:tblLook w:val="04A0" w:firstRow="1" w:lastRow="0" w:firstColumn="1" w:lastColumn="0" w:noHBand="0" w:noVBand="1"/>
      </w:tblPr>
      <w:tblGrid>
        <w:gridCol w:w="1256"/>
        <w:gridCol w:w="1461"/>
        <w:gridCol w:w="1163"/>
        <w:gridCol w:w="1672"/>
        <w:gridCol w:w="1418"/>
        <w:gridCol w:w="975"/>
        <w:gridCol w:w="933"/>
        <w:gridCol w:w="756"/>
        <w:gridCol w:w="993"/>
        <w:gridCol w:w="763"/>
        <w:gridCol w:w="4112"/>
      </w:tblGrid>
      <w:tr w:rsidR="00FE6F09" w14:paraId="49C54992" w14:textId="77777777">
        <w:trPr>
          <w:trHeight w:val="927"/>
          <w:tblHeader/>
          <w:jc w:val="center"/>
        </w:trPr>
        <w:tc>
          <w:tcPr>
            <w:tcW w:w="12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EF4CD7" w14:textId="77777777" w:rsidR="00FE6F09" w:rsidRDefault="00435AFB">
            <w:pPr>
              <w:pStyle w:val="P68B1DB1-Normal8"/>
              <w:spacing w:after="0" w:line="240" w:lineRule="auto"/>
              <w:jc w:val="center"/>
              <w:rPr>
                <w:bCs/>
                <w:noProof/>
              </w:rPr>
            </w:pPr>
            <w:r>
              <w:rPr>
                <w:noProof/>
              </w:rPr>
              <w:t>Număr secvențial</w:t>
            </w:r>
          </w:p>
        </w:tc>
        <w:tc>
          <w:tcPr>
            <w:tcW w:w="14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639FC9" w14:textId="77777777" w:rsidR="00FE6F09" w:rsidRDefault="00435AFB">
            <w:pPr>
              <w:pStyle w:val="P68B1DB1-Normal8"/>
              <w:spacing w:after="0" w:line="240" w:lineRule="auto"/>
              <w:jc w:val="center"/>
              <w:rPr>
                <w:bCs/>
                <w:noProof/>
              </w:rPr>
            </w:pPr>
            <w:r>
              <w:rPr>
                <w:noProof/>
              </w:rPr>
              <w:t>Măsură conexă (reformă sau investiție)</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F5A707" w14:textId="6AFD29CE" w:rsidR="00FE6F09" w:rsidRDefault="00435AFB">
            <w:pPr>
              <w:pStyle w:val="P68B1DB1-Normal8"/>
              <w:spacing w:after="0" w:line="240" w:lineRule="auto"/>
              <w:jc w:val="center"/>
              <w:rPr>
                <w:bCs/>
                <w:noProof/>
              </w:rPr>
            </w:pPr>
            <w:r>
              <w:rPr>
                <w:noProof/>
              </w:rPr>
              <w:t>Etapa/ținta</w:t>
            </w:r>
          </w:p>
        </w:tc>
        <w:tc>
          <w:tcPr>
            <w:tcW w:w="16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159C8C" w14:textId="77777777" w:rsidR="00FE6F09" w:rsidRDefault="00435AFB">
            <w:pPr>
              <w:pStyle w:val="P68B1DB1-Normal8"/>
              <w:spacing w:after="0" w:line="240" w:lineRule="auto"/>
              <w:jc w:val="center"/>
              <w:rPr>
                <w:bCs/>
                <w:noProof/>
              </w:rPr>
            </w:pPr>
            <w:r>
              <w:rPr>
                <w:noProof/>
              </w:rPr>
              <w:t>Denumire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237B00" w14:textId="77777777" w:rsidR="00FE6F09" w:rsidRDefault="00435AFB">
            <w:pPr>
              <w:pStyle w:val="P68B1DB1-Normal8"/>
              <w:spacing w:after="0" w:line="240" w:lineRule="auto"/>
              <w:jc w:val="center"/>
              <w:rPr>
                <w:bCs/>
                <w:noProof/>
              </w:rPr>
            </w:pPr>
            <w:r>
              <w:rPr>
                <w:noProof/>
              </w:rPr>
              <w:t xml:space="preserve">Indicatori calitativi </w:t>
            </w:r>
            <w:r>
              <w:rPr>
                <w:noProof/>
              </w:rPr>
              <w:br/>
              <w:t>(pentru jaloane)</w:t>
            </w:r>
          </w:p>
        </w:tc>
        <w:tc>
          <w:tcPr>
            <w:tcW w:w="266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732AE88" w14:textId="77777777" w:rsidR="00FE6F09" w:rsidRDefault="00435AFB">
            <w:pPr>
              <w:pStyle w:val="P68B1DB1-Normal8"/>
              <w:spacing w:after="0" w:line="240" w:lineRule="auto"/>
              <w:jc w:val="center"/>
              <w:rPr>
                <w:bCs/>
                <w:noProof/>
              </w:rPr>
            </w:pPr>
            <w:r>
              <w:rPr>
                <w:noProof/>
              </w:rPr>
              <w:t xml:space="preserve">Indicatori cantitativi </w:t>
            </w:r>
            <w:r>
              <w:rPr>
                <w:noProof/>
              </w:rPr>
              <w:br/>
              <w:t>(pentru obiective)</w:t>
            </w:r>
          </w:p>
        </w:tc>
        <w:tc>
          <w:tcPr>
            <w:tcW w:w="175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E5E50E0" w14:textId="1C2C7A38" w:rsidR="00FE6F09" w:rsidRDefault="00435AFB">
            <w:pPr>
              <w:pStyle w:val="P68B1DB1-Normal8"/>
              <w:spacing w:after="0" w:line="240" w:lineRule="auto"/>
              <w:jc w:val="center"/>
              <w:rPr>
                <w:bCs/>
                <w:noProof/>
              </w:rPr>
            </w:pPr>
            <w:r>
              <w:rPr>
                <w:noProof/>
              </w:rPr>
              <w:t>Calendar orientativ pentru finalizare</w:t>
            </w:r>
          </w:p>
        </w:tc>
        <w:tc>
          <w:tcPr>
            <w:tcW w:w="41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51876D" w14:textId="77777777" w:rsidR="00FE6F09" w:rsidRDefault="00435AFB">
            <w:pPr>
              <w:pStyle w:val="P68B1DB1-Normal8"/>
              <w:spacing w:after="0" w:line="240" w:lineRule="auto"/>
              <w:jc w:val="center"/>
              <w:rPr>
                <w:bCs/>
                <w:noProof/>
              </w:rPr>
            </w:pPr>
            <w:r>
              <w:rPr>
                <w:noProof/>
              </w:rPr>
              <w:t>Descrierea fiecărui jalon și a fiecărei ținte</w:t>
            </w:r>
          </w:p>
        </w:tc>
      </w:tr>
      <w:tr w:rsidR="00FE6F09" w14:paraId="6475C499" w14:textId="77777777">
        <w:trPr>
          <w:trHeight w:val="1013"/>
          <w:tblHeader/>
          <w:jc w:val="center"/>
        </w:trPr>
        <w:tc>
          <w:tcPr>
            <w:tcW w:w="1256" w:type="dxa"/>
            <w:vMerge/>
            <w:tcBorders>
              <w:top w:val="single" w:sz="4" w:space="0" w:color="auto"/>
              <w:left w:val="single" w:sz="4" w:space="0" w:color="auto"/>
              <w:bottom w:val="single" w:sz="4" w:space="0" w:color="auto"/>
              <w:right w:val="single" w:sz="4" w:space="0" w:color="auto"/>
            </w:tcBorders>
            <w:vAlign w:val="center"/>
            <w:hideMark/>
          </w:tcPr>
          <w:p w14:paraId="30A4523D"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461" w:type="dxa"/>
            <w:vMerge/>
            <w:tcBorders>
              <w:top w:val="single" w:sz="4" w:space="0" w:color="auto"/>
              <w:left w:val="single" w:sz="4" w:space="0" w:color="auto"/>
              <w:bottom w:val="single" w:sz="4" w:space="0" w:color="auto"/>
              <w:right w:val="single" w:sz="4" w:space="0" w:color="auto"/>
            </w:tcBorders>
            <w:vAlign w:val="center"/>
            <w:hideMark/>
          </w:tcPr>
          <w:p w14:paraId="2AF3ACBA" w14:textId="77777777" w:rsidR="00FE6F09" w:rsidRDefault="00FE6F09">
            <w:pPr>
              <w:spacing w:after="0" w:line="240" w:lineRule="auto"/>
              <w:rPr>
                <w:rFonts w:ascii="Times New Roman" w:eastAsia="Times New Roman" w:hAnsi="Times New Roman" w:cs="Times New Roman"/>
                <w:b/>
                <w:noProof/>
                <w:sz w:val="20"/>
                <w:szCs w:val="20"/>
              </w:rPr>
            </w:pPr>
          </w:p>
        </w:tc>
        <w:tc>
          <w:tcPr>
            <w:tcW w:w="1163" w:type="dxa"/>
            <w:vMerge/>
            <w:tcBorders>
              <w:top w:val="single" w:sz="4" w:space="0" w:color="auto"/>
              <w:left w:val="single" w:sz="4" w:space="0" w:color="auto"/>
              <w:bottom w:val="single" w:sz="4" w:space="0" w:color="auto"/>
              <w:right w:val="single" w:sz="4" w:space="0" w:color="auto"/>
            </w:tcBorders>
            <w:vAlign w:val="center"/>
            <w:hideMark/>
          </w:tcPr>
          <w:p w14:paraId="613628BF"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14:paraId="75C604AB" w14:textId="77777777" w:rsidR="00FE6F09" w:rsidRDefault="00FE6F09">
            <w:pPr>
              <w:spacing w:after="0" w:line="240" w:lineRule="auto"/>
              <w:rPr>
                <w:rFonts w:ascii="Times New Roman" w:eastAsia="Times New Roman" w:hAnsi="Times New Roman" w:cs="Times New Roman"/>
                <w:b/>
                <w:noProo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8AE19CB" w14:textId="77777777" w:rsidR="00FE6F09" w:rsidRDefault="00FE6F09">
            <w:pPr>
              <w:spacing w:after="0" w:line="240" w:lineRule="auto"/>
              <w:rPr>
                <w:rFonts w:ascii="Times New Roman" w:eastAsia="Times New Roman" w:hAnsi="Times New Roman" w:cs="Times New Roman"/>
                <w:b/>
                <w:noProof/>
                <w:sz w:val="20"/>
                <w:szCs w:val="20"/>
              </w:rPr>
            </w:pPr>
          </w:p>
        </w:tc>
        <w:tc>
          <w:tcPr>
            <w:tcW w:w="9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205C62" w14:textId="77777777" w:rsidR="00FE6F09" w:rsidRDefault="00435AFB">
            <w:pPr>
              <w:pStyle w:val="P68B1DB1-Normal8"/>
              <w:spacing w:after="0" w:line="240" w:lineRule="auto"/>
              <w:jc w:val="center"/>
              <w:rPr>
                <w:bCs/>
                <w:noProof/>
              </w:rPr>
            </w:pPr>
            <w:r>
              <w:rPr>
                <w:noProof/>
              </w:rPr>
              <w:t>Unitatea de măsură</w:t>
            </w:r>
          </w:p>
        </w:tc>
        <w:tc>
          <w:tcPr>
            <w:tcW w:w="933" w:type="dxa"/>
            <w:tcBorders>
              <w:top w:val="single" w:sz="4" w:space="0" w:color="auto"/>
              <w:left w:val="nil"/>
              <w:bottom w:val="single" w:sz="4" w:space="0" w:color="auto"/>
              <w:right w:val="single" w:sz="4" w:space="0" w:color="auto"/>
            </w:tcBorders>
            <w:shd w:val="clear" w:color="auto" w:fill="BDD7EE"/>
            <w:vAlign w:val="center"/>
            <w:hideMark/>
          </w:tcPr>
          <w:p w14:paraId="2684FB10" w14:textId="0876DB9C" w:rsidR="00FE6F09" w:rsidRDefault="00435AFB">
            <w:pPr>
              <w:pStyle w:val="P68B1DB1-Normal8"/>
              <w:spacing w:after="0" w:line="240" w:lineRule="auto"/>
              <w:jc w:val="center"/>
              <w:rPr>
                <w:bCs/>
                <w:noProof/>
              </w:rPr>
            </w:pPr>
            <w:r>
              <w:rPr>
                <w:noProof/>
              </w:rPr>
              <w:t>Situația de referință</w:t>
            </w:r>
          </w:p>
        </w:tc>
        <w:tc>
          <w:tcPr>
            <w:tcW w:w="756" w:type="dxa"/>
            <w:tcBorders>
              <w:top w:val="single" w:sz="4" w:space="0" w:color="auto"/>
              <w:left w:val="nil"/>
              <w:bottom w:val="single" w:sz="4" w:space="0" w:color="auto"/>
              <w:right w:val="single" w:sz="4" w:space="0" w:color="auto"/>
            </w:tcBorders>
            <w:shd w:val="clear" w:color="auto" w:fill="BDD7EE"/>
            <w:vAlign w:val="center"/>
            <w:hideMark/>
          </w:tcPr>
          <w:p w14:paraId="56A05806" w14:textId="52D3A34C" w:rsidR="00FE6F09" w:rsidRDefault="00435AFB">
            <w:pPr>
              <w:pStyle w:val="P68B1DB1-Normal8"/>
              <w:spacing w:after="0" w:line="240" w:lineRule="auto"/>
              <w:jc w:val="center"/>
              <w:rPr>
                <w:bCs/>
                <w:noProof/>
              </w:rPr>
            </w:pPr>
            <w:r>
              <w:rPr>
                <w:noProof/>
              </w:rPr>
              <w:t>Obiectiv</w:t>
            </w:r>
          </w:p>
        </w:tc>
        <w:tc>
          <w:tcPr>
            <w:tcW w:w="993" w:type="dxa"/>
            <w:tcBorders>
              <w:top w:val="single" w:sz="4" w:space="0" w:color="auto"/>
              <w:left w:val="nil"/>
              <w:bottom w:val="single" w:sz="4" w:space="0" w:color="auto"/>
              <w:right w:val="single" w:sz="4" w:space="0" w:color="auto"/>
            </w:tcBorders>
            <w:shd w:val="clear" w:color="auto" w:fill="BDD7EE"/>
            <w:vAlign w:val="center"/>
            <w:hideMark/>
          </w:tcPr>
          <w:p w14:paraId="605DB565" w14:textId="77777777" w:rsidR="00FE6F09" w:rsidRDefault="00435AFB">
            <w:pPr>
              <w:pStyle w:val="P68B1DB1-Normal8"/>
              <w:spacing w:after="0" w:line="240" w:lineRule="auto"/>
              <w:jc w:val="center"/>
              <w:rPr>
                <w:bCs/>
                <w:noProof/>
              </w:rPr>
            </w:pPr>
            <w:r>
              <w:rPr>
                <w:noProof/>
              </w:rPr>
              <w:t>Trimestrul</w:t>
            </w:r>
          </w:p>
        </w:tc>
        <w:tc>
          <w:tcPr>
            <w:tcW w:w="763" w:type="dxa"/>
            <w:tcBorders>
              <w:top w:val="single" w:sz="4" w:space="0" w:color="auto"/>
              <w:left w:val="nil"/>
              <w:bottom w:val="single" w:sz="4" w:space="0" w:color="auto"/>
              <w:right w:val="single" w:sz="4" w:space="0" w:color="auto"/>
            </w:tcBorders>
            <w:shd w:val="clear" w:color="auto" w:fill="BDD7EE"/>
            <w:vAlign w:val="center"/>
            <w:hideMark/>
          </w:tcPr>
          <w:p w14:paraId="0604CE05" w14:textId="77777777" w:rsidR="00FE6F09" w:rsidRDefault="00435AFB">
            <w:pPr>
              <w:pStyle w:val="P68B1DB1-Normal8"/>
              <w:spacing w:after="0" w:line="240" w:lineRule="auto"/>
              <w:jc w:val="center"/>
              <w:rPr>
                <w:bCs/>
                <w:noProof/>
              </w:rPr>
            </w:pPr>
            <w:r>
              <w:rPr>
                <w:noProof/>
              </w:rPr>
              <w:t>Anul</w:t>
            </w:r>
          </w:p>
        </w:tc>
        <w:tc>
          <w:tcPr>
            <w:tcW w:w="4112" w:type="dxa"/>
            <w:vMerge/>
            <w:tcBorders>
              <w:top w:val="single" w:sz="4" w:space="0" w:color="auto"/>
              <w:bottom w:val="single" w:sz="4" w:space="0" w:color="auto"/>
              <w:right w:val="single" w:sz="4" w:space="0" w:color="auto"/>
            </w:tcBorders>
            <w:vAlign w:val="center"/>
            <w:hideMark/>
          </w:tcPr>
          <w:p w14:paraId="01603FA1" w14:textId="77777777" w:rsidR="00FE6F09" w:rsidRDefault="00FE6F09">
            <w:pPr>
              <w:spacing w:after="0" w:line="240" w:lineRule="auto"/>
              <w:jc w:val="both"/>
              <w:rPr>
                <w:rFonts w:ascii="Times New Roman" w:eastAsia="Times New Roman" w:hAnsi="Times New Roman" w:cs="Times New Roman"/>
                <w:b/>
                <w:noProof/>
                <w:sz w:val="20"/>
                <w:szCs w:val="20"/>
              </w:rPr>
            </w:pPr>
          </w:p>
        </w:tc>
      </w:tr>
      <w:tr w:rsidR="00FE6F09" w14:paraId="0E97EBC6" w14:textId="77777777">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15041BDE" w14:textId="77777777" w:rsidR="00FE6F09" w:rsidRDefault="00435AFB">
            <w:pPr>
              <w:pStyle w:val="P68B1DB1-Normal9"/>
              <w:spacing w:after="0" w:line="240" w:lineRule="auto"/>
              <w:jc w:val="center"/>
              <w:rPr>
                <w:noProof/>
              </w:rPr>
            </w:pPr>
            <w:r>
              <w:rPr>
                <w:noProof/>
              </w:rPr>
              <w:t>3C-1</w:t>
            </w:r>
          </w:p>
        </w:tc>
        <w:tc>
          <w:tcPr>
            <w:tcW w:w="1461" w:type="dxa"/>
            <w:tcBorders>
              <w:top w:val="single" w:sz="4" w:space="0" w:color="auto"/>
              <w:left w:val="nil"/>
              <w:bottom w:val="single" w:sz="4" w:space="0" w:color="auto"/>
              <w:right w:val="single" w:sz="4" w:space="0" w:color="auto"/>
            </w:tcBorders>
            <w:shd w:val="clear" w:color="auto" w:fill="C6EFCE"/>
            <w:noWrap/>
          </w:tcPr>
          <w:p w14:paraId="59ADE35F" w14:textId="77777777" w:rsidR="00FE6F09" w:rsidRDefault="00435AFB">
            <w:pPr>
              <w:pStyle w:val="P68B1DB1-Normal9"/>
              <w:spacing w:after="0" w:line="240" w:lineRule="auto"/>
              <w:rPr>
                <w:noProof/>
              </w:rPr>
            </w:pPr>
            <w:r>
              <w:rPr>
                <w:noProof/>
              </w:rPr>
              <w:t>Reforma 1 – Modernizarea impozitării societăților comerciale</w:t>
            </w:r>
          </w:p>
        </w:tc>
        <w:tc>
          <w:tcPr>
            <w:tcW w:w="1163" w:type="dxa"/>
            <w:tcBorders>
              <w:top w:val="single" w:sz="4" w:space="0" w:color="auto"/>
              <w:left w:val="nil"/>
              <w:bottom w:val="single" w:sz="4" w:space="0" w:color="auto"/>
              <w:right w:val="single" w:sz="4" w:space="0" w:color="auto"/>
            </w:tcBorders>
            <w:shd w:val="clear" w:color="auto" w:fill="C6EFCE"/>
            <w:noWrap/>
          </w:tcPr>
          <w:p w14:paraId="7EF8978A" w14:textId="77777777" w:rsidR="00FE6F09" w:rsidRDefault="00435AFB">
            <w:pPr>
              <w:pStyle w:val="P68B1DB1-Normal9"/>
              <w:spacing w:after="0" w:line="240" w:lineRule="auto"/>
              <w:jc w:val="center"/>
              <w:rPr>
                <w:noProof/>
              </w:rPr>
            </w:pPr>
            <w:r>
              <w:rPr>
                <w:noProof/>
              </w:rPr>
              <w:t>Etapa de referință</w:t>
            </w:r>
          </w:p>
        </w:tc>
        <w:tc>
          <w:tcPr>
            <w:tcW w:w="1672" w:type="dxa"/>
            <w:tcBorders>
              <w:top w:val="single" w:sz="4" w:space="0" w:color="auto"/>
              <w:left w:val="nil"/>
              <w:bottom w:val="single" w:sz="4" w:space="0" w:color="auto"/>
              <w:right w:val="single" w:sz="4" w:space="0" w:color="auto"/>
            </w:tcBorders>
            <w:shd w:val="clear" w:color="auto" w:fill="C6EFCE"/>
            <w:noWrap/>
          </w:tcPr>
          <w:p w14:paraId="21DA75C8" w14:textId="2BE6DF6D" w:rsidR="00FE6F09" w:rsidRDefault="00435AFB">
            <w:pPr>
              <w:spacing w:after="0" w:line="240" w:lineRule="auto"/>
              <w:rPr>
                <w:rFonts w:ascii="Times New Roman" w:eastAsia="Times New Roman" w:hAnsi="Times New Roman" w:cs="Times New Roman"/>
                <w:noProof/>
                <w:color w:val="006100"/>
                <w:sz w:val="20"/>
                <w:szCs w:val="20"/>
              </w:rPr>
            </w:pPr>
            <w:r>
              <w:rPr>
                <w:rFonts w:ascii="Times New Roman" w:eastAsia="Times New Roman" w:hAnsi="Times New Roman" w:cs="Times New Roman"/>
                <w:noProof/>
                <w:color w:val="006100"/>
                <w:sz w:val="20"/>
                <w:szCs w:val="20"/>
              </w:rPr>
              <w:t>Legea din 10 februarie 2021</w:t>
            </w:r>
            <w:r>
              <w:rPr>
                <w:rFonts w:ascii="Times New Roman" w:hAnsi="Times New Roman" w:cs="Times New Roman"/>
                <w:noProof/>
                <w:sz w:val="24"/>
              </w:rPr>
              <w:t xml:space="preserve"> </w:t>
            </w:r>
            <w:r>
              <w:rPr>
                <w:rFonts w:ascii="Times New Roman" w:eastAsia="Times New Roman" w:hAnsi="Times New Roman" w:cs="Times New Roman"/>
                <w:noProof/>
                <w:color w:val="006100"/>
                <w:sz w:val="20"/>
                <w:szCs w:val="20"/>
              </w:rPr>
              <w:t xml:space="preserve">de modificare a Legii modificate din 4 decembrie 1967 privind impozitul pe venit (fostul proiect de lege nr. 7547) </w:t>
            </w:r>
          </w:p>
        </w:tc>
        <w:tc>
          <w:tcPr>
            <w:tcW w:w="1418" w:type="dxa"/>
            <w:tcBorders>
              <w:top w:val="single" w:sz="4" w:space="0" w:color="auto"/>
              <w:left w:val="nil"/>
              <w:bottom w:val="single" w:sz="4" w:space="0" w:color="auto"/>
              <w:right w:val="single" w:sz="4" w:space="0" w:color="auto"/>
            </w:tcBorders>
            <w:shd w:val="clear" w:color="auto" w:fill="C6EFCE"/>
            <w:noWrap/>
          </w:tcPr>
          <w:p w14:paraId="54E53BD1" w14:textId="77777777" w:rsidR="00FE6F09" w:rsidRDefault="00435AFB">
            <w:pPr>
              <w:pStyle w:val="P68B1DB1-Normal9"/>
              <w:spacing w:after="0" w:line="240" w:lineRule="auto"/>
              <w:rPr>
                <w:noProof/>
              </w:rPr>
            </w:pPr>
            <w:r>
              <w:rPr>
                <w:noProof/>
              </w:rPr>
              <w:t>Intrarea în vigoare a actului</w:t>
            </w:r>
          </w:p>
        </w:tc>
        <w:tc>
          <w:tcPr>
            <w:tcW w:w="975" w:type="dxa"/>
            <w:tcBorders>
              <w:top w:val="nil"/>
              <w:left w:val="nil"/>
              <w:bottom w:val="single" w:sz="4" w:space="0" w:color="auto"/>
              <w:right w:val="single" w:sz="4" w:space="0" w:color="auto"/>
            </w:tcBorders>
            <w:shd w:val="clear" w:color="auto" w:fill="C6EFCE"/>
            <w:noWrap/>
          </w:tcPr>
          <w:p w14:paraId="7934A9AC" w14:textId="77777777" w:rsidR="00FE6F09" w:rsidRDefault="00435AFB">
            <w:pPr>
              <w:pStyle w:val="P68B1DB1-Normal9"/>
              <w:spacing w:after="0" w:line="240" w:lineRule="auto"/>
              <w:jc w:val="center"/>
              <w:rPr>
                <w:noProof/>
              </w:rPr>
            </w:pPr>
            <w:r>
              <w:rPr>
                <w:noProof/>
              </w:rPr>
              <w:t>-</w:t>
            </w:r>
          </w:p>
        </w:tc>
        <w:tc>
          <w:tcPr>
            <w:tcW w:w="933" w:type="dxa"/>
            <w:tcBorders>
              <w:top w:val="nil"/>
              <w:left w:val="nil"/>
              <w:bottom w:val="single" w:sz="4" w:space="0" w:color="auto"/>
              <w:right w:val="single" w:sz="4" w:space="0" w:color="auto"/>
            </w:tcBorders>
            <w:shd w:val="clear" w:color="auto" w:fill="C6EFCE"/>
            <w:noWrap/>
          </w:tcPr>
          <w:p w14:paraId="745E2923" w14:textId="77777777" w:rsidR="00FE6F09" w:rsidRDefault="00435AFB">
            <w:pPr>
              <w:pStyle w:val="P68B1DB1-Normal9"/>
              <w:spacing w:after="0" w:line="240" w:lineRule="auto"/>
              <w:jc w:val="center"/>
              <w:rPr>
                <w:noProof/>
              </w:rPr>
            </w:pPr>
            <w:r>
              <w:rPr>
                <w:noProof/>
              </w:rPr>
              <w:t>-</w:t>
            </w:r>
          </w:p>
        </w:tc>
        <w:tc>
          <w:tcPr>
            <w:tcW w:w="756" w:type="dxa"/>
            <w:tcBorders>
              <w:top w:val="nil"/>
              <w:left w:val="nil"/>
              <w:bottom w:val="single" w:sz="4" w:space="0" w:color="auto"/>
              <w:right w:val="single" w:sz="4" w:space="0" w:color="auto"/>
            </w:tcBorders>
            <w:shd w:val="clear" w:color="auto" w:fill="C6EFCE"/>
            <w:noWrap/>
          </w:tcPr>
          <w:p w14:paraId="5B5D1514" w14:textId="77777777" w:rsidR="00FE6F09" w:rsidRDefault="00435AFB">
            <w:pPr>
              <w:pStyle w:val="P68B1DB1-Normal9"/>
              <w:spacing w:after="0" w:line="240" w:lineRule="auto"/>
              <w:jc w:val="center"/>
              <w:rPr>
                <w:noProof/>
              </w:rPr>
            </w:pPr>
            <w:r>
              <w:rPr>
                <w:noProof/>
              </w:rPr>
              <w:t>-</w:t>
            </w:r>
          </w:p>
        </w:tc>
        <w:tc>
          <w:tcPr>
            <w:tcW w:w="993" w:type="dxa"/>
            <w:tcBorders>
              <w:top w:val="nil"/>
              <w:left w:val="nil"/>
              <w:bottom w:val="single" w:sz="4" w:space="0" w:color="auto"/>
              <w:right w:val="single" w:sz="4" w:space="0" w:color="auto"/>
            </w:tcBorders>
            <w:shd w:val="clear" w:color="auto" w:fill="C6EFCE"/>
            <w:noWrap/>
          </w:tcPr>
          <w:p w14:paraId="1CFE99BA" w14:textId="77777777" w:rsidR="00FE6F09" w:rsidRDefault="00435AFB">
            <w:pPr>
              <w:pStyle w:val="P68B1DB1-Normal9"/>
              <w:spacing w:after="0" w:line="240" w:lineRule="auto"/>
              <w:jc w:val="center"/>
              <w:rPr>
                <w:noProof/>
              </w:rPr>
            </w:pPr>
            <w:r>
              <w:rPr>
                <w:noProof/>
              </w:rPr>
              <w:t>Q1</w:t>
            </w:r>
          </w:p>
        </w:tc>
        <w:tc>
          <w:tcPr>
            <w:tcW w:w="763" w:type="dxa"/>
            <w:tcBorders>
              <w:top w:val="nil"/>
              <w:left w:val="nil"/>
              <w:bottom w:val="single" w:sz="4" w:space="0" w:color="auto"/>
              <w:right w:val="single" w:sz="4" w:space="0" w:color="auto"/>
            </w:tcBorders>
            <w:shd w:val="clear" w:color="auto" w:fill="C6EFCE"/>
            <w:noWrap/>
          </w:tcPr>
          <w:p w14:paraId="6E5C38E7" w14:textId="77777777" w:rsidR="00FE6F09" w:rsidRDefault="00435AFB">
            <w:pPr>
              <w:pStyle w:val="P68B1DB1-Normal9"/>
              <w:spacing w:after="0" w:line="240" w:lineRule="auto"/>
              <w:jc w:val="center"/>
              <w:rPr>
                <w:noProof/>
              </w:rPr>
            </w:pPr>
            <w:r>
              <w:rPr>
                <w:noProof/>
              </w:rPr>
              <w:t>2021</w:t>
            </w:r>
          </w:p>
        </w:tc>
        <w:tc>
          <w:tcPr>
            <w:tcW w:w="4112" w:type="dxa"/>
            <w:tcBorders>
              <w:top w:val="single" w:sz="4" w:space="0" w:color="auto"/>
              <w:left w:val="nil"/>
              <w:bottom w:val="single" w:sz="4" w:space="0" w:color="auto"/>
              <w:right w:val="single" w:sz="4" w:space="0" w:color="auto"/>
            </w:tcBorders>
            <w:shd w:val="clear" w:color="auto" w:fill="C6EFCE"/>
            <w:noWrap/>
          </w:tcPr>
          <w:p w14:paraId="62FFE8EE" w14:textId="766EC451" w:rsidR="00FE6F09" w:rsidRDefault="00435AFB">
            <w:pPr>
              <w:pStyle w:val="P68B1DB1-Normal9"/>
              <w:spacing w:after="0" w:line="240" w:lineRule="auto"/>
              <w:jc w:val="both"/>
              <w:rPr>
                <w:noProof/>
              </w:rPr>
            </w:pPr>
            <w:r>
              <w:rPr>
                <w:noProof/>
              </w:rPr>
              <w:t>Intrarea în vigoare a Legii din 10 februarie 2021 de modificare a Legii modificate din 4 decembrie 1967 privind impozitul pe venit (fostul proiect de lege nr. 7547) care introduce, în scopul impozitului pe profit, nedeductibilitatea dobânzilor și a redevențelor plătite întreprinderilor afiliate stabilite în jurisdicții fiscale necooperante. </w:t>
            </w:r>
          </w:p>
        </w:tc>
      </w:tr>
      <w:tr w:rsidR="00FE6F09" w14:paraId="5637060B"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753CC153" w14:textId="77777777" w:rsidR="00FE6F09" w:rsidRDefault="00435AFB">
            <w:pPr>
              <w:pStyle w:val="P68B1DB1-Normal9"/>
              <w:spacing w:after="0" w:line="240" w:lineRule="auto"/>
              <w:jc w:val="center"/>
              <w:rPr>
                <w:noProof/>
              </w:rPr>
            </w:pPr>
            <w:r>
              <w:rPr>
                <w:noProof/>
              </w:rPr>
              <w:t>3C-2</w:t>
            </w:r>
          </w:p>
        </w:tc>
        <w:tc>
          <w:tcPr>
            <w:tcW w:w="1461" w:type="dxa"/>
            <w:tcBorders>
              <w:top w:val="nil"/>
              <w:left w:val="nil"/>
              <w:bottom w:val="single" w:sz="4" w:space="0" w:color="auto"/>
              <w:right w:val="single" w:sz="4" w:space="0" w:color="auto"/>
            </w:tcBorders>
            <w:shd w:val="clear" w:color="auto" w:fill="C6EFCE"/>
            <w:noWrap/>
          </w:tcPr>
          <w:p w14:paraId="36D18869" w14:textId="77777777" w:rsidR="00FE6F09" w:rsidRDefault="00435AFB">
            <w:pPr>
              <w:pStyle w:val="P68B1DB1-Normal9"/>
              <w:spacing w:after="0" w:line="240" w:lineRule="auto"/>
              <w:rPr>
                <w:noProof/>
              </w:rPr>
            </w:pPr>
            <w:r>
              <w:rPr>
                <w:noProof/>
              </w:rPr>
              <w:t>Reforma 2 – Combaterea spălării banilor și a finanțării terorismului</w:t>
            </w:r>
          </w:p>
        </w:tc>
        <w:tc>
          <w:tcPr>
            <w:tcW w:w="1163" w:type="dxa"/>
            <w:tcBorders>
              <w:top w:val="nil"/>
              <w:left w:val="nil"/>
              <w:bottom w:val="single" w:sz="4" w:space="0" w:color="auto"/>
              <w:right w:val="single" w:sz="4" w:space="0" w:color="auto"/>
            </w:tcBorders>
            <w:shd w:val="clear" w:color="auto" w:fill="C6EFCE"/>
            <w:noWrap/>
          </w:tcPr>
          <w:p w14:paraId="1F6AF658" w14:textId="77777777" w:rsidR="00FE6F09" w:rsidRDefault="00435AFB">
            <w:pPr>
              <w:pStyle w:val="P68B1DB1-Normal9"/>
              <w:spacing w:after="0" w:line="240" w:lineRule="auto"/>
              <w:jc w:val="center"/>
              <w:rPr>
                <w:noProof/>
              </w:rPr>
            </w:pPr>
            <w:r>
              <w:rPr>
                <w:noProof/>
              </w:rPr>
              <w:t>Etapa de referință</w:t>
            </w:r>
          </w:p>
        </w:tc>
        <w:tc>
          <w:tcPr>
            <w:tcW w:w="1672" w:type="dxa"/>
            <w:tcBorders>
              <w:top w:val="nil"/>
              <w:left w:val="nil"/>
              <w:bottom w:val="single" w:sz="4" w:space="0" w:color="auto"/>
              <w:right w:val="single" w:sz="4" w:space="0" w:color="auto"/>
            </w:tcBorders>
            <w:shd w:val="clear" w:color="auto" w:fill="C6EFCE"/>
            <w:noWrap/>
          </w:tcPr>
          <w:p w14:paraId="65794B68" w14:textId="7C79849F" w:rsidR="00FE6F09" w:rsidRDefault="00435AFB">
            <w:pPr>
              <w:pStyle w:val="P68B1DB1-Normal9"/>
              <w:spacing w:after="0" w:line="240" w:lineRule="auto"/>
              <w:rPr>
                <w:noProof/>
              </w:rPr>
            </w:pPr>
            <w:r>
              <w:rPr>
                <w:noProof/>
              </w:rPr>
              <w:t>Legea din 25 martie 2020 privind combaterea spălării banilor</w:t>
            </w:r>
          </w:p>
        </w:tc>
        <w:tc>
          <w:tcPr>
            <w:tcW w:w="1418" w:type="dxa"/>
            <w:tcBorders>
              <w:top w:val="nil"/>
              <w:left w:val="nil"/>
              <w:bottom w:val="single" w:sz="4" w:space="0" w:color="auto"/>
              <w:right w:val="single" w:sz="4" w:space="0" w:color="auto"/>
            </w:tcBorders>
            <w:shd w:val="clear" w:color="auto" w:fill="C6EFCE"/>
            <w:noWrap/>
          </w:tcPr>
          <w:p w14:paraId="794ED2E2" w14:textId="77777777" w:rsidR="00FE6F09" w:rsidRDefault="00435AFB">
            <w:pPr>
              <w:pStyle w:val="P68B1DB1-Normal9"/>
              <w:spacing w:after="0" w:line="240" w:lineRule="auto"/>
              <w:rPr>
                <w:noProof/>
              </w:rPr>
            </w:pPr>
            <w:r>
              <w:rPr>
                <w:noProof/>
              </w:rPr>
              <w:t>Intrarea în vigoare a actului</w:t>
            </w:r>
          </w:p>
        </w:tc>
        <w:tc>
          <w:tcPr>
            <w:tcW w:w="975" w:type="dxa"/>
            <w:tcBorders>
              <w:top w:val="nil"/>
              <w:left w:val="nil"/>
              <w:bottom w:val="single" w:sz="4" w:space="0" w:color="auto"/>
              <w:right w:val="single" w:sz="4" w:space="0" w:color="auto"/>
            </w:tcBorders>
            <w:shd w:val="clear" w:color="auto" w:fill="C6EFCE"/>
            <w:noWrap/>
          </w:tcPr>
          <w:p w14:paraId="5FFD1CD7"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0C483DF3"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56" w:type="dxa"/>
            <w:tcBorders>
              <w:top w:val="nil"/>
              <w:left w:val="nil"/>
              <w:bottom w:val="single" w:sz="4" w:space="0" w:color="auto"/>
              <w:right w:val="single" w:sz="4" w:space="0" w:color="auto"/>
            </w:tcBorders>
            <w:shd w:val="clear" w:color="auto" w:fill="C6EFCE"/>
            <w:noWrap/>
          </w:tcPr>
          <w:p w14:paraId="4A7D3E9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tcPr>
          <w:p w14:paraId="41D6D9E2" w14:textId="77777777" w:rsidR="00FE6F09" w:rsidRDefault="00435AFB">
            <w:pPr>
              <w:pStyle w:val="P68B1DB1-Normal9"/>
              <w:spacing w:after="0" w:line="240" w:lineRule="auto"/>
              <w:jc w:val="center"/>
              <w:rPr>
                <w:noProof/>
              </w:rPr>
            </w:pPr>
            <w:r>
              <w:rPr>
                <w:noProof/>
              </w:rPr>
              <w:t>Q1</w:t>
            </w:r>
          </w:p>
        </w:tc>
        <w:tc>
          <w:tcPr>
            <w:tcW w:w="763" w:type="dxa"/>
            <w:tcBorders>
              <w:top w:val="nil"/>
              <w:left w:val="nil"/>
              <w:bottom w:val="single" w:sz="4" w:space="0" w:color="auto"/>
              <w:right w:val="single" w:sz="4" w:space="0" w:color="auto"/>
            </w:tcBorders>
            <w:shd w:val="clear" w:color="auto" w:fill="C6EFCE"/>
            <w:noWrap/>
          </w:tcPr>
          <w:p w14:paraId="6A718153" w14:textId="77777777" w:rsidR="00FE6F09" w:rsidRDefault="00435AFB">
            <w:pPr>
              <w:pStyle w:val="P68B1DB1-Normal9"/>
              <w:spacing w:after="0" w:line="240" w:lineRule="auto"/>
              <w:jc w:val="center"/>
              <w:rPr>
                <w:noProof/>
              </w:rPr>
            </w:pPr>
            <w:r>
              <w:rPr>
                <w:noProof/>
              </w:rPr>
              <w:t>2020</w:t>
            </w:r>
          </w:p>
        </w:tc>
        <w:tc>
          <w:tcPr>
            <w:tcW w:w="4112" w:type="dxa"/>
            <w:tcBorders>
              <w:top w:val="nil"/>
              <w:left w:val="nil"/>
              <w:bottom w:val="single" w:sz="4" w:space="0" w:color="auto"/>
              <w:right w:val="single" w:sz="4" w:space="0" w:color="auto"/>
            </w:tcBorders>
            <w:shd w:val="clear" w:color="auto" w:fill="C6EFCE"/>
            <w:noWrap/>
          </w:tcPr>
          <w:p w14:paraId="1F7B3F45" w14:textId="0917FF20" w:rsidR="00FE6F09" w:rsidRDefault="00435AFB">
            <w:pPr>
              <w:pStyle w:val="P68B1DB1-Normal9"/>
              <w:spacing w:after="0" w:line="240" w:lineRule="auto"/>
              <w:jc w:val="both"/>
              <w:rPr>
                <w:noProof/>
              </w:rPr>
            </w:pPr>
            <w:r>
              <w:rPr>
                <w:noProof/>
              </w:rPr>
              <w:t xml:space="preserve">Intrarea în vigoare a Legii din 25 martie 2020 de modificare a Legii modificate din 12 noiembrie 2004 privind combaterea spălării banilor și a finanțării terorismului. </w:t>
            </w:r>
          </w:p>
        </w:tc>
      </w:tr>
      <w:tr w:rsidR="00FE6F09" w14:paraId="41CF8BD0"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17EFB4E2" w14:textId="77777777" w:rsidR="00FE6F09" w:rsidRDefault="00435AFB">
            <w:pPr>
              <w:pStyle w:val="P68B1DB1-Normal9"/>
              <w:spacing w:after="0" w:line="240" w:lineRule="auto"/>
              <w:jc w:val="center"/>
              <w:rPr>
                <w:noProof/>
              </w:rPr>
            </w:pPr>
            <w:r>
              <w:rPr>
                <w:noProof/>
              </w:rPr>
              <w:t>3C-3</w:t>
            </w:r>
          </w:p>
        </w:tc>
        <w:tc>
          <w:tcPr>
            <w:tcW w:w="1461" w:type="dxa"/>
            <w:tcBorders>
              <w:top w:val="nil"/>
              <w:left w:val="nil"/>
              <w:bottom w:val="single" w:sz="4" w:space="0" w:color="auto"/>
              <w:right w:val="single" w:sz="4" w:space="0" w:color="auto"/>
            </w:tcBorders>
            <w:shd w:val="clear" w:color="auto" w:fill="C6EFCE"/>
            <w:noWrap/>
          </w:tcPr>
          <w:p w14:paraId="61FAF041" w14:textId="77777777" w:rsidR="00FE6F09" w:rsidRDefault="00435AFB">
            <w:pPr>
              <w:pStyle w:val="P68B1DB1-Normal9"/>
              <w:spacing w:after="0" w:line="240" w:lineRule="auto"/>
              <w:rPr>
                <w:noProof/>
              </w:rPr>
            </w:pPr>
            <w:r>
              <w:rPr>
                <w:noProof/>
              </w:rPr>
              <w:t>Reforma 2 – Combaterea spălării banilor și a finanțării terorismului</w:t>
            </w:r>
          </w:p>
        </w:tc>
        <w:tc>
          <w:tcPr>
            <w:tcW w:w="1163" w:type="dxa"/>
            <w:tcBorders>
              <w:top w:val="nil"/>
              <w:left w:val="nil"/>
              <w:bottom w:val="single" w:sz="4" w:space="0" w:color="auto"/>
              <w:right w:val="single" w:sz="4" w:space="0" w:color="auto"/>
            </w:tcBorders>
            <w:shd w:val="clear" w:color="auto" w:fill="C6EFCE"/>
            <w:noWrap/>
          </w:tcPr>
          <w:p w14:paraId="131243D8" w14:textId="77777777" w:rsidR="00FE6F09" w:rsidRDefault="00435AFB">
            <w:pPr>
              <w:pStyle w:val="P68B1DB1-Normal9"/>
              <w:spacing w:after="0" w:line="240" w:lineRule="auto"/>
              <w:jc w:val="center"/>
              <w:rPr>
                <w:noProof/>
              </w:rPr>
            </w:pPr>
            <w:r>
              <w:rPr>
                <w:noProof/>
              </w:rPr>
              <w:t>Etapa de referință</w:t>
            </w:r>
          </w:p>
        </w:tc>
        <w:tc>
          <w:tcPr>
            <w:tcW w:w="1672" w:type="dxa"/>
            <w:tcBorders>
              <w:top w:val="nil"/>
              <w:left w:val="nil"/>
              <w:bottom w:val="single" w:sz="4" w:space="0" w:color="auto"/>
              <w:right w:val="single" w:sz="4" w:space="0" w:color="auto"/>
            </w:tcBorders>
            <w:shd w:val="clear" w:color="auto" w:fill="C6EFCE"/>
            <w:noWrap/>
          </w:tcPr>
          <w:p w14:paraId="3EC1693F" w14:textId="64BA8C0B" w:rsidR="00FE6F09" w:rsidRDefault="00435AFB">
            <w:pPr>
              <w:pStyle w:val="P68B1DB1-Normal9"/>
              <w:spacing w:after="0" w:line="240" w:lineRule="auto"/>
              <w:rPr>
                <w:noProof/>
              </w:rPr>
            </w:pPr>
            <w:r>
              <w:rPr>
                <w:noProof/>
              </w:rPr>
              <w:t xml:space="preserve">Decretul Marelui Ducat din 14 august 2020 privind combaterea spălării banilor </w:t>
            </w:r>
          </w:p>
        </w:tc>
        <w:tc>
          <w:tcPr>
            <w:tcW w:w="1418" w:type="dxa"/>
            <w:tcBorders>
              <w:top w:val="nil"/>
              <w:left w:val="nil"/>
              <w:bottom w:val="single" w:sz="4" w:space="0" w:color="auto"/>
              <w:right w:val="single" w:sz="4" w:space="0" w:color="auto"/>
            </w:tcBorders>
            <w:shd w:val="clear" w:color="auto" w:fill="C6EFCE"/>
            <w:noWrap/>
          </w:tcPr>
          <w:p w14:paraId="1CEF5D12" w14:textId="77777777" w:rsidR="00FE6F09" w:rsidRDefault="00435AFB">
            <w:pPr>
              <w:pStyle w:val="P68B1DB1-Normal9"/>
              <w:spacing w:after="0" w:line="240" w:lineRule="auto"/>
              <w:rPr>
                <w:noProof/>
              </w:rPr>
            </w:pPr>
            <w:r>
              <w:rPr>
                <w:noProof/>
              </w:rPr>
              <w:t>Intrarea în vigoare a decretului Marelui Ducat</w:t>
            </w:r>
          </w:p>
        </w:tc>
        <w:tc>
          <w:tcPr>
            <w:tcW w:w="975" w:type="dxa"/>
            <w:tcBorders>
              <w:top w:val="nil"/>
              <w:left w:val="nil"/>
              <w:bottom w:val="single" w:sz="4" w:space="0" w:color="auto"/>
              <w:right w:val="single" w:sz="4" w:space="0" w:color="auto"/>
            </w:tcBorders>
            <w:shd w:val="clear" w:color="auto" w:fill="C6EFCE"/>
            <w:noWrap/>
          </w:tcPr>
          <w:p w14:paraId="25D24472"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0E989924"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56" w:type="dxa"/>
            <w:tcBorders>
              <w:top w:val="nil"/>
              <w:left w:val="nil"/>
              <w:bottom w:val="single" w:sz="4" w:space="0" w:color="auto"/>
              <w:right w:val="single" w:sz="4" w:space="0" w:color="auto"/>
            </w:tcBorders>
            <w:shd w:val="clear" w:color="auto" w:fill="C6EFCE"/>
            <w:noWrap/>
          </w:tcPr>
          <w:p w14:paraId="0F37B7BF"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tcPr>
          <w:p w14:paraId="6790E0AB" w14:textId="77777777" w:rsidR="00FE6F09" w:rsidRDefault="00435AFB">
            <w:pPr>
              <w:pStyle w:val="P68B1DB1-Normal9"/>
              <w:spacing w:after="0" w:line="240" w:lineRule="auto"/>
              <w:jc w:val="center"/>
              <w:rPr>
                <w:noProof/>
              </w:rPr>
            </w:pPr>
            <w:r>
              <w:rPr>
                <w:noProof/>
              </w:rPr>
              <w:t>T3</w:t>
            </w:r>
          </w:p>
        </w:tc>
        <w:tc>
          <w:tcPr>
            <w:tcW w:w="763" w:type="dxa"/>
            <w:tcBorders>
              <w:top w:val="nil"/>
              <w:left w:val="nil"/>
              <w:bottom w:val="single" w:sz="4" w:space="0" w:color="auto"/>
              <w:right w:val="single" w:sz="4" w:space="0" w:color="auto"/>
            </w:tcBorders>
            <w:shd w:val="clear" w:color="auto" w:fill="C6EFCE"/>
            <w:noWrap/>
          </w:tcPr>
          <w:p w14:paraId="3C07E87F" w14:textId="77777777" w:rsidR="00FE6F09" w:rsidRDefault="00435AFB">
            <w:pPr>
              <w:pStyle w:val="P68B1DB1-Normal9"/>
              <w:spacing w:after="0" w:line="240" w:lineRule="auto"/>
              <w:jc w:val="center"/>
              <w:rPr>
                <w:noProof/>
              </w:rPr>
            </w:pPr>
            <w:r>
              <w:rPr>
                <w:noProof/>
              </w:rPr>
              <w:t>2020</w:t>
            </w:r>
          </w:p>
        </w:tc>
        <w:tc>
          <w:tcPr>
            <w:tcW w:w="4112" w:type="dxa"/>
            <w:tcBorders>
              <w:top w:val="nil"/>
              <w:left w:val="nil"/>
              <w:bottom w:val="single" w:sz="4" w:space="0" w:color="auto"/>
              <w:right w:val="single" w:sz="4" w:space="0" w:color="auto"/>
            </w:tcBorders>
            <w:shd w:val="clear" w:color="auto" w:fill="C6EFCE"/>
            <w:noWrap/>
          </w:tcPr>
          <w:p w14:paraId="166F2AF4" w14:textId="3D030C41" w:rsidR="00FE6F09" w:rsidRDefault="00435AFB">
            <w:pPr>
              <w:pStyle w:val="P68B1DB1-Normal9"/>
              <w:spacing w:after="0" w:line="240" w:lineRule="auto"/>
              <w:jc w:val="both"/>
              <w:rPr>
                <w:noProof/>
              </w:rPr>
            </w:pPr>
            <w:r>
              <w:rPr>
                <w:noProof/>
              </w:rPr>
              <w:t xml:space="preserve">Intrarea în vigoare a Decretului Marelui Ducat din 14 august 2020 de modificare a Decretului Marelui Ducat din 1 februarie 2010 de precizare a anumitor dispoziții ale Legii modificate din 12 noiembrie 2004 privind combaterea spălării banilor și a finanțării terorismului. </w:t>
            </w:r>
          </w:p>
        </w:tc>
      </w:tr>
      <w:tr w:rsidR="00FE6F09" w14:paraId="095CEB8E"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523374BE" w14:textId="77777777" w:rsidR="00FE6F09" w:rsidRDefault="00435AFB">
            <w:pPr>
              <w:pStyle w:val="P68B1DB1-Normal9"/>
              <w:spacing w:after="0" w:line="240" w:lineRule="auto"/>
              <w:jc w:val="center"/>
              <w:rPr>
                <w:noProof/>
              </w:rPr>
            </w:pPr>
            <w:r>
              <w:rPr>
                <w:noProof/>
              </w:rPr>
              <w:t>3C-4</w:t>
            </w:r>
          </w:p>
        </w:tc>
        <w:tc>
          <w:tcPr>
            <w:tcW w:w="1461" w:type="dxa"/>
            <w:tcBorders>
              <w:top w:val="nil"/>
              <w:left w:val="nil"/>
              <w:bottom w:val="single" w:sz="4" w:space="0" w:color="auto"/>
              <w:right w:val="single" w:sz="4" w:space="0" w:color="auto"/>
            </w:tcBorders>
            <w:shd w:val="clear" w:color="auto" w:fill="C6EFCE"/>
            <w:noWrap/>
          </w:tcPr>
          <w:p w14:paraId="1B12701F" w14:textId="77777777" w:rsidR="00FE6F09" w:rsidRDefault="00435AFB">
            <w:pPr>
              <w:pStyle w:val="P68B1DB1-Normal9"/>
              <w:spacing w:after="0" w:line="240" w:lineRule="auto"/>
              <w:rPr>
                <w:noProof/>
              </w:rPr>
            </w:pPr>
            <w:r>
              <w:rPr>
                <w:noProof/>
              </w:rPr>
              <w:t>Reforma 2 – Combaterea spălării banilor și a finanțării terorismului</w:t>
            </w:r>
          </w:p>
        </w:tc>
        <w:tc>
          <w:tcPr>
            <w:tcW w:w="1163" w:type="dxa"/>
            <w:tcBorders>
              <w:top w:val="nil"/>
              <w:left w:val="nil"/>
              <w:bottom w:val="single" w:sz="4" w:space="0" w:color="auto"/>
              <w:right w:val="single" w:sz="4" w:space="0" w:color="auto"/>
            </w:tcBorders>
            <w:shd w:val="clear" w:color="auto" w:fill="C6EFCE"/>
            <w:noWrap/>
          </w:tcPr>
          <w:p w14:paraId="2D641999" w14:textId="77777777" w:rsidR="00FE6F09" w:rsidRDefault="00435AFB">
            <w:pPr>
              <w:pStyle w:val="P68B1DB1-Normal9"/>
              <w:spacing w:after="0" w:line="240" w:lineRule="auto"/>
              <w:jc w:val="center"/>
              <w:rPr>
                <w:noProof/>
              </w:rPr>
            </w:pPr>
            <w:r>
              <w:rPr>
                <w:noProof/>
              </w:rPr>
              <w:t>Etapa de referință</w:t>
            </w:r>
          </w:p>
        </w:tc>
        <w:tc>
          <w:tcPr>
            <w:tcW w:w="1672" w:type="dxa"/>
            <w:tcBorders>
              <w:top w:val="nil"/>
              <w:left w:val="nil"/>
              <w:bottom w:val="single" w:sz="4" w:space="0" w:color="auto"/>
              <w:right w:val="single" w:sz="4" w:space="0" w:color="auto"/>
            </w:tcBorders>
            <w:shd w:val="clear" w:color="auto" w:fill="C6EFCE"/>
            <w:noWrap/>
          </w:tcPr>
          <w:p w14:paraId="7436CF3B" w14:textId="77777777" w:rsidR="00FE6F09" w:rsidRDefault="00435AFB">
            <w:pPr>
              <w:pStyle w:val="P68B1DB1-Normal9"/>
              <w:spacing w:after="0" w:line="240" w:lineRule="auto"/>
              <w:rPr>
                <w:noProof/>
              </w:rPr>
            </w:pPr>
            <w:r>
              <w:rPr>
                <w:noProof/>
              </w:rPr>
              <w:t xml:space="preserve">Evaluarea verticală a riscurilor în domeniul finanțării terorismului </w:t>
            </w:r>
          </w:p>
        </w:tc>
        <w:tc>
          <w:tcPr>
            <w:tcW w:w="1418" w:type="dxa"/>
            <w:tcBorders>
              <w:top w:val="nil"/>
              <w:left w:val="nil"/>
              <w:bottom w:val="single" w:sz="4" w:space="0" w:color="auto"/>
              <w:right w:val="single" w:sz="4" w:space="0" w:color="auto"/>
            </w:tcBorders>
            <w:shd w:val="clear" w:color="auto" w:fill="C6EFCE"/>
            <w:noWrap/>
          </w:tcPr>
          <w:p w14:paraId="75B903AA" w14:textId="77777777" w:rsidR="00FE6F09" w:rsidRDefault="00435AFB">
            <w:pPr>
              <w:pStyle w:val="P68B1DB1-Normal9"/>
              <w:spacing w:after="0" w:line="240" w:lineRule="auto"/>
              <w:rPr>
                <w:noProof/>
              </w:rPr>
            </w:pPr>
            <w:r>
              <w:rPr>
                <w:noProof/>
              </w:rPr>
              <w:t xml:space="preserve">Publicarea evaluării riscurilor </w:t>
            </w:r>
          </w:p>
        </w:tc>
        <w:tc>
          <w:tcPr>
            <w:tcW w:w="975" w:type="dxa"/>
            <w:tcBorders>
              <w:top w:val="nil"/>
              <w:left w:val="nil"/>
              <w:bottom w:val="single" w:sz="4" w:space="0" w:color="auto"/>
              <w:right w:val="single" w:sz="4" w:space="0" w:color="auto"/>
            </w:tcBorders>
            <w:shd w:val="clear" w:color="auto" w:fill="C6EFCE"/>
            <w:noWrap/>
          </w:tcPr>
          <w:p w14:paraId="55CE8D10"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700685D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56" w:type="dxa"/>
            <w:tcBorders>
              <w:top w:val="nil"/>
              <w:left w:val="nil"/>
              <w:bottom w:val="single" w:sz="4" w:space="0" w:color="auto"/>
              <w:right w:val="single" w:sz="4" w:space="0" w:color="auto"/>
            </w:tcBorders>
            <w:shd w:val="clear" w:color="auto" w:fill="C6EFCE"/>
            <w:noWrap/>
          </w:tcPr>
          <w:p w14:paraId="45495994"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tcPr>
          <w:p w14:paraId="29FE5FE7" w14:textId="77777777" w:rsidR="00FE6F09" w:rsidRDefault="00435AFB">
            <w:pPr>
              <w:pStyle w:val="P68B1DB1-Normal9"/>
              <w:spacing w:after="0" w:line="240" w:lineRule="auto"/>
              <w:jc w:val="center"/>
              <w:rPr>
                <w:noProof/>
              </w:rPr>
            </w:pPr>
            <w:r>
              <w:rPr>
                <w:noProof/>
              </w:rPr>
              <w:t>T2</w:t>
            </w:r>
          </w:p>
        </w:tc>
        <w:tc>
          <w:tcPr>
            <w:tcW w:w="763" w:type="dxa"/>
            <w:tcBorders>
              <w:top w:val="nil"/>
              <w:left w:val="nil"/>
              <w:bottom w:val="single" w:sz="4" w:space="0" w:color="auto"/>
              <w:right w:val="single" w:sz="4" w:space="0" w:color="auto"/>
            </w:tcBorders>
            <w:shd w:val="clear" w:color="auto" w:fill="C6EFCE"/>
            <w:noWrap/>
          </w:tcPr>
          <w:p w14:paraId="1EB1F24B" w14:textId="77777777" w:rsidR="00FE6F09" w:rsidRDefault="00435AFB">
            <w:pPr>
              <w:pStyle w:val="P68B1DB1-Normal9"/>
              <w:spacing w:after="0" w:line="240" w:lineRule="auto"/>
              <w:jc w:val="center"/>
              <w:rPr>
                <w:noProof/>
              </w:rPr>
            </w:pPr>
            <w:r>
              <w:rPr>
                <w:noProof/>
              </w:rPr>
              <w:t>2021</w:t>
            </w:r>
          </w:p>
        </w:tc>
        <w:tc>
          <w:tcPr>
            <w:tcW w:w="4112" w:type="dxa"/>
            <w:tcBorders>
              <w:top w:val="nil"/>
              <w:left w:val="nil"/>
              <w:bottom w:val="single" w:sz="4" w:space="0" w:color="auto"/>
              <w:right w:val="single" w:sz="4" w:space="0" w:color="auto"/>
            </w:tcBorders>
            <w:shd w:val="clear" w:color="auto" w:fill="C6EFCE"/>
            <w:noWrap/>
          </w:tcPr>
          <w:p w14:paraId="2BA8E4C4" w14:textId="77777777" w:rsidR="00FE6F09" w:rsidRDefault="00435AFB">
            <w:pPr>
              <w:pStyle w:val="P68B1DB1-Normal9"/>
              <w:spacing w:after="0" w:line="240" w:lineRule="auto"/>
              <w:jc w:val="both"/>
              <w:rPr>
                <w:noProof/>
              </w:rPr>
            </w:pPr>
            <w:r>
              <w:rPr>
                <w:noProof/>
              </w:rPr>
              <w:t>Publicarea, în momentul adoptării de către Comitetul de prevenire a spălării banilor și a finanțării terorismului a evaluării verticale a riscurilor legate de finanțarea terorismului, a unei evaluări a riscurilor legate de amenințările cu care se confruntă Luxemburgul ca mijloc de finanțare a terorismului</w:t>
            </w:r>
          </w:p>
        </w:tc>
      </w:tr>
      <w:tr w:rsidR="00FE6F09" w14:paraId="7328F5AB"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4CC54A7A" w14:textId="77777777" w:rsidR="00FE6F09" w:rsidRDefault="00435AFB">
            <w:pPr>
              <w:pStyle w:val="P68B1DB1-Normal9"/>
              <w:spacing w:after="0" w:line="240" w:lineRule="auto"/>
              <w:jc w:val="center"/>
              <w:rPr>
                <w:noProof/>
              </w:rPr>
            </w:pPr>
            <w:r>
              <w:rPr>
                <w:noProof/>
              </w:rPr>
              <w:t>3C-5</w:t>
            </w:r>
          </w:p>
        </w:tc>
        <w:tc>
          <w:tcPr>
            <w:tcW w:w="1461" w:type="dxa"/>
            <w:tcBorders>
              <w:top w:val="nil"/>
              <w:left w:val="nil"/>
              <w:bottom w:val="single" w:sz="4" w:space="0" w:color="auto"/>
              <w:right w:val="single" w:sz="4" w:space="0" w:color="auto"/>
            </w:tcBorders>
            <w:shd w:val="clear" w:color="auto" w:fill="C6EFCE"/>
            <w:noWrap/>
          </w:tcPr>
          <w:p w14:paraId="47C70462" w14:textId="77777777" w:rsidR="00FE6F09" w:rsidRDefault="00435AFB">
            <w:pPr>
              <w:pStyle w:val="P68B1DB1-Normal9"/>
              <w:spacing w:after="0" w:line="240" w:lineRule="auto"/>
              <w:rPr>
                <w:noProof/>
              </w:rPr>
            </w:pPr>
            <w:r>
              <w:rPr>
                <w:noProof/>
              </w:rPr>
              <w:t>Reforma 2 – Combaterea spălării banilor și a finanțării terorismului</w:t>
            </w:r>
          </w:p>
        </w:tc>
        <w:tc>
          <w:tcPr>
            <w:tcW w:w="1163" w:type="dxa"/>
            <w:tcBorders>
              <w:top w:val="nil"/>
              <w:left w:val="nil"/>
              <w:bottom w:val="single" w:sz="4" w:space="0" w:color="auto"/>
              <w:right w:val="single" w:sz="4" w:space="0" w:color="auto"/>
            </w:tcBorders>
            <w:shd w:val="clear" w:color="auto" w:fill="C6EFCE"/>
            <w:noWrap/>
          </w:tcPr>
          <w:p w14:paraId="39000A2E" w14:textId="77777777" w:rsidR="00FE6F09" w:rsidRDefault="00435AFB">
            <w:pPr>
              <w:pStyle w:val="P68B1DB1-Normal9"/>
              <w:spacing w:after="0" w:line="240" w:lineRule="auto"/>
              <w:jc w:val="center"/>
              <w:rPr>
                <w:noProof/>
              </w:rPr>
            </w:pPr>
            <w:r>
              <w:rPr>
                <w:noProof/>
              </w:rPr>
              <w:t>Etapa de referință</w:t>
            </w:r>
          </w:p>
        </w:tc>
        <w:tc>
          <w:tcPr>
            <w:tcW w:w="1672" w:type="dxa"/>
            <w:tcBorders>
              <w:top w:val="nil"/>
              <w:left w:val="nil"/>
              <w:bottom w:val="single" w:sz="4" w:space="0" w:color="auto"/>
              <w:right w:val="single" w:sz="4" w:space="0" w:color="auto"/>
            </w:tcBorders>
            <w:shd w:val="clear" w:color="auto" w:fill="C6EFCE"/>
            <w:noWrap/>
          </w:tcPr>
          <w:p w14:paraId="519353BD" w14:textId="77777777" w:rsidR="00FE6F09" w:rsidRDefault="00435AFB">
            <w:pPr>
              <w:pStyle w:val="P68B1DB1-Normal9"/>
              <w:spacing w:after="0" w:line="240" w:lineRule="auto"/>
              <w:rPr>
                <w:noProof/>
              </w:rPr>
            </w:pPr>
            <w:r>
              <w:rPr>
                <w:noProof/>
              </w:rPr>
              <w:t xml:space="preserve">Evaluarea sectorială a riscurilor pentru persoanele juridice </w:t>
            </w:r>
          </w:p>
        </w:tc>
        <w:tc>
          <w:tcPr>
            <w:tcW w:w="1418" w:type="dxa"/>
            <w:tcBorders>
              <w:top w:val="nil"/>
              <w:left w:val="nil"/>
              <w:bottom w:val="single" w:sz="4" w:space="0" w:color="auto"/>
              <w:right w:val="single" w:sz="4" w:space="0" w:color="auto"/>
            </w:tcBorders>
            <w:shd w:val="clear" w:color="auto" w:fill="C6EFCE"/>
            <w:noWrap/>
          </w:tcPr>
          <w:p w14:paraId="1C004903" w14:textId="77777777" w:rsidR="00FE6F09" w:rsidRDefault="00435AFB">
            <w:pPr>
              <w:pStyle w:val="P68B1DB1-Normal9"/>
              <w:spacing w:after="0" w:line="240" w:lineRule="auto"/>
              <w:rPr>
                <w:noProof/>
              </w:rPr>
            </w:pPr>
            <w:r>
              <w:rPr>
                <w:noProof/>
              </w:rPr>
              <w:t>Publicarea evaluării riscurilor</w:t>
            </w:r>
          </w:p>
        </w:tc>
        <w:tc>
          <w:tcPr>
            <w:tcW w:w="975" w:type="dxa"/>
            <w:tcBorders>
              <w:top w:val="nil"/>
              <w:left w:val="nil"/>
              <w:bottom w:val="single" w:sz="4" w:space="0" w:color="auto"/>
              <w:right w:val="single" w:sz="4" w:space="0" w:color="auto"/>
            </w:tcBorders>
            <w:shd w:val="clear" w:color="auto" w:fill="C6EFCE"/>
            <w:noWrap/>
          </w:tcPr>
          <w:p w14:paraId="51FDB947"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0DB9B3AF"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56" w:type="dxa"/>
            <w:tcBorders>
              <w:top w:val="nil"/>
              <w:left w:val="nil"/>
              <w:bottom w:val="single" w:sz="4" w:space="0" w:color="auto"/>
              <w:right w:val="single" w:sz="4" w:space="0" w:color="auto"/>
            </w:tcBorders>
            <w:shd w:val="clear" w:color="auto" w:fill="C6EFCE"/>
            <w:noWrap/>
          </w:tcPr>
          <w:p w14:paraId="282F00B7"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tcPr>
          <w:p w14:paraId="2E3B328A" w14:textId="77777777" w:rsidR="00FE6F09" w:rsidRDefault="00435AFB">
            <w:pPr>
              <w:pStyle w:val="P68B1DB1-Normal9"/>
              <w:spacing w:after="0" w:line="240" w:lineRule="auto"/>
              <w:jc w:val="center"/>
              <w:rPr>
                <w:noProof/>
              </w:rPr>
            </w:pPr>
            <w:r>
              <w:rPr>
                <w:noProof/>
              </w:rPr>
              <w:t>T4</w:t>
            </w:r>
          </w:p>
        </w:tc>
        <w:tc>
          <w:tcPr>
            <w:tcW w:w="763" w:type="dxa"/>
            <w:tcBorders>
              <w:top w:val="nil"/>
              <w:left w:val="nil"/>
              <w:bottom w:val="single" w:sz="4" w:space="0" w:color="auto"/>
              <w:right w:val="single" w:sz="4" w:space="0" w:color="auto"/>
            </w:tcBorders>
            <w:shd w:val="clear" w:color="auto" w:fill="C6EFCE"/>
            <w:noWrap/>
          </w:tcPr>
          <w:p w14:paraId="300EAB9B" w14:textId="77777777" w:rsidR="00FE6F09" w:rsidRDefault="00435AFB">
            <w:pPr>
              <w:pStyle w:val="P68B1DB1-Normal9"/>
              <w:spacing w:after="0" w:line="240" w:lineRule="auto"/>
              <w:jc w:val="center"/>
              <w:rPr>
                <w:noProof/>
              </w:rPr>
            </w:pPr>
            <w:r>
              <w:rPr>
                <w:noProof/>
              </w:rPr>
              <w:t>2021</w:t>
            </w:r>
          </w:p>
        </w:tc>
        <w:tc>
          <w:tcPr>
            <w:tcW w:w="4112" w:type="dxa"/>
            <w:tcBorders>
              <w:top w:val="nil"/>
              <w:left w:val="nil"/>
              <w:bottom w:val="single" w:sz="4" w:space="0" w:color="auto"/>
              <w:right w:val="single" w:sz="4" w:space="0" w:color="auto"/>
            </w:tcBorders>
            <w:shd w:val="clear" w:color="auto" w:fill="C6EFCE"/>
            <w:noWrap/>
          </w:tcPr>
          <w:p w14:paraId="3DDA1A1F" w14:textId="77777777" w:rsidR="00FE6F09" w:rsidRDefault="00435AFB">
            <w:pPr>
              <w:pStyle w:val="P68B1DB1-Normal9"/>
              <w:spacing w:after="0" w:line="240" w:lineRule="auto"/>
              <w:jc w:val="both"/>
              <w:rPr>
                <w:noProof/>
              </w:rPr>
            </w:pPr>
            <w:r>
              <w:rPr>
                <w:noProof/>
              </w:rPr>
              <w:t>Publicarea unei evaluări sectoriale a riscurilor pentru persoanele juridice.</w:t>
            </w:r>
          </w:p>
        </w:tc>
      </w:tr>
      <w:tr w:rsidR="00FE6F09" w14:paraId="321DDCC8"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05659C3B" w14:textId="77777777" w:rsidR="00FE6F09" w:rsidRDefault="00435AFB">
            <w:pPr>
              <w:pStyle w:val="P68B1DB1-Normal9"/>
              <w:spacing w:after="0" w:line="240" w:lineRule="auto"/>
              <w:jc w:val="center"/>
              <w:rPr>
                <w:noProof/>
              </w:rPr>
            </w:pPr>
            <w:r>
              <w:rPr>
                <w:noProof/>
              </w:rPr>
              <w:t>3C-6</w:t>
            </w:r>
          </w:p>
        </w:tc>
        <w:tc>
          <w:tcPr>
            <w:tcW w:w="1461" w:type="dxa"/>
            <w:tcBorders>
              <w:top w:val="nil"/>
              <w:left w:val="nil"/>
              <w:bottom w:val="single" w:sz="4" w:space="0" w:color="auto"/>
              <w:right w:val="single" w:sz="4" w:space="0" w:color="auto"/>
            </w:tcBorders>
            <w:shd w:val="clear" w:color="auto" w:fill="C6EFCE"/>
            <w:noWrap/>
          </w:tcPr>
          <w:p w14:paraId="262747B2" w14:textId="77777777" w:rsidR="00FE6F09" w:rsidRDefault="00435AFB">
            <w:pPr>
              <w:pStyle w:val="P68B1DB1-Normal9"/>
              <w:spacing w:after="0" w:line="240" w:lineRule="auto"/>
              <w:rPr>
                <w:noProof/>
              </w:rPr>
            </w:pPr>
            <w:r>
              <w:rPr>
                <w:noProof/>
              </w:rPr>
              <w:t>Reforma 2 – Combaterea spălării banilor și a finanțării terorismului</w:t>
            </w:r>
          </w:p>
        </w:tc>
        <w:tc>
          <w:tcPr>
            <w:tcW w:w="1163" w:type="dxa"/>
            <w:tcBorders>
              <w:top w:val="nil"/>
              <w:left w:val="nil"/>
              <w:bottom w:val="single" w:sz="4" w:space="0" w:color="auto"/>
              <w:right w:val="single" w:sz="4" w:space="0" w:color="auto"/>
            </w:tcBorders>
            <w:shd w:val="clear" w:color="auto" w:fill="C6EFCE"/>
            <w:noWrap/>
          </w:tcPr>
          <w:p w14:paraId="4BF63D59" w14:textId="77777777" w:rsidR="00FE6F09" w:rsidRDefault="00435AFB">
            <w:pPr>
              <w:pStyle w:val="P68B1DB1-Normal9"/>
              <w:spacing w:after="0" w:line="240" w:lineRule="auto"/>
              <w:jc w:val="center"/>
              <w:rPr>
                <w:noProof/>
              </w:rPr>
            </w:pPr>
            <w:r>
              <w:rPr>
                <w:noProof/>
              </w:rPr>
              <w:t>Etapa de referință</w:t>
            </w:r>
          </w:p>
        </w:tc>
        <w:tc>
          <w:tcPr>
            <w:tcW w:w="1672" w:type="dxa"/>
            <w:tcBorders>
              <w:top w:val="nil"/>
              <w:left w:val="nil"/>
              <w:bottom w:val="single" w:sz="4" w:space="0" w:color="auto"/>
              <w:right w:val="single" w:sz="4" w:space="0" w:color="auto"/>
            </w:tcBorders>
            <w:shd w:val="clear" w:color="auto" w:fill="C6EFCE"/>
            <w:noWrap/>
          </w:tcPr>
          <w:p w14:paraId="409C5653" w14:textId="77777777" w:rsidR="00FE6F09" w:rsidRDefault="00435AFB">
            <w:pPr>
              <w:pStyle w:val="P68B1DB1-Normal9"/>
              <w:spacing w:after="0" w:line="240" w:lineRule="auto"/>
              <w:rPr>
                <w:noProof/>
              </w:rPr>
            </w:pPr>
            <w:r>
              <w:rPr>
                <w:noProof/>
              </w:rPr>
              <w:t xml:space="preserve">Actualizarea din 2020 a evaluării naționale a riscurilor </w:t>
            </w:r>
          </w:p>
        </w:tc>
        <w:tc>
          <w:tcPr>
            <w:tcW w:w="1418" w:type="dxa"/>
            <w:tcBorders>
              <w:top w:val="nil"/>
              <w:left w:val="nil"/>
              <w:bottom w:val="single" w:sz="4" w:space="0" w:color="auto"/>
              <w:right w:val="single" w:sz="4" w:space="0" w:color="auto"/>
            </w:tcBorders>
            <w:shd w:val="clear" w:color="auto" w:fill="C6EFCE"/>
            <w:noWrap/>
          </w:tcPr>
          <w:p w14:paraId="48A88392" w14:textId="77777777" w:rsidR="00FE6F09" w:rsidRDefault="00435AFB">
            <w:pPr>
              <w:pStyle w:val="P68B1DB1-Normal9"/>
              <w:spacing w:after="0" w:line="240" w:lineRule="auto"/>
              <w:rPr>
                <w:noProof/>
              </w:rPr>
            </w:pPr>
            <w:r>
              <w:rPr>
                <w:noProof/>
              </w:rPr>
              <w:t>Publicarea evaluării riscurilor</w:t>
            </w:r>
          </w:p>
        </w:tc>
        <w:tc>
          <w:tcPr>
            <w:tcW w:w="975" w:type="dxa"/>
            <w:tcBorders>
              <w:top w:val="nil"/>
              <w:left w:val="nil"/>
              <w:bottom w:val="single" w:sz="4" w:space="0" w:color="auto"/>
              <w:right w:val="single" w:sz="4" w:space="0" w:color="auto"/>
            </w:tcBorders>
            <w:shd w:val="clear" w:color="auto" w:fill="C6EFCE"/>
            <w:noWrap/>
          </w:tcPr>
          <w:p w14:paraId="03CC5494"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50D571C1"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56" w:type="dxa"/>
            <w:tcBorders>
              <w:top w:val="nil"/>
              <w:left w:val="nil"/>
              <w:bottom w:val="single" w:sz="4" w:space="0" w:color="auto"/>
              <w:right w:val="single" w:sz="4" w:space="0" w:color="auto"/>
            </w:tcBorders>
            <w:shd w:val="clear" w:color="auto" w:fill="C6EFCE"/>
            <w:noWrap/>
          </w:tcPr>
          <w:p w14:paraId="2779D79A"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tcPr>
          <w:p w14:paraId="0850E44C" w14:textId="77777777" w:rsidR="00FE6F09" w:rsidRDefault="00435AFB">
            <w:pPr>
              <w:pStyle w:val="P68B1DB1-Normal9"/>
              <w:spacing w:after="0" w:line="240" w:lineRule="auto"/>
              <w:jc w:val="center"/>
              <w:rPr>
                <w:noProof/>
              </w:rPr>
            </w:pPr>
            <w:r>
              <w:rPr>
                <w:noProof/>
              </w:rPr>
              <w:t>T4</w:t>
            </w:r>
          </w:p>
        </w:tc>
        <w:tc>
          <w:tcPr>
            <w:tcW w:w="763" w:type="dxa"/>
            <w:tcBorders>
              <w:top w:val="nil"/>
              <w:left w:val="nil"/>
              <w:bottom w:val="single" w:sz="4" w:space="0" w:color="auto"/>
              <w:right w:val="single" w:sz="4" w:space="0" w:color="auto"/>
            </w:tcBorders>
            <w:shd w:val="clear" w:color="auto" w:fill="C6EFCE"/>
            <w:noWrap/>
          </w:tcPr>
          <w:p w14:paraId="2252F7AD" w14:textId="77777777" w:rsidR="00FE6F09" w:rsidRDefault="00435AFB">
            <w:pPr>
              <w:pStyle w:val="P68B1DB1-Normal9"/>
              <w:spacing w:after="0" w:line="240" w:lineRule="auto"/>
              <w:jc w:val="center"/>
              <w:rPr>
                <w:noProof/>
              </w:rPr>
            </w:pPr>
            <w:r>
              <w:rPr>
                <w:noProof/>
              </w:rPr>
              <w:t>2020</w:t>
            </w:r>
          </w:p>
        </w:tc>
        <w:tc>
          <w:tcPr>
            <w:tcW w:w="4112" w:type="dxa"/>
            <w:tcBorders>
              <w:top w:val="nil"/>
              <w:left w:val="nil"/>
              <w:bottom w:val="single" w:sz="4" w:space="0" w:color="auto"/>
              <w:right w:val="single" w:sz="4" w:space="0" w:color="auto"/>
            </w:tcBorders>
            <w:shd w:val="clear" w:color="auto" w:fill="C6EFCE"/>
            <w:noWrap/>
          </w:tcPr>
          <w:p w14:paraId="63F466EF" w14:textId="77777777" w:rsidR="00FE6F09" w:rsidRDefault="00435AFB">
            <w:pPr>
              <w:pStyle w:val="P68B1DB1-Normal9"/>
              <w:spacing w:after="0" w:line="240" w:lineRule="auto"/>
              <w:jc w:val="both"/>
              <w:rPr>
                <w:noProof/>
              </w:rPr>
            </w:pPr>
            <w:r>
              <w:rPr>
                <w:noProof/>
              </w:rPr>
              <w:t xml:space="preserve">Publicarea actualizării din 2020 a evaluării naționale a riscurilor legate de spălarea banilor și finanțarea terorismului. </w:t>
            </w:r>
          </w:p>
        </w:tc>
      </w:tr>
      <w:tr w:rsidR="00FE6F09" w14:paraId="706637BC"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3EABA518" w14:textId="77777777" w:rsidR="00FE6F09" w:rsidRDefault="00435AFB">
            <w:pPr>
              <w:pStyle w:val="P68B1DB1-Normal9"/>
              <w:spacing w:after="0" w:line="240" w:lineRule="auto"/>
              <w:jc w:val="center"/>
              <w:rPr>
                <w:noProof/>
              </w:rPr>
            </w:pPr>
            <w:r>
              <w:rPr>
                <w:noProof/>
              </w:rPr>
              <w:t>3C-7</w:t>
            </w:r>
          </w:p>
        </w:tc>
        <w:tc>
          <w:tcPr>
            <w:tcW w:w="1461" w:type="dxa"/>
            <w:tcBorders>
              <w:top w:val="nil"/>
              <w:left w:val="nil"/>
              <w:bottom w:val="single" w:sz="4" w:space="0" w:color="auto"/>
              <w:right w:val="single" w:sz="4" w:space="0" w:color="auto"/>
            </w:tcBorders>
            <w:shd w:val="clear" w:color="auto" w:fill="C6EFCE"/>
            <w:noWrap/>
          </w:tcPr>
          <w:p w14:paraId="59E96BA6" w14:textId="77777777" w:rsidR="00FE6F09" w:rsidRDefault="00435AFB">
            <w:pPr>
              <w:pStyle w:val="P68B1DB1-Normal9"/>
              <w:spacing w:after="0" w:line="240" w:lineRule="auto"/>
              <w:rPr>
                <w:noProof/>
              </w:rPr>
            </w:pPr>
            <w:r>
              <w:rPr>
                <w:noProof/>
              </w:rPr>
              <w:t>Reforma 2 – Combaterea spălării banilor și a finanțării terorismului</w:t>
            </w:r>
          </w:p>
        </w:tc>
        <w:tc>
          <w:tcPr>
            <w:tcW w:w="1163" w:type="dxa"/>
            <w:tcBorders>
              <w:top w:val="nil"/>
              <w:left w:val="nil"/>
              <w:bottom w:val="single" w:sz="4" w:space="0" w:color="auto"/>
              <w:right w:val="single" w:sz="4" w:space="0" w:color="auto"/>
            </w:tcBorders>
            <w:shd w:val="clear" w:color="auto" w:fill="C6EFCE"/>
            <w:noWrap/>
          </w:tcPr>
          <w:p w14:paraId="6AD3A8A7" w14:textId="77777777" w:rsidR="00FE6F09" w:rsidRDefault="00435AFB">
            <w:pPr>
              <w:pStyle w:val="P68B1DB1-Normal9"/>
              <w:spacing w:after="0" w:line="240" w:lineRule="auto"/>
              <w:jc w:val="center"/>
              <w:rPr>
                <w:noProof/>
              </w:rPr>
            </w:pPr>
            <w:r>
              <w:rPr>
                <w:noProof/>
              </w:rPr>
              <w:t>Etapa de referință</w:t>
            </w:r>
          </w:p>
        </w:tc>
        <w:tc>
          <w:tcPr>
            <w:tcW w:w="1672" w:type="dxa"/>
            <w:tcBorders>
              <w:top w:val="nil"/>
              <w:left w:val="nil"/>
              <w:bottom w:val="single" w:sz="4" w:space="0" w:color="auto"/>
              <w:right w:val="single" w:sz="4" w:space="0" w:color="auto"/>
            </w:tcBorders>
            <w:shd w:val="clear" w:color="auto" w:fill="C6EFCE"/>
            <w:noWrap/>
          </w:tcPr>
          <w:p w14:paraId="54F9F758" w14:textId="77777777" w:rsidR="00FE6F09" w:rsidRDefault="00435AFB">
            <w:pPr>
              <w:pStyle w:val="P68B1DB1-Normal9"/>
              <w:spacing w:after="0" w:line="240" w:lineRule="auto"/>
              <w:rPr>
                <w:noProof/>
              </w:rPr>
            </w:pPr>
            <w:r>
              <w:rPr>
                <w:noProof/>
              </w:rPr>
              <w:t>Registrul Comerțului din Luxemburg</w:t>
            </w:r>
          </w:p>
        </w:tc>
        <w:tc>
          <w:tcPr>
            <w:tcW w:w="1418" w:type="dxa"/>
            <w:tcBorders>
              <w:top w:val="nil"/>
              <w:left w:val="nil"/>
              <w:bottom w:val="single" w:sz="4" w:space="0" w:color="auto"/>
              <w:right w:val="single" w:sz="4" w:space="0" w:color="auto"/>
            </w:tcBorders>
            <w:shd w:val="clear" w:color="auto" w:fill="C6EFCE"/>
            <w:noWrap/>
          </w:tcPr>
          <w:p w14:paraId="1492BB5F" w14:textId="77777777" w:rsidR="00FE6F09" w:rsidRDefault="00435AFB">
            <w:pPr>
              <w:pStyle w:val="P68B1DB1-Normal9"/>
              <w:spacing w:after="0" w:line="240" w:lineRule="auto"/>
              <w:rPr>
                <w:noProof/>
              </w:rPr>
            </w:pPr>
            <w:r>
              <w:rPr>
                <w:noProof/>
              </w:rPr>
              <w:t>Intrarea în vigoare a unui act legislativ</w:t>
            </w:r>
          </w:p>
        </w:tc>
        <w:tc>
          <w:tcPr>
            <w:tcW w:w="975" w:type="dxa"/>
            <w:tcBorders>
              <w:top w:val="nil"/>
              <w:left w:val="nil"/>
              <w:bottom w:val="single" w:sz="4" w:space="0" w:color="auto"/>
              <w:right w:val="single" w:sz="4" w:space="0" w:color="auto"/>
            </w:tcBorders>
            <w:shd w:val="clear" w:color="auto" w:fill="C6EFCE"/>
            <w:noWrap/>
          </w:tcPr>
          <w:p w14:paraId="5C2ADB2A"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7326C82D"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56" w:type="dxa"/>
            <w:tcBorders>
              <w:top w:val="nil"/>
              <w:left w:val="nil"/>
              <w:bottom w:val="single" w:sz="4" w:space="0" w:color="auto"/>
              <w:right w:val="single" w:sz="4" w:space="0" w:color="auto"/>
            </w:tcBorders>
            <w:shd w:val="clear" w:color="auto" w:fill="C6EFCE"/>
            <w:noWrap/>
          </w:tcPr>
          <w:p w14:paraId="31DA5219"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tcPr>
          <w:p w14:paraId="1F8C445A" w14:textId="77777777" w:rsidR="00FE6F09" w:rsidRDefault="00435AFB">
            <w:pPr>
              <w:pStyle w:val="P68B1DB1-Normal9"/>
              <w:spacing w:after="0" w:line="240" w:lineRule="auto"/>
              <w:jc w:val="center"/>
              <w:rPr>
                <w:noProof/>
              </w:rPr>
            </w:pPr>
            <w:r>
              <w:rPr>
                <w:noProof/>
              </w:rPr>
              <w:t>T4</w:t>
            </w:r>
          </w:p>
        </w:tc>
        <w:tc>
          <w:tcPr>
            <w:tcW w:w="763" w:type="dxa"/>
            <w:tcBorders>
              <w:top w:val="nil"/>
              <w:left w:val="nil"/>
              <w:bottom w:val="single" w:sz="4" w:space="0" w:color="auto"/>
              <w:right w:val="single" w:sz="4" w:space="0" w:color="auto"/>
            </w:tcBorders>
            <w:shd w:val="clear" w:color="auto" w:fill="C6EFCE"/>
            <w:noWrap/>
          </w:tcPr>
          <w:p w14:paraId="6326FE2B" w14:textId="77777777" w:rsidR="00FE6F09" w:rsidRDefault="00435AFB">
            <w:pPr>
              <w:pStyle w:val="P68B1DB1-Normal9"/>
              <w:spacing w:after="0" w:line="240" w:lineRule="auto"/>
              <w:jc w:val="center"/>
              <w:rPr>
                <w:noProof/>
              </w:rPr>
            </w:pPr>
            <w:r>
              <w:rPr>
                <w:noProof/>
              </w:rPr>
              <w:t>2025</w:t>
            </w:r>
          </w:p>
        </w:tc>
        <w:tc>
          <w:tcPr>
            <w:tcW w:w="4112" w:type="dxa"/>
            <w:tcBorders>
              <w:top w:val="nil"/>
              <w:left w:val="nil"/>
              <w:bottom w:val="single" w:sz="4" w:space="0" w:color="auto"/>
              <w:right w:val="single" w:sz="4" w:space="0" w:color="auto"/>
            </w:tcBorders>
            <w:shd w:val="clear" w:color="auto" w:fill="C6EFCE"/>
            <w:noWrap/>
          </w:tcPr>
          <w:p w14:paraId="40E6C6D2" w14:textId="73F360F4" w:rsidR="00FE6F09" w:rsidRDefault="00435AFB">
            <w:pPr>
              <w:pStyle w:val="P68B1DB1-Normal9"/>
              <w:spacing w:after="0" w:line="240" w:lineRule="auto"/>
              <w:jc w:val="both"/>
              <w:rPr>
                <w:noProof/>
              </w:rPr>
            </w:pPr>
            <w:r>
              <w:rPr>
                <w:noProof/>
              </w:rPr>
              <w:t xml:space="preserve">Intrarea în vigoare a actului de extindere a competențelor de sancționare, de control și de executare ale Registrului Comerțului din Luxemburg. </w:t>
            </w:r>
            <w:r>
              <w:rPr>
                <w:noProof/>
              </w:rPr>
              <w:br/>
              <w:t xml:space="preserve">Site-ul actualizat al Registrului comerțului din Luxemburg este online și accesibil. </w:t>
            </w:r>
          </w:p>
        </w:tc>
      </w:tr>
      <w:tr w:rsidR="00FE6F09" w14:paraId="5E9BF371"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1C751226" w14:textId="77777777" w:rsidR="00FE6F09" w:rsidRDefault="00435AFB">
            <w:pPr>
              <w:pStyle w:val="P68B1DB1-Normal9"/>
              <w:spacing w:after="0" w:line="240" w:lineRule="auto"/>
              <w:jc w:val="center"/>
              <w:rPr>
                <w:noProof/>
              </w:rPr>
            </w:pPr>
            <w:r>
              <w:rPr>
                <w:noProof/>
              </w:rPr>
              <w:t>3C-8</w:t>
            </w:r>
          </w:p>
        </w:tc>
        <w:tc>
          <w:tcPr>
            <w:tcW w:w="1461" w:type="dxa"/>
            <w:tcBorders>
              <w:top w:val="nil"/>
              <w:left w:val="nil"/>
              <w:bottom w:val="single" w:sz="4" w:space="0" w:color="auto"/>
              <w:right w:val="single" w:sz="4" w:space="0" w:color="auto"/>
            </w:tcBorders>
            <w:shd w:val="clear" w:color="auto" w:fill="C6EFCE"/>
            <w:noWrap/>
          </w:tcPr>
          <w:p w14:paraId="5245F02E" w14:textId="77777777" w:rsidR="00FE6F09" w:rsidRDefault="00435AFB">
            <w:pPr>
              <w:pStyle w:val="P68B1DB1-Normal9"/>
              <w:spacing w:after="0" w:line="240" w:lineRule="auto"/>
              <w:rPr>
                <w:noProof/>
              </w:rPr>
            </w:pPr>
            <w:r>
              <w:rPr>
                <w:noProof/>
              </w:rPr>
              <w:t>Reforma 2 – Combaterea spălării banilor și a finanțării terorismului</w:t>
            </w:r>
          </w:p>
        </w:tc>
        <w:tc>
          <w:tcPr>
            <w:tcW w:w="1163" w:type="dxa"/>
            <w:tcBorders>
              <w:top w:val="nil"/>
              <w:left w:val="nil"/>
              <w:bottom w:val="single" w:sz="4" w:space="0" w:color="auto"/>
              <w:right w:val="single" w:sz="4" w:space="0" w:color="auto"/>
            </w:tcBorders>
            <w:shd w:val="clear" w:color="auto" w:fill="C6EFCE"/>
            <w:noWrap/>
          </w:tcPr>
          <w:p w14:paraId="601BED46" w14:textId="77777777" w:rsidR="00FE6F09" w:rsidRDefault="00435AFB">
            <w:pPr>
              <w:pStyle w:val="P68B1DB1-Normal9"/>
              <w:spacing w:after="0" w:line="240" w:lineRule="auto"/>
              <w:jc w:val="center"/>
              <w:rPr>
                <w:noProof/>
              </w:rPr>
            </w:pPr>
            <w:r>
              <w:rPr>
                <w:noProof/>
              </w:rPr>
              <w:t>Etapa de referință</w:t>
            </w:r>
          </w:p>
        </w:tc>
        <w:tc>
          <w:tcPr>
            <w:tcW w:w="1672" w:type="dxa"/>
            <w:tcBorders>
              <w:top w:val="nil"/>
              <w:left w:val="nil"/>
              <w:bottom w:val="single" w:sz="4" w:space="0" w:color="auto"/>
              <w:right w:val="single" w:sz="4" w:space="0" w:color="auto"/>
            </w:tcBorders>
            <w:shd w:val="clear" w:color="auto" w:fill="C6EFCE"/>
            <w:noWrap/>
          </w:tcPr>
          <w:p w14:paraId="2A6A8B18" w14:textId="77777777" w:rsidR="00FE6F09" w:rsidRDefault="00435AFB">
            <w:pPr>
              <w:pStyle w:val="P68B1DB1-Normal9"/>
              <w:spacing w:after="0" w:line="240" w:lineRule="auto"/>
              <w:rPr>
                <w:noProof/>
              </w:rPr>
            </w:pPr>
            <w:r>
              <w:rPr>
                <w:noProof/>
              </w:rPr>
              <w:t>Finalizarea studiului privind consolidarea regimului aplicabil prestatorilor de servicii pentru fiducii și societăți</w:t>
            </w:r>
          </w:p>
        </w:tc>
        <w:tc>
          <w:tcPr>
            <w:tcW w:w="1418" w:type="dxa"/>
            <w:tcBorders>
              <w:top w:val="nil"/>
              <w:left w:val="nil"/>
              <w:bottom w:val="single" w:sz="4" w:space="0" w:color="auto"/>
              <w:right w:val="single" w:sz="4" w:space="0" w:color="auto"/>
            </w:tcBorders>
            <w:shd w:val="clear" w:color="auto" w:fill="C6EFCE"/>
            <w:noWrap/>
          </w:tcPr>
          <w:p w14:paraId="5466EA70" w14:textId="77777777" w:rsidR="00FE6F09" w:rsidRDefault="00435AFB">
            <w:pPr>
              <w:pStyle w:val="P68B1DB1-Normal9"/>
              <w:spacing w:after="0" w:line="240" w:lineRule="auto"/>
              <w:rPr>
                <w:noProof/>
              </w:rPr>
            </w:pPr>
            <w:r>
              <w:rPr>
                <w:noProof/>
              </w:rPr>
              <w:t>Finalizarea unui studiu</w:t>
            </w:r>
          </w:p>
        </w:tc>
        <w:tc>
          <w:tcPr>
            <w:tcW w:w="975" w:type="dxa"/>
            <w:tcBorders>
              <w:top w:val="nil"/>
              <w:left w:val="nil"/>
              <w:bottom w:val="single" w:sz="4" w:space="0" w:color="auto"/>
              <w:right w:val="single" w:sz="4" w:space="0" w:color="auto"/>
            </w:tcBorders>
            <w:shd w:val="clear" w:color="auto" w:fill="C6EFCE"/>
            <w:noWrap/>
          </w:tcPr>
          <w:p w14:paraId="0B3CB8E9"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338E7D8A"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56" w:type="dxa"/>
            <w:tcBorders>
              <w:top w:val="nil"/>
              <w:left w:val="nil"/>
              <w:bottom w:val="single" w:sz="4" w:space="0" w:color="auto"/>
              <w:right w:val="single" w:sz="4" w:space="0" w:color="auto"/>
            </w:tcBorders>
            <w:shd w:val="clear" w:color="auto" w:fill="C6EFCE"/>
            <w:noWrap/>
          </w:tcPr>
          <w:p w14:paraId="7C72E820"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tcPr>
          <w:p w14:paraId="5F402163" w14:textId="77777777" w:rsidR="00FE6F09" w:rsidRDefault="00435AFB">
            <w:pPr>
              <w:pStyle w:val="P68B1DB1-Normal9"/>
              <w:spacing w:after="0" w:line="240" w:lineRule="auto"/>
              <w:jc w:val="center"/>
              <w:rPr>
                <w:noProof/>
              </w:rPr>
            </w:pPr>
            <w:r>
              <w:rPr>
                <w:noProof/>
              </w:rPr>
              <w:t>T4</w:t>
            </w:r>
          </w:p>
        </w:tc>
        <w:tc>
          <w:tcPr>
            <w:tcW w:w="763" w:type="dxa"/>
            <w:tcBorders>
              <w:top w:val="nil"/>
              <w:left w:val="nil"/>
              <w:bottom w:val="single" w:sz="4" w:space="0" w:color="auto"/>
              <w:right w:val="single" w:sz="4" w:space="0" w:color="auto"/>
            </w:tcBorders>
            <w:shd w:val="clear" w:color="auto" w:fill="C6EFCE"/>
            <w:noWrap/>
          </w:tcPr>
          <w:p w14:paraId="3A4DC648" w14:textId="77777777" w:rsidR="00FE6F09" w:rsidRDefault="00435AFB">
            <w:pPr>
              <w:pStyle w:val="P68B1DB1-Normal9"/>
              <w:spacing w:after="0" w:line="240" w:lineRule="auto"/>
              <w:jc w:val="center"/>
              <w:rPr>
                <w:noProof/>
              </w:rPr>
            </w:pPr>
            <w:r>
              <w:rPr>
                <w:noProof/>
              </w:rPr>
              <w:t>2021</w:t>
            </w:r>
          </w:p>
        </w:tc>
        <w:tc>
          <w:tcPr>
            <w:tcW w:w="4112" w:type="dxa"/>
            <w:tcBorders>
              <w:top w:val="nil"/>
              <w:left w:val="nil"/>
              <w:bottom w:val="single" w:sz="4" w:space="0" w:color="auto"/>
              <w:right w:val="single" w:sz="4" w:space="0" w:color="auto"/>
            </w:tcBorders>
            <w:shd w:val="clear" w:color="auto" w:fill="C6EFCE"/>
            <w:noWrap/>
          </w:tcPr>
          <w:p w14:paraId="54BC8089" w14:textId="77777777" w:rsidR="00FE6F09" w:rsidRDefault="00435AFB">
            <w:pPr>
              <w:pStyle w:val="P68B1DB1-Normal9"/>
              <w:spacing w:after="0" w:line="240" w:lineRule="auto"/>
              <w:jc w:val="both"/>
              <w:rPr>
                <w:noProof/>
              </w:rPr>
            </w:pPr>
            <w:r>
              <w:rPr>
                <w:noProof/>
              </w:rPr>
              <w:t>Finalizarea studiului privind consolidarea regimului aplicabil prestatorilor de servicii pentru fiducii și societăți.</w:t>
            </w:r>
          </w:p>
        </w:tc>
      </w:tr>
      <w:tr w:rsidR="00FE6F09" w14:paraId="4711E729"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1FD71091" w14:textId="77777777" w:rsidR="00FE6F09" w:rsidRDefault="00435AFB">
            <w:pPr>
              <w:pStyle w:val="P68B1DB1-Normal9"/>
              <w:spacing w:after="0" w:line="240" w:lineRule="auto"/>
              <w:jc w:val="center"/>
              <w:rPr>
                <w:noProof/>
              </w:rPr>
            </w:pPr>
            <w:r>
              <w:rPr>
                <w:noProof/>
              </w:rPr>
              <w:t>3C-9</w:t>
            </w:r>
          </w:p>
        </w:tc>
        <w:tc>
          <w:tcPr>
            <w:tcW w:w="1461" w:type="dxa"/>
            <w:tcBorders>
              <w:top w:val="nil"/>
              <w:left w:val="nil"/>
              <w:bottom w:val="single" w:sz="4" w:space="0" w:color="auto"/>
              <w:right w:val="single" w:sz="4" w:space="0" w:color="auto"/>
            </w:tcBorders>
            <w:shd w:val="clear" w:color="auto" w:fill="C6EFCE"/>
            <w:noWrap/>
          </w:tcPr>
          <w:p w14:paraId="18A34E57" w14:textId="77777777" w:rsidR="00FE6F09" w:rsidRDefault="00435AFB">
            <w:pPr>
              <w:pStyle w:val="P68B1DB1-Normal9"/>
              <w:spacing w:after="0" w:line="240" w:lineRule="auto"/>
              <w:rPr>
                <w:noProof/>
              </w:rPr>
            </w:pPr>
            <w:r>
              <w:rPr>
                <w:noProof/>
              </w:rPr>
              <w:t>Reforma 2 – Combaterea spălării banilor și a finanțării terorismului</w:t>
            </w:r>
          </w:p>
        </w:tc>
        <w:tc>
          <w:tcPr>
            <w:tcW w:w="1163" w:type="dxa"/>
            <w:tcBorders>
              <w:top w:val="nil"/>
              <w:left w:val="nil"/>
              <w:bottom w:val="single" w:sz="4" w:space="0" w:color="auto"/>
              <w:right w:val="single" w:sz="4" w:space="0" w:color="auto"/>
            </w:tcBorders>
            <w:shd w:val="clear" w:color="auto" w:fill="C6EFCE"/>
            <w:noWrap/>
          </w:tcPr>
          <w:p w14:paraId="4C0113E8" w14:textId="77777777" w:rsidR="00FE6F09" w:rsidRDefault="00435AFB">
            <w:pPr>
              <w:pStyle w:val="P68B1DB1-Normal9"/>
              <w:spacing w:after="0" w:line="240" w:lineRule="auto"/>
              <w:jc w:val="center"/>
              <w:rPr>
                <w:noProof/>
              </w:rPr>
            </w:pPr>
            <w:r>
              <w:rPr>
                <w:noProof/>
              </w:rPr>
              <w:t>Etapa de referință</w:t>
            </w:r>
          </w:p>
        </w:tc>
        <w:tc>
          <w:tcPr>
            <w:tcW w:w="1672" w:type="dxa"/>
            <w:tcBorders>
              <w:top w:val="nil"/>
              <w:left w:val="nil"/>
              <w:bottom w:val="single" w:sz="4" w:space="0" w:color="auto"/>
              <w:right w:val="single" w:sz="4" w:space="0" w:color="auto"/>
            </w:tcBorders>
            <w:shd w:val="clear" w:color="auto" w:fill="C6EFCE"/>
            <w:noWrap/>
          </w:tcPr>
          <w:p w14:paraId="60657CE0" w14:textId="77777777" w:rsidR="00FE6F09" w:rsidRDefault="00435AFB">
            <w:pPr>
              <w:pStyle w:val="P68B1DB1-Normal9"/>
              <w:spacing w:after="0" w:line="240" w:lineRule="auto"/>
              <w:rPr>
                <w:noProof/>
              </w:rPr>
            </w:pPr>
            <w:r>
              <w:rPr>
                <w:noProof/>
              </w:rPr>
              <w:t xml:space="preserve">Intrarea în vigoare a actului de consolidare a regimului aplicabil prestatorilor de servicii pentru fiducii și societăți </w:t>
            </w:r>
          </w:p>
        </w:tc>
        <w:tc>
          <w:tcPr>
            <w:tcW w:w="1418" w:type="dxa"/>
            <w:tcBorders>
              <w:top w:val="nil"/>
              <w:left w:val="nil"/>
              <w:bottom w:val="single" w:sz="4" w:space="0" w:color="auto"/>
              <w:right w:val="single" w:sz="4" w:space="0" w:color="auto"/>
            </w:tcBorders>
            <w:shd w:val="clear" w:color="auto" w:fill="C6EFCE"/>
            <w:noWrap/>
          </w:tcPr>
          <w:p w14:paraId="30749629" w14:textId="77777777" w:rsidR="00FE6F09" w:rsidRDefault="00435AFB">
            <w:pPr>
              <w:pStyle w:val="P68B1DB1-Normal9"/>
              <w:spacing w:after="0" w:line="240" w:lineRule="auto"/>
              <w:rPr>
                <w:noProof/>
              </w:rPr>
            </w:pPr>
            <w:r>
              <w:rPr>
                <w:noProof/>
              </w:rPr>
              <w:t>Intrarea în vigoare a unui act legislativ</w:t>
            </w:r>
          </w:p>
        </w:tc>
        <w:tc>
          <w:tcPr>
            <w:tcW w:w="975" w:type="dxa"/>
            <w:tcBorders>
              <w:top w:val="nil"/>
              <w:left w:val="nil"/>
              <w:bottom w:val="single" w:sz="4" w:space="0" w:color="auto"/>
              <w:right w:val="single" w:sz="4" w:space="0" w:color="auto"/>
            </w:tcBorders>
            <w:shd w:val="clear" w:color="auto" w:fill="C6EFCE"/>
            <w:noWrap/>
          </w:tcPr>
          <w:p w14:paraId="03B1753F"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49EB96E7"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756" w:type="dxa"/>
            <w:tcBorders>
              <w:top w:val="nil"/>
              <w:left w:val="nil"/>
              <w:bottom w:val="single" w:sz="4" w:space="0" w:color="auto"/>
              <w:right w:val="single" w:sz="4" w:space="0" w:color="auto"/>
            </w:tcBorders>
            <w:shd w:val="clear" w:color="auto" w:fill="C6EFCE"/>
            <w:noWrap/>
          </w:tcPr>
          <w:p w14:paraId="6E08EB6A"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tcPr>
          <w:p w14:paraId="673C36FE" w14:textId="77777777" w:rsidR="00FE6F09" w:rsidRDefault="00435AFB">
            <w:pPr>
              <w:pStyle w:val="P68B1DB1-Normal9"/>
              <w:spacing w:after="0" w:line="240" w:lineRule="auto"/>
              <w:jc w:val="center"/>
              <w:rPr>
                <w:noProof/>
              </w:rPr>
            </w:pPr>
            <w:r>
              <w:rPr>
                <w:noProof/>
              </w:rPr>
              <w:t>T3</w:t>
            </w:r>
          </w:p>
        </w:tc>
        <w:tc>
          <w:tcPr>
            <w:tcW w:w="763" w:type="dxa"/>
            <w:tcBorders>
              <w:top w:val="nil"/>
              <w:left w:val="nil"/>
              <w:bottom w:val="single" w:sz="4" w:space="0" w:color="auto"/>
              <w:right w:val="single" w:sz="4" w:space="0" w:color="auto"/>
            </w:tcBorders>
            <w:shd w:val="clear" w:color="auto" w:fill="C6EFCE"/>
            <w:noWrap/>
          </w:tcPr>
          <w:p w14:paraId="0C16A749" w14:textId="77777777" w:rsidR="00FE6F09" w:rsidRDefault="00435AFB">
            <w:pPr>
              <w:pStyle w:val="P68B1DB1-Normal9"/>
              <w:spacing w:after="0" w:line="240" w:lineRule="auto"/>
              <w:jc w:val="center"/>
              <w:rPr>
                <w:noProof/>
              </w:rPr>
            </w:pPr>
            <w:r>
              <w:rPr>
                <w:noProof/>
              </w:rPr>
              <w:t>2023</w:t>
            </w:r>
          </w:p>
        </w:tc>
        <w:tc>
          <w:tcPr>
            <w:tcW w:w="4112" w:type="dxa"/>
            <w:tcBorders>
              <w:top w:val="nil"/>
              <w:left w:val="nil"/>
              <w:bottom w:val="single" w:sz="4" w:space="0" w:color="auto"/>
              <w:right w:val="single" w:sz="4" w:space="0" w:color="auto"/>
            </w:tcBorders>
            <w:shd w:val="clear" w:color="auto" w:fill="C6EFCE"/>
            <w:noWrap/>
          </w:tcPr>
          <w:p w14:paraId="5C1C5C68" w14:textId="77777777" w:rsidR="00FE6F09" w:rsidRDefault="00435AFB">
            <w:pPr>
              <w:pStyle w:val="P68B1DB1-Normal9"/>
              <w:spacing w:after="0" w:line="240" w:lineRule="auto"/>
              <w:jc w:val="both"/>
              <w:rPr>
                <w:noProof/>
              </w:rPr>
            </w:pPr>
            <w:r>
              <w:rPr>
                <w:noProof/>
              </w:rPr>
              <w:t>Intrarea în vigoare a actului de consolidare a regimului aplicabil prestatorilor de servicii pentru fiducii și societăți.</w:t>
            </w:r>
          </w:p>
        </w:tc>
      </w:tr>
    </w:tbl>
    <w:p w14:paraId="14DDE085"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104"/>
          <w:headerReference w:type="default" r:id="rId105"/>
          <w:footerReference w:type="even" r:id="rId106"/>
          <w:footerReference w:type="default" r:id="rId107"/>
          <w:headerReference w:type="first" r:id="rId108"/>
          <w:footerReference w:type="first" r:id="rId109"/>
          <w:pgSz w:w="16839" w:h="11907" w:orient="landscape"/>
          <w:pgMar w:top="720" w:right="720" w:bottom="720" w:left="720" w:header="709" w:footer="709" w:gutter="0"/>
          <w:cols w:space="720"/>
          <w:docGrid w:linePitch="360"/>
        </w:sectPr>
      </w:pPr>
    </w:p>
    <w:p w14:paraId="1EFB12E1" w14:textId="77777777" w:rsidR="00FE6F09" w:rsidRDefault="00435AFB">
      <w:pPr>
        <w:pStyle w:val="P68B1DB1-Normal17"/>
        <w:spacing w:before="120" w:after="120" w:line="240" w:lineRule="auto"/>
        <w:jc w:val="both"/>
        <w:rPr>
          <w:bCs/>
          <w:noProof/>
        </w:rPr>
      </w:pPr>
      <w:r>
        <w:rPr>
          <w:noProof/>
        </w:rPr>
        <w:t>J. COMPONENTUL 4A – Capitolul privind REPowerEU</w:t>
      </w:r>
    </w:p>
    <w:p w14:paraId="210FFCEF" w14:textId="77777777" w:rsidR="00FE6F09" w:rsidRDefault="00435AFB">
      <w:pPr>
        <w:pStyle w:val="P68B1DB1-Normal4"/>
        <w:spacing w:before="120" w:after="120" w:line="240" w:lineRule="auto"/>
        <w:jc w:val="both"/>
        <w:rPr>
          <w:noProof/>
        </w:rPr>
      </w:pPr>
      <w:r>
        <w:rPr>
          <w:noProof/>
        </w:rPr>
        <w:t>Capitolul privind REPowerEU este structurat în jurul a patru măsuri și contribuie la abordarea provocărilor tranziției verzi, în special a necesității de a reduce emisiile de gaze cu efect de seră, de a îmbunătăți eficiența energetică a clădirilor, de a accelera dezvoltarea unei capacități suplimentare de producție din surse regenerabile de energie, de a reduce dependența de combustibilii fosili importați și de a îmbunătăți disponibilitatea și accesibilitatea transporturilor cu emisii zero.</w:t>
      </w:r>
    </w:p>
    <w:p w14:paraId="7D672354" w14:textId="77777777" w:rsidR="00FE6F09" w:rsidRDefault="00435AFB">
      <w:pPr>
        <w:pStyle w:val="P68B1DB1-Normal4"/>
        <w:spacing w:before="120" w:after="120" w:line="240" w:lineRule="auto"/>
        <w:jc w:val="both"/>
        <w:rPr>
          <w:noProof/>
        </w:rPr>
      </w:pPr>
      <w:r>
        <w:rPr>
          <w:noProof/>
        </w:rPr>
        <w:t>Principalele obiective ale capitolului privind REPowerEU sunt:</w:t>
      </w:r>
    </w:p>
    <w:p w14:paraId="78C34ACB" w14:textId="6C2DBB95" w:rsidR="00FE6F09" w:rsidRDefault="00435AFB">
      <w:pPr>
        <w:pStyle w:val="P68B1DB1-ListParagraph20"/>
        <w:numPr>
          <w:ilvl w:val="0"/>
          <w:numId w:val="19"/>
        </w:numPr>
        <w:spacing w:before="120" w:after="120" w:line="240" w:lineRule="auto"/>
        <w:jc w:val="both"/>
        <w:rPr>
          <w:noProof/>
        </w:rPr>
      </w:pPr>
      <w:r>
        <w:rPr>
          <w:noProof/>
        </w:rPr>
        <w:t>creșterea și accelerarea utilizării energiei din surse regenerabile prin promovarea producției durabile de biogaz și creșterea utilizării capacității de generare a energiei fotovoltaice;</w:t>
      </w:r>
    </w:p>
    <w:p w14:paraId="7719428E" w14:textId="77777777" w:rsidR="00FE6F09" w:rsidRDefault="00435AFB">
      <w:pPr>
        <w:pStyle w:val="P68B1DB1-ListParagraph20"/>
        <w:numPr>
          <w:ilvl w:val="0"/>
          <w:numId w:val="19"/>
        </w:numPr>
        <w:spacing w:before="120" w:after="120" w:line="240" w:lineRule="auto"/>
        <w:jc w:val="both"/>
        <w:rPr>
          <w:noProof/>
        </w:rPr>
      </w:pPr>
      <w:r>
        <w:rPr>
          <w:noProof/>
        </w:rPr>
        <w:t xml:space="preserve">să stimuleze eficiența energetică și să promoveze utilizarea surselor regenerabile de energie în locuințe; </w:t>
      </w:r>
    </w:p>
    <w:p w14:paraId="1F1B48AF" w14:textId="77777777" w:rsidR="00FE6F09" w:rsidRDefault="00435AFB">
      <w:pPr>
        <w:pStyle w:val="P68B1DB1-ListParagraph20"/>
        <w:numPr>
          <w:ilvl w:val="0"/>
          <w:numId w:val="19"/>
        </w:numPr>
        <w:spacing w:before="120" w:after="120" w:line="240" w:lineRule="auto"/>
        <w:jc w:val="both"/>
        <w:rPr>
          <w:noProof/>
        </w:rPr>
      </w:pPr>
      <w:r>
        <w:rPr>
          <w:noProof/>
        </w:rPr>
        <w:t xml:space="preserve">să consolideze furnizarea de transporturi durabile și cu emisii zero prin sprijinirea achiziționării de vehicule cu emisii zero. </w:t>
      </w:r>
    </w:p>
    <w:p w14:paraId="74C0283B" w14:textId="2B299265" w:rsidR="00FE6F09" w:rsidRDefault="00435AFB">
      <w:pPr>
        <w:pStyle w:val="P68B1DB1-Normal4"/>
        <w:spacing w:before="120" w:after="120" w:line="240" w:lineRule="auto"/>
        <w:jc w:val="both"/>
        <w:rPr>
          <w:noProof/>
        </w:rPr>
      </w:pPr>
      <w:r>
        <w:rPr>
          <w:noProof/>
        </w:rPr>
        <w:t>Capitolul privind REPowerEU contribuie la abordarea recomandărilor specifice fiecărei țări privind reducerea dependenței generale de combustibilii fosili (recomandarea specifică fiecărei țări 4.1 în 2022 și 4.1 în 2023) prin accelerarea implementării energiei din surse regenerabile, în special a centralelor fotovoltaice și a biometanului durabil, precum și prin punerea în aplicare a unor măsuri suplimentare care sprijină eficiența energetică în locuințe (recomandarea specifică fiecărei țări 4.4 în 2022 și 4.3 în 2023). În plus, prin electrificarea parcului auto, capitolul contribuie la abordarea recomandării de promovare a electrificării transporturilor (Recomandarea specifică fiecărei țări 4.6 în 2022 și 4.5 în 2023).</w:t>
      </w:r>
    </w:p>
    <w:p w14:paraId="0AD4444A" w14:textId="77777777" w:rsidR="00FE6F09" w:rsidRDefault="00435AFB">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măsurii și de măsurile de atenuare prevăzute în planul de redresare și reziliență în conformitate cu Orientările tehnice privind principiul de „a nu aduce prejudicii semnificative” C(2023)6465 final.</w:t>
      </w:r>
    </w:p>
    <w:p w14:paraId="0C4C913E" w14:textId="77777777" w:rsidR="00FE6F09" w:rsidRDefault="00FE6F09">
      <w:pPr>
        <w:spacing w:before="120" w:after="120" w:line="240" w:lineRule="auto"/>
        <w:rPr>
          <w:rFonts w:ascii="Times New Roman" w:hAnsi="Times New Roman" w:cs="Times New Roman"/>
          <w:noProof/>
          <w:sz w:val="24"/>
          <w:szCs w:val="24"/>
        </w:rPr>
      </w:pPr>
    </w:p>
    <w:p w14:paraId="706CC080" w14:textId="77777777" w:rsidR="00FE6F09" w:rsidRDefault="00435AFB">
      <w:pPr>
        <w:pStyle w:val="P68B1DB1-Normal1"/>
        <w:spacing w:before="120" w:after="120" w:line="240" w:lineRule="auto"/>
        <w:rPr>
          <w:bCs/>
          <w:noProof/>
        </w:rPr>
      </w:pPr>
      <w:r>
        <w:rPr>
          <w:noProof/>
        </w:rPr>
        <w:t>J.1. Descrierea reformelor și a investițiilor pentru sprijinul financiar nerambursabil</w:t>
      </w:r>
    </w:p>
    <w:p w14:paraId="1721EB8F" w14:textId="77777777" w:rsidR="00FE6F09" w:rsidRDefault="00435AFB">
      <w:pPr>
        <w:pStyle w:val="P68B1DB1-Normal10"/>
        <w:spacing w:before="120" w:after="120" w:line="240" w:lineRule="auto"/>
        <w:rPr>
          <w:noProof/>
        </w:rPr>
      </w:pPr>
      <w:r>
        <w:rPr>
          <w:noProof/>
        </w:rPr>
        <w:t xml:space="preserve">Reformă: Promovarea producției durabile de biogaz </w:t>
      </w:r>
    </w:p>
    <w:p w14:paraId="0B568693" w14:textId="6D04C98F" w:rsidR="00FE6F09" w:rsidRDefault="00435AFB">
      <w:pPr>
        <w:pStyle w:val="P68B1DB1-Normal4"/>
        <w:spacing w:before="120" w:after="120" w:line="240" w:lineRule="auto"/>
        <w:jc w:val="both"/>
        <w:rPr>
          <w:rFonts w:eastAsia="Times New Roman"/>
          <w:noProof/>
        </w:rPr>
      </w:pPr>
      <w:r>
        <w:rPr>
          <w:noProof/>
        </w:rPr>
        <w:t xml:space="preserve">Această reformă urmărește să sporească producția și utilizarea biogazului durabil. Reforma constă în revizuirea schemei existente de sprijin pentru biogazul durabil din Luxemburg. </w:t>
      </w:r>
    </w:p>
    <w:p w14:paraId="11755CAB" w14:textId="27243E20" w:rsidR="00FE6F09" w:rsidRDefault="00435AFB">
      <w:pPr>
        <w:pStyle w:val="P68B1DB1-Normal21"/>
        <w:spacing w:before="120" w:after="120" w:line="240" w:lineRule="auto"/>
        <w:jc w:val="both"/>
        <w:rPr>
          <w:noProof/>
        </w:rPr>
      </w:pPr>
      <w:r>
        <w:rPr>
          <w:noProof/>
        </w:rPr>
        <w:t>Investiția 1: Promovarea eficienței energetice și a energiei regenerabile în locuințe</w:t>
      </w:r>
    </w:p>
    <w:p w14:paraId="5E70C67D" w14:textId="77777777" w:rsidR="00FE6F09" w:rsidRDefault="00435AFB">
      <w:pPr>
        <w:pStyle w:val="P68B1DB1-Normal18"/>
        <w:spacing w:before="120" w:after="120" w:line="240" w:lineRule="auto"/>
        <w:jc w:val="both"/>
        <w:rPr>
          <w:noProof/>
        </w:rPr>
      </w:pPr>
      <w:r>
        <w:rPr>
          <w:noProof/>
        </w:rPr>
        <w:t>Obiectivul acestei investiții este de a spori eficiența energetică și utilizarea energiei din surse regenerabile în sectorul locuințelor. Măsura constă în aprobări de granturi pentru proiecte energetice.</w:t>
      </w:r>
    </w:p>
    <w:p w14:paraId="277B965C" w14:textId="77777777" w:rsidR="00FE6F09" w:rsidRDefault="00435AFB">
      <w:pPr>
        <w:pStyle w:val="P68B1DB1-Normal21"/>
        <w:spacing w:before="120" w:after="120" w:line="240" w:lineRule="auto"/>
        <w:rPr>
          <w:noProof/>
        </w:rPr>
      </w:pPr>
      <w:r>
        <w:rPr>
          <w:noProof/>
        </w:rPr>
        <w:t>Investiția 2: Promovarea mobilității active și cu emisii zero</w:t>
      </w:r>
    </w:p>
    <w:p w14:paraId="4B43FEF2" w14:textId="77777777" w:rsidR="00FE6F09" w:rsidRDefault="00435AFB">
      <w:pPr>
        <w:pStyle w:val="P68B1DB1-Normal22"/>
        <w:spacing w:before="120" w:after="120" w:line="240" w:lineRule="auto"/>
        <w:jc w:val="both"/>
        <w:rPr>
          <w:noProof/>
        </w:rPr>
      </w:pPr>
      <w:r>
        <w:rPr>
          <w:noProof/>
        </w:rPr>
        <w:t xml:space="preserve">Această investiție urmărește să încurajeze electrificarea parcului auto luxemburghez și să promoveze mobilitatea activă. Investiția constă în furnizarea de sprijin financiar pentru achiziționarea de vehicule cu emisii zero. </w:t>
      </w:r>
    </w:p>
    <w:p w14:paraId="0A98543F" w14:textId="77777777" w:rsidR="00FE6F09" w:rsidRDefault="00435AFB">
      <w:pPr>
        <w:pStyle w:val="P68B1DB1-Normal21"/>
        <w:spacing w:before="120" w:after="120" w:line="240" w:lineRule="auto"/>
        <w:jc w:val="both"/>
        <w:rPr>
          <w:noProof/>
        </w:rPr>
      </w:pPr>
      <w:r>
        <w:rPr>
          <w:noProof/>
        </w:rPr>
        <w:t>Investiția 3: Construcția unităților de generare a energiei fotovoltaice în spațiile comerciale</w:t>
      </w:r>
    </w:p>
    <w:p w14:paraId="10E4AF8F" w14:textId="669D46B9" w:rsidR="00FE6F09" w:rsidRDefault="00435AFB">
      <w:pPr>
        <w:pStyle w:val="P68B1DB1-Normal23"/>
        <w:spacing w:before="120" w:after="120" w:line="240" w:lineRule="auto"/>
        <w:jc w:val="both"/>
        <w:rPr>
          <w:noProof/>
        </w:rPr>
      </w:pPr>
      <w:r>
        <w:rPr>
          <w:noProof/>
        </w:rPr>
        <w:t xml:space="preserve">Această investiție urmărește să încurajeze utilizarea producției de energie fotovoltaică în Luxemburg. Măsura constă în instalarea de unități de generare a energiei fotovoltaice cu o capacitate de peste 30 kWp în spațiile comerciale. </w:t>
      </w:r>
    </w:p>
    <w:p w14:paraId="302FBD0B" w14:textId="77777777" w:rsidR="00FE6F09" w:rsidRDefault="00435AFB">
      <w:pPr>
        <w:pStyle w:val="P68B1DB1-Normal23"/>
        <w:spacing w:before="120" w:after="120" w:line="240" w:lineRule="auto"/>
        <w:jc w:val="both"/>
        <w:rPr>
          <w:noProof/>
        </w:rPr>
      </w:pPr>
      <w:r>
        <w:rPr>
          <w:noProof/>
        </w:rPr>
        <w:t xml:space="preserve">Această măsură permite acordarea de sprijin siturilor înregistrate ca instalații ETS numai în cazul în care intervențiile nu afectează emisiile de dioxid de carbon ale instalațiilor ETS respective și, prin urmare, sunt acțiuni care nu se încadrează în limitele instalațiilor ETS. </w:t>
      </w:r>
    </w:p>
    <w:p w14:paraId="32741C66" w14:textId="77777777" w:rsidR="00FE6F09" w:rsidRDefault="00FE6F09">
      <w:pPr>
        <w:spacing w:after="0" w:line="240" w:lineRule="auto"/>
        <w:jc w:val="both"/>
        <w:rPr>
          <w:rFonts w:ascii="Times New Roman" w:hAnsi="Times New Roman" w:cs="Times New Roman"/>
          <w:noProof/>
          <w:color w:val="000000" w:themeColor="text1"/>
          <w:sz w:val="24"/>
          <w:szCs w:val="24"/>
        </w:rPr>
      </w:pPr>
    </w:p>
    <w:p w14:paraId="2B7240E2" w14:textId="77777777" w:rsidR="00FE6F09" w:rsidRDefault="00435AFB">
      <w:pPr>
        <w:pStyle w:val="P68B1DB1-Normal21"/>
        <w:rPr>
          <w:noProof/>
        </w:rPr>
      </w:pPr>
      <w:r>
        <w:rPr>
          <w:noProof/>
        </w:rPr>
        <w:t>Investiția 4: Măsură extinsă: Investiția [2A-4]: Schema de sprijin pentru punctele de încărcare</w:t>
      </w:r>
    </w:p>
    <w:p w14:paraId="592FF10C" w14:textId="77777777" w:rsidR="00FE6F09" w:rsidRDefault="00435AFB">
      <w:pPr>
        <w:pStyle w:val="P68B1DB1-Normal23"/>
        <w:jc w:val="both"/>
        <w:rPr>
          <w:noProof/>
        </w:rPr>
      </w:pPr>
      <w:r>
        <w:rPr>
          <w:noProof/>
        </w:rPr>
        <w:t xml:space="preserve">Obiectivul acestei investiții este de a extinde investițiile [2A-4]: Schema de sprijin pentru punctele de încărcare din cadrul componentei 2A. </w:t>
      </w:r>
    </w:p>
    <w:p w14:paraId="060788A8" w14:textId="7CC86D23" w:rsidR="00FE6F09" w:rsidRDefault="00435AFB">
      <w:pPr>
        <w:pStyle w:val="P68B1DB1-Normal14"/>
        <w:jc w:val="both"/>
        <w:rPr>
          <w:noProof/>
          <w:color w:val="000000" w:themeColor="text1"/>
        </w:rPr>
      </w:pPr>
      <w:r>
        <w:rPr>
          <w:noProof/>
          <w:color w:val="000000" w:themeColor="text1"/>
        </w:rPr>
        <w:t xml:space="preserve">Partea extinsă a acestei măsuri constă într-o schemă de sprijin pentru punctele de încărcare, care poate include, </w:t>
      </w:r>
      <w:r>
        <w:rPr>
          <w:noProof/>
        </w:rPr>
        <w:t>fără a se limita la acestea, puncte de încărcare publice, semiprivate sau private.</w:t>
      </w:r>
      <w:r>
        <w:rPr>
          <w:noProof/>
          <w:color w:val="000000" w:themeColor="text1"/>
        </w:rPr>
        <w:t xml:space="preserve"> </w:t>
      </w:r>
    </w:p>
    <w:p w14:paraId="6A124B80" w14:textId="77777777" w:rsidR="00FE6F09" w:rsidRDefault="00FE6F09">
      <w:pPr>
        <w:spacing w:before="120" w:after="120" w:line="240" w:lineRule="auto"/>
        <w:ind w:left="567"/>
        <w:jc w:val="both"/>
        <w:rPr>
          <w:rFonts w:ascii="Times New Roman" w:eastAsiaTheme="majorEastAsia" w:hAnsi="Times New Roman" w:cs="Times New Roman"/>
          <w:b/>
          <w:noProof/>
          <w:color w:val="000000" w:themeColor="text1"/>
          <w:sz w:val="24"/>
          <w:szCs w:val="24"/>
        </w:rPr>
      </w:pPr>
    </w:p>
    <w:p w14:paraId="5AE76FB9" w14:textId="77777777" w:rsidR="00FE6F09" w:rsidRDefault="00FE6F09">
      <w:pPr>
        <w:spacing w:before="120" w:after="120" w:line="240" w:lineRule="auto"/>
        <w:ind w:left="567"/>
        <w:jc w:val="both"/>
        <w:rPr>
          <w:rFonts w:ascii="Times New Roman" w:eastAsiaTheme="majorEastAsia" w:hAnsi="Times New Roman" w:cs="Times New Roman"/>
          <w:b/>
          <w:noProof/>
          <w:color w:val="000000" w:themeColor="text1"/>
          <w:sz w:val="24"/>
          <w:szCs w:val="24"/>
        </w:rPr>
        <w:sectPr w:rsidR="00FE6F09" w:rsidSect="009823F0">
          <w:headerReference w:type="even" r:id="rId110"/>
          <w:headerReference w:type="default" r:id="rId111"/>
          <w:footerReference w:type="even" r:id="rId112"/>
          <w:footerReference w:type="default" r:id="rId113"/>
          <w:headerReference w:type="first" r:id="rId114"/>
          <w:footerReference w:type="first" r:id="rId115"/>
          <w:pgSz w:w="11906" w:h="16838"/>
          <w:pgMar w:top="1417" w:right="1417" w:bottom="1417" w:left="1417" w:header="708" w:footer="708" w:gutter="0"/>
          <w:cols w:space="708"/>
          <w:docGrid w:linePitch="360"/>
        </w:sectPr>
      </w:pPr>
    </w:p>
    <w:p w14:paraId="7BB60091" w14:textId="0662FF82" w:rsidR="00FE6F09" w:rsidRDefault="00435AFB">
      <w:pPr>
        <w:pStyle w:val="P68B1DB1-Normal13"/>
        <w:spacing w:before="120" w:after="120" w:line="240" w:lineRule="auto"/>
        <w:jc w:val="center"/>
        <w:rPr>
          <w:b/>
          <w:noProof/>
          <w:color w:val="000000" w:themeColor="text1"/>
          <w:sz w:val="24"/>
          <w:szCs w:val="24"/>
        </w:rPr>
      </w:pPr>
      <w:r>
        <w:rPr>
          <w:b/>
          <w:noProof/>
          <w:color w:val="000000" w:themeColor="text1"/>
          <w:sz w:val="24"/>
          <w:szCs w:val="24"/>
        </w:rPr>
        <w:t>J.2.</w:t>
      </w:r>
      <w:r w:rsidR="001B52FB">
        <w:rPr>
          <w:b/>
          <w:noProof/>
          <w:color w:val="000000" w:themeColor="text1"/>
          <w:sz w:val="24"/>
          <w:szCs w:val="24"/>
        </w:rPr>
        <w:t xml:space="preserve"> </w:t>
      </w:r>
      <w:r>
        <w:rPr>
          <w:b/>
          <w:noProof/>
          <w:color w:val="000000" w:themeColor="text1"/>
          <w:sz w:val="24"/>
          <w:szCs w:val="24"/>
        </w:rPr>
        <w:t>Jaloane, ținte, indicatori și calendar pentru monitorizarea și punerea în aplicare a sprijinului financiar nerambursabil</w:t>
      </w:r>
    </w:p>
    <w:tbl>
      <w:tblPr>
        <w:tblW w:w="15502" w:type="dxa"/>
        <w:jc w:val="center"/>
        <w:tblLayout w:type="fixed"/>
        <w:tblLook w:val="04A0" w:firstRow="1" w:lastRow="0" w:firstColumn="1" w:lastColumn="0" w:noHBand="0" w:noVBand="1"/>
      </w:tblPr>
      <w:tblGrid>
        <w:gridCol w:w="1256"/>
        <w:gridCol w:w="1380"/>
        <w:gridCol w:w="1212"/>
        <w:gridCol w:w="1294"/>
        <w:gridCol w:w="1782"/>
        <w:gridCol w:w="1021"/>
        <w:gridCol w:w="933"/>
        <w:gridCol w:w="944"/>
        <w:gridCol w:w="946"/>
        <w:gridCol w:w="709"/>
        <w:gridCol w:w="4025"/>
      </w:tblGrid>
      <w:tr w:rsidR="00FE6F09" w14:paraId="3241F2B9" w14:textId="77777777">
        <w:trPr>
          <w:trHeight w:val="927"/>
          <w:tblHeader/>
          <w:jc w:val="center"/>
        </w:trPr>
        <w:tc>
          <w:tcPr>
            <w:tcW w:w="12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40BE41" w14:textId="77777777" w:rsidR="00FE6F09" w:rsidRDefault="00435AFB">
            <w:pPr>
              <w:pStyle w:val="P68B1DB1-Normal8"/>
              <w:spacing w:after="0" w:line="240" w:lineRule="auto"/>
              <w:jc w:val="center"/>
              <w:rPr>
                <w:bCs/>
                <w:noProof/>
              </w:rPr>
            </w:pPr>
            <w:r>
              <w:rPr>
                <w:noProof/>
              </w:rPr>
              <w:t>Număr secvențial</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CF7598" w14:textId="77777777" w:rsidR="00FE6F09" w:rsidRDefault="00435AFB">
            <w:pPr>
              <w:pStyle w:val="P68B1DB1-Normal8"/>
              <w:spacing w:after="0" w:line="240" w:lineRule="auto"/>
              <w:jc w:val="center"/>
              <w:rPr>
                <w:bCs/>
                <w:noProof/>
              </w:rPr>
            </w:pPr>
            <w:r>
              <w:rPr>
                <w:noProof/>
              </w:rPr>
              <w:t>Măsură conexă (reformă sau investiție)</w:t>
            </w:r>
          </w:p>
        </w:tc>
        <w:tc>
          <w:tcPr>
            <w:tcW w:w="12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DF019E" w14:textId="6BD538F0" w:rsidR="00FE6F09" w:rsidRDefault="00435AFB">
            <w:pPr>
              <w:pStyle w:val="P68B1DB1-Normal8"/>
              <w:spacing w:after="0" w:line="240" w:lineRule="auto"/>
              <w:jc w:val="center"/>
              <w:rPr>
                <w:bCs/>
                <w:noProof/>
              </w:rPr>
            </w:pPr>
            <w:r>
              <w:rPr>
                <w:noProof/>
              </w:rPr>
              <w:t>Etapa/ținta</w:t>
            </w:r>
          </w:p>
        </w:tc>
        <w:tc>
          <w:tcPr>
            <w:tcW w:w="129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4DC31E" w14:textId="77777777" w:rsidR="00FE6F09" w:rsidRDefault="00435AFB">
            <w:pPr>
              <w:pStyle w:val="P68B1DB1-Normal8"/>
              <w:spacing w:after="0" w:line="240" w:lineRule="auto"/>
              <w:jc w:val="center"/>
              <w:rPr>
                <w:bCs/>
                <w:noProof/>
              </w:rPr>
            </w:pPr>
            <w:r>
              <w:rPr>
                <w:noProof/>
              </w:rPr>
              <w:t>Denumire</w:t>
            </w:r>
          </w:p>
        </w:tc>
        <w:tc>
          <w:tcPr>
            <w:tcW w:w="17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4342FE"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sz w:val="24"/>
              </w:rPr>
              <w:br/>
            </w:r>
            <w:r>
              <w:rPr>
                <w:rFonts w:ascii="Times New Roman" w:eastAsia="Times New Roman" w:hAnsi="Times New Roman" w:cs="Times New Roman"/>
                <w:b/>
                <w:noProof/>
                <w:sz w:val="20"/>
                <w:szCs w:val="20"/>
              </w:rPr>
              <w:t>(pentru jaloane)</w:t>
            </w:r>
          </w:p>
        </w:tc>
        <w:tc>
          <w:tcPr>
            <w:tcW w:w="289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26DF618"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sz w:val="24"/>
              </w:rPr>
              <w:br/>
            </w:r>
            <w:r>
              <w:rPr>
                <w:rFonts w:ascii="Times New Roman" w:eastAsia="Times New Roman" w:hAnsi="Times New Roman" w:cs="Times New Roman"/>
                <w:b/>
                <w:noProof/>
                <w:sz w:val="20"/>
                <w:szCs w:val="20"/>
              </w:rPr>
              <w:t>(pentru obiective)</w:t>
            </w:r>
          </w:p>
        </w:tc>
        <w:tc>
          <w:tcPr>
            <w:tcW w:w="1655" w:type="dxa"/>
            <w:gridSpan w:val="2"/>
            <w:tcBorders>
              <w:top w:val="single" w:sz="4" w:space="0" w:color="auto"/>
              <w:left w:val="nil"/>
              <w:bottom w:val="single" w:sz="4" w:space="0" w:color="auto"/>
              <w:right w:val="single" w:sz="4" w:space="0" w:color="auto"/>
            </w:tcBorders>
            <w:shd w:val="clear" w:color="auto" w:fill="BDD7EE"/>
            <w:vAlign w:val="center"/>
            <w:hideMark/>
          </w:tcPr>
          <w:p w14:paraId="5F86DF3E" w14:textId="079DEBE5" w:rsidR="00FE6F09" w:rsidRDefault="00435AFB">
            <w:pPr>
              <w:pStyle w:val="P68B1DB1-Normal8"/>
              <w:spacing w:after="0" w:line="240" w:lineRule="auto"/>
              <w:jc w:val="center"/>
              <w:rPr>
                <w:bCs/>
                <w:noProof/>
              </w:rPr>
            </w:pPr>
            <w:r>
              <w:rPr>
                <w:noProof/>
              </w:rPr>
              <w:t>Calendar orientativ pentru finalizare</w:t>
            </w:r>
          </w:p>
        </w:tc>
        <w:tc>
          <w:tcPr>
            <w:tcW w:w="40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2F3646" w14:textId="77777777" w:rsidR="00FE6F09" w:rsidRDefault="00435AFB">
            <w:pPr>
              <w:pStyle w:val="P68B1DB1-Normal8"/>
              <w:spacing w:after="0" w:line="240" w:lineRule="auto"/>
              <w:jc w:val="center"/>
              <w:rPr>
                <w:bCs/>
                <w:noProof/>
              </w:rPr>
            </w:pPr>
            <w:r>
              <w:rPr>
                <w:noProof/>
              </w:rPr>
              <w:t>Descrierea fiecărui jalon și a fiecărei ținte</w:t>
            </w:r>
          </w:p>
        </w:tc>
      </w:tr>
      <w:tr w:rsidR="00FE6F09" w14:paraId="12D356DC" w14:textId="77777777">
        <w:trPr>
          <w:trHeight w:val="1013"/>
          <w:tblHeader/>
          <w:jc w:val="center"/>
        </w:trPr>
        <w:tc>
          <w:tcPr>
            <w:tcW w:w="1256" w:type="dxa"/>
            <w:vMerge/>
            <w:tcBorders>
              <w:top w:val="single" w:sz="4" w:space="0" w:color="auto"/>
              <w:left w:val="single" w:sz="4" w:space="0" w:color="auto"/>
              <w:bottom w:val="single" w:sz="4" w:space="0" w:color="auto"/>
              <w:right w:val="single" w:sz="4" w:space="0" w:color="auto"/>
            </w:tcBorders>
            <w:vAlign w:val="center"/>
            <w:hideMark/>
          </w:tcPr>
          <w:p w14:paraId="27096E23"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380" w:type="dxa"/>
            <w:vMerge/>
            <w:tcBorders>
              <w:top w:val="single" w:sz="4" w:space="0" w:color="auto"/>
              <w:left w:val="single" w:sz="4" w:space="0" w:color="auto"/>
              <w:bottom w:val="single" w:sz="4" w:space="0" w:color="auto"/>
              <w:right w:val="single" w:sz="4" w:space="0" w:color="auto"/>
            </w:tcBorders>
            <w:vAlign w:val="center"/>
            <w:hideMark/>
          </w:tcPr>
          <w:p w14:paraId="2FD300C5" w14:textId="77777777" w:rsidR="00FE6F09" w:rsidRDefault="00FE6F09">
            <w:pPr>
              <w:spacing w:after="0" w:line="240" w:lineRule="auto"/>
              <w:rPr>
                <w:rFonts w:ascii="Times New Roman" w:eastAsia="Times New Roman" w:hAnsi="Times New Roman" w:cs="Times New Roman"/>
                <w:b/>
                <w:noProof/>
                <w:sz w:val="20"/>
                <w:szCs w:val="20"/>
              </w:rPr>
            </w:pP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4CD1470E"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139FB47D" w14:textId="77777777" w:rsidR="00FE6F09" w:rsidRDefault="00FE6F09">
            <w:pPr>
              <w:spacing w:after="0" w:line="240" w:lineRule="auto"/>
              <w:rPr>
                <w:rFonts w:ascii="Times New Roman" w:eastAsia="Times New Roman" w:hAnsi="Times New Roman" w:cs="Times New Roman"/>
                <w:b/>
                <w:noProof/>
                <w:sz w:val="20"/>
                <w:szCs w:val="20"/>
              </w:rPr>
            </w:pPr>
          </w:p>
        </w:tc>
        <w:tc>
          <w:tcPr>
            <w:tcW w:w="1782" w:type="dxa"/>
            <w:vMerge/>
            <w:tcBorders>
              <w:top w:val="single" w:sz="4" w:space="0" w:color="auto"/>
              <w:left w:val="single" w:sz="4" w:space="0" w:color="auto"/>
              <w:bottom w:val="single" w:sz="4" w:space="0" w:color="auto"/>
              <w:right w:val="single" w:sz="4" w:space="0" w:color="auto"/>
            </w:tcBorders>
            <w:vAlign w:val="center"/>
            <w:hideMark/>
          </w:tcPr>
          <w:p w14:paraId="70DBCF10" w14:textId="77777777" w:rsidR="00FE6F09" w:rsidRDefault="00FE6F09">
            <w:pPr>
              <w:spacing w:after="0" w:line="240" w:lineRule="auto"/>
              <w:rPr>
                <w:rFonts w:ascii="Times New Roman" w:eastAsia="Times New Roman" w:hAnsi="Times New Roman" w:cs="Times New Roman"/>
                <w:b/>
                <w:noProof/>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BA386BC" w14:textId="77777777" w:rsidR="00FE6F09" w:rsidRDefault="00435AFB">
            <w:pPr>
              <w:pStyle w:val="P68B1DB1-Normal8"/>
              <w:spacing w:after="0" w:line="240" w:lineRule="auto"/>
              <w:jc w:val="center"/>
              <w:rPr>
                <w:bCs/>
                <w:noProof/>
              </w:rPr>
            </w:pPr>
            <w:r>
              <w:rPr>
                <w:noProof/>
              </w:rPr>
              <w:t>Unitatea de măsură</w:t>
            </w:r>
          </w:p>
        </w:tc>
        <w:tc>
          <w:tcPr>
            <w:tcW w:w="93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B749FC2" w14:textId="6DF64F9D" w:rsidR="00FE6F09" w:rsidRDefault="00435AFB">
            <w:pPr>
              <w:pStyle w:val="P68B1DB1-Normal8"/>
              <w:spacing w:after="0" w:line="240" w:lineRule="auto"/>
              <w:jc w:val="center"/>
              <w:rPr>
                <w:bCs/>
                <w:noProof/>
              </w:rPr>
            </w:pPr>
            <w:r>
              <w:rPr>
                <w:noProof/>
              </w:rPr>
              <w:t>Situația de referință</w:t>
            </w:r>
          </w:p>
        </w:tc>
        <w:tc>
          <w:tcPr>
            <w:tcW w:w="94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219791" w14:textId="1D5920C4" w:rsidR="00FE6F09" w:rsidRDefault="00435AFB">
            <w:pPr>
              <w:pStyle w:val="P68B1DB1-Normal8"/>
              <w:spacing w:after="0" w:line="240" w:lineRule="auto"/>
              <w:jc w:val="center"/>
              <w:rPr>
                <w:bCs/>
                <w:noProof/>
              </w:rPr>
            </w:pPr>
            <w:r>
              <w:rPr>
                <w:noProof/>
              </w:rPr>
              <w:t>Obiectiv</w:t>
            </w:r>
          </w:p>
        </w:tc>
        <w:tc>
          <w:tcPr>
            <w:tcW w:w="9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7C05118" w14:textId="77777777" w:rsidR="00FE6F09" w:rsidRDefault="00435AFB">
            <w:pPr>
              <w:pStyle w:val="P68B1DB1-Normal8"/>
              <w:spacing w:after="0" w:line="240" w:lineRule="auto"/>
              <w:jc w:val="center"/>
              <w:rPr>
                <w:bCs/>
                <w:noProof/>
              </w:rPr>
            </w:pPr>
            <w:r>
              <w:rPr>
                <w:noProof/>
              </w:rPr>
              <w:t>Trimestrul</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7F3E121" w14:textId="77777777" w:rsidR="00FE6F09" w:rsidRDefault="00435AFB">
            <w:pPr>
              <w:pStyle w:val="P68B1DB1-Normal8"/>
              <w:spacing w:after="0" w:line="240" w:lineRule="auto"/>
              <w:jc w:val="center"/>
              <w:rPr>
                <w:bCs/>
                <w:noProof/>
              </w:rPr>
            </w:pPr>
            <w:r>
              <w:rPr>
                <w:noProof/>
              </w:rPr>
              <w:t>Anul</w:t>
            </w: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2109FE8" w14:textId="77777777" w:rsidR="00FE6F09" w:rsidRDefault="00FE6F09">
            <w:pPr>
              <w:spacing w:after="0" w:line="240" w:lineRule="auto"/>
              <w:jc w:val="both"/>
              <w:rPr>
                <w:rFonts w:ascii="Times New Roman" w:eastAsia="Times New Roman" w:hAnsi="Times New Roman" w:cs="Times New Roman"/>
                <w:b/>
                <w:noProof/>
                <w:sz w:val="20"/>
                <w:szCs w:val="20"/>
              </w:rPr>
            </w:pPr>
          </w:p>
        </w:tc>
      </w:tr>
      <w:tr w:rsidR="00FE6F09" w14:paraId="59B08A3E" w14:textId="77777777">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50B7E5A7" w14:textId="77777777" w:rsidR="00FE6F09" w:rsidRDefault="00435AFB">
            <w:pPr>
              <w:pStyle w:val="P68B1DB1-Normal9"/>
              <w:spacing w:after="0" w:line="240" w:lineRule="auto"/>
              <w:jc w:val="center"/>
              <w:rPr>
                <w:noProof/>
              </w:rPr>
            </w:pPr>
            <w:r>
              <w:rPr>
                <w:noProof/>
              </w:rPr>
              <w:t>4A-1</w:t>
            </w:r>
          </w:p>
        </w:tc>
        <w:tc>
          <w:tcPr>
            <w:tcW w:w="1380" w:type="dxa"/>
            <w:tcBorders>
              <w:top w:val="single" w:sz="4" w:space="0" w:color="auto"/>
              <w:left w:val="nil"/>
              <w:bottom w:val="single" w:sz="4" w:space="0" w:color="auto"/>
              <w:right w:val="single" w:sz="4" w:space="0" w:color="auto"/>
            </w:tcBorders>
            <w:shd w:val="clear" w:color="auto" w:fill="C6EFCE"/>
            <w:noWrap/>
          </w:tcPr>
          <w:p w14:paraId="39F20632" w14:textId="77777777" w:rsidR="00FE6F09" w:rsidRDefault="00435AFB">
            <w:pPr>
              <w:pStyle w:val="P68B1DB1-Normal9"/>
              <w:spacing w:after="0" w:line="240" w:lineRule="auto"/>
              <w:rPr>
                <w:noProof/>
              </w:rPr>
            </w:pPr>
            <w:r>
              <w:rPr>
                <w:noProof/>
              </w:rPr>
              <w:t>Reforma 1 - Promovarea producției durabile de biogaz</w:t>
            </w:r>
          </w:p>
        </w:tc>
        <w:tc>
          <w:tcPr>
            <w:tcW w:w="1212" w:type="dxa"/>
            <w:tcBorders>
              <w:top w:val="single" w:sz="4" w:space="0" w:color="auto"/>
              <w:left w:val="nil"/>
              <w:bottom w:val="single" w:sz="4" w:space="0" w:color="auto"/>
              <w:right w:val="single" w:sz="4" w:space="0" w:color="auto"/>
            </w:tcBorders>
            <w:shd w:val="clear" w:color="auto" w:fill="C6EFCE"/>
            <w:noWrap/>
          </w:tcPr>
          <w:p w14:paraId="14E46D6E" w14:textId="77777777" w:rsidR="00FE6F09" w:rsidRDefault="00435AFB">
            <w:pPr>
              <w:pStyle w:val="P68B1DB1-Normal9"/>
              <w:spacing w:after="0" w:line="240" w:lineRule="auto"/>
              <w:jc w:val="center"/>
              <w:rPr>
                <w:noProof/>
              </w:rPr>
            </w:pPr>
            <w:r>
              <w:rPr>
                <w:noProof/>
              </w:rPr>
              <w:t>Etapa de referință</w:t>
            </w:r>
          </w:p>
        </w:tc>
        <w:tc>
          <w:tcPr>
            <w:tcW w:w="1294" w:type="dxa"/>
            <w:tcBorders>
              <w:top w:val="single" w:sz="4" w:space="0" w:color="auto"/>
              <w:left w:val="nil"/>
              <w:bottom w:val="single" w:sz="4" w:space="0" w:color="auto"/>
              <w:right w:val="single" w:sz="4" w:space="0" w:color="auto"/>
            </w:tcBorders>
            <w:shd w:val="clear" w:color="auto" w:fill="C6EFCE"/>
            <w:noWrap/>
          </w:tcPr>
          <w:p w14:paraId="1A46D075" w14:textId="6B0CADA8" w:rsidR="00FE6F09" w:rsidRDefault="00435AFB">
            <w:pPr>
              <w:pStyle w:val="P68B1DB1-Normal9"/>
              <w:spacing w:after="0" w:line="240" w:lineRule="auto"/>
              <w:rPr>
                <w:noProof/>
              </w:rPr>
            </w:pPr>
            <w:r>
              <w:rPr>
                <w:noProof/>
              </w:rPr>
              <w:t>Regulamentul Marelui Ducat de reformare a schemei de sprijin pentru biogazul durabil</w:t>
            </w:r>
          </w:p>
        </w:tc>
        <w:tc>
          <w:tcPr>
            <w:tcW w:w="1782" w:type="dxa"/>
            <w:tcBorders>
              <w:top w:val="single" w:sz="4" w:space="0" w:color="auto"/>
              <w:left w:val="nil"/>
              <w:bottom w:val="single" w:sz="4" w:space="0" w:color="auto"/>
              <w:right w:val="single" w:sz="4" w:space="0" w:color="auto"/>
            </w:tcBorders>
            <w:shd w:val="clear" w:color="auto" w:fill="C6EFCE"/>
            <w:noWrap/>
          </w:tcPr>
          <w:p w14:paraId="29B7D486" w14:textId="77777777" w:rsidR="00FE6F09" w:rsidRDefault="00435AFB">
            <w:pPr>
              <w:pStyle w:val="P68B1DB1-Normal9"/>
              <w:spacing w:after="0" w:line="240" w:lineRule="auto"/>
              <w:rPr>
                <w:noProof/>
              </w:rPr>
            </w:pPr>
            <w:r>
              <w:rPr>
                <w:noProof/>
              </w:rPr>
              <w:t>Intrarea în vigoare a Regulamentului Marelui Ducat de reformare a schemei de sprijin pentru biogazul durabil</w:t>
            </w:r>
          </w:p>
        </w:tc>
        <w:tc>
          <w:tcPr>
            <w:tcW w:w="1021" w:type="dxa"/>
            <w:tcBorders>
              <w:top w:val="single" w:sz="4" w:space="0" w:color="auto"/>
              <w:left w:val="nil"/>
              <w:bottom w:val="single" w:sz="4" w:space="0" w:color="auto"/>
              <w:right w:val="single" w:sz="4" w:space="0" w:color="auto"/>
            </w:tcBorders>
            <w:shd w:val="clear" w:color="auto" w:fill="C6EFCE"/>
            <w:noWrap/>
          </w:tcPr>
          <w:p w14:paraId="0C60DF1E" w14:textId="7F4AB3E0"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single" w:sz="4" w:space="0" w:color="auto"/>
              <w:left w:val="nil"/>
              <w:bottom w:val="single" w:sz="4" w:space="0" w:color="auto"/>
              <w:right w:val="single" w:sz="4" w:space="0" w:color="auto"/>
            </w:tcBorders>
            <w:shd w:val="clear" w:color="auto" w:fill="C6EFCE"/>
            <w:noWrap/>
          </w:tcPr>
          <w:p w14:paraId="7B5C2B7B" w14:textId="6FE38CD0"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44" w:type="dxa"/>
            <w:tcBorders>
              <w:top w:val="single" w:sz="4" w:space="0" w:color="auto"/>
              <w:left w:val="nil"/>
              <w:bottom w:val="single" w:sz="4" w:space="0" w:color="auto"/>
              <w:right w:val="single" w:sz="4" w:space="0" w:color="auto"/>
            </w:tcBorders>
            <w:shd w:val="clear" w:color="auto" w:fill="C6EFCE"/>
            <w:noWrap/>
          </w:tcPr>
          <w:p w14:paraId="19FD069F"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46" w:type="dxa"/>
            <w:tcBorders>
              <w:top w:val="single" w:sz="4" w:space="0" w:color="auto"/>
              <w:left w:val="nil"/>
              <w:bottom w:val="single" w:sz="4" w:space="0" w:color="auto"/>
              <w:right w:val="single" w:sz="4" w:space="0" w:color="auto"/>
            </w:tcBorders>
            <w:shd w:val="clear" w:color="auto" w:fill="C6EFCE"/>
            <w:noWrap/>
          </w:tcPr>
          <w:p w14:paraId="1AF3BBD5" w14:textId="77777777" w:rsidR="00FE6F09" w:rsidRDefault="00435AFB">
            <w:pPr>
              <w:pStyle w:val="P68B1DB1-Normal9"/>
              <w:spacing w:after="0"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379AB74" w14:textId="77777777" w:rsidR="00FE6F09" w:rsidRDefault="00435AFB">
            <w:pPr>
              <w:pStyle w:val="P68B1DB1-Normal9"/>
              <w:spacing w:after="0" w:line="240" w:lineRule="auto"/>
              <w:jc w:val="center"/>
              <w:rPr>
                <w:noProof/>
              </w:rPr>
            </w:pPr>
            <w:r>
              <w:rPr>
                <w:noProof/>
              </w:rPr>
              <w:t>2024</w:t>
            </w:r>
          </w:p>
        </w:tc>
        <w:tc>
          <w:tcPr>
            <w:tcW w:w="4025" w:type="dxa"/>
            <w:tcBorders>
              <w:top w:val="single" w:sz="4" w:space="0" w:color="auto"/>
              <w:left w:val="nil"/>
              <w:bottom w:val="single" w:sz="4" w:space="0" w:color="auto"/>
              <w:right w:val="single" w:sz="4" w:space="0" w:color="auto"/>
            </w:tcBorders>
            <w:shd w:val="clear" w:color="auto" w:fill="C6EFCE"/>
            <w:noWrap/>
          </w:tcPr>
          <w:p w14:paraId="3DB34926" w14:textId="77777777" w:rsidR="00FE6F09" w:rsidRDefault="00435AFB">
            <w:pPr>
              <w:pStyle w:val="P68B1DB1-Normal9"/>
              <w:spacing w:after="0" w:line="240" w:lineRule="auto"/>
              <w:jc w:val="both"/>
              <w:rPr>
                <w:noProof/>
              </w:rPr>
            </w:pPr>
            <w:r>
              <w:rPr>
                <w:noProof/>
              </w:rPr>
              <w:t>Intrarea în vigoare a Regulamentului Marelui Ducat de reformare a schemelor de sprijin pentru biogazul durabil pentru a spori stimulentele pentru utilizarea gunoiului de grajd într-un raport de masă de cel puțin 90 % și pentru a crea noi categorii tarifare pentru instalațiile mici.</w:t>
            </w:r>
          </w:p>
          <w:p w14:paraId="2209FFA3" w14:textId="77777777" w:rsidR="00FE6F09" w:rsidRDefault="00FE6F09">
            <w:pPr>
              <w:spacing w:after="0" w:line="240" w:lineRule="auto"/>
              <w:jc w:val="both"/>
              <w:rPr>
                <w:rFonts w:ascii="Times New Roman" w:eastAsia="Times New Roman" w:hAnsi="Times New Roman" w:cs="Times New Roman"/>
                <w:noProof/>
                <w:color w:val="006100"/>
                <w:sz w:val="20"/>
                <w:szCs w:val="20"/>
              </w:rPr>
            </w:pPr>
          </w:p>
          <w:p w14:paraId="74A0D8F8" w14:textId="098BDCA7" w:rsidR="00FE6F09" w:rsidRDefault="00435AFB">
            <w:pPr>
              <w:pStyle w:val="P68B1DB1-Normal9"/>
              <w:spacing w:after="0" w:line="240" w:lineRule="auto"/>
              <w:jc w:val="both"/>
              <w:rPr>
                <w:noProof/>
              </w:rPr>
            </w:pPr>
            <w:r>
              <w:rPr>
                <w:noProof/>
              </w:rPr>
              <w:t xml:space="preserve">Regulamentul Marelui Ducat asigură faptul că biogazul vizat de acesta respectă criteriile de durabilitate, criteriile de reducere a emisiilor de gaze cu efect de seră și normele pentru culturile alimentare și furajere prevăzute în Directiva (UE) 2018/2001 a Parlamentului European și a Consiliului din 11 decembrie 2018 privind promovarea utilizării energiei din surse regenerabile. </w:t>
            </w:r>
          </w:p>
        </w:tc>
      </w:tr>
      <w:tr w:rsidR="00FE6F09" w14:paraId="6C2FCAD0"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64B458F1" w14:textId="77777777" w:rsidR="00FE6F09" w:rsidRDefault="00435AFB">
            <w:pPr>
              <w:pStyle w:val="P68B1DB1-Normal9"/>
              <w:spacing w:after="0" w:line="240" w:lineRule="auto"/>
              <w:jc w:val="center"/>
              <w:rPr>
                <w:noProof/>
              </w:rPr>
            </w:pPr>
            <w:r>
              <w:rPr>
                <w:noProof/>
              </w:rPr>
              <w:t>4A-2</w:t>
            </w:r>
          </w:p>
        </w:tc>
        <w:tc>
          <w:tcPr>
            <w:tcW w:w="1380" w:type="dxa"/>
            <w:tcBorders>
              <w:top w:val="nil"/>
              <w:left w:val="nil"/>
              <w:bottom w:val="single" w:sz="4" w:space="0" w:color="auto"/>
              <w:right w:val="single" w:sz="4" w:space="0" w:color="auto"/>
            </w:tcBorders>
            <w:shd w:val="clear" w:color="auto" w:fill="C6EFCE"/>
            <w:noWrap/>
          </w:tcPr>
          <w:p w14:paraId="75C50F62" w14:textId="77777777" w:rsidR="00FE6F09" w:rsidRDefault="00435AFB">
            <w:pPr>
              <w:pStyle w:val="P68B1DB1-Normal9"/>
              <w:spacing w:after="0" w:line="240" w:lineRule="auto"/>
              <w:rPr>
                <w:noProof/>
              </w:rPr>
            </w:pPr>
            <w:r>
              <w:rPr>
                <w:noProof/>
              </w:rPr>
              <w:t>Investiția 1 - Promovarea eficienței energetice și a energiei regenerabile în locuințe</w:t>
            </w:r>
          </w:p>
        </w:tc>
        <w:tc>
          <w:tcPr>
            <w:tcW w:w="1212" w:type="dxa"/>
            <w:tcBorders>
              <w:top w:val="nil"/>
              <w:left w:val="nil"/>
              <w:bottom w:val="single" w:sz="4" w:space="0" w:color="auto"/>
              <w:right w:val="single" w:sz="4" w:space="0" w:color="auto"/>
            </w:tcBorders>
            <w:shd w:val="clear" w:color="auto" w:fill="C6EFCE"/>
            <w:noWrap/>
          </w:tcPr>
          <w:p w14:paraId="23EC09C8" w14:textId="77777777" w:rsidR="00FE6F09" w:rsidRDefault="00435AFB">
            <w:pPr>
              <w:pStyle w:val="P68B1DB1-Normal9"/>
              <w:spacing w:after="0" w:line="240" w:lineRule="auto"/>
              <w:jc w:val="center"/>
              <w:rPr>
                <w:noProof/>
              </w:rPr>
            </w:pPr>
            <w:r>
              <w:rPr>
                <w:noProof/>
              </w:rPr>
              <w:t>Etapa de referință</w:t>
            </w:r>
          </w:p>
        </w:tc>
        <w:tc>
          <w:tcPr>
            <w:tcW w:w="1294" w:type="dxa"/>
            <w:tcBorders>
              <w:top w:val="nil"/>
              <w:left w:val="nil"/>
              <w:bottom w:val="single" w:sz="4" w:space="0" w:color="auto"/>
              <w:right w:val="single" w:sz="4" w:space="0" w:color="auto"/>
            </w:tcBorders>
            <w:shd w:val="clear" w:color="auto" w:fill="C6EFCE"/>
            <w:noWrap/>
          </w:tcPr>
          <w:p w14:paraId="313FF5C7" w14:textId="77777777" w:rsidR="00FE6F09" w:rsidRDefault="00435AFB">
            <w:pPr>
              <w:pStyle w:val="P68B1DB1-Normal9"/>
              <w:spacing w:after="0" w:line="240" w:lineRule="auto"/>
              <w:rPr>
                <w:noProof/>
              </w:rPr>
            </w:pPr>
            <w:r>
              <w:rPr>
                <w:noProof/>
              </w:rPr>
              <w:t>Regulamentul Marelui Ducat de stabilire a orientărilor pentru schema de ajutoare care promovează eficiența energetică și energia regenerabilă în locuințe</w:t>
            </w:r>
          </w:p>
        </w:tc>
        <w:tc>
          <w:tcPr>
            <w:tcW w:w="1782" w:type="dxa"/>
            <w:tcBorders>
              <w:top w:val="nil"/>
              <w:left w:val="nil"/>
              <w:bottom w:val="single" w:sz="4" w:space="0" w:color="auto"/>
              <w:right w:val="single" w:sz="4" w:space="0" w:color="auto"/>
            </w:tcBorders>
            <w:shd w:val="clear" w:color="auto" w:fill="C6EFCE"/>
            <w:noWrap/>
          </w:tcPr>
          <w:p w14:paraId="7D7A9FC9" w14:textId="559CB3A1" w:rsidR="00FE6F09" w:rsidRDefault="00435AFB">
            <w:pPr>
              <w:pStyle w:val="P68B1DB1-Normal9"/>
              <w:spacing w:after="0" w:line="240" w:lineRule="auto"/>
              <w:rPr>
                <w:noProof/>
              </w:rPr>
            </w:pPr>
            <w:r>
              <w:rPr>
                <w:noProof/>
              </w:rPr>
              <w:t>Intrarea în vigoare a Regulamentului Marelui Ducat de reformare a sistemului de promovare a eficienței energetice și a energiei din surse regenerabile în locuințe</w:t>
            </w:r>
          </w:p>
        </w:tc>
        <w:tc>
          <w:tcPr>
            <w:tcW w:w="1021" w:type="dxa"/>
            <w:tcBorders>
              <w:top w:val="nil"/>
              <w:left w:val="nil"/>
              <w:bottom w:val="single" w:sz="4" w:space="0" w:color="auto"/>
              <w:right w:val="single" w:sz="4" w:space="0" w:color="auto"/>
            </w:tcBorders>
            <w:shd w:val="clear" w:color="auto" w:fill="C6EFCE"/>
            <w:noWrap/>
          </w:tcPr>
          <w:p w14:paraId="6450EDE9"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0FC3E248"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44" w:type="dxa"/>
            <w:tcBorders>
              <w:top w:val="nil"/>
              <w:left w:val="nil"/>
              <w:bottom w:val="single" w:sz="4" w:space="0" w:color="auto"/>
              <w:right w:val="single" w:sz="4" w:space="0" w:color="auto"/>
            </w:tcBorders>
            <w:shd w:val="clear" w:color="auto" w:fill="C6EFCE"/>
            <w:noWrap/>
          </w:tcPr>
          <w:p w14:paraId="68CCA771"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46" w:type="dxa"/>
            <w:tcBorders>
              <w:top w:val="nil"/>
              <w:left w:val="nil"/>
              <w:bottom w:val="single" w:sz="4" w:space="0" w:color="auto"/>
              <w:right w:val="single" w:sz="4" w:space="0" w:color="auto"/>
            </w:tcBorders>
            <w:shd w:val="clear" w:color="auto" w:fill="C6EFCE"/>
            <w:noWrap/>
          </w:tcPr>
          <w:p w14:paraId="0E40783D" w14:textId="77777777" w:rsidR="00FE6F09" w:rsidRDefault="00435AFB">
            <w:pPr>
              <w:pStyle w:val="P68B1DB1-Normal9"/>
              <w:spacing w:after="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5A517BFF" w14:textId="77777777" w:rsidR="00FE6F09" w:rsidRDefault="00435AFB">
            <w:pPr>
              <w:pStyle w:val="P68B1DB1-Normal9"/>
              <w:spacing w:after="0" w:line="240" w:lineRule="auto"/>
              <w:jc w:val="center"/>
              <w:rPr>
                <w:noProof/>
              </w:rPr>
            </w:pPr>
            <w:r>
              <w:rPr>
                <w:noProof/>
              </w:rPr>
              <w:t>2022</w:t>
            </w:r>
          </w:p>
        </w:tc>
        <w:tc>
          <w:tcPr>
            <w:tcW w:w="4025" w:type="dxa"/>
            <w:tcBorders>
              <w:top w:val="nil"/>
              <w:left w:val="nil"/>
              <w:bottom w:val="single" w:sz="4" w:space="0" w:color="auto"/>
              <w:right w:val="single" w:sz="4" w:space="0" w:color="auto"/>
            </w:tcBorders>
            <w:shd w:val="clear" w:color="auto" w:fill="C6EFCE"/>
            <w:noWrap/>
          </w:tcPr>
          <w:p w14:paraId="030EDC8D" w14:textId="77777777" w:rsidR="00FE6F09" w:rsidRDefault="00435AFB">
            <w:pPr>
              <w:pStyle w:val="P68B1DB1-Normal9"/>
              <w:spacing w:after="0" w:line="240" w:lineRule="auto"/>
              <w:jc w:val="both"/>
              <w:rPr>
                <w:noProof/>
              </w:rPr>
            </w:pPr>
            <w:r>
              <w:rPr>
                <w:noProof/>
              </w:rPr>
              <w:t>Intrarea în vigoare a Regulamentului Marelui Ducat care stabilește orientările pentru schema de ajutoare pentru promovarea durabilității, a utilizării raționale a energiei și a energiei din surse regenerabile în sectorul locuințelor.</w:t>
            </w:r>
          </w:p>
        </w:tc>
      </w:tr>
      <w:tr w:rsidR="00FE6F09" w14:paraId="59CA3F80"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0084733F" w14:textId="77777777" w:rsidR="00FE6F09" w:rsidRDefault="00435AFB">
            <w:pPr>
              <w:pStyle w:val="P68B1DB1-Normal9"/>
              <w:spacing w:after="0" w:line="240" w:lineRule="auto"/>
              <w:jc w:val="center"/>
              <w:rPr>
                <w:noProof/>
              </w:rPr>
            </w:pPr>
            <w:r>
              <w:rPr>
                <w:noProof/>
              </w:rPr>
              <w:t>4A-3</w:t>
            </w:r>
          </w:p>
        </w:tc>
        <w:tc>
          <w:tcPr>
            <w:tcW w:w="1380" w:type="dxa"/>
            <w:tcBorders>
              <w:top w:val="nil"/>
              <w:left w:val="nil"/>
              <w:bottom w:val="single" w:sz="4" w:space="0" w:color="auto"/>
              <w:right w:val="single" w:sz="4" w:space="0" w:color="auto"/>
            </w:tcBorders>
            <w:shd w:val="clear" w:color="auto" w:fill="C6EFCE"/>
            <w:noWrap/>
          </w:tcPr>
          <w:p w14:paraId="7445EEA8" w14:textId="1A276D66" w:rsidR="00FE6F09" w:rsidRDefault="00435AFB">
            <w:pPr>
              <w:pStyle w:val="P68B1DB1-Normal9"/>
              <w:spacing w:after="0" w:line="240" w:lineRule="auto"/>
              <w:rPr>
                <w:noProof/>
              </w:rPr>
            </w:pPr>
            <w:r>
              <w:rPr>
                <w:noProof/>
              </w:rPr>
              <w:t>Investiția 1 – Promovarea eficienței energetice și a energiei din surse regenerabile în locuințe</w:t>
            </w:r>
          </w:p>
        </w:tc>
        <w:tc>
          <w:tcPr>
            <w:tcW w:w="1212" w:type="dxa"/>
            <w:tcBorders>
              <w:top w:val="nil"/>
              <w:left w:val="nil"/>
              <w:bottom w:val="single" w:sz="4" w:space="0" w:color="auto"/>
              <w:right w:val="single" w:sz="4" w:space="0" w:color="auto"/>
            </w:tcBorders>
            <w:shd w:val="clear" w:color="auto" w:fill="C6EFCE"/>
            <w:noWrap/>
          </w:tcPr>
          <w:p w14:paraId="39E19AC5" w14:textId="77777777" w:rsidR="00FE6F09" w:rsidRDefault="00435AFB">
            <w:pPr>
              <w:pStyle w:val="P68B1DB1-Normal9"/>
              <w:spacing w:after="0" w:line="240" w:lineRule="auto"/>
              <w:jc w:val="center"/>
              <w:rPr>
                <w:noProof/>
              </w:rPr>
            </w:pPr>
            <w:r>
              <w:rPr>
                <w:noProof/>
              </w:rPr>
              <w:t>Țintă</w:t>
            </w:r>
          </w:p>
        </w:tc>
        <w:tc>
          <w:tcPr>
            <w:tcW w:w="1294" w:type="dxa"/>
            <w:tcBorders>
              <w:top w:val="nil"/>
              <w:left w:val="nil"/>
              <w:bottom w:val="single" w:sz="4" w:space="0" w:color="auto"/>
              <w:right w:val="single" w:sz="4" w:space="0" w:color="auto"/>
            </w:tcBorders>
            <w:shd w:val="clear" w:color="auto" w:fill="C6EFCE"/>
            <w:noWrap/>
          </w:tcPr>
          <w:p w14:paraId="1EFB40A0" w14:textId="77777777" w:rsidR="00FE6F09" w:rsidRDefault="00435AFB">
            <w:pPr>
              <w:pStyle w:val="P68B1DB1-Normal9"/>
              <w:spacing w:after="0" w:line="240" w:lineRule="auto"/>
              <w:rPr>
                <w:noProof/>
              </w:rPr>
            </w:pPr>
            <w:r>
              <w:rPr>
                <w:noProof/>
              </w:rPr>
              <w:t xml:space="preserve">Numărul de aprobări de granturi pentru proiecte energetice </w:t>
            </w:r>
          </w:p>
        </w:tc>
        <w:tc>
          <w:tcPr>
            <w:tcW w:w="1782" w:type="dxa"/>
            <w:tcBorders>
              <w:top w:val="nil"/>
              <w:left w:val="nil"/>
              <w:bottom w:val="single" w:sz="4" w:space="0" w:color="auto"/>
              <w:right w:val="single" w:sz="4" w:space="0" w:color="auto"/>
            </w:tcBorders>
            <w:shd w:val="clear" w:color="auto" w:fill="C6EFCE"/>
            <w:noWrap/>
          </w:tcPr>
          <w:p w14:paraId="27EAF16D"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021" w:type="dxa"/>
            <w:tcBorders>
              <w:top w:val="nil"/>
              <w:left w:val="nil"/>
              <w:bottom w:val="single" w:sz="4" w:space="0" w:color="auto"/>
              <w:right w:val="single" w:sz="4" w:space="0" w:color="auto"/>
            </w:tcBorders>
            <w:shd w:val="clear" w:color="auto" w:fill="C6EFCE"/>
            <w:noWrap/>
          </w:tcPr>
          <w:p w14:paraId="7B3C9805" w14:textId="77777777" w:rsidR="00FE6F09" w:rsidRDefault="00435AFB">
            <w:pPr>
              <w:pStyle w:val="P68B1DB1-Normal9"/>
              <w:spacing w:after="0" w:line="240" w:lineRule="auto"/>
              <w:jc w:val="center"/>
              <w:rPr>
                <w:noProof/>
              </w:rPr>
            </w:pPr>
            <w:r>
              <w:rPr>
                <w:noProof/>
              </w:rPr>
              <w:t>Număr</w:t>
            </w:r>
          </w:p>
        </w:tc>
        <w:tc>
          <w:tcPr>
            <w:tcW w:w="933" w:type="dxa"/>
            <w:tcBorders>
              <w:top w:val="nil"/>
              <w:left w:val="nil"/>
              <w:bottom w:val="single" w:sz="4" w:space="0" w:color="auto"/>
              <w:right w:val="single" w:sz="4" w:space="0" w:color="auto"/>
            </w:tcBorders>
            <w:shd w:val="clear" w:color="auto" w:fill="C6EFCE"/>
            <w:noWrap/>
          </w:tcPr>
          <w:p w14:paraId="5EA0E536" w14:textId="77777777" w:rsidR="00FE6F09" w:rsidRDefault="00435AFB">
            <w:pPr>
              <w:pStyle w:val="P68B1DB1-Normal9"/>
              <w:spacing w:after="0" w:line="240" w:lineRule="auto"/>
              <w:jc w:val="center"/>
              <w:rPr>
                <w:noProof/>
              </w:rPr>
            </w:pPr>
            <w:r>
              <w:rPr>
                <w:noProof/>
              </w:rPr>
              <w:t>0</w:t>
            </w:r>
          </w:p>
        </w:tc>
        <w:tc>
          <w:tcPr>
            <w:tcW w:w="944" w:type="dxa"/>
            <w:tcBorders>
              <w:top w:val="nil"/>
              <w:left w:val="nil"/>
              <w:bottom w:val="single" w:sz="4" w:space="0" w:color="auto"/>
              <w:right w:val="single" w:sz="4" w:space="0" w:color="auto"/>
            </w:tcBorders>
            <w:shd w:val="clear" w:color="auto" w:fill="C6EFCE"/>
            <w:noWrap/>
          </w:tcPr>
          <w:p w14:paraId="5D8629F3" w14:textId="77777777" w:rsidR="00FE6F09" w:rsidRDefault="00435AFB">
            <w:pPr>
              <w:pStyle w:val="P68B1DB1-Normal9"/>
              <w:spacing w:after="0" w:line="240" w:lineRule="auto"/>
              <w:jc w:val="center"/>
              <w:rPr>
                <w:noProof/>
              </w:rPr>
            </w:pPr>
            <w:r>
              <w:rPr>
                <w:noProof/>
              </w:rPr>
              <w:t>6 290</w:t>
            </w:r>
          </w:p>
        </w:tc>
        <w:tc>
          <w:tcPr>
            <w:tcW w:w="946" w:type="dxa"/>
            <w:tcBorders>
              <w:top w:val="nil"/>
              <w:left w:val="nil"/>
              <w:bottom w:val="single" w:sz="4" w:space="0" w:color="auto"/>
              <w:right w:val="single" w:sz="4" w:space="0" w:color="auto"/>
            </w:tcBorders>
            <w:shd w:val="clear" w:color="auto" w:fill="C6EFCE"/>
            <w:noWrap/>
          </w:tcPr>
          <w:p w14:paraId="7F04273D" w14:textId="77777777" w:rsidR="00FE6F09" w:rsidRDefault="00435AFB">
            <w:pPr>
              <w:pStyle w:val="P68B1DB1-Normal9"/>
              <w:spacing w:after="0" w:line="240" w:lineRule="auto"/>
              <w:jc w:val="center"/>
              <w:rPr>
                <w:noProof/>
              </w:rPr>
            </w:pPr>
            <w:r>
              <w:rPr>
                <w:noProof/>
              </w:rPr>
              <w:t>T3</w:t>
            </w:r>
          </w:p>
        </w:tc>
        <w:tc>
          <w:tcPr>
            <w:tcW w:w="709" w:type="dxa"/>
            <w:tcBorders>
              <w:top w:val="nil"/>
              <w:left w:val="nil"/>
              <w:bottom w:val="single" w:sz="4" w:space="0" w:color="auto"/>
              <w:right w:val="single" w:sz="4" w:space="0" w:color="auto"/>
            </w:tcBorders>
            <w:shd w:val="clear" w:color="auto" w:fill="C6EFCE"/>
            <w:noWrap/>
          </w:tcPr>
          <w:p w14:paraId="5D6258CD" w14:textId="77777777" w:rsidR="00FE6F09" w:rsidRDefault="00435AFB">
            <w:pPr>
              <w:pStyle w:val="P68B1DB1-Normal9"/>
              <w:spacing w:after="0" w:line="240" w:lineRule="auto"/>
              <w:jc w:val="center"/>
              <w:rPr>
                <w:noProof/>
              </w:rPr>
            </w:pPr>
            <w:r>
              <w:rPr>
                <w:noProof/>
              </w:rPr>
              <w:t>2026</w:t>
            </w:r>
          </w:p>
        </w:tc>
        <w:tc>
          <w:tcPr>
            <w:tcW w:w="4025" w:type="dxa"/>
            <w:tcBorders>
              <w:top w:val="nil"/>
              <w:left w:val="nil"/>
              <w:bottom w:val="single" w:sz="4" w:space="0" w:color="auto"/>
              <w:right w:val="single" w:sz="4" w:space="0" w:color="auto"/>
            </w:tcBorders>
            <w:shd w:val="clear" w:color="auto" w:fill="C6EFCE"/>
            <w:noWrap/>
          </w:tcPr>
          <w:p w14:paraId="6230C6E5" w14:textId="77777777" w:rsidR="00FE6F09" w:rsidRDefault="00435AFB">
            <w:pPr>
              <w:pStyle w:val="P68B1DB1-Normal9"/>
              <w:spacing w:after="0" w:line="240" w:lineRule="auto"/>
              <w:jc w:val="both"/>
              <w:rPr>
                <w:noProof/>
              </w:rPr>
            </w:pPr>
            <w:r>
              <w:rPr>
                <w:noProof/>
              </w:rPr>
              <w:t>Acordarea de aprobări pentru 6</w:t>
            </w:r>
            <w:bookmarkStart w:id="2" w:name="_Hlk211597909"/>
            <w:r>
              <w:rPr>
                <w:noProof/>
              </w:rPr>
              <w:t> </w:t>
            </w:r>
            <w:bookmarkEnd w:id="2"/>
            <w:r>
              <w:rPr>
                <w:noProof/>
              </w:rPr>
              <w:t xml:space="preserve">290 de proiecte energetice care pot include, dar nu se limitează la una sau mai multe dintre următoarele categorii: </w:t>
            </w:r>
          </w:p>
          <w:p w14:paraId="0AAA83FE" w14:textId="6C99C53E" w:rsidR="00FE6F09" w:rsidRDefault="00435AFB">
            <w:pPr>
              <w:pStyle w:val="P68B1DB1-Normal9"/>
              <w:spacing w:after="0" w:line="240" w:lineRule="auto"/>
              <w:jc w:val="both"/>
              <w:rPr>
                <w:noProof/>
              </w:rPr>
            </w:pPr>
            <w:r>
              <w:rPr>
                <w:noProof/>
              </w:rPr>
              <w:t xml:space="preserve">• proiecte de eficiență energetică; </w:t>
            </w:r>
          </w:p>
          <w:p w14:paraId="4A9653DB" w14:textId="41B716E1" w:rsidR="00FE6F09" w:rsidRDefault="00435AFB">
            <w:pPr>
              <w:pStyle w:val="P68B1DB1-Normal9"/>
              <w:spacing w:after="0" w:line="240" w:lineRule="auto"/>
              <w:jc w:val="both"/>
              <w:rPr>
                <w:noProof/>
              </w:rPr>
            </w:pPr>
            <w:r>
              <w:rPr>
                <w:noProof/>
              </w:rPr>
              <w:t xml:space="preserve">• instalații fotovoltaice; </w:t>
            </w:r>
          </w:p>
          <w:p w14:paraId="041BD553" w14:textId="114A412F" w:rsidR="00FE6F09" w:rsidRDefault="00435AFB">
            <w:pPr>
              <w:pStyle w:val="P68B1DB1-Normal9"/>
              <w:spacing w:after="0" w:line="240" w:lineRule="auto"/>
              <w:jc w:val="both"/>
              <w:rPr>
                <w:noProof/>
              </w:rPr>
            </w:pPr>
            <w:r>
              <w:rPr>
                <w:noProof/>
              </w:rPr>
              <w:t xml:space="preserve">• instalații termice solare; </w:t>
            </w:r>
          </w:p>
          <w:p w14:paraId="3AD37FAF" w14:textId="6230DE97" w:rsidR="00FE6F09" w:rsidRDefault="00435AFB">
            <w:pPr>
              <w:pStyle w:val="P68B1DB1-Normal9"/>
              <w:spacing w:after="0" w:line="240" w:lineRule="auto"/>
              <w:jc w:val="both"/>
              <w:rPr>
                <w:noProof/>
              </w:rPr>
            </w:pPr>
            <w:r>
              <w:rPr>
                <w:noProof/>
              </w:rPr>
              <w:t xml:space="preserve">• cazane pe lemne; </w:t>
            </w:r>
          </w:p>
          <w:p w14:paraId="5ED62EB2" w14:textId="77777777" w:rsidR="00FE6F09" w:rsidRDefault="00435AFB">
            <w:pPr>
              <w:pStyle w:val="P68B1DB1-Normal9"/>
              <w:spacing w:after="0" w:line="240" w:lineRule="auto"/>
              <w:jc w:val="both"/>
              <w:rPr>
                <w:noProof/>
              </w:rPr>
            </w:pPr>
            <w:r>
              <w:rPr>
                <w:noProof/>
              </w:rPr>
              <w:t>• pompe de căldură.</w:t>
            </w:r>
          </w:p>
        </w:tc>
      </w:tr>
      <w:tr w:rsidR="00FE6F09" w14:paraId="65C2036C"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3EF2ED5D" w14:textId="77777777" w:rsidR="00FE6F09" w:rsidRDefault="00435AFB">
            <w:pPr>
              <w:pStyle w:val="P68B1DB1-Normal9"/>
              <w:spacing w:after="0" w:line="240" w:lineRule="auto"/>
              <w:jc w:val="center"/>
              <w:rPr>
                <w:noProof/>
              </w:rPr>
            </w:pPr>
            <w:r>
              <w:rPr>
                <w:noProof/>
              </w:rPr>
              <w:t>4A-4</w:t>
            </w:r>
          </w:p>
        </w:tc>
        <w:tc>
          <w:tcPr>
            <w:tcW w:w="1380" w:type="dxa"/>
            <w:tcBorders>
              <w:top w:val="nil"/>
              <w:left w:val="nil"/>
              <w:bottom w:val="single" w:sz="4" w:space="0" w:color="auto"/>
              <w:right w:val="single" w:sz="4" w:space="0" w:color="auto"/>
            </w:tcBorders>
            <w:shd w:val="clear" w:color="auto" w:fill="C6EFCE"/>
            <w:noWrap/>
          </w:tcPr>
          <w:p w14:paraId="0888D6CA" w14:textId="77777777" w:rsidR="00FE6F09" w:rsidRDefault="00435AFB">
            <w:pPr>
              <w:pStyle w:val="P68B1DB1-Normal9"/>
              <w:spacing w:after="0" w:line="240" w:lineRule="auto"/>
              <w:rPr>
                <w:noProof/>
              </w:rPr>
            </w:pPr>
            <w:r>
              <w:rPr>
                <w:noProof/>
              </w:rPr>
              <w:t xml:space="preserve">Investiția 2 – Promovarea mobilității active și cu emisii zero </w:t>
            </w:r>
          </w:p>
        </w:tc>
        <w:tc>
          <w:tcPr>
            <w:tcW w:w="1212" w:type="dxa"/>
            <w:tcBorders>
              <w:top w:val="nil"/>
              <w:left w:val="nil"/>
              <w:bottom w:val="single" w:sz="4" w:space="0" w:color="auto"/>
              <w:right w:val="single" w:sz="4" w:space="0" w:color="auto"/>
            </w:tcBorders>
            <w:shd w:val="clear" w:color="auto" w:fill="C6EFCE"/>
            <w:noWrap/>
          </w:tcPr>
          <w:p w14:paraId="04A4BA3C" w14:textId="77777777" w:rsidR="00FE6F09" w:rsidRDefault="00435AFB">
            <w:pPr>
              <w:pStyle w:val="P68B1DB1-Normal9"/>
              <w:spacing w:after="0" w:line="240" w:lineRule="auto"/>
              <w:jc w:val="center"/>
              <w:rPr>
                <w:noProof/>
              </w:rPr>
            </w:pPr>
            <w:r>
              <w:rPr>
                <w:noProof/>
              </w:rPr>
              <w:t>Etapa de referință</w:t>
            </w:r>
          </w:p>
        </w:tc>
        <w:tc>
          <w:tcPr>
            <w:tcW w:w="1294" w:type="dxa"/>
            <w:tcBorders>
              <w:top w:val="nil"/>
              <w:left w:val="nil"/>
              <w:bottom w:val="single" w:sz="4" w:space="0" w:color="auto"/>
              <w:right w:val="single" w:sz="4" w:space="0" w:color="auto"/>
            </w:tcBorders>
            <w:shd w:val="clear" w:color="auto" w:fill="C6EFCE"/>
            <w:noWrap/>
          </w:tcPr>
          <w:p w14:paraId="3E8941C6" w14:textId="77777777" w:rsidR="00FE6F09" w:rsidRDefault="00435AFB">
            <w:pPr>
              <w:pStyle w:val="P68B1DB1-Normal9"/>
              <w:spacing w:after="0" w:line="240" w:lineRule="auto"/>
              <w:rPr>
                <w:noProof/>
              </w:rPr>
            </w:pPr>
            <w:r>
              <w:rPr>
                <w:noProof/>
              </w:rPr>
              <w:t>Regulamentul Marelui Ducat de stabilire a orientărilor pentru schema de ajutoare în sprijinul achiziționării de vehicule cu emisii zero</w:t>
            </w:r>
          </w:p>
        </w:tc>
        <w:tc>
          <w:tcPr>
            <w:tcW w:w="1782" w:type="dxa"/>
            <w:tcBorders>
              <w:top w:val="nil"/>
              <w:left w:val="nil"/>
              <w:bottom w:val="single" w:sz="4" w:space="0" w:color="auto"/>
              <w:right w:val="single" w:sz="4" w:space="0" w:color="auto"/>
            </w:tcBorders>
            <w:shd w:val="clear" w:color="auto" w:fill="C6EFCE"/>
            <w:noWrap/>
          </w:tcPr>
          <w:p w14:paraId="32AD28B0" w14:textId="77777777" w:rsidR="00FE6F09" w:rsidRDefault="00435AFB">
            <w:pPr>
              <w:pStyle w:val="P68B1DB1-Normal9"/>
              <w:spacing w:after="0" w:line="240" w:lineRule="auto"/>
              <w:rPr>
                <w:noProof/>
              </w:rPr>
            </w:pPr>
            <w:r>
              <w:rPr>
                <w:noProof/>
              </w:rPr>
              <w:t>Intrarea în vigoare a Regulamentului Marelui Ducat de reformare a sistemului de sprijinire a achiziționării de vehicule cu emisii zero</w:t>
            </w:r>
          </w:p>
        </w:tc>
        <w:tc>
          <w:tcPr>
            <w:tcW w:w="1021" w:type="dxa"/>
            <w:tcBorders>
              <w:top w:val="nil"/>
              <w:left w:val="nil"/>
              <w:bottom w:val="single" w:sz="4" w:space="0" w:color="auto"/>
              <w:right w:val="single" w:sz="4" w:space="0" w:color="auto"/>
            </w:tcBorders>
            <w:shd w:val="clear" w:color="auto" w:fill="C6EFCE"/>
            <w:noWrap/>
          </w:tcPr>
          <w:p w14:paraId="37FEC70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33" w:type="dxa"/>
            <w:tcBorders>
              <w:top w:val="nil"/>
              <w:left w:val="nil"/>
              <w:bottom w:val="single" w:sz="4" w:space="0" w:color="auto"/>
              <w:right w:val="single" w:sz="4" w:space="0" w:color="auto"/>
            </w:tcBorders>
            <w:shd w:val="clear" w:color="auto" w:fill="C6EFCE"/>
            <w:noWrap/>
          </w:tcPr>
          <w:p w14:paraId="4425F7E9"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44" w:type="dxa"/>
            <w:tcBorders>
              <w:top w:val="nil"/>
              <w:left w:val="nil"/>
              <w:bottom w:val="single" w:sz="4" w:space="0" w:color="auto"/>
              <w:right w:val="single" w:sz="4" w:space="0" w:color="auto"/>
            </w:tcBorders>
            <w:shd w:val="clear" w:color="auto" w:fill="C6EFCE"/>
            <w:noWrap/>
          </w:tcPr>
          <w:p w14:paraId="7FA49176"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46" w:type="dxa"/>
            <w:tcBorders>
              <w:top w:val="nil"/>
              <w:left w:val="nil"/>
              <w:bottom w:val="single" w:sz="4" w:space="0" w:color="auto"/>
              <w:right w:val="single" w:sz="4" w:space="0" w:color="auto"/>
            </w:tcBorders>
            <w:shd w:val="clear" w:color="auto" w:fill="C6EFCE"/>
            <w:noWrap/>
          </w:tcPr>
          <w:p w14:paraId="676D6AAE" w14:textId="77777777" w:rsidR="00FE6F09" w:rsidRDefault="00435AFB">
            <w:pPr>
              <w:pStyle w:val="P68B1DB1-Normal9"/>
              <w:spacing w:after="0" w:line="240" w:lineRule="auto"/>
              <w:jc w:val="center"/>
              <w:rPr>
                <w:noProof/>
              </w:rPr>
            </w:pPr>
            <w:r>
              <w:rPr>
                <w:noProof/>
              </w:rPr>
              <w:t>T3</w:t>
            </w:r>
          </w:p>
        </w:tc>
        <w:tc>
          <w:tcPr>
            <w:tcW w:w="709" w:type="dxa"/>
            <w:tcBorders>
              <w:top w:val="nil"/>
              <w:left w:val="nil"/>
              <w:bottom w:val="single" w:sz="4" w:space="0" w:color="auto"/>
              <w:right w:val="single" w:sz="4" w:space="0" w:color="auto"/>
            </w:tcBorders>
            <w:shd w:val="clear" w:color="auto" w:fill="C6EFCE"/>
            <w:noWrap/>
          </w:tcPr>
          <w:p w14:paraId="6BA27724" w14:textId="77777777" w:rsidR="00FE6F09" w:rsidRDefault="00435AFB">
            <w:pPr>
              <w:pStyle w:val="P68B1DB1-Normal9"/>
              <w:spacing w:after="0" w:line="240" w:lineRule="auto"/>
              <w:jc w:val="center"/>
              <w:rPr>
                <w:noProof/>
              </w:rPr>
            </w:pPr>
            <w:r>
              <w:rPr>
                <w:noProof/>
              </w:rPr>
              <w:t>2022</w:t>
            </w:r>
          </w:p>
        </w:tc>
        <w:tc>
          <w:tcPr>
            <w:tcW w:w="4025" w:type="dxa"/>
            <w:tcBorders>
              <w:top w:val="nil"/>
              <w:left w:val="nil"/>
              <w:bottom w:val="single" w:sz="4" w:space="0" w:color="auto"/>
              <w:right w:val="single" w:sz="4" w:space="0" w:color="auto"/>
            </w:tcBorders>
            <w:shd w:val="clear" w:color="auto" w:fill="C6EFCE"/>
            <w:noWrap/>
          </w:tcPr>
          <w:p w14:paraId="52C1896D" w14:textId="77777777" w:rsidR="00FE6F09" w:rsidRDefault="00435AFB">
            <w:pPr>
              <w:pStyle w:val="P68B1DB1-Normal9"/>
              <w:spacing w:after="0" w:line="240" w:lineRule="auto"/>
              <w:jc w:val="both"/>
              <w:rPr>
                <w:noProof/>
              </w:rPr>
            </w:pPr>
            <w:r>
              <w:rPr>
                <w:noProof/>
              </w:rPr>
              <w:t>Intrarea în vigoare a Regulamentului Marelui Ducat care stabilește orientările pentru schema de ajutoare pentru promovarea vehiculelor rutiere cu emisii zero și cu emisii scăzute de CO2.</w:t>
            </w:r>
          </w:p>
        </w:tc>
      </w:tr>
      <w:tr w:rsidR="00FE6F09" w14:paraId="20982CD1" w14:textId="77777777">
        <w:trPr>
          <w:trHeight w:val="17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5F0A247E" w14:textId="77777777" w:rsidR="00FE6F09" w:rsidRDefault="00435AFB">
            <w:pPr>
              <w:pStyle w:val="P68B1DB1-Normal9"/>
              <w:spacing w:after="0" w:line="240" w:lineRule="auto"/>
              <w:jc w:val="center"/>
              <w:rPr>
                <w:noProof/>
              </w:rPr>
            </w:pPr>
            <w:r>
              <w:rPr>
                <w:noProof/>
              </w:rPr>
              <w:t>4A-5</w:t>
            </w:r>
          </w:p>
        </w:tc>
        <w:tc>
          <w:tcPr>
            <w:tcW w:w="1380" w:type="dxa"/>
            <w:tcBorders>
              <w:top w:val="nil"/>
              <w:left w:val="nil"/>
              <w:bottom w:val="single" w:sz="4" w:space="0" w:color="auto"/>
              <w:right w:val="single" w:sz="4" w:space="0" w:color="auto"/>
            </w:tcBorders>
            <w:shd w:val="clear" w:color="auto" w:fill="C6EFCE"/>
            <w:noWrap/>
          </w:tcPr>
          <w:p w14:paraId="2326E2F2" w14:textId="77777777" w:rsidR="00FE6F09" w:rsidRDefault="00435AFB">
            <w:pPr>
              <w:pStyle w:val="P68B1DB1-Normal9"/>
              <w:spacing w:after="0" w:line="240" w:lineRule="auto"/>
              <w:rPr>
                <w:noProof/>
              </w:rPr>
            </w:pPr>
            <w:r>
              <w:rPr>
                <w:noProof/>
              </w:rPr>
              <w:t xml:space="preserve">Investiția 2 – Promovarea mobilității active și cu emisii zero </w:t>
            </w:r>
          </w:p>
        </w:tc>
        <w:tc>
          <w:tcPr>
            <w:tcW w:w="1212" w:type="dxa"/>
            <w:tcBorders>
              <w:top w:val="nil"/>
              <w:left w:val="nil"/>
              <w:bottom w:val="single" w:sz="4" w:space="0" w:color="auto"/>
              <w:right w:val="single" w:sz="4" w:space="0" w:color="auto"/>
            </w:tcBorders>
            <w:shd w:val="clear" w:color="auto" w:fill="C6EFCE"/>
            <w:noWrap/>
          </w:tcPr>
          <w:p w14:paraId="25DD2A58" w14:textId="77777777" w:rsidR="00FE6F09" w:rsidRDefault="00435AFB">
            <w:pPr>
              <w:pStyle w:val="P68B1DB1-Normal9"/>
              <w:spacing w:after="0" w:line="240" w:lineRule="auto"/>
              <w:jc w:val="center"/>
              <w:rPr>
                <w:noProof/>
              </w:rPr>
            </w:pPr>
            <w:r>
              <w:rPr>
                <w:noProof/>
              </w:rPr>
              <w:t>Țintă</w:t>
            </w:r>
          </w:p>
        </w:tc>
        <w:tc>
          <w:tcPr>
            <w:tcW w:w="1294" w:type="dxa"/>
            <w:tcBorders>
              <w:top w:val="nil"/>
              <w:left w:val="nil"/>
              <w:bottom w:val="single" w:sz="4" w:space="0" w:color="auto"/>
              <w:right w:val="single" w:sz="4" w:space="0" w:color="auto"/>
            </w:tcBorders>
            <w:shd w:val="clear" w:color="auto" w:fill="C6EFCE"/>
            <w:noWrap/>
          </w:tcPr>
          <w:p w14:paraId="30AE2FF0" w14:textId="77777777" w:rsidR="00FE6F09" w:rsidRDefault="00435AFB">
            <w:pPr>
              <w:pStyle w:val="P68B1DB1-Normal9"/>
              <w:spacing w:after="0" w:line="240" w:lineRule="auto"/>
              <w:rPr>
                <w:noProof/>
              </w:rPr>
            </w:pPr>
            <w:r>
              <w:rPr>
                <w:noProof/>
              </w:rPr>
              <w:t xml:space="preserve">Numărul de vehicule cu emisii zero achiziționate prin achiziționare, leasing sau închiriere </w:t>
            </w:r>
          </w:p>
        </w:tc>
        <w:tc>
          <w:tcPr>
            <w:tcW w:w="1782" w:type="dxa"/>
            <w:tcBorders>
              <w:top w:val="nil"/>
              <w:left w:val="nil"/>
              <w:bottom w:val="single" w:sz="4" w:space="0" w:color="auto"/>
              <w:right w:val="single" w:sz="4" w:space="0" w:color="auto"/>
            </w:tcBorders>
            <w:shd w:val="clear" w:color="auto" w:fill="C6EFCE"/>
            <w:noWrap/>
          </w:tcPr>
          <w:p w14:paraId="2571C5FB"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021" w:type="dxa"/>
            <w:tcBorders>
              <w:top w:val="nil"/>
              <w:left w:val="nil"/>
              <w:bottom w:val="single" w:sz="4" w:space="0" w:color="auto"/>
              <w:right w:val="single" w:sz="4" w:space="0" w:color="auto"/>
            </w:tcBorders>
            <w:shd w:val="clear" w:color="auto" w:fill="C6EFCE"/>
            <w:noWrap/>
          </w:tcPr>
          <w:p w14:paraId="18C50614" w14:textId="77777777" w:rsidR="00FE6F09" w:rsidRDefault="00435AFB">
            <w:pPr>
              <w:pStyle w:val="P68B1DB1-Normal9"/>
              <w:spacing w:after="0" w:line="240" w:lineRule="auto"/>
              <w:jc w:val="center"/>
              <w:rPr>
                <w:noProof/>
              </w:rPr>
            </w:pPr>
            <w:r>
              <w:rPr>
                <w:noProof/>
              </w:rPr>
              <w:t>Număr</w:t>
            </w:r>
          </w:p>
        </w:tc>
        <w:tc>
          <w:tcPr>
            <w:tcW w:w="933" w:type="dxa"/>
            <w:tcBorders>
              <w:top w:val="nil"/>
              <w:left w:val="nil"/>
              <w:bottom w:val="single" w:sz="4" w:space="0" w:color="auto"/>
              <w:right w:val="single" w:sz="4" w:space="0" w:color="auto"/>
            </w:tcBorders>
            <w:shd w:val="clear" w:color="auto" w:fill="C6EFCE"/>
            <w:noWrap/>
          </w:tcPr>
          <w:p w14:paraId="5986E336" w14:textId="77777777" w:rsidR="00FE6F09" w:rsidRDefault="00435AFB">
            <w:pPr>
              <w:pStyle w:val="P68B1DB1-Normal9"/>
              <w:spacing w:after="0" w:line="240" w:lineRule="auto"/>
              <w:jc w:val="center"/>
              <w:rPr>
                <w:noProof/>
              </w:rPr>
            </w:pPr>
            <w:r>
              <w:rPr>
                <w:noProof/>
              </w:rPr>
              <w:t>0</w:t>
            </w:r>
          </w:p>
        </w:tc>
        <w:tc>
          <w:tcPr>
            <w:tcW w:w="944" w:type="dxa"/>
            <w:tcBorders>
              <w:top w:val="nil"/>
              <w:left w:val="nil"/>
              <w:bottom w:val="single" w:sz="4" w:space="0" w:color="auto"/>
              <w:right w:val="single" w:sz="4" w:space="0" w:color="auto"/>
            </w:tcBorders>
            <w:shd w:val="clear" w:color="auto" w:fill="C6EFCE"/>
            <w:noWrap/>
          </w:tcPr>
          <w:p w14:paraId="26C7866E" w14:textId="75AAE30A" w:rsidR="00FE6F09" w:rsidRDefault="00435AFB">
            <w:pPr>
              <w:pStyle w:val="P68B1DB1-Normal9"/>
              <w:spacing w:after="0" w:line="240" w:lineRule="auto"/>
              <w:jc w:val="center"/>
              <w:rPr>
                <w:noProof/>
              </w:rPr>
            </w:pPr>
            <w:r>
              <w:rPr>
                <w:noProof/>
              </w:rPr>
              <w:t>38 126</w:t>
            </w:r>
          </w:p>
        </w:tc>
        <w:tc>
          <w:tcPr>
            <w:tcW w:w="946" w:type="dxa"/>
            <w:tcBorders>
              <w:top w:val="nil"/>
              <w:left w:val="nil"/>
              <w:bottom w:val="single" w:sz="4" w:space="0" w:color="auto"/>
              <w:right w:val="single" w:sz="4" w:space="0" w:color="auto"/>
            </w:tcBorders>
            <w:shd w:val="clear" w:color="auto" w:fill="C6EFCE"/>
            <w:noWrap/>
          </w:tcPr>
          <w:p w14:paraId="4F7CEE72" w14:textId="77777777" w:rsidR="00FE6F09" w:rsidRDefault="00435AFB">
            <w:pPr>
              <w:pStyle w:val="P68B1DB1-Normal9"/>
              <w:spacing w:after="0" w:line="240" w:lineRule="auto"/>
              <w:jc w:val="center"/>
              <w:rPr>
                <w:noProof/>
              </w:rPr>
            </w:pPr>
            <w:r>
              <w:rPr>
                <w:noProof/>
              </w:rPr>
              <w:t>Q1</w:t>
            </w:r>
          </w:p>
        </w:tc>
        <w:tc>
          <w:tcPr>
            <w:tcW w:w="709" w:type="dxa"/>
            <w:tcBorders>
              <w:top w:val="nil"/>
              <w:left w:val="nil"/>
              <w:bottom w:val="single" w:sz="4" w:space="0" w:color="auto"/>
              <w:right w:val="single" w:sz="4" w:space="0" w:color="auto"/>
            </w:tcBorders>
            <w:shd w:val="clear" w:color="auto" w:fill="C6EFCE"/>
            <w:noWrap/>
          </w:tcPr>
          <w:p w14:paraId="06D46602" w14:textId="77777777" w:rsidR="00FE6F09" w:rsidRDefault="00435AFB">
            <w:pPr>
              <w:pStyle w:val="P68B1DB1-Normal9"/>
              <w:spacing w:after="0" w:line="240" w:lineRule="auto"/>
              <w:jc w:val="center"/>
              <w:rPr>
                <w:noProof/>
              </w:rPr>
            </w:pPr>
            <w:r>
              <w:rPr>
                <w:noProof/>
              </w:rPr>
              <w:t>2025</w:t>
            </w:r>
          </w:p>
        </w:tc>
        <w:tc>
          <w:tcPr>
            <w:tcW w:w="4025" w:type="dxa"/>
            <w:tcBorders>
              <w:top w:val="nil"/>
              <w:left w:val="nil"/>
              <w:bottom w:val="single" w:sz="4" w:space="0" w:color="auto"/>
              <w:right w:val="single" w:sz="4" w:space="0" w:color="auto"/>
            </w:tcBorders>
            <w:shd w:val="clear" w:color="auto" w:fill="C6EFCE"/>
            <w:noWrap/>
          </w:tcPr>
          <w:p w14:paraId="1D59FEFF" w14:textId="7FC39063" w:rsidR="00FE6F09" w:rsidRDefault="00435AFB">
            <w:pPr>
              <w:pStyle w:val="P68B1DB1-Normal9"/>
              <w:spacing w:after="0" w:line="240" w:lineRule="auto"/>
              <w:jc w:val="both"/>
              <w:rPr>
                <w:noProof/>
              </w:rPr>
            </w:pPr>
            <w:r>
              <w:rPr>
                <w:noProof/>
              </w:rPr>
              <w:t>38 126 de vehicule cu emisii zero achiziționate.</w:t>
            </w:r>
          </w:p>
        </w:tc>
      </w:tr>
      <w:tr w:rsidR="00FE6F09" w14:paraId="36D25EA4" w14:textId="77777777">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08FC1FE7" w14:textId="77777777" w:rsidR="00FE6F09" w:rsidRDefault="00435AFB">
            <w:pPr>
              <w:pStyle w:val="P68B1DB1-Normal9"/>
              <w:spacing w:after="0" w:line="240" w:lineRule="auto"/>
              <w:jc w:val="center"/>
              <w:rPr>
                <w:noProof/>
              </w:rPr>
            </w:pPr>
            <w:r>
              <w:rPr>
                <w:noProof/>
              </w:rPr>
              <w:t>4A-6</w:t>
            </w:r>
          </w:p>
        </w:tc>
        <w:tc>
          <w:tcPr>
            <w:tcW w:w="1380" w:type="dxa"/>
            <w:tcBorders>
              <w:top w:val="nil"/>
              <w:left w:val="nil"/>
              <w:bottom w:val="single" w:sz="4" w:space="0" w:color="auto"/>
              <w:right w:val="single" w:sz="4" w:space="0" w:color="auto"/>
            </w:tcBorders>
            <w:shd w:val="clear" w:color="auto" w:fill="C6EFCE"/>
            <w:noWrap/>
          </w:tcPr>
          <w:p w14:paraId="4B608974" w14:textId="77777777" w:rsidR="00FE6F09" w:rsidRDefault="00435AFB">
            <w:pPr>
              <w:pStyle w:val="P68B1DB1-Normal9"/>
              <w:spacing w:after="0" w:line="240" w:lineRule="auto"/>
              <w:rPr>
                <w:noProof/>
              </w:rPr>
            </w:pPr>
            <w:r>
              <w:rPr>
                <w:noProof/>
              </w:rPr>
              <w:t xml:space="preserve">Investiția 3: Construcția unităților de generare a energiei fotovoltaice în spațiile comerciale </w:t>
            </w:r>
          </w:p>
        </w:tc>
        <w:tc>
          <w:tcPr>
            <w:tcW w:w="1212" w:type="dxa"/>
            <w:tcBorders>
              <w:top w:val="nil"/>
              <w:left w:val="nil"/>
              <w:bottom w:val="single" w:sz="4" w:space="0" w:color="auto"/>
              <w:right w:val="single" w:sz="4" w:space="0" w:color="auto"/>
            </w:tcBorders>
            <w:shd w:val="clear" w:color="auto" w:fill="C6EFCE"/>
            <w:noWrap/>
          </w:tcPr>
          <w:p w14:paraId="51860B3E" w14:textId="77777777" w:rsidR="00FE6F09" w:rsidRDefault="00435AFB">
            <w:pPr>
              <w:pStyle w:val="P68B1DB1-Normal9"/>
              <w:spacing w:after="0" w:line="240" w:lineRule="auto"/>
              <w:jc w:val="center"/>
              <w:rPr>
                <w:noProof/>
              </w:rPr>
            </w:pPr>
            <w:r>
              <w:rPr>
                <w:noProof/>
              </w:rPr>
              <w:t>Țintă</w:t>
            </w:r>
          </w:p>
        </w:tc>
        <w:tc>
          <w:tcPr>
            <w:tcW w:w="1294" w:type="dxa"/>
            <w:tcBorders>
              <w:top w:val="nil"/>
              <w:left w:val="nil"/>
              <w:bottom w:val="single" w:sz="4" w:space="0" w:color="auto"/>
              <w:right w:val="single" w:sz="4" w:space="0" w:color="auto"/>
            </w:tcBorders>
            <w:shd w:val="clear" w:color="auto" w:fill="C6EFCE"/>
            <w:noWrap/>
          </w:tcPr>
          <w:p w14:paraId="1E6A3D24" w14:textId="77777777" w:rsidR="00FE6F09" w:rsidRDefault="00435AFB">
            <w:pPr>
              <w:pStyle w:val="P68B1DB1-Normal9"/>
              <w:spacing w:after="0" w:line="240" w:lineRule="auto"/>
              <w:rPr>
                <w:noProof/>
              </w:rPr>
            </w:pPr>
            <w:r>
              <w:rPr>
                <w:noProof/>
              </w:rPr>
              <w:t>Capacitatea fotovoltaică instalată a unităților de producere a energiei electrice în spațiile comerciale</w:t>
            </w:r>
          </w:p>
        </w:tc>
        <w:tc>
          <w:tcPr>
            <w:tcW w:w="1782" w:type="dxa"/>
            <w:tcBorders>
              <w:top w:val="nil"/>
              <w:left w:val="nil"/>
              <w:bottom w:val="single" w:sz="4" w:space="0" w:color="auto"/>
              <w:right w:val="single" w:sz="4" w:space="0" w:color="auto"/>
            </w:tcBorders>
            <w:shd w:val="clear" w:color="auto" w:fill="C6EFCE"/>
            <w:noWrap/>
          </w:tcPr>
          <w:p w14:paraId="6CB84BF7"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021" w:type="dxa"/>
            <w:tcBorders>
              <w:top w:val="nil"/>
              <w:left w:val="nil"/>
              <w:bottom w:val="single" w:sz="4" w:space="0" w:color="auto"/>
              <w:right w:val="single" w:sz="4" w:space="0" w:color="auto"/>
            </w:tcBorders>
            <w:shd w:val="clear" w:color="auto" w:fill="C6EFCE"/>
            <w:noWrap/>
          </w:tcPr>
          <w:p w14:paraId="75474447" w14:textId="77777777" w:rsidR="00FE6F09" w:rsidRDefault="00435AFB">
            <w:pPr>
              <w:pStyle w:val="P68B1DB1-Normal9"/>
              <w:spacing w:after="0" w:line="240" w:lineRule="auto"/>
              <w:jc w:val="center"/>
              <w:rPr>
                <w:noProof/>
              </w:rPr>
            </w:pPr>
            <w:r>
              <w:rPr>
                <w:noProof/>
              </w:rPr>
              <w:t>MWp</w:t>
            </w:r>
          </w:p>
        </w:tc>
        <w:tc>
          <w:tcPr>
            <w:tcW w:w="933" w:type="dxa"/>
            <w:tcBorders>
              <w:top w:val="nil"/>
              <w:left w:val="nil"/>
              <w:bottom w:val="single" w:sz="4" w:space="0" w:color="auto"/>
              <w:right w:val="single" w:sz="4" w:space="0" w:color="auto"/>
            </w:tcBorders>
            <w:shd w:val="clear" w:color="auto" w:fill="C6EFCE"/>
            <w:noWrap/>
          </w:tcPr>
          <w:p w14:paraId="4A135A3E" w14:textId="77777777" w:rsidR="00FE6F09" w:rsidRDefault="00435AFB">
            <w:pPr>
              <w:pStyle w:val="P68B1DB1-Normal9"/>
              <w:spacing w:after="0" w:line="240" w:lineRule="auto"/>
              <w:jc w:val="center"/>
              <w:rPr>
                <w:noProof/>
              </w:rPr>
            </w:pPr>
            <w:r>
              <w:rPr>
                <w:noProof/>
              </w:rPr>
              <w:t>0</w:t>
            </w:r>
          </w:p>
        </w:tc>
        <w:tc>
          <w:tcPr>
            <w:tcW w:w="944" w:type="dxa"/>
            <w:tcBorders>
              <w:top w:val="nil"/>
              <w:left w:val="nil"/>
              <w:bottom w:val="single" w:sz="4" w:space="0" w:color="auto"/>
              <w:right w:val="single" w:sz="4" w:space="0" w:color="auto"/>
            </w:tcBorders>
            <w:shd w:val="clear" w:color="auto" w:fill="C6EFCE"/>
            <w:noWrap/>
          </w:tcPr>
          <w:p w14:paraId="6379DF80" w14:textId="77777777" w:rsidR="00FE6F09" w:rsidRDefault="00435AFB">
            <w:pPr>
              <w:pStyle w:val="P68B1DB1-Normal9"/>
              <w:spacing w:after="0" w:line="240" w:lineRule="auto"/>
              <w:jc w:val="center"/>
              <w:rPr>
                <w:noProof/>
              </w:rPr>
            </w:pPr>
            <w:r>
              <w:rPr>
                <w:noProof/>
              </w:rPr>
              <w:t>25</w:t>
            </w:r>
          </w:p>
        </w:tc>
        <w:tc>
          <w:tcPr>
            <w:tcW w:w="946" w:type="dxa"/>
            <w:tcBorders>
              <w:top w:val="nil"/>
              <w:left w:val="nil"/>
              <w:bottom w:val="single" w:sz="4" w:space="0" w:color="auto"/>
              <w:right w:val="single" w:sz="4" w:space="0" w:color="auto"/>
            </w:tcBorders>
            <w:shd w:val="clear" w:color="auto" w:fill="C6EFCE"/>
            <w:noWrap/>
          </w:tcPr>
          <w:p w14:paraId="55802FAE" w14:textId="77777777" w:rsidR="00FE6F09" w:rsidRDefault="00435AFB">
            <w:pPr>
              <w:pStyle w:val="P68B1DB1-Normal9"/>
              <w:spacing w:after="0" w:line="240"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31B1FB8E" w14:textId="77777777" w:rsidR="00FE6F09" w:rsidRDefault="00435AFB">
            <w:pPr>
              <w:pStyle w:val="P68B1DB1-Normal9"/>
              <w:spacing w:after="0" w:line="240" w:lineRule="auto"/>
              <w:jc w:val="center"/>
              <w:rPr>
                <w:noProof/>
              </w:rPr>
            </w:pPr>
            <w:r>
              <w:rPr>
                <w:noProof/>
              </w:rPr>
              <w:t>2024</w:t>
            </w:r>
          </w:p>
        </w:tc>
        <w:tc>
          <w:tcPr>
            <w:tcW w:w="4025" w:type="dxa"/>
            <w:tcBorders>
              <w:top w:val="nil"/>
              <w:left w:val="nil"/>
              <w:bottom w:val="single" w:sz="4" w:space="0" w:color="auto"/>
              <w:right w:val="single" w:sz="4" w:space="0" w:color="auto"/>
            </w:tcBorders>
            <w:shd w:val="clear" w:color="auto" w:fill="C6EFCE"/>
            <w:noWrap/>
          </w:tcPr>
          <w:p w14:paraId="140C4C28" w14:textId="0302F2A0" w:rsidR="00FE6F09" w:rsidRDefault="00435AFB">
            <w:pPr>
              <w:pStyle w:val="P68B1DB1-Normal9"/>
              <w:spacing w:after="0" w:line="240" w:lineRule="auto"/>
              <w:jc w:val="both"/>
              <w:rPr>
                <w:noProof/>
              </w:rPr>
            </w:pPr>
            <w:r>
              <w:rPr>
                <w:noProof/>
              </w:rPr>
              <w:t>25 MWp de capacitate fotovoltaică a unităților de producere a energiei electrice instalate în spațiile comerciale.</w:t>
            </w:r>
          </w:p>
        </w:tc>
      </w:tr>
      <w:tr w:rsidR="00FE6F09" w14:paraId="4F6F9BE3" w14:textId="77777777">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3F8597B0" w14:textId="77777777" w:rsidR="00FE6F09" w:rsidRDefault="00435AFB">
            <w:pPr>
              <w:pStyle w:val="P68B1DB1-Normal9"/>
              <w:spacing w:after="0" w:line="240" w:lineRule="auto"/>
              <w:jc w:val="center"/>
              <w:rPr>
                <w:noProof/>
              </w:rPr>
            </w:pPr>
            <w:r>
              <w:rPr>
                <w:noProof/>
              </w:rPr>
              <w:t>4A-7</w:t>
            </w:r>
          </w:p>
        </w:tc>
        <w:tc>
          <w:tcPr>
            <w:tcW w:w="1380" w:type="dxa"/>
            <w:tcBorders>
              <w:top w:val="single" w:sz="4" w:space="0" w:color="auto"/>
              <w:left w:val="nil"/>
              <w:bottom w:val="single" w:sz="4" w:space="0" w:color="auto"/>
              <w:right w:val="single" w:sz="4" w:space="0" w:color="auto"/>
            </w:tcBorders>
            <w:shd w:val="clear" w:color="auto" w:fill="C6EFCE"/>
            <w:noWrap/>
          </w:tcPr>
          <w:p w14:paraId="03191A2D" w14:textId="77777777" w:rsidR="00FE6F09" w:rsidRDefault="00435AFB">
            <w:pPr>
              <w:pStyle w:val="P68B1DB1-Normal9"/>
              <w:spacing w:after="0" w:line="240" w:lineRule="auto"/>
              <w:rPr>
                <w:noProof/>
              </w:rPr>
            </w:pPr>
            <w:r>
              <w:rPr>
                <w:noProof/>
              </w:rPr>
              <w:t>Investiția 3: Construcția unităților de generare a energiei fotovoltaice în spațiile comerciale</w:t>
            </w:r>
          </w:p>
        </w:tc>
        <w:tc>
          <w:tcPr>
            <w:tcW w:w="1212" w:type="dxa"/>
            <w:tcBorders>
              <w:top w:val="single" w:sz="4" w:space="0" w:color="auto"/>
              <w:left w:val="nil"/>
              <w:bottom w:val="single" w:sz="4" w:space="0" w:color="auto"/>
              <w:right w:val="single" w:sz="4" w:space="0" w:color="auto"/>
            </w:tcBorders>
            <w:shd w:val="clear" w:color="auto" w:fill="C6EFCE"/>
            <w:noWrap/>
          </w:tcPr>
          <w:p w14:paraId="750DDEA7" w14:textId="77777777" w:rsidR="00FE6F09" w:rsidRDefault="00435AFB">
            <w:pPr>
              <w:pStyle w:val="P68B1DB1-Normal9"/>
              <w:spacing w:after="0" w:line="240" w:lineRule="auto"/>
              <w:jc w:val="center"/>
              <w:rPr>
                <w:noProof/>
              </w:rPr>
            </w:pPr>
            <w:r>
              <w:rPr>
                <w:noProof/>
              </w:rPr>
              <w:t>Țintă</w:t>
            </w:r>
          </w:p>
        </w:tc>
        <w:tc>
          <w:tcPr>
            <w:tcW w:w="1294" w:type="dxa"/>
            <w:tcBorders>
              <w:top w:val="single" w:sz="4" w:space="0" w:color="auto"/>
              <w:left w:val="nil"/>
              <w:bottom w:val="single" w:sz="4" w:space="0" w:color="auto"/>
              <w:right w:val="single" w:sz="4" w:space="0" w:color="auto"/>
            </w:tcBorders>
            <w:shd w:val="clear" w:color="auto" w:fill="C6EFCE"/>
            <w:noWrap/>
          </w:tcPr>
          <w:p w14:paraId="30239040" w14:textId="77777777" w:rsidR="00FE6F09" w:rsidRDefault="00435AFB">
            <w:pPr>
              <w:pStyle w:val="P68B1DB1-Normal9"/>
              <w:spacing w:after="0" w:line="240" w:lineRule="auto"/>
              <w:rPr>
                <w:noProof/>
              </w:rPr>
            </w:pPr>
            <w:r>
              <w:rPr>
                <w:noProof/>
              </w:rPr>
              <w:t>Capacitatea fotovoltaică instalată a unităților de producere a energiei electrice în spațiile comerciale</w:t>
            </w:r>
          </w:p>
          <w:p w14:paraId="5F61C116"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782" w:type="dxa"/>
            <w:tcBorders>
              <w:top w:val="single" w:sz="4" w:space="0" w:color="auto"/>
              <w:left w:val="nil"/>
              <w:bottom w:val="single" w:sz="4" w:space="0" w:color="auto"/>
              <w:right w:val="single" w:sz="4" w:space="0" w:color="auto"/>
            </w:tcBorders>
            <w:shd w:val="clear" w:color="auto" w:fill="C6EFCE"/>
            <w:noWrap/>
          </w:tcPr>
          <w:p w14:paraId="44396107"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021" w:type="dxa"/>
            <w:tcBorders>
              <w:top w:val="single" w:sz="4" w:space="0" w:color="auto"/>
              <w:left w:val="nil"/>
              <w:bottom w:val="single" w:sz="4" w:space="0" w:color="auto"/>
              <w:right w:val="single" w:sz="4" w:space="0" w:color="auto"/>
            </w:tcBorders>
            <w:shd w:val="clear" w:color="auto" w:fill="C6EFCE"/>
            <w:noWrap/>
          </w:tcPr>
          <w:p w14:paraId="684C22EE" w14:textId="77777777" w:rsidR="00FE6F09" w:rsidRDefault="00435AFB">
            <w:pPr>
              <w:pStyle w:val="P68B1DB1-Normal9"/>
              <w:spacing w:after="0" w:line="240" w:lineRule="auto"/>
              <w:jc w:val="center"/>
              <w:rPr>
                <w:noProof/>
              </w:rPr>
            </w:pPr>
            <w:r>
              <w:rPr>
                <w:noProof/>
              </w:rPr>
              <w:t>MWp</w:t>
            </w:r>
          </w:p>
        </w:tc>
        <w:tc>
          <w:tcPr>
            <w:tcW w:w="933" w:type="dxa"/>
            <w:tcBorders>
              <w:top w:val="single" w:sz="4" w:space="0" w:color="auto"/>
              <w:left w:val="nil"/>
              <w:bottom w:val="single" w:sz="4" w:space="0" w:color="auto"/>
              <w:right w:val="single" w:sz="4" w:space="0" w:color="auto"/>
            </w:tcBorders>
            <w:shd w:val="clear" w:color="auto" w:fill="C6EFCE"/>
            <w:noWrap/>
          </w:tcPr>
          <w:p w14:paraId="4BE4F90D" w14:textId="77777777" w:rsidR="00FE6F09" w:rsidRDefault="00435AFB">
            <w:pPr>
              <w:pStyle w:val="P68B1DB1-Normal9"/>
              <w:spacing w:after="0" w:line="240" w:lineRule="auto"/>
              <w:jc w:val="center"/>
              <w:rPr>
                <w:noProof/>
              </w:rPr>
            </w:pPr>
            <w:r>
              <w:rPr>
                <w:noProof/>
              </w:rPr>
              <w:t>25</w:t>
            </w:r>
          </w:p>
        </w:tc>
        <w:tc>
          <w:tcPr>
            <w:tcW w:w="944" w:type="dxa"/>
            <w:tcBorders>
              <w:top w:val="single" w:sz="4" w:space="0" w:color="auto"/>
              <w:left w:val="nil"/>
              <w:bottom w:val="single" w:sz="4" w:space="0" w:color="auto"/>
              <w:right w:val="single" w:sz="4" w:space="0" w:color="auto"/>
            </w:tcBorders>
            <w:shd w:val="clear" w:color="auto" w:fill="C6EFCE"/>
            <w:noWrap/>
          </w:tcPr>
          <w:p w14:paraId="2A33337A" w14:textId="77777777" w:rsidR="00FE6F09" w:rsidRDefault="00435AFB">
            <w:pPr>
              <w:pStyle w:val="P68B1DB1-Normal9"/>
              <w:spacing w:after="0" w:line="240" w:lineRule="auto"/>
              <w:jc w:val="center"/>
              <w:rPr>
                <w:noProof/>
              </w:rPr>
            </w:pPr>
            <w:r>
              <w:rPr>
                <w:noProof/>
              </w:rPr>
              <w:t>55.1</w:t>
            </w:r>
          </w:p>
        </w:tc>
        <w:tc>
          <w:tcPr>
            <w:tcW w:w="946" w:type="dxa"/>
            <w:tcBorders>
              <w:top w:val="single" w:sz="4" w:space="0" w:color="auto"/>
              <w:left w:val="nil"/>
              <w:bottom w:val="single" w:sz="4" w:space="0" w:color="auto"/>
              <w:right w:val="single" w:sz="4" w:space="0" w:color="auto"/>
            </w:tcBorders>
            <w:shd w:val="clear" w:color="auto" w:fill="C6EFCE"/>
            <w:noWrap/>
          </w:tcPr>
          <w:p w14:paraId="094A9B4D" w14:textId="77777777" w:rsidR="00FE6F09" w:rsidRDefault="00435AFB">
            <w:pPr>
              <w:pStyle w:val="P68B1DB1-Normal9"/>
              <w:spacing w:after="0" w:line="240" w:lineRule="auto"/>
              <w:jc w:val="center"/>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0E34937F" w14:textId="77777777" w:rsidR="00FE6F09" w:rsidRDefault="00435AFB">
            <w:pPr>
              <w:pStyle w:val="P68B1DB1-Normal9"/>
              <w:spacing w:after="0" w:line="240" w:lineRule="auto"/>
              <w:jc w:val="center"/>
              <w:rPr>
                <w:noProof/>
              </w:rPr>
            </w:pPr>
            <w:r>
              <w:rPr>
                <w:noProof/>
              </w:rPr>
              <w:t>2026</w:t>
            </w:r>
          </w:p>
        </w:tc>
        <w:tc>
          <w:tcPr>
            <w:tcW w:w="4025" w:type="dxa"/>
            <w:tcBorders>
              <w:top w:val="single" w:sz="4" w:space="0" w:color="auto"/>
              <w:left w:val="nil"/>
              <w:bottom w:val="single" w:sz="4" w:space="0" w:color="auto"/>
              <w:right w:val="single" w:sz="4" w:space="0" w:color="auto"/>
            </w:tcBorders>
            <w:shd w:val="clear" w:color="auto" w:fill="C6EFCE"/>
            <w:noWrap/>
          </w:tcPr>
          <w:p w14:paraId="120B1D4C" w14:textId="381614E2" w:rsidR="00FE6F09" w:rsidRDefault="00435AFB">
            <w:pPr>
              <w:pStyle w:val="P68B1DB1-Normal9"/>
              <w:spacing w:after="0" w:line="240" w:lineRule="auto"/>
              <w:jc w:val="both"/>
              <w:rPr>
                <w:noProof/>
              </w:rPr>
            </w:pPr>
            <w:r>
              <w:rPr>
                <w:noProof/>
              </w:rPr>
              <w:t>55,1 MWp de capacitate fotovoltaică a unităților de producere a energiei electrice instalate în spațiile comerciale.</w:t>
            </w:r>
          </w:p>
        </w:tc>
      </w:tr>
      <w:tr w:rsidR="00FE6F09" w14:paraId="11B6F1A0" w14:textId="77777777">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07BC44E9" w14:textId="77777777" w:rsidR="00FE6F09" w:rsidRDefault="00435AFB">
            <w:pPr>
              <w:pStyle w:val="P68B1DB1-Normal9"/>
              <w:spacing w:after="0" w:line="240" w:lineRule="auto"/>
              <w:jc w:val="center"/>
              <w:rPr>
                <w:noProof/>
              </w:rPr>
            </w:pPr>
            <w:r>
              <w:rPr>
                <w:noProof/>
              </w:rPr>
              <w:t>4A-8</w:t>
            </w:r>
          </w:p>
        </w:tc>
        <w:tc>
          <w:tcPr>
            <w:tcW w:w="1380" w:type="dxa"/>
            <w:tcBorders>
              <w:top w:val="single" w:sz="4" w:space="0" w:color="auto"/>
              <w:left w:val="nil"/>
              <w:bottom w:val="single" w:sz="4" w:space="0" w:color="auto"/>
              <w:right w:val="single" w:sz="4" w:space="0" w:color="auto"/>
            </w:tcBorders>
            <w:shd w:val="clear" w:color="auto" w:fill="C6EFCE"/>
            <w:noWrap/>
          </w:tcPr>
          <w:p w14:paraId="5CAC5245" w14:textId="1E30C5B0" w:rsidR="00FE6F09" w:rsidRDefault="00435AFB">
            <w:pPr>
              <w:pStyle w:val="P68B1DB1-Normal9"/>
              <w:spacing w:after="0" w:line="240" w:lineRule="auto"/>
              <w:rPr>
                <w:noProof/>
              </w:rPr>
            </w:pPr>
            <w:r>
              <w:rPr>
                <w:noProof/>
              </w:rPr>
              <w:t>Investiția 4: Măsură extinsă: Investiția [2A-4]: Schema de sprijin pentru punctele de încărcare</w:t>
            </w:r>
          </w:p>
        </w:tc>
        <w:tc>
          <w:tcPr>
            <w:tcW w:w="1212" w:type="dxa"/>
            <w:tcBorders>
              <w:top w:val="single" w:sz="4" w:space="0" w:color="auto"/>
              <w:left w:val="nil"/>
              <w:bottom w:val="single" w:sz="4" w:space="0" w:color="auto"/>
              <w:right w:val="single" w:sz="4" w:space="0" w:color="auto"/>
            </w:tcBorders>
            <w:shd w:val="clear" w:color="auto" w:fill="C6EFCE"/>
            <w:noWrap/>
          </w:tcPr>
          <w:p w14:paraId="59DD00AC" w14:textId="77777777" w:rsidR="00FE6F09" w:rsidRDefault="00435AFB">
            <w:pPr>
              <w:pStyle w:val="P68B1DB1-Normal9"/>
              <w:spacing w:after="0" w:line="240" w:lineRule="auto"/>
              <w:jc w:val="center"/>
              <w:rPr>
                <w:noProof/>
              </w:rPr>
            </w:pPr>
            <w:r>
              <w:rPr>
                <w:noProof/>
              </w:rPr>
              <w:t>Țintă</w:t>
            </w:r>
          </w:p>
        </w:tc>
        <w:tc>
          <w:tcPr>
            <w:tcW w:w="1294" w:type="dxa"/>
            <w:tcBorders>
              <w:top w:val="single" w:sz="4" w:space="0" w:color="auto"/>
              <w:left w:val="nil"/>
              <w:bottom w:val="single" w:sz="4" w:space="0" w:color="auto"/>
              <w:right w:val="single" w:sz="4" w:space="0" w:color="auto"/>
            </w:tcBorders>
            <w:shd w:val="clear" w:color="auto" w:fill="C6EFCE"/>
            <w:noWrap/>
          </w:tcPr>
          <w:p w14:paraId="0E6FBE00" w14:textId="77777777" w:rsidR="00FE6F09" w:rsidRDefault="00435AFB">
            <w:pPr>
              <w:pStyle w:val="P68B1DB1-Normal9"/>
              <w:spacing w:after="0" w:line="240" w:lineRule="auto"/>
              <w:rPr>
                <w:noProof/>
              </w:rPr>
            </w:pPr>
            <w:r>
              <w:rPr>
                <w:noProof/>
              </w:rPr>
              <w:t>Numărul de puncte de încărcare instalate</w:t>
            </w:r>
          </w:p>
        </w:tc>
        <w:tc>
          <w:tcPr>
            <w:tcW w:w="1782" w:type="dxa"/>
            <w:tcBorders>
              <w:top w:val="single" w:sz="4" w:space="0" w:color="auto"/>
              <w:left w:val="nil"/>
              <w:bottom w:val="single" w:sz="4" w:space="0" w:color="auto"/>
              <w:right w:val="single" w:sz="4" w:space="0" w:color="auto"/>
            </w:tcBorders>
            <w:shd w:val="clear" w:color="auto" w:fill="C6EFCE"/>
            <w:noWrap/>
          </w:tcPr>
          <w:p w14:paraId="6FD8AE9C" w14:textId="77777777" w:rsidR="00FE6F09" w:rsidRDefault="00435AFB">
            <w:pPr>
              <w:pStyle w:val="P68B1DB1-Normal9"/>
              <w:spacing w:after="0" w:line="240" w:lineRule="auto"/>
              <w:rPr>
                <w:noProof/>
              </w:rPr>
            </w:pPr>
            <w:r>
              <w:rPr>
                <w:noProof/>
              </w:rPr>
              <w:t>-</w:t>
            </w:r>
          </w:p>
        </w:tc>
        <w:tc>
          <w:tcPr>
            <w:tcW w:w="1021" w:type="dxa"/>
            <w:tcBorders>
              <w:top w:val="single" w:sz="4" w:space="0" w:color="auto"/>
              <w:left w:val="nil"/>
              <w:bottom w:val="single" w:sz="4" w:space="0" w:color="auto"/>
              <w:right w:val="single" w:sz="4" w:space="0" w:color="auto"/>
            </w:tcBorders>
            <w:shd w:val="clear" w:color="auto" w:fill="C6EFCE"/>
            <w:noWrap/>
          </w:tcPr>
          <w:p w14:paraId="66AF81BE" w14:textId="77777777" w:rsidR="00FE6F09" w:rsidRDefault="00435AFB">
            <w:pPr>
              <w:pStyle w:val="P68B1DB1-Normal9"/>
              <w:spacing w:after="0" w:line="240" w:lineRule="auto"/>
              <w:jc w:val="center"/>
              <w:rPr>
                <w:noProof/>
              </w:rPr>
            </w:pPr>
            <w:r>
              <w:rPr>
                <w:noProof/>
              </w:rPr>
              <w:t>Indicatorul de aprovizionare</w:t>
            </w:r>
          </w:p>
        </w:tc>
        <w:tc>
          <w:tcPr>
            <w:tcW w:w="933" w:type="dxa"/>
            <w:tcBorders>
              <w:top w:val="single" w:sz="4" w:space="0" w:color="auto"/>
              <w:left w:val="nil"/>
              <w:bottom w:val="single" w:sz="4" w:space="0" w:color="auto"/>
              <w:right w:val="single" w:sz="4" w:space="0" w:color="auto"/>
            </w:tcBorders>
            <w:shd w:val="clear" w:color="auto" w:fill="C6EFCE"/>
            <w:noWrap/>
          </w:tcPr>
          <w:p w14:paraId="76114597" w14:textId="77777777" w:rsidR="00FE6F09" w:rsidRDefault="00435AFB">
            <w:pPr>
              <w:pStyle w:val="P68B1DB1-Normal9"/>
              <w:spacing w:after="0" w:line="240" w:lineRule="auto"/>
              <w:jc w:val="center"/>
              <w:rPr>
                <w:noProof/>
              </w:rPr>
            </w:pPr>
            <w:r>
              <w:rPr>
                <w:noProof/>
              </w:rPr>
              <w:t>2 986</w:t>
            </w:r>
          </w:p>
        </w:tc>
        <w:tc>
          <w:tcPr>
            <w:tcW w:w="944" w:type="dxa"/>
            <w:tcBorders>
              <w:top w:val="single" w:sz="4" w:space="0" w:color="auto"/>
              <w:left w:val="nil"/>
              <w:bottom w:val="single" w:sz="4" w:space="0" w:color="auto"/>
              <w:right w:val="single" w:sz="4" w:space="0" w:color="auto"/>
            </w:tcBorders>
            <w:shd w:val="clear" w:color="auto" w:fill="C6EFCE"/>
            <w:noWrap/>
          </w:tcPr>
          <w:p w14:paraId="0FA79D75" w14:textId="77777777" w:rsidR="00FE6F09" w:rsidRDefault="00435AFB">
            <w:pPr>
              <w:pStyle w:val="P68B1DB1-Normal9"/>
              <w:spacing w:after="0" w:line="240" w:lineRule="auto"/>
              <w:jc w:val="center"/>
              <w:rPr>
                <w:noProof/>
              </w:rPr>
            </w:pPr>
            <w:r>
              <w:rPr>
                <w:noProof/>
              </w:rPr>
              <w:t>3 200</w:t>
            </w:r>
          </w:p>
        </w:tc>
        <w:tc>
          <w:tcPr>
            <w:tcW w:w="946" w:type="dxa"/>
            <w:tcBorders>
              <w:top w:val="single" w:sz="4" w:space="0" w:color="auto"/>
              <w:left w:val="nil"/>
              <w:bottom w:val="single" w:sz="4" w:space="0" w:color="auto"/>
              <w:right w:val="single" w:sz="4" w:space="0" w:color="auto"/>
            </w:tcBorders>
            <w:shd w:val="clear" w:color="auto" w:fill="C6EFCE"/>
            <w:noWrap/>
          </w:tcPr>
          <w:p w14:paraId="2C503EB0" w14:textId="77777777" w:rsidR="00FE6F09" w:rsidRDefault="00435AFB">
            <w:pPr>
              <w:pStyle w:val="P68B1DB1-Normal9"/>
              <w:spacing w:after="0" w:line="240" w:lineRule="auto"/>
              <w:jc w:val="center"/>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1D81ADB9" w14:textId="77777777" w:rsidR="00FE6F09" w:rsidRDefault="00435AFB">
            <w:pPr>
              <w:pStyle w:val="P68B1DB1-Normal9"/>
              <w:spacing w:after="0" w:line="240" w:lineRule="auto"/>
              <w:jc w:val="center"/>
              <w:rPr>
                <w:noProof/>
              </w:rPr>
            </w:pPr>
            <w:r>
              <w:rPr>
                <w:noProof/>
              </w:rPr>
              <w:t>2026</w:t>
            </w:r>
          </w:p>
        </w:tc>
        <w:tc>
          <w:tcPr>
            <w:tcW w:w="4025" w:type="dxa"/>
            <w:tcBorders>
              <w:top w:val="single" w:sz="4" w:space="0" w:color="auto"/>
              <w:left w:val="nil"/>
              <w:bottom w:val="single" w:sz="4" w:space="0" w:color="auto"/>
              <w:right w:val="single" w:sz="4" w:space="0" w:color="auto"/>
            </w:tcBorders>
            <w:shd w:val="clear" w:color="auto" w:fill="C6EFCE"/>
            <w:noWrap/>
          </w:tcPr>
          <w:p w14:paraId="4DF85817" w14:textId="77777777" w:rsidR="00FE6F09" w:rsidRDefault="00435AFB">
            <w:pPr>
              <w:pStyle w:val="P68B1DB1-Normal9"/>
              <w:jc w:val="both"/>
              <w:rPr>
                <w:noProof/>
              </w:rPr>
            </w:pPr>
            <w:r>
              <w:rPr>
                <w:noProof/>
              </w:rPr>
              <w:t>Numărul de puncte de încărcare instalate (exprimat ca indicator de alimentare).</w:t>
            </w:r>
          </w:p>
          <w:p w14:paraId="73795B78" w14:textId="2AFD2EC7" w:rsidR="00FE6F09" w:rsidRDefault="00435AFB">
            <w:pPr>
              <w:pStyle w:val="P68B1DB1-Normal9"/>
              <w:jc w:val="both"/>
              <w:rPr>
                <w:noProof/>
              </w:rPr>
            </w:pPr>
            <w:r>
              <w:rPr>
                <w:noProof/>
              </w:rPr>
              <w:t>„Indicatorul de aprovizionare” se calculează în conformitate cu metodologia definită în raportul Transport &amp; Environment (2020) „Recharge EU: numărul de puncte de încărcare de care vor avea nevoie Europa și statele sale membre în anii 2020, aplicând însă aceeași pondere pentru stațiile de încărcare care nu sunt publice ca și pentru stațiile de încărcare semipublice.</w:t>
            </w:r>
          </w:p>
        </w:tc>
      </w:tr>
    </w:tbl>
    <w:p w14:paraId="32603150" w14:textId="77777777" w:rsidR="00FE6F09" w:rsidRDefault="00FE6F09">
      <w:pPr>
        <w:rPr>
          <w:rFonts w:ascii="Times New Roman" w:eastAsiaTheme="majorEastAsia" w:hAnsi="Times New Roman" w:cs="Times New Roman"/>
          <w:b/>
          <w:bCs/>
          <w:noProof/>
          <w:sz w:val="24"/>
          <w:szCs w:val="24"/>
        </w:rPr>
        <w:sectPr w:rsidR="00FE6F09" w:rsidSect="009823F0">
          <w:headerReference w:type="even" r:id="rId116"/>
          <w:headerReference w:type="default" r:id="rId117"/>
          <w:footerReference w:type="even" r:id="rId118"/>
          <w:footerReference w:type="default" r:id="rId119"/>
          <w:headerReference w:type="first" r:id="rId120"/>
          <w:footerReference w:type="first" r:id="rId121"/>
          <w:pgSz w:w="16838" w:h="11906" w:orient="landscape"/>
          <w:pgMar w:top="1418" w:right="1418" w:bottom="1418" w:left="1418" w:header="709" w:footer="709" w:gutter="0"/>
          <w:cols w:space="708"/>
          <w:docGrid w:linePitch="360"/>
        </w:sectPr>
      </w:pPr>
    </w:p>
    <w:p w14:paraId="2F5087A8" w14:textId="0C15DF17" w:rsidR="00FE6F09" w:rsidRDefault="00435AFB">
      <w:pPr>
        <w:pStyle w:val="P68B1DB1-Normal2"/>
        <w:spacing w:before="120" w:after="120" w:line="240" w:lineRule="auto"/>
        <w:rPr>
          <w:bCs/>
          <w:noProof/>
          <w:u w:val="single"/>
        </w:rPr>
      </w:pPr>
      <w:r>
        <w:rPr>
          <w:noProof/>
        </w:rPr>
        <w:t xml:space="preserve">I. AUDIT ȘI CONTROL </w:t>
      </w:r>
      <w:r>
        <w:rPr>
          <w:noProof/>
        </w:rPr>
        <w:br/>
      </w:r>
      <w:r>
        <w:rPr>
          <w:noProof/>
          <w:u w:val="single"/>
        </w:rPr>
        <w:t xml:space="preserve">I.1. </w:t>
      </w:r>
      <w:r>
        <w:rPr>
          <w:noProof/>
          <w:u w:val="single"/>
        </w:rPr>
        <w:tab/>
        <w:t>Descrierea reformelor și a investițiilor pentru sprijinul financiar nerambursabil</w:t>
      </w:r>
    </w:p>
    <w:p w14:paraId="3F70F759" w14:textId="77777777" w:rsidR="00FE6F09" w:rsidRDefault="00435AFB">
      <w:pPr>
        <w:pStyle w:val="P68B1DB1-Normal5"/>
        <w:spacing w:before="120" w:after="120" w:line="240" w:lineRule="auto"/>
        <w:jc w:val="both"/>
        <w:rPr>
          <w:noProof/>
        </w:rPr>
      </w:pPr>
      <w:r>
        <w:rPr>
          <w:noProof/>
        </w:rPr>
        <w:t>Un sistem de repertorii pentru înregistrarea și stocarea tuturor datelor relevante legate de punerea în aplicare a planului de redresare și reziliență – atingerea jaloanelor și a țintelor, date privind destinatarul final, contractanții, subcontractanții și beneficiarii reali – este operațional înainte de depunerea primei cereri de plată. Înainte de prima cerere de plată, Luxemburgul prezintă, de asemenea, un raport de audit specific care confirmă eficacitatea funcționalităților minime ale sistemului de repertorii.</w:t>
      </w:r>
    </w:p>
    <w:p w14:paraId="6BCDD776" w14:textId="77777777" w:rsidR="00FE6F09" w:rsidRDefault="00435AFB">
      <w:pPr>
        <w:pStyle w:val="P68B1DB1-Normal5"/>
        <w:spacing w:before="120" w:after="120" w:line="240" w:lineRule="auto"/>
        <w:jc w:val="both"/>
        <w:rPr>
          <w:noProof/>
        </w:rPr>
      </w:pPr>
      <w:r>
        <w:rPr>
          <w:noProof/>
        </w:rPr>
        <w:t>În plus, înainte de depunerea primei cereri de plată, Luxemburgul finalizează punerea în aplicare a unor proceduri suplimentare pentru protecția intereselor financiare ale UE, astfel cum se descrie în partea III capitolul 4 privind punerea în aplicare, subcapitolul x și capitolul 6 privind auditul și controalele, subcapitolul xi din plan. Declarația de gestiune și rezumatul auditurilor care însoțesc cererea de plată ar trebui să confirme stadiul punerii lor în aplicare și să identifice orice deficiențe conexe constatate și orice acțiuni corective întreprinse sau planificate.</w:t>
      </w:r>
    </w:p>
    <w:p w14:paraId="52CFCAAB"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122"/>
          <w:headerReference w:type="default" r:id="rId123"/>
          <w:footerReference w:type="even" r:id="rId124"/>
          <w:footerReference w:type="default" r:id="rId125"/>
          <w:headerReference w:type="first" r:id="rId126"/>
          <w:footerReference w:type="first" r:id="rId127"/>
          <w:pgSz w:w="11907" w:h="16839"/>
          <w:pgMar w:top="1134" w:right="1417" w:bottom="1134" w:left="1417" w:header="709" w:footer="709" w:gutter="0"/>
          <w:cols w:space="720"/>
          <w:docGrid w:linePitch="360"/>
        </w:sectPr>
      </w:pPr>
    </w:p>
    <w:p w14:paraId="089EE541" w14:textId="77777777" w:rsidR="00FE6F09" w:rsidRDefault="00435AFB">
      <w:pPr>
        <w:pStyle w:val="P68B1DB1-Normal6"/>
        <w:spacing w:before="120" w:after="120" w:line="240" w:lineRule="auto"/>
        <w:jc w:val="center"/>
        <w:rPr>
          <w:bCs/>
          <w:noProof/>
        </w:rPr>
      </w:pPr>
      <w:r>
        <w:rPr>
          <w:noProof/>
        </w:rPr>
        <w:t xml:space="preserve">I.2. </w:t>
      </w:r>
      <w:r>
        <w:rPr>
          <w:noProof/>
        </w:rPr>
        <w:tab/>
        <w:t>Jaloane, ținte, indicatori și calendar pentru monitorizarea și punerea în aplicare a sprijinului financiar nerambursabil</w:t>
      </w:r>
    </w:p>
    <w:tbl>
      <w:tblPr>
        <w:tblW w:w="15845" w:type="dxa"/>
        <w:jc w:val="center"/>
        <w:tblLook w:val="04A0" w:firstRow="1" w:lastRow="0" w:firstColumn="1" w:lastColumn="0" w:noHBand="0" w:noVBand="1"/>
      </w:tblPr>
      <w:tblGrid>
        <w:gridCol w:w="1117"/>
        <w:gridCol w:w="1472"/>
        <w:gridCol w:w="1676"/>
        <w:gridCol w:w="1472"/>
        <w:gridCol w:w="1568"/>
        <w:gridCol w:w="1090"/>
        <w:gridCol w:w="968"/>
        <w:gridCol w:w="939"/>
        <w:gridCol w:w="1135"/>
        <w:gridCol w:w="1054"/>
        <w:gridCol w:w="3522"/>
      </w:tblGrid>
      <w:tr w:rsidR="00FE6F09" w14:paraId="46D2EDBF" w14:textId="77777777">
        <w:trPr>
          <w:trHeight w:val="927"/>
          <w:jc w:val="center"/>
        </w:trPr>
        <w:tc>
          <w:tcPr>
            <w:tcW w:w="1117" w:type="dxa"/>
            <w:vMerge w:val="restart"/>
            <w:tcBorders>
              <w:top w:val="single" w:sz="4" w:space="0" w:color="auto"/>
              <w:left w:val="single" w:sz="4" w:space="0" w:color="auto"/>
              <w:right w:val="single" w:sz="4" w:space="0" w:color="auto"/>
            </w:tcBorders>
            <w:shd w:val="clear" w:color="auto" w:fill="BDD7EE"/>
            <w:vAlign w:val="center"/>
            <w:hideMark/>
          </w:tcPr>
          <w:p w14:paraId="52CDAE00" w14:textId="77777777" w:rsidR="00FE6F09" w:rsidRDefault="00435AFB">
            <w:pPr>
              <w:pStyle w:val="P68B1DB1-Normal8"/>
              <w:spacing w:after="0" w:line="240" w:lineRule="auto"/>
              <w:jc w:val="center"/>
              <w:rPr>
                <w:bCs/>
                <w:noProof/>
              </w:rPr>
            </w:pPr>
            <w:r>
              <w:rPr>
                <w:noProof/>
              </w:rPr>
              <w:t>Număr secvențial</w:t>
            </w:r>
          </w:p>
        </w:tc>
        <w:tc>
          <w:tcPr>
            <w:tcW w:w="1472" w:type="dxa"/>
            <w:vMerge w:val="restart"/>
            <w:tcBorders>
              <w:top w:val="single" w:sz="4" w:space="0" w:color="auto"/>
              <w:left w:val="single" w:sz="4" w:space="0" w:color="auto"/>
              <w:right w:val="single" w:sz="4" w:space="0" w:color="auto"/>
            </w:tcBorders>
            <w:shd w:val="clear" w:color="auto" w:fill="BDD7EE"/>
            <w:vAlign w:val="center"/>
            <w:hideMark/>
          </w:tcPr>
          <w:p w14:paraId="37992977" w14:textId="77777777" w:rsidR="00FE6F09" w:rsidRDefault="00435AFB">
            <w:pPr>
              <w:pStyle w:val="P68B1DB1-Normal8"/>
              <w:spacing w:after="0" w:line="240" w:lineRule="auto"/>
              <w:jc w:val="center"/>
              <w:rPr>
                <w:bCs/>
                <w:noProof/>
              </w:rPr>
            </w:pPr>
            <w:r>
              <w:rPr>
                <w:noProof/>
              </w:rPr>
              <w:t>Măsură conexă (reformă sau investiție)</w:t>
            </w:r>
          </w:p>
        </w:tc>
        <w:tc>
          <w:tcPr>
            <w:tcW w:w="1676" w:type="dxa"/>
            <w:vMerge w:val="restart"/>
            <w:tcBorders>
              <w:top w:val="single" w:sz="4" w:space="0" w:color="auto"/>
              <w:left w:val="single" w:sz="4" w:space="0" w:color="auto"/>
              <w:right w:val="single" w:sz="4" w:space="0" w:color="auto"/>
            </w:tcBorders>
            <w:shd w:val="clear" w:color="auto" w:fill="BDD7EE"/>
            <w:vAlign w:val="center"/>
            <w:hideMark/>
          </w:tcPr>
          <w:p w14:paraId="09D8908D" w14:textId="4F927140" w:rsidR="00FE6F09" w:rsidRDefault="00435AFB">
            <w:pPr>
              <w:pStyle w:val="P68B1DB1-Normal8"/>
              <w:spacing w:after="0" w:line="240" w:lineRule="auto"/>
              <w:jc w:val="center"/>
              <w:rPr>
                <w:bCs/>
                <w:noProof/>
              </w:rPr>
            </w:pPr>
            <w:r>
              <w:rPr>
                <w:noProof/>
              </w:rPr>
              <w:t>Etapa/ținta</w:t>
            </w:r>
          </w:p>
        </w:tc>
        <w:tc>
          <w:tcPr>
            <w:tcW w:w="1472" w:type="dxa"/>
            <w:vMerge w:val="restart"/>
            <w:tcBorders>
              <w:top w:val="single" w:sz="4" w:space="0" w:color="auto"/>
              <w:left w:val="nil"/>
              <w:right w:val="single" w:sz="4" w:space="0" w:color="auto"/>
            </w:tcBorders>
            <w:shd w:val="clear" w:color="auto" w:fill="BDD7EE"/>
            <w:vAlign w:val="center"/>
            <w:hideMark/>
          </w:tcPr>
          <w:p w14:paraId="542E2E4A" w14:textId="77777777" w:rsidR="00FE6F09" w:rsidRDefault="00435AFB">
            <w:pPr>
              <w:pStyle w:val="P68B1DB1-Normal8"/>
              <w:spacing w:after="0" w:line="240" w:lineRule="auto"/>
              <w:jc w:val="center"/>
              <w:rPr>
                <w:bCs/>
                <w:noProof/>
              </w:rPr>
            </w:pPr>
            <w:r>
              <w:rPr>
                <w:noProof/>
              </w:rPr>
              <w:t>Denumire</w:t>
            </w:r>
          </w:p>
        </w:tc>
        <w:tc>
          <w:tcPr>
            <w:tcW w:w="1568" w:type="dxa"/>
            <w:vMerge w:val="restart"/>
            <w:tcBorders>
              <w:top w:val="single" w:sz="4" w:space="0" w:color="auto"/>
              <w:left w:val="single" w:sz="4" w:space="0" w:color="auto"/>
              <w:right w:val="single" w:sz="4" w:space="0" w:color="auto"/>
            </w:tcBorders>
            <w:shd w:val="clear" w:color="auto" w:fill="BDD7EE"/>
            <w:vAlign w:val="center"/>
            <w:hideMark/>
          </w:tcPr>
          <w:p w14:paraId="0AB2A826"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sz w:val="24"/>
              </w:rPr>
              <w:br/>
            </w:r>
            <w:r>
              <w:rPr>
                <w:rFonts w:ascii="Times New Roman" w:eastAsia="Times New Roman" w:hAnsi="Times New Roman" w:cs="Times New Roman"/>
                <w:b/>
                <w:noProof/>
                <w:sz w:val="20"/>
                <w:szCs w:val="20"/>
              </w:rPr>
              <w:t>(pentru jaloane)</w:t>
            </w:r>
          </w:p>
        </w:tc>
        <w:tc>
          <w:tcPr>
            <w:tcW w:w="2918" w:type="dxa"/>
            <w:gridSpan w:val="3"/>
            <w:tcBorders>
              <w:top w:val="single" w:sz="4" w:space="0" w:color="auto"/>
              <w:left w:val="nil"/>
              <w:bottom w:val="single" w:sz="4" w:space="0" w:color="auto"/>
              <w:right w:val="single" w:sz="4" w:space="0" w:color="auto"/>
            </w:tcBorders>
            <w:shd w:val="clear" w:color="auto" w:fill="BDD7EE"/>
            <w:vAlign w:val="center"/>
            <w:hideMark/>
          </w:tcPr>
          <w:p w14:paraId="02E9766D" w14:textId="77777777" w:rsidR="00FE6F09" w:rsidRDefault="00435AFB">
            <w:pPr>
              <w:spacing w:after="0" w:line="240" w:lineRule="auto"/>
              <w:jc w:val="center"/>
              <w:rPr>
                <w:rFonts w:ascii="Times New Roman" w:eastAsia="Times New Roman" w:hAnsi="Times New Roman" w:cs="Times New Roman"/>
                <w:b/>
                <w:bCs/>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sz w:val="24"/>
              </w:rPr>
              <w:br/>
            </w:r>
            <w:r>
              <w:rPr>
                <w:rFonts w:ascii="Times New Roman" w:eastAsia="Times New Roman" w:hAnsi="Times New Roman" w:cs="Times New Roman"/>
                <w:b/>
                <w:noProof/>
                <w:sz w:val="20"/>
                <w:szCs w:val="20"/>
              </w:rPr>
              <w:t>(pentru obiective)</w:t>
            </w:r>
          </w:p>
        </w:tc>
        <w:tc>
          <w:tcPr>
            <w:tcW w:w="2100" w:type="dxa"/>
            <w:gridSpan w:val="2"/>
            <w:tcBorders>
              <w:top w:val="single" w:sz="4" w:space="0" w:color="auto"/>
              <w:left w:val="nil"/>
              <w:bottom w:val="single" w:sz="4" w:space="0" w:color="auto"/>
              <w:right w:val="single" w:sz="4" w:space="0" w:color="auto"/>
            </w:tcBorders>
            <w:shd w:val="clear" w:color="auto" w:fill="BDD7EE"/>
            <w:vAlign w:val="center"/>
            <w:hideMark/>
          </w:tcPr>
          <w:p w14:paraId="5170E50D" w14:textId="4855AF5A" w:rsidR="00FE6F09" w:rsidRDefault="00435AFB">
            <w:pPr>
              <w:pStyle w:val="P68B1DB1-Normal8"/>
              <w:spacing w:after="0" w:line="240" w:lineRule="auto"/>
              <w:jc w:val="center"/>
              <w:rPr>
                <w:bCs/>
                <w:noProof/>
              </w:rPr>
            </w:pPr>
            <w:r>
              <w:rPr>
                <w:noProof/>
              </w:rPr>
              <w:t>Calendar orientativ pentru finalizare</w:t>
            </w:r>
          </w:p>
        </w:tc>
        <w:tc>
          <w:tcPr>
            <w:tcW w:w="3522" w:type="dxa"/>
            <w:vMerge w:val="restart"/>
            <w:tcBorders>
              <w:top w:val="single" w:sz="4" w:space="0" w:color="auto"/>
              <w:left w:val="single" w:sz="4" w:space="0" w:color="auto"/>
              <w:right w:val="single" w:sz="4" w:space="0" w:color="auto"/>
            </w:tcBorders>
            <w:shd w:val="clear" w:color="auto" w:fill="BDD7EE"/>
            <w:vAlign w:val="center"/>
            <w:hideMark/>
          </w:tcPr>
          <w:p w14:paraId="730FF911" w14:textId="77777777" w:rsidR="00FE6F09" w:rsidRDefault="00435AFB">
            <w:pPr>
              <w:pStyle w:val="P68B1DB1-Normal8"/>
              <w:spacing w:after="0" w:line="240" w:lineRule="auto"/>
              <w:jc w:val="center"/>
              <w:rPr>
                <w:bCs/>
                <w:noProof/>
              </w:rPr>
            </w:pPr>
            <w:r>
              <w:rPr>
                <w:noProof/>
              </w:rPr>
              <w:t>Descrierea fiecărui jalon și a fiecărei ținte</w:t>
            </w:r>
          </w:p>
        </w:tc>
      </w:tr>
      <w:tr w:rsidR="00FE6F09" w14:paraId="06958A19" w14:textId="77777777">
        <w:trPr>
          <w:trHeight w:val="1013"/>
          <w:jc w:val="center"/>
        </w:trPr>
        <w:tc>
          <w:tcPr>
            <w:tcW w:w="1117" w:type="dxa"/>
            <w:vMerge/>
            <w:tcBorders>
              <w:left w:val="single" w:sz="4" w:space="0" w:color="auto"/>
              <w:bottom w:val="single" w:sz="4" w:space="0" w:color="auto"/>
              <w:right w:val="single" w:sz="4" w:space="0" w:color="auto"/>
            </w:tcBorders>
            <w:vAlign w:val="center"/>
            <w:hideMark/>
          </w:tcPr>
          <w:p w14:paraId="24F799DF"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472" w:type="dxa"/>
            <w:vMerge/>
            <w:tcBorders>
              <w:left w:val="single" w:sz="4" w:space="0" w:color="auto"/>
              <w:bottom w:val="single" w:sz="4" w:space="0" w:color="auto"/>
              <w:right w:val="single" w:sz="4" w:space="0" w:color="auto"/>
            </w:tcBorders>
            <w:vAlign w:val="center"/>
            <w:hideMark/>
          </w:tcPr>
          <w:p w14:paraId="49D6BF8D" w14:textId="77777777" w:rsidR="00FE6F09" w:rsidRDefault="00FE6F09">
            <w:pPr>
              <w:spacing w:after="0" w:line="240" w:lineRule="auto"/>
              <w:rPr>
                <w:rFonts w:ascii="Times New Roman" w:eastAsia="Times New Roman" w:hAnsi="Times New Roman" w:cs="Times New Roman"/>
                <w:b/>
                <w:noProof/>
                <w:sz w:val="20"/>
                <w:szCs w:val="20"/>
              </w:rPr>
            </w:pPr>
          </w:p>
        </w:tc>
        <w:tc>
          <w:tcPr>
            <w:tcW w:w="1676" w:type="dxa"/>
            <w:vMerge/>
            <w:tcBorders>
              <w:left w:val="single" w:sz="4" w:space="0" w:color="auto"/>
              <w:bottom w:val="single" w:sz="4" w:space="0" w:color="auto"/>
              <w:right w:val="single" w:sz="4" w:space="0" w:color="auto"/>
            </w:tcBorders>
            <w:vAlign w:val="center"/>
            <w:hideMark/>
          </w:tcPr>
          <w:p w14:paraId="4E7F5F43" w14:textId="77777777" w:rsidR="00FE6F09" w:rsidRDefault="00FE6F09">
            <w:pPr>
              <w:spacing w:after="0" w:line="240" w:lineRule="auto"/>
              <w:jc w:val="center"/>
              <w:rPr>
                <w:rFonts w:ascii="Times New Roman" w:eastAsia="Times New Roman" w:hAnsi="Times New Roman" w:cs="Times New Roman"/>
                <w:b/>
                <w:noProof/>
                <w:sz w:val="20"/>
                <w:szCs w:val="20"/>
              </w:rPr>
            </w:pPr>
          </w:p>
        </w:tc>
        <w:tc>
          <w:tcPr>
            <w:tcW w:w="1472" w:type="dxa"/>
            <w:vMerge/>
            <w:tcBorders>
              <w:left w:val="nil"/>
              <w:bottom w:val="single" w:sz="4" w:space="0" w:color="auto"/>
              <w:right w:val="single" w:sz="4" w:space="0" w:color="auto"/>
            </w:tcBorders>
            <w:vAlign w:val="center"/>
            <w:hideMark/>
          </w:tcPr>
          <w:p w14:paraId="07765B6B" w14:textId="77777777" w:rsidR="00FE6F09" w:rsidRDefault="00FE6F09">
            <w:pPr>
              <w:spacing w:after="0" w:line="240" w:lineRule="auto"/>
              <w:rPr>
                <w:rFonts w:ascii="Times New Roman" w:eastAsia="Times New Roman" w:hAnsi="Times New Roman" w:cs="Times New Roman"/>
                <w:b/>
                <w:noProof/>
                <w:sz w:val="20"/>
                <w:szCs w:val="20"/>
              </w:rPr>
            </w:pPr>
          </w:p>
        </w:tc>
        <w:tc>
          <w:tcPr>
            <w:tcW w:w="1568" w:type="dxa"/>
            <w:vMerge/>
            <w:tcBorders>
              <w:left w:val="single" w:sz="4" w:space="0" w:color="auto"/>
              <w:bottom w:val="single" w:sz="4" w:space="0" w:color="auto"/>
              <w:right w:val="single" w:sz="4" w:space="0" w:color="auto"/>
            </w:tcBorders>
            <w:vAlign w:val="center"/>
            <w:hideMark/>
          </w:tcPr>
          <w:p w14:paraId="629DD5AF" w14:textId="77777777" w:rsidR="00FE6F09" w:rsidRDefault="00FE6F09">
            <w:pPr>
              <w:spacing w:after="0" w:line="240" w:lineRule="auto"/>
              <w:rPr>
                <w:rFonts w:ascii="Times New Roman" w:eastAsia="Times New Roman" w:hAnsi="Times New Roman" w:cs="Times New Roman"/>
                <w:b/>
                <w:noProof/>
                <w:sz w:val="20"/>
                <w:szCs w:val="20"/>
              </w:rPr>
            </w:pPr>
          </w:p>
        </w:tc>
        <w:tc>
          <w:tcPr>
            <w:tcW w:w="1090" w:type="dxa"/>
            <w:tcBorders>
              <w:top w:val="nil"/>
              <w:left w:val="nil"/>
              <w:bottom w:val="single" w:sz="4" w:space="0" w:color="auto"/>
              <w:right w:val="single" w:sz="4" w:space="0" w:color="auto"/>
            </w:tcBorders>
            <w:shd w:val="clear" w:color="auto" w:fill="BDD7EE"/>
            <w:vAlign w:val="center"/>
            <w:hideMark/>
          </w:tcPr>
          <w:p w14:paraId="5C1B9528" w14:textId="77777777" w:rsidR="00FE6F09" w:rsidRDefault="00435AFB">
            <w:pPr>
              <w:pStyle w:val="P68B1DB1-Normal8"/>
              <w:spacing w:after="0" w:line="240" w:lineRule="auto"/>
              <w:jc w:val="center"/>
              <w:rPr>
                <w:bCs/>
                <w:noProof/>
              </w:rPr>
            </w:pPr>
            <w:r>
              <w:rPr>
                <w:noProof/>
              </w:rPr>
              <w:t>Unitatea de măsură</w:t>
            </w:r>
          </w:p>
        </w:tc>
        <w:tc>
          <w:tcPr>
            <w:tcW w:w="928" w:type="dxa"/>
            <w:tcBorders>
              <w:top w:val="nil"/>
              <w:left w:val="nil"/>
              <w:bottom w:val="single" w:sz="4" w:space="0" w:color="auto"/>
              <w:right w:val="single" w:sz="4" w:space="0" w:color="auto"/>
            </w:tcBorders>
            <w:shd w:val="clear" w:color="auto" w:fill="BDD7EE"/>
            <w:vAlign w:val="center"/>
            <w:hideMark/>
          </w:tcPr>
          <w:p w14:paraId="2935FFAA" w14:textId="1866D879" w:rsidR="00FE6F09" w:rsidRDefault="00435AFB">
            <w:pPr>
              <w:pStyle w:val="P68B1DB1-Normal8"/>
              <w:spacing w:after="0" w:line="240" w:lineRule="auto"/>
              <w:jc w:val="center"/>
              <w:rPr>
                <w:bCs/>
                <w:noProof/>
              </w:rPr>
            </w:pPr>
            <w:r>
              <w:rPr>
                <w:noProof/>
              </w:rPr>
              <w:t>Situația de referință</w:t>
            </w:r>
          </w:p>
        </w:tc>
        <w:tc>
          <w:tcPr>
            <w:tcW w:w="900" w:type="dxa"/>
            <w:tcBorders>
              <w:top w:val="nil"/>
              <w:left w:val="nil"/>
              <w:bottom w:val="single" w:sz="4" w:space="0" w:color="auto"/>
              <w:right w:val="single" w:sz="4" w:space="0" w:color="auto"/>
            </w:tcBorders>
            <w:shd w:val="clear" w:color="auto" w:fill="BDD7EE"/>
            <w:vAlign w:val="center"/>
            <w:hideMark/>
          </w:tcPr>
          <w:p w14:paraId="179DF853" w14:textId="3C8B5557" w:rsidR="00FE6F09" w:rsidRDefault="00435AFB">
            <w:pPr>
              <w:pStyle w:val="P68B1DB1-Normal8"/>
              <w:spacing w:after="0" w:line="240" w:lineRule="auto"/>
              <w:jc w:val="center"/>
              <w:rPr>
                <w:bCs/>
                <w:noProof/>
              </w:rPr>
            </w:pPr>
            <w:r>
              <w:rPr>
                <w:noProof/>
              </w:rPr>
              <w:t>Obiectiv</w:t>
            </w:r>
          </w:p>
        </w:tc>
        <w:tc>
          <w:tcPr>
            <w:tcW w:w="1046" w:type="dxa"/>
            <w:tcBorders>
              <w:top w:val="nil"/>
              <w:left w:val="nil"/>
              <w:bottom w:val="single" w:sz="4" w:space="0" w:color="auto"/>
              <w:right w:val="single" w:sz="4" w:space="0" w:color="auto"/>
            </w:tcBorders>
            <w:shd w:val="clear" w:color="auto" w:fill="BDD7EE"/>
            <w:vAlign w:val="center"/>
            <w:hideMark/>
          </w:tcPr>
          <w:p w14:paraId="224C3A48" w14:textId="77777777" w:rsidR="00FE6F09" w:rsidRDefault="00435AFB">
            <w:pPr>
              <w:pStyle w:val="P68B1DB1-Normal8"/>
              <w:spacing w:after="0" w:line="240" w:lineRule="auto"/>
              <w:jc w:val="center"/>
              <w:rPr>
                <w:bCs/>
                <w:noProof/>
              </w:rPr>
            </w:pPr>
            <w:r>
              <w:rPr>
                <w:noProof/>
              </w:rPr>
              <w:t>Trimestrul</w:t>
            </w:r>
          </w:p>
        </w:tc>
        <w:tc>
          <w:tcPr>
            <w:tcW w:w="1054" w:type="dxa"/>
            <w:tcBorders>
              <w:top w:val="nil"/>
              <w:left w:val="nil"/>
              <w:bottom w:val="single" w:sz="4" w:space="0" w:color="auto"/>
              <w:right w:val="single" w:sz="4" w:space="0" w:color="auto"/>
            </w:tcBorders>
            <w:shd w:val="clear" w:color="auto" w:fill="BDD7EE"/>
            <w:vAlign w:val="center"/>
            <w:hideMark/>
          </w:tcPr>
          <w:p w14:paraId="6164A37C" w14:textId="77777777" w:rsidR="00FE6F09" w:rsidRDefault="00435AFB">
            <w:pPr>
              <w:pStyle w:val="P68B1DB1-Normal8"/>
              <w:spacing w:after="0" w:line="240" w:lineRule="auto"/>
              <w:jc w:val="center"/>
              <w:rPr>
                <w:bCs/>
                <w:noProof/>
              </w:rPr>
            </w:pPr>
            <w:r>
              <w:rPr>
                <w:noProof/>
              </w:rPr>
              <w:t>Anul</w:t>
            </w:r>
          </w:p>
        </w:tc>
        <w:tc>
          <w:tcPr>
            <w:tcW w:w="3522" w:type="dxa"/>
            <w:vMerge/>
            <w:tcBorders>
              <w:left w:val="single" w:sz="4" w:space="0" w:color="auto"/>
              <w:bottom w:val="single" w:sz="4" w:space="0" w:color="auto"/>
              <w:right w:val="single" w:sz="4" w:space="0" w:color="auto"/>
            </w:tcBorders>
            <w:vAlign w:val="center"/>
            <w:hideMark/>
          </w:tcPr>
          <w:p w14:paraId="6CE0C940" w14:textId="77777777" w:rsidR="00FE6F09" w:rsidRDefault="00FE6F09">
            <w:pPr>
              <w:spacing w:after="0" w:line="240" w:lineRule="auto"/>
              <w:jc w:val="both"/>
              <w:rPr>
                <w:rFonts w:ascii="Times New Roman" w:eastAsia="Times New Roman" w:hAnsi="Times New Roman" w:cs="Times New Roman"/>
                <w:b/>
                <w:noProof/>
                <w:sz w:val="20"/>
                <w:szCs w:val="20"/>
              </w:rPr>
            </w:pPr>
          </w:p>
        </w:tc>
      </w:tr>
      <w:tr w:rsidR="00FE6F09" w14:paraId="4465BB81" w14:textId="77777777">
        <w:trPr>
          <w:trHeight w:val="309"/>
          <w:jc w:val="center"/>
        </w:trPr>
        <w:tc>
          <w:tcPr>
            <w:tcW w:w="1117" w:type="dxa"/>
            <w:tcBorders>
              <w:top w:val="single" w:sz="4" w:space="0" w:color="auto"/>
              <w:left w:val="single" w:sz="4" w:space="0" w:color="auto"/>
              <w:bottom w:val="single" w:sz="4" w:space="0" w:color="auto"/>
              <w:right w:val="single" w:sz="4" w:space="0" w:color="auto"/>
            </w:tcBorders>
            <w:shd w:val="clear" w:color="auto" w:fill="C6EFCE"/>
            <w:noWrap/>
          </w:tcPr>
          <w:p w14:paraId="31DF9FA6" w14:textId="77777777" w:rsidR="00FE6F09" w:rsidRDefault="00435AFB">
            <w:pPr>
              <w:pStyle w:val="P68B1DB1-Normal9"/>
              <w:spacing w:after="0" w:line="240" w:lineRule="auto"/>
              <w:jc w:val="center"/>
              <w:rPr>
                <w:noProof/>
              </w:rPr>
            </w:pPr>
            <w:r>
              <w:rPr>
                <w:noProof/>
              </w:rPr>
              <w:t>AC-1</w:t>
            </w:r>
          </w:p>
        </w:tc>
        <w:tc>
          <w:tcPr>
            <w:tcW w:w="1472" w:type="dxa"/>
            <w:tcBorders>
              <w:top w:val="single" w:sz="4" w:space="0" w:color="auto"/>
              <w:left w:val="nil"/>
              <w:bottom w:val="single" w:sz="4" w:space="0" w:color="auto"/>
              <w:right w:val="single" w:sz="4" w:space="0" w:color="auto"/>
            </w:tcBorders>
            <w:shd w:val="clear" w:color="auto" w:fill="C6EFCE"/>
            <w:noWrap/>
          </w:tcPr>
          <w:p w14:paraId="6AFC707B" w14:textId="77777777" w:rsidR="00FE6F09" w:rsidRDefault="00435AFB">
            <w:pPr>
              <w:pStyle w:val="P68B1DB1-Normal9"/>
              <w:spacing w:after="0" w:line="240" w:lineRule="auto"/>
              <w:rPr>
                <w:noProof/>
              </w:rPr>
            </w:pPr>
            <w:r>
              <w:rPr>
                <w:noProof/>
              </w:rPr>
              <w:t>Monitorizarea și punerea în aplicare a planului</w:t>
            </w:r>
          </w:p>
        </w:tc>
        <w:tc>
          <w:tcPr>
            <w:tcW w:w="1676" w:type="dxa"/>
            <w:tcBorders>
              <w:top w:val="single" w:sz="4" w:space="0" w:color="auto"/>
              <w:left w:val="nil"/>
              <w:bottom w:val="single" w:sz="4" w:space="0" w:color="auto"/>
              <w:right w:val="single" w:sz="4" w:space="0" w:color="auto"/>
            </w:tcBorders>
            <w:shd w:val="clear" w:color="auto" w:fill="C6EFCE"/>
            <w:noWrap/>
          </w:tcPr>
          <w:p w14:paraId="7173FBF7" w14:textId="77777777" w:rsidR="00FE6F09" w:rsidRDefault="00435AFB">
            <w:pPr>
              <w:pStyle w:val="P68B1DB1-Normal9"/>
              <w:spacing w:after="0" w:line="240" w:lineRule="auto"/>
              <w:jc w:val="center"/>
              <w:rPr>
                <w:noProof/>
              </w:rPr>
            </w:pPr>
            <w:r>
              <w:rPr>
                <w:noProof/>
              </w:rPr>
              <w:t>Etapa de referință</w:t>
            </w:r>
          </w:p>
        </w:tc>
        <w:tc>
          <w:tcPr>
            <w:tcW w:w="1472" w:type="dxa"/>
            <w:tcBorders>
              <w:top w:val="single" w:sz="4" w:space="0" w:color="auto"/>
              <w:left w:val="nil"/>
              <w:bottom w:val="single" w:sz="4" w:space="0" w:color="auto"/>
              <w:right w:val="single" w:sz="4" w:space="0" w:color="auto"/>
            </w:tcBorders>
            <w:shd w:val="clear" w:color="auto" w:fill="C6EFCE"/>
            <w:noWrap/>
          </w:tcPr>
          <w:p w14:paraId="0996387B" w14:textId="77777777" w:rsidR="00FE6F09" w:rsidRDefault="00435AFB">
            <w:pPr>
              <w:pStyle w:val="P68B1DB1-Normal9"/>
              <w:spacing w:after="0" w:line="240" w:lineRule="auto"/>
              <w:rPr>
                <w:noProof/>
              </w:rPr>
            </w:pPr>
            <w:r>
              <w:rPr>
                <w:noProof/>
              </w:rPr>
              <w:t>Sistemul de repertorii pentru audit și controale: informații pentru monitorizarea punerii în aplicare a MRR</w:t>
            </w:r>
          </w:p>
        </w:tc>
        <w:tc>
          <w:tcPr>
            <w:tcW w:w="1568" w:type="dxa"/>
            <w:tcBorders>
              <w:top w:val="single" w:sz="4" w:space="0" w:color="auto"/>
              <w:left w:val="nil"/>
              <w:bottom w:val="single" w:sz="4" w:space="0" w:color="auto"/>
              <w:right w:val="single" w:sz="4" w:space="0" w:color="auto"/>
            </w:tcBorders>
            <w:shd w:val="clear" w:color="auto" w:fill="C6EFCE"/>
            <w:noWrap/>
          </w:tcPr>
          <w:p w14:paraId="63018300" w14:textId="072B0378" w:rsidR="00FE6F09" w:rsidRDefault="00435AFB">
            <w:pPr>
              <w:pStyle w:val="P68B1DB1-Normal9"/>
              <w:spacing w:after="0" w:line="240" w:lineRule="auto"/>
              <w:rPr>
                <w:noProof/>
              </w:rPr>
            </w:pPr>
            <w:r>
              <w:rPr>
                <w:noProof/>
              </w:rPr>
              <w:t xml:space="preserve">Raport de audit care confirmă funcționalitățile sistemului de repertorii </w:t>
            </w:r>
          </w:p>
        </w:tc>
        <w:tc>
          <w:tcPr>
            <w:tcW w:w="1090" w:type="dxa"/>
            <w:tcBorders>
              <w:top w:val="single" w:sz="4" w:space="0" w:color="auto"/>
              <w:left w:val="nil"/>
              <w:bottom w:val="single" w:sz="4" w:space="0" w:color="auto"/>
              <w:right w:val="single" w:sz="4" w:space="0" w:color="auto"/>
            </w:tcBorders>
            <w:shd w:val="clear" w:color="auto" w:fill="C6EFCE"/>
            <w:noWrap/>
          </w:tcPr>
          <w:p w14:paraId="4C0B794E"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tcBorders>
              <w:top w:val="single" w:sz="4" w:space="0" w:color="auto"/>
              <w:left w:val="nil"/>
              <w:bottom w:val="single" w:sz="4" w:space="0" w:color="auto"/>
              <w:right w:val="single" w:sz="4" w:space="0" w:color="auto"/>
            </w:tcBorders>
            <w:shd w:val="clear" w:color="auto" w:fill="C6EFCE"/>
            <w:noWrap/>
          </w:tcPr>
          <w:p w14:paraId="6F398B29"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00" w:type="dxa"/>
            <w:tcBorders>
              <w:top w:val="single" w:sz="4" w:space="0" w:color="auto"/>
              <w:left w:val="nil"/>
              <w:bottom w:val="single" w:sz="4" w:space="0" w:color="auto"/>
              <w:right w:val="single" w:sz="4" w:space="0" w:color="auto"/>
            </w:tcBorders>
            <w:shd w:val="clear" w:color="auto" w:fill="C6EFCE"/>
            <w:noWrap/>
          </w:tcPr>
          <w:p w14:paraId="0D9C9E55"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1046" w:type="dxa"/>
            <w:tcBorders>
              <w:top w:val="single" w:sz="4" w:space="0" w:color="auto"/>
              <w:left w:val="nil"/>
              <w:bottom w:val="single" w:sz="4" w:space="0" w:color="auto"/>
              <w:right w:val="single" w:sz="4" w:space="0" w:color="auto"/>
            </w:tcBorders>
            <w:shd w:val="clear" w:color="auto" w:fill="C6EFCE"/>
            <w:noWrap/>
          </w:tcPr>
          <w:p w14:paraId="4C72CEDD" w14:textId="1A34EF75" w:rsidR="00FE6F09" w:rsidRDefault="00435AFB">
            <w:pPr>
              <w:pStyle w:val="P68B1DB1-Normal9"/>
              <w:spacing w:after="0" w:line="240" w:lineRule="auto"/>
              <w:jc w:val="center"/>
              <w:rPr>
                <w:noProof/>
              </w:rPr>
            </w:pPr>
            <w:r>
              <w:rPr>
                <w:noProof/>
              </w:rPr>
              <w:t>Înainte de prima cerere de plată</w:t>
            </w:r>
          </w:p>
        </w:tc>
        <w:tc>
          <w:tcPr>
            <w:tcW w:w="1054" w:type="dxa"/>
            <w:tcBorders>
              <w:top w:val="single" w:sz="4" w:space="0" w:color="auto"/>
              <w:left w:val="nil"/>
              <w:bottom w:val="single" w:sz="4" w:space="0" w:color="auto"/>
              <w:right w:val="single" w:sz="4" w:space="0" w:color="auto"/>
            </w:tcBorders>
            <w:shd w:val="clear" w:color="auto" w:fill="C6EFCE"/>
            <w:noWrap/>
          </w:tcPr>
          <w:p w14:paraId="6B76BFA9" w14:textId="7BD31439" w:rsidR="00FE6F09" w:rsidRDefault="00435AFB">
            <w:pPr>
              <w:pStyle w:val="P68B1DB1-Normal9"/>
              <w:spacing w:after="0" w:line="240" w:lineRule="auto"/>
              <w:jc w:val="center"/>
              <w:rPr>
                <w:noProof/>
              </w:rPr>
            </w:pPr>
            <w:r>
              <w:rPr>
                <w:noProof/>
              </w:rPr>
              <w:t>Înainte de prima cerere de plată</w:t>
            </w:r>
          </w:p>
        </w:tc>
        <w:tc>
          <w:tcPr>
            <w:tcW w:w="3522" w:type="dxa"/>
            <w:tcBorders>
              <w:top w:val="single" w:sz="4" w:space="0" w:color="auto"/>
              <w:left w:val="nil"/>
              <w:bottom w:val="single" w:sz="4" w:space="0" w:color="auto"/>
              <w:right w:val="single" w:sz="4" w:space="0" w:color="auto"/>
            </w:tcBorders>
            <w:shd w:val="clear" w:color="auto" w:fill="C6EFCE"/>
            <w:noWrap/>
          </w:tcPr>
          <w:p w14:paraId="45A3AC42" w14:textId="77777777" w:rsidR="00FE6F09" w:rsidRDefault="00435AFB">
            <w:pPr>
              <w:pStyle w:val="P68B1DB1-Normal9"/>
              <w:spacing w:after="0" w:line="240" w:lineRule="auto"/>
              <w:jc w:val="both"/>
              <w:rPr>
                <w:noProof/>
              </w:rPr>
            </w:pPr>
            <w:r>
              <w:rPr>
                <w:noProof/>
              </w:rPr>
              <w:t xml:space="preserve">Trebuie să existe și să fie operațional un sistem de repertorii pentru monitorizarea punerii în aplicare a MRR. </w:t>
            </w:r>
          </w:p>
          <w:p w14:paraId="2862AAF7" w14:textId="79825DA1" w:rsidR="00FE6F09" w:rsidRDefault="00435AFB">
            <w:pPr>
              <w:pStyle w:val="P68B1DB1-Normal9"/>
              <w:spacing w:after="0" w:line="240" w:lineRule="auto"/>
              <w:jc w:val="both"/>
              <w:rPr>
                <w:noProof/>
              </w:rPr>
            </w:pPr>
            <w:r>
              <w:rPr>
                <w:noProof/>
              </w:rPr>
              <w:t>Sistemul include cel puțin următoarele funcționalități:</w:t>
            </w:r>
          </w:p>
          <w:p w14:paraId="41AC27E4" w14:textId="77777777" w:rsidR="00FE6F09" w:rsidRDefault="00435AFB">
            <w:pPr>
              <w:pStyle w:val="P68B1DB1-Normal9"/>
              <w:spacing w:after="0" w:line="240" w:lineRule="auto"/>
              <w:jc w:val="both"/>
              <w:rPr>
                <w:noProof/>
              </w:rPr>
            </w:pPr>
            <w:r>
              <w:rPr>
                <w:noProof/>
              </w:rPr>
              <w:t>(a) colectarea de date și monitorizarea îndeplinirii jaloanelor și a țintelor;</w:t>
            </w:r>
          </w:p>
          <w:p w14:paraId="35E59A85" w14:textId="024E60A7" w:rsidR="00FE6F09" w:rsidRDefault="00435AFB">
            <w:pPr>
              <w:pStyle w:val="P68B1DB1-Normal9"/>
              <w:spacing w:after="0" w:line="240" w:lineRule="auto"/>
              <w:jc w:val="both"/>
              <w:rPr>
                <w:noProof/>
              </w:rPr>
            </w:pPr>
            <w:r>
              <w:rPr>
                <w:noProof/>
              </w:rPr>
              <w:t xml:space="preserve">(b) colectează, stochează și asigură accesul la datele prevăzute la articolul 22 alineatul (2) litera (d) punctele (i)-(iii) din Regulamentul privind MRR. </w:t>
            </w:r>
          </w:p>
        </w:tc>
      </w:tr>
      <w:tr w:rsidR="00FE6F09" w14:paraId="692CB091" w14:textId="77777777">
        <w:trPr>
          <w:trHeight w:val="309"/>
          <w:jc w:val="center"/>
        </w:trPr>
        <w:tc>
          <w:tcPr>
            <w:tcW w:w="1117" w:type="dxa"/>
            <w:tcBorders>
              <w:top w:val="single" w:sz="4" w:space="0" w:color="auto"/>
              <w:left w:val="single" w:sz="4" w:space="0" w:color="auto"/>
              <w:bottom w:val="single" w:sz="4" w:space="0" w:color="auto"/>
              <w:right w:val="single" w:sz="4" w:space="0" w:color="auto"/>
            </w:tcBorders>
            <w:shd w:val="clear" w:color="auto" w:fill="C6EFCE"/>
            <w:noWrap/>
          </w:tcPr>
          <w:p w14:paraId="0DD71FE1" w14:textId="77777777" w:rsidR="00FE6F09" w:rsidRDefault="00435AFB">
            <w:pPr>
              <w:pStyle w:val="P68B1DB1-Normal9"/>
              <w:spacing w:after="0" w:line="240" w:lineRule="auto"/>
              <w:jc w:val="center"/>
              <w:rPr>
                <w:noProof/>
              </w:rPr>
            </w:pPr>
            <w:r>
              <w:rPr>
                <w:noProof/>
              </w:rPr>
              <w:t>AC-2</w:t>
            </w:r>
          </w:p>
        </w:tc>
        <w:tc>
          <w:tcPr>
            <w:tcW w:w="1472" w:type="dxa"/>
            <w:tcBorders>
              <w:top w:val="single" w:sz="4" w:space="0" w:color="auto"/>
              <w:left w:val="nil"/>
              <w:bottom w:val="single" w:sz="4" w:space="0" w:color="auto"/>
              <w:right w:val="single" w:sz="4" w:space="0" w:color="auto"/>
            </w:tcBorders>
            <w:shd w:val="clear" w:color="auto" w:fill="C6EFCE"/>
            <w:noWrap/>
          </w:tcPr>
          <w:p w14:paraId="10EEB051" w14:textId="77777777" w:rsidR="00FE6F09" w:rsidRDefault="00435AFB">
            <w:pPr>
              <w:pStyle w:val="P68B1DB1-Normal9"/>
              <w:spacing w:after="0" w:line="240" w:lineRule="auto"/>
              <w:rPr>
                <w:noProof/>
              </w:rPr>
            </w:pPr>
            <w:r>
              <w:rPr>
                <w:noProof/>
              </w:rPr>
              <w:t>Monitorizarea și punerea în aplicare a planului</w:t>
            </w:r>
          </w:p>
        </w:tc>
        <w:tc>
          <w:tcPr>
            <w:tcW w:w="1676" w:type="dxa"/>
            <w:tcBorders>
              <w:top w:val="single" w:sz="4" w:space="0" w:color="auto"/>
              <w:left w:val="nil"/>
              <w:bottom w:val="single" w:sz="4" w:space="0" w:color="auto"/>
              <w:right w:val="single" w:sz="4" w:space="0" w:color="auto"/>
            </w:tcBorders>
            <w:shd w:val="clear" w:color="auto" w:fill="C6EFCE"/>
            <w:noWrap/>
          </w:tcPr>
          <w:p w14:paraId="2FEEC208" w14:textId="77777777" w:rsidR="00FE6F09" w:rsidRDefault="00435AFB">
            <w:pPr>
              <w:pStyle w:val="P68B1DB1-Normal9"/>
              <w:spacing w:after="0" w:line="240" w:lineRule="auto"/>
              <w:jc w:val="center"/>
              <w:rPr>
                <w:noProof/>
              </w:rPr>
            </w:pPr>
            <w:r>
              <w:rPr>
                <w:noProof/>
              </w:rPr>
              <w:t>Etapa de referință</w:t>
            </w:r>
          </w:p>
        </w:tc>
        <w:tc>
          <w:tcPr>
            <w:tcW w:w="1472" w:type="dxa"/>
            <w:tcBorders>
              <w:top w:val="single" w:sz="4" w:space="0" w:color="auto"/>
              <w:left w:val="nil"/>
              <w:bottom w:val="single" w:sz="4" w:space="0" w:color="auto"/>
              <w:right w:val="single" w:sz="4" w:space="0" w:color="auto"/>
            </w:tcBorders>
            <w:shd w:val="clear" w:color="auto" w:fill="C6EFCE"/>
            <w:noWrap/>
          </w:tcPr>
          <w:p w14:paraId="759685FE" w14:textId="77777777" w:rsidR="00FE6F09" w:rsidRDefault="00435AFB">
            <w:pPr>
              <w:pStyle w:val="P68B1DB1-Normal9"/>
              <w:spacing w:after="0" w:line="240" w:lineRule="auto"/>
              <w:rPr>
                <w:noProof/>
              </w:rPr>
            </w:pPr>
            <w:r>
              <w:rPr>
                <w:noProof/>
              </w:rPr>
              <w:t>Protecția intereselor financiare ale UE</w:t>
            </w:r>
          </w:p>
        </w:tc>
        <w:tc>
          <w:tcPr>
            <w:tcW w:w="1568" w:type="dxa"/>
            <w:tcBorders>
              <w:top w:val="single" w:sz="4" w:space="0" w:color="auto"/>
              <w:left w:val="nil"/>
              <w:bottom w:val="single" w:sz="4" w:space="0" w:color="auto"/>
              <w:right w:val="single" w:sz="4" w:space="0" w:color="auto"/>
            </w:tcBorders>
            <w:shd w:val="clear" w:color="auto" w:fill="C6EFCE"/>
            <w:noWrap/>
          </w:tcPr>
          <w:p w14:paraId="2A9F605A" w14:textId="77777777" w:rsidR="00FE6F09" w:rsidRDefault="00435AFB">
            <w:pPr>
              <w:pStyle w:val="P68B1DB1-Normal9"/>
              <w:spacing w:after="0" w:line="240" w:lineRule="auto"/>
              <w:rPr>
                <w:noProof/>
              </w:rPr>
            </w:pPr>
            <w:r>
              <w:rPr>
                <w:noProof/>
              </w:rPr>
              <w:t xml:space="preserve">Punerea în aplicare a procedurilor </w:t>
            </w:r>
          </w:p>
        </w:tc>
        <w:tc>
          <w:tcPr>
            <w:tcW w:w="1090" w:type="dxa"/>
            <w:tcBorders>
              <w:top w:val="single" w:sz="4" w:space="0" w:color="auto"/>
              <w:left w:val="nil"/>
              <w:bottom w:val="single" w:sz="4" w:space="0" w:color="auto"/>
              <w:right w:val="single" w:sz="4" w:space="0" w:color="auto"/>
            </w:tcBorders>
            <w:shd w:val="clear" w:color="auto" w:fill="C6EFCE"/>
            <w:noWrap/>
          </w:tcPr>
          <w:p w14:paraId="3F4038EF"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28" w:type="dxa"/>
            <w:tcBorders>
              <w:top w:val="single" w:sz="4" w:space="0" w:color="auto"/>
              <w:left w:val="nil"/>
              <w:bottom w:val="single" w:sz="4" w:space="0" w:color="auto"/>
              <w:right w:val="single" w:sz="4" w:space="0" w:color="auto"/>
            </w:tcBorders>
            <w:shd w:val="clear" w:color="auto" w:fill="C6EFCE"/>
            <w:noWrap/>
          </w:tcPr>
          <w:p w14:paraId="1DD4F34E"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900" w:type="dxa"/>
            <w:tcBorders>
              <w:top w:val="single" w:sz="4" w:space="0" w:color="auto"/>
              <w:left w:val="nil"/>
              <w:bottom w:val="single" w:sz="4" w:space="0" w:color="auto"/>
              <w:right w:val="single" w:sz="4" w:space="0" w:color="auto"/>
            </w:tcBorders>
            <w:shd w:val="clear" w:color="auto" w:fill="C6EFCE"/>
            <w:noWrap/>
          </w:tcPr>
          <w:p w14:paraId="0D86BFF2"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1046" w:type="dxa"/>
            <w:tcBorders>
              <w:top w:val="single" w:sz="4" w:space="0" w:color="auto"/>
              <w:left w:val="nil"/>
              <w:bottom w:val="single" w:sz="4" w:space="0" w:color="auto"/>
              <w:right w:val="single" w:sz="4" w:space="0" w:color="auto"/>
            </w:tcBorders>
            <w:shd w:val="clear" w:color="auto" w:fill="C6EFCE"/>
            <w:noWrap/>
          </w:tcPr>
          <w:p w14:paraId="057E5AC5" w14:textId="77777777" w:rsidR="00FE6F09" w:rsidRDefault="00435AFB">
            <w:pPr>
              <w:pStyle w:val="P68B1DB1-Normal9"/>
              <w:spacing w:after="0" w:line="240" w:lineRule="auto"/>
              <w:jc w:val="center"/>
              <w:rPr>
                <w:noProof/>
              </w:rPr>
            </w:pPr>
            <w:r>
              <w:rPr>
                <w:noProof/>
              </w:rPr>
              <w:t>Înainte de prima cerere de plată</w:t>
            </w:r>
          </w:p>
        </w:tc>
        <w:tc>
          <w:tcPr>
            <w:tcW w:w="1054" w:type="dxa"/>
            <w:tcBorders>
              <w:top w:val="single" w:sz="4" w:space="0" w:color="auto"/>
              <w:left w:val="nil"/>
              <w:bottom w:val="single" w:sz="4" w:space="0" w:color="auto"/>
              <w:right w:val="single" w:sz="4" w:space="0" w:color="auto"/>
            </w:tcBorders>
            <w:shd w:val="clear" w:color="auto" w:fill="C6EFCE"/>
            <w:noWrap/>
          </w:tcPr>
          <w:p w14:paraId="5B6CDF5A" w14:textId="77777777" w:rsidR="00FE6F09" w:rsidRDefault="00435AFB">
            <w:pPr>
              <w:pStyle w:val="P68B1DB1-Normal9"/>
              <w:spacing w:after="0" w:line="240" w:lineRule="auto"/>
              <w:jc w:val="center"/>
              <w:rPr>
                <w:noProof/>
              </w:rPr>
            </w:pPr>
            <w:r>
              <w:rPr>
                <w:noProof/>
              </w:rPr>
              <w:t>Înainte de prima cerere de plată</w:t>
            </w:r>
          </w:p>
        </w:tc>
        <w:tc>
          <w:tcPr>
            <w:tcW w:w="3522" w:type="dxa"/>
            <w:tcBorders>
              <w:top w:val="single" w:sz="4" w:space="0" w:color="auto"/>
              <w:left w:val="nil"/>
              <w:bottom w:val="single" w:sz="4" w:space="0" w:color="auto"/>
              <w:right w:val="single" w:sz="4" w:space="0" w:color="auto"/>
            </w:tcBorders>
            <w:shd w:val="clear" w:color="auto" w:fill="C6EFCE"/>
            <w:noWrap/>
          </w:tcPr>
          <w:p w14:paraId="7AC16AD7" w14:textId="77777777" w:rsidR="00FE6F09" w:rsidRDefault="00435AFB">
            <w:pPr>
              <w:pStyle w:val="P68B1DB1-Normal9"/>
              <w:spacing w:after="0" w:line="240" w:lineRule="auto"/>
              <w:jc w:val="both"/>
              <w:rPr>
                <w:noProof/>
              </w:rPr>
            </w:pPr>
            <w:r>
              <w:rPr>
                <w:noProof/>
              </w:rPr>
              <w:t>Finalizarea punerii în aplicare a procedurilor suplimentare pentru protecția intereselor financiare ale UE, astfel cum sunt prezentate în partea III capitolul 4 privind punerea în aplicare, subcapitolul x și capitolul 6 privind auditul și controalele, subcapitolul xi din plan, care trebuie finalizată înainte de depunerea primei cereri de plată de către autoritățile luxemburgheze.</w:t>
            </w:r>
          </w:p>
        </w:tc>
      </w:tr>
    </w:tbl>
    <w:p w14:paraId="727E8B41"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128"/>
          <w:headerReference w:type="default" r:id="rId129"/>
          <w:footerReference w:type="even" r:id="rId130"/>
          <w:footerReference w:type="default" r:id="rId131"/>
          <w:headerReference w:type="first" r:id="rId132"/>
          <w:footerReference w:type="first" r:id="rId133"/>
          <w:pgSz w:w="16839" w:h="11907" w:orient="landscape"/>
          <w:pgMar w:top="1417" w:right="1134" w:bottom="1417" w:left="1134" w:header="709" w:footer="709" w:gutter="0"/>
          <w:cols w:space="720"/>
          <w:docGrid w:linePitch="360"/>
        </w:sectPr>
      </w:pPr>
    </w:p>
    <w:p w14:paraId="7BB141FB" w14:textId="77777777" w:rsidR="00FE6F09" w:rsidRDefault="00435AFB">
      <w:pPr>
        <w:pStyle w:val="P68B1DB1-Normal24"/>
        <w:numPr>
          <w:ilvl w:val="6"/>
          <w:numId w:val="0"/>
        </w:numPr>
        <w:spacing w:before="120" w:after="120" w:line="240" w:lineRule="auto"/>
        <w:ind w:left="567" w:hanging="567"/>
        <w:jc w:val="both"/>
        <w:rPr>
          <w:bCs/>
          <w:noProof/>
        </w:rPr>
      </w:pPr>
      <w:r>
        <w:rPr>
          <w:noProof/>
        </w:rPr>
        <w:t>Costul total estimat al planului de redresare și reziliență</w:t>
      </w:r>
    </w:p>
    <w:p w14:paraId="5A3D46AC" w14:textId="52E75F59" w:rsidR="00FE6F09" w:rsidRDefault="00435AFB">
      <w:pPr>
        <w:pStyle w:val="P68B1DB1-Normal4"/>
        <w:spacing w:before="120" w:after="120" w:line="240" w:lineRule="auto"/>
        <w:jc w:val="both"/>
        <w:rPr>
          <w:noProof/>
        </w:rPr>
      </w:pPr>
      <w:r>
        <w:rPr>
          <w:noProof/>
        </w:rPr>
        <w:t>Costul total estimat al planului de redresare și reziliență al Luxemburgului, inclusiv al capitolului privind REPowerEU, este de 241 100 776 EUR. Costul total estimat al capitolului privind REPowerEU este de 176 746 699 EUR. În special, costul total estimat al măsurilor menționate la articolul 21c alineatul (3) litera (a) din Regulamentul (UE) 2023/435 este de 0, în timp ce costul celorlalte măsuri din capitolul privind REPowerEU este de 176 746 699 EUR.</w:t>
      </w:r>
    </w:p>
    <w:p w14:paraId="7BCD2480" w14:textId="77777777" w:rsidR="00FE6F09" w:rsidRDefault="00FE6F09">
      <w:pPr>
        <w:spacing w:before="120" w:after="120" w:line="240" w:lineRule="auto"/>
        <w:jc w:val="both"/>
        <w:rPr>
          <w:rFonts w:ascii="Times New Roman" w:hAnsi="Times New Roman" w:cs="Times New Roman"/>
          <w:noProof/>
          <w:sz w:val="24"/>
        </w:rPr>
      </w:pPr>
    </w:p>
    <w:p w14:paraId="07FE318C" w14:textId="77777777" w:rsidR="00FE6F09" w:rsidRDefault="00435AFB">
      <w:pPr>
        <w:pStyle w:val="P68B1DB1-Normal2"/>
        <w:spacing w:before="120" w:after="120" w:line="240" w:lineRule="auto"/>
        <w:jc w:val="both"/>
        <w:rPr>
          <w:bCs/>
          <w:noProof/>
        </w:rPr>
      </w:pPr>
      <w:r>
        <w:rPr>
          <w:noProof/>
        </w:rPr>
        <w:t xml:space="preserve">SECȚIUNEA 2: Sprijin financiar </w:t>
      </w:r>
    </w:p>
    <w:p w14:paraId="3DBF82D4" w14:textId="77777777" w:rsidR="00FE6F09" w:rsidRDefault="00435AFB">
      <w:pPr>
        <w:pStyle w:val="P68B1DB1-NumPar125"/>
        <w:tabs>
          <w:tab w:val="num" w:pos="850"/>
        </w:tabs>
        <w:ind w:left="850" w:hanging="850"/>
        <w:rPr>
          <w:bCs/>
          <w:noProof/>
        </w:rPr>
      </w:pPr>
      <w:r>
        <w:rPr>
          <w:noProof/>
        </w:rPr>
        <w:t>Contribuția financiară</w:t>
      </w:r>
    </w:p>
    <w:p w14:paraId="770AD6FA" w14:textId="77777777" w:rsidR="00FE6F09" w:rsidRDefault="00435AFB">
      <w:pPr>
        <w:pStyle w:val="P68B1DB1-Normal5"/>
        <w:numPr>
          <w:ilvl w:val="1"/>
          <w:numId w:val="6"/>
        </w:numPr>
        <w:spacing w:before="120" w:after="120" w:line="240" w:lineRule="auto"/>
        <w:jc w:val="both"/>
        <w:rPr>
          <w:noProof/>
        </w:rPr>
      </w:pPr>
      <w:r>
        <w:rPr>
          <w:noProof/>
        </w:rPr>
        <w:t xml:space="preserve">Prima tranșă (sprijin nerambursabil):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60"/>
        <w:gridCol w:w="3543"/>
        <w:gridCol w:w="1809"/>
        <w:gridCol w:w="2869"/>
      </w:tblGrid>
      <w:tr w:rsidR="00FE6F09" w14:paraId="4EC18958" w14:textId="77777777">
        <w:trPr>
          <w:trHeight w:val="906"/>
          <w:tblHeader/>
        </w:trPr>
        <w:tc>
          <w:tcPr>
            <w:tcW w:w="1560" w:type="dxa"/>
            <w:vMerge w:val="restart"/>
            <w:shd w:val="clear" w:color="auto" w:fill="BDD7EE"/>
            <w:vAlign w:val="center"/>
            <w:hideMark/>
          </w:tcPr>
          <w:p w14:paraId="75E63E76" w14:textId="77777777" w:rsidR="00FE6F09" w:rsidRDefault="00435AFB">
            <w:pPr>
              <w:pStyle w:val="P68B1DB1-Normal26"/>
              <w:spacing w:after="0" w:line="240" w:lineRule="auto"/>
              <w:jc w:val="center"/>
              <w:rPr>
                <w:bCs/>
                <w:noProof/>
              </w:rPr>
            </w:pPr>
            <w:r>
              <w:rPr>
                <w:noProof/>
              </w:rPr>
              <w:t>Număr secvențial</w:t>
            </w:r>
          </w:p>
        </w:tc>
        <w:tc>
          <w:tcPr>
            <w:tcW w:w="3543" w:type="dxa"/>
            <w:vMerge w:val="restart"/>
            <w:shd w:val="clear" w:color="auto" w:fill="BDD7EE"/>
            <w:vAlign w:val="center"/>
            <w:hideMark/>
          </w:tcPr>
          <w:p w14:paraId="1CF728A2" w14:textId="77777777" w:rsidR="00FE6F09" w:rsidRDefault="00435AFB">
            <w:pPr>
              <w:pStyle w:val="P68B1DB1-Normal26"/>
              <w:spacing w:after="0" w:line="240" w:lineRule="auto"/>
              <w:jc w:val="center"/>
              <w:rPr>
                <w:bCs/>
                <w:noProof/>
              </w:rPr>
            </w:pPr>
            <w:r>
              <w:rPr>
                <w:noProof/>
              </w:rPr>
              <w:t xml:space="preserve">Măsură conexă </w:t>
            </w:r>
          </w:p>
          <w:p w14:paraId="50DE9AC1" w14:textId="77777777" w:rsidR="00FE6F09" w:rsidRDefault="00435AFB">
            <w:pPr>
              <w:pStyle w:val="P68B1DB1-Normal26"/>
              <w:spacing w:after="0" w:line="240" w:lineRule="auto"/>
              <w:jc w:val="center"/>
              <w:rPr>
                <w:noProof/>
              </w:rPr>
            </w:pPr>
            <w:r>
              <w:rPr>
                <w:noProof/>
              </w:rPr>
              <w:t>(Reformă sau investiție)</w:t>
            </w:r>
          </w:p>
        </w:tc>
        <w:tc>
          <w:tcPr>
            <w:tcW w:w="1809" w:type="dxa"/>
            <w:vMerge w:val="restart"/>
            <w:shd w:val="clear" w:color="auto" w:fill="BDD7EE"/>
            <w:vAlign w:val="center"/>
            <w:hideMark/>
          </w:tcPr>
          <w:p w14:paraId="06E3B808" w14:textId="23B6ABCD" w:rsidR="00FE6F09" w:rsidRDefault="00435AFB">
            <w:pPr>
              <w:pStyle w:val="P68B1DB1-Normal26"/>
              <w:spacing w:after="0" w:line="240" w:lineRule="auto"/>
              <w:jc w:val="center"/>
              <w:rPr>
                <w:noProof/>
              </w:rPr>
            </w:pPr>
            <w:r>
              <w:rPr>
                <w:noProof/>
              </w:rPr>
              <w:t>Etapa/ținta</w:t>
            </w:r>
          </w:p>
        </w:tc>
        <w:tc>
          <w:tcPr>
            <w:tcW w:w="2869" w:type="dxa"/>
            <w:vMerge w:val="restart"/>
            <w:shd w:val="clear" w:color="auto" w:fill="BDD7EE"/>
            <w:vAlign w:val="center"/>
            <w:hideMark/>
          </w:tcPr>
          <w:p w14:paraId="6917BD2E" w14:textId="77777777" w:rsidR="00FE6F09" w:rsidRDefault="00435AFB">
            <w:pPr>
              <w:pStyle w:val="P68B1DB1-Normal26"/>
              <w:spacing w:after="0" w:line="240" w:lineRule="auto"/>
              <w:jc w:val="center"/>
              <w:rPr>
                <w:noProof/>
              </w:rPr>
            </w:pPr>
            <w:r>
              <w:rPr>
                <w:noProof/>
              </w:rPr>
              <w:t>Denumire</w:t>
            </w:r>
          </w:p>
        </w:tc>
      </w:tr>
      <w:tr w:rsidR="00FE6F09" w14:paraId="09723D59" w14:textId="77777777">
        <w:trPr>
          <w:trHeight w:val="509"/>
        </w:trPr>
        <w:tc>
          <w:tcPr>
            <w:tcW w:w="1560" w:type="dxa"/>
            <w:vMerge/>
            <w:vAlign w:val="center"/>
            <w:hideMark/>
          </w:tcPr>
          <w:p w14:paraId="71BEC391" w14:textId="77777777" w:rsidR="00FE6F09" w:rsidRDefault="00FE6F09">
            <w:pPr>
              <w:spacing w:after="0" w:line="240" w:lineRule="auto"/>
              <w:rPr>
                <w:rFonts w:ascii="Times New Roman" w:eastAsia="Times New Roman" w:hAnsi="Times New Roman" w:cs="Times New Roman"/>
                <w:b/>
                <w:bCs/>
                <w:noProof/>
                <w:sz w:val="24"/>
                <w:szCs w:val="24"/>
              </w:rPr>
            </w:pPr>
          </w:p>
        </w:tc>
        <w:tc>
          <w:tcPr>
            <w:tcW w:w="3543" w:type="dxa"/>
            <w:vMerge/>
            <w:vAlign w:val="center"/>
            <w:hideMark/>
          </w:tcPr>
          <w:p w14:paraId="3E618045" w14:textId="77777777" w:rsidR="00FE6F09" w:rsidRDefault="00FE6F09">
            <w:pPr>
              <w:spacing w:after="0" w:line="240" w:lineRule="auto"/>
              <w:rPr>
                <w:rFonts w:ascii="Times New Roman" w:eastAsia="Times New Roman" w:hAnsi="Times New Roman" w:cs="Times New Roman"/>
                <w:b/>
                <w:bCs/>
                <w:noProof/>
                <w:sz w:val="24"/>
                <w:szCs w:val="24"/>
              </w:rPr>
            </w:pPr>
          </w:p>
        </w:tc>
        <w:tc>
          <w:tcPr>
            <w:tcW w:w="1809" w:type="dxa"/>
            <w:vMerge/>
            <w:vAlign w:val="center"/>
            <w:hideMark/>
          </w:tcPr>
          <w:p w14:paraId="3D82B4CD" w14:textId="77777777" w:rsidR="00FE6F09" w:rsidRDefault="00FE6F09">
            <w:pPr>
              <w:spacing w:after="0" w:line="240" w:lineRule="auto"/>
              <w:jc w:val="center"/>
              <w:rPr>
                <w:rFonts w:ascii="Times New Roman" w:eastAsia="Times New Roman" w:hAnsi="Times New Roman" w:cs="Times New Roman"/>
                <w:b/>
                <w:bCs/>
                <w:noProof/>
                <w:sz w:val="24"/>
                <w:szCs w:val="24"/>
              </w:rPr>
            </w:pPr>
          </w:p>
        </w:tc>
        <w:tc>
          <w:tcPr>
            <w:tcW w:w="2869" w:type="dxa"/>
            <w:vMerge/>
            <w:vAlign w:val="center"/>
            <w:hideMark/>
          </w:tcPr>
          <w:p w14:paraId="5A5EFF3A" w14:textId="77777777" w:rsidR="00FE6F09" w:rsidRDefault="00FE6F09">
            <w:pPr>
              <w:spacing w:after="0" w:line="240" w:lineRule="auto"/>
              <w:jc w:val="both"/>
              <w:rPr>
                <w:rFonts w:ascii="Times New Roman" w:eastAsia="Times New Roman" w:hAnsi="Times New Roman" w:cs="Times New Roman"/>
                <w:b/>
                <w:bCs/>
                <w:noProof/>
                <w:sz w:val="24"/>
                <w:szCs w:val="24"/>
              </w:rPr>
            </w:pPr>
          </w:p>
        </w:tc>
      </w:tr>
      <w:tr w:rsidR="00FE6F09" w14:paraId="03B5D255" w14:textId="77777777">
        <w:trPr>
          <w:trHeight w:val="302"/>
        </w:trPr>
        <w:tc>
          <w:tcPr>
            <w:tcW w:w="1560" w:type="dxa"/>
            <w:shd w:val="clear" w:color="auto" w:fill="C6EFCE"/>
            <w:noWrap/>
            <w:vAlign w:val="center"/>
            <w:hideMark/>
          </w:tcPr>
          <w:p w14:paraId="7EA83AAC" w14:textId="77777777" w:rsidR="00FE6F09" w:rsidRDefault="00435AFB">
            <w:pPr>
              <w:pStyle w:val="P68B1DB1-Normal27"/>
              <w:spacing w:after="0" w:line="240" w:lineRule="auto"/>
              <w:jc w:val="center"/>
              <w:rPr>
                <w:rFonts w:eastAsia="Times New Roman"/>
                <w:noProof/>
              </w:rPr>
            </w:pPr>
            <w:r>
              <w:rPr>
                <w:noProof/>
              </w:rPr>
              <w:t>AC-1</w:t>
            </w:r>
          </w:p>
        </w:tc>
        <w:tc>
          <w:tcPr>
            <w:tcW w:w="3543" w:type="dxa"/>
            <w:shd w:val="clear" w:color="auto" w:fill="C6EFCE"/>
            <w:noWrap/>
            <w:vAlign w:val="center"/>
            <w:hideMark/>
          </w:tcPr>
          <w:p w14:paraId="16DFD34B" w14:textId="77777777" w:rsidR="00FE6F09" w:rsidRDefault="00435AFB">
            <w:pPr>
              <w:pStyle w:val="P68B1DB1-Normal27"/>
              <w:spacing w:after="0" w:line="240" w:lineRule="auto"/>
              <w:rPr>
                <w:rFonts w:eastAsia="Times New Roman"/>
                <w:noProof/>
              </w:rPr>
            </w:pPr>
            <w:r>
              <w:rPr>
                <w:noProof/>
              </w:rPr>
              <w:t>CA: Monitorizarea și punerea în aplicare a planului</w:t>
            </w:r>
          </w:p>
        </w:tc>
        <w:tc>
          <w:tcPr>
            <w:tcW w:w="1809" w:type="dxa"/>
            <w:shd w:val="clear" w:color="auto" w:fill="C6EFCE"/>
            <w:noWrap/>
            <w:vAlign w:val="center"/>
            <w:hideMark/>
          </w:tcPr>
          <w:p w14:paraId="23B9B2FF"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hideMark/>
          </w:tcPr>
          <w:p w14:paraId="2614B6CE" w14:textId="77777777" w:rsidR="00FE6F09" w:rsidRDefault="00435AFB">
            <w:pPr>
              <w:pStyle w:val="P68B1DB1-Normal27"/>
              <w:spacing w:after="0" w:line="240" w:lineRule="auto"/>
              <w:jc w:val="both"/>
              <w:rPr>
                <w:rFonts w:eastAsia="Times New Roman"/>
                <w:noProof/>
              </w:rPr>
            </w:pPr>
            <w:r>
              <w:rPr>
                <w:noProof/>
              </w:rPr>
              <w:t>Sistemul de repertorii pentru audit și controale: informații pentru monitorizarea punerii în aplicare a MRR</w:t>
            </w:r>
          </w:p>
        </w:tc>
      </w:tr>
      <w:tr w:rsidR="00FE6F09" w14:paraId="340C007C" w14:textId="77777777">
        <w:trPr>
          <w:trHeight w:val="302"/>
        </w:trPr>
        <w:tc>
          <w:tcPr>
            <w:tcW w:w="1560" w:type="dxa"/>
            <w:shd w:val="clear" w:color="auto" w:fill="C6EFCE"/>
            <w:noWrap/>
            <w:vAlign w:val="center"/>
            <w:hideMark/>
          </w:tcPr>
          <w:p w14:paraId="7152C405" w14:textId="77777777" w:rsidR="00FE6F09" w:rsidRDefault="00435AFB">
            <w:pPr>
              <w:pStyle w:val="P68B1DB1-Normal27"/>
              <w:spacing w:after="0" w:line="240" w:lineRule="auto"/>
              <w:jc w:val="center"/>
              <w:rPr>
                <w:rFonts w:eastAsia="Times New Roman"/>
                <w:noProof/>
              </w:rPr>
            </w:pPr>
            <w:r>
              <w:rPr>
                <w:noProof/>
              </w:rPr>
              <w:t>3C-2</w:t>
            </w:r>
          </w:p>
        </w:tc>
        <w:tc>
          <w:tcPr>
            <w:tcW w:w="3543" w:type="dxa"/>
            <w:shd w:val="clear" w:color="auto" w:fill="C6EFCE"/>
            <w:noWrap/>
            <w:vAlign w:val="center"/>
            <w:hideMark/>
          </w:tcPr>
          <w:p w14:paraId="0F36D60D" w14:textId="77777777" w:rsidR="00FE6F09" w:rsidRDefault="00435AFB">
            <w:pPr>
              <w:pStyle w:val="P68B1DB1-Normal27"/>
              <w:spacing w:after="0" w:line="240" w:lineRule="auto"/>
              <w:rPr>
                <w:rFonts w:eastAsia="Times New Roman"/>
                <w:noProof/>
              </w:rPr>
            </w:pPr>
            <w:r>
              <w:rPr>
                <w:noProof/>
              </w:rPr>
              <w:t>3C: Reforma 2 – Combaterea spălării banilor și a finanțării terorismului</w:t>
            </w:r>
          </w:p>
        </w:tc>
        <w:tc>
          <w:tcPr>
            <w:tcW w:w="1809" w:type="dxa"/>
            <w:shd w:val="clear" w:color="auto" w:fill="C6EFCE"/>
            <w:noWrap/>
            <w:vAlign w:val="center"/>
            <w:hideMark/>
          </w:tcPr>
          <w:p w14:paraId="45BE694B"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hideMark/>
          </w:tcPr>
          <w:p w14:paraId="34DA4168" w14:textId="692B94A6" w:rsidR="00FE6F09" w:rsidRDefault="00435AFB">
            <w:pPr>
              <w:pStyle w:val="P68B1DB1-Normal27"/>
              <w:spacing w:after="0" w:line="240" w:lineRule="auto"/>
              <w:jc w:val="both"/>
              <w:rPr>
                <w:rFonts w:eastAsia="Times New Roman"/>
                <w:noProof/>
              </w:rPr>
            </w:pPr>
            <w:r>
              <w:rPr>
                <w:noProof/>
              </w:rPr>
              <w:t>Legea din 25 martie 2020 privind combaterea spălării banilor</w:t>
            </w:r>
          </w:p>
        </w:tc>
      </w:tr>
      <w:tr w:rsidR="00FE6F09" w14:paraId="0824115D" w14:textId="77777777">
        <w:trPr>
          <w:trHeight w:val="302"/>
        </w:trPr>
        <w:tc>
          <w:tcPr>
            <w:tcW w:w="1560" w:type="dxa"/>
            <w:shd w:val="clear" w:color="auto" w:fill="C6EFCE"/>
            <w:noWrap/>
            <w:vAlign w:val="center"/>
            <w:hideMark/>
          </w:tcPr>
          <w:p w14:paraId="4B7B5662" w14:textId="77777777" w:rsidR="00FE6F09" w:rsidRDefault="00435AFB">
            <w:pPr>
              <w:pStyle w:val="P68B1DB1-Normal27"/>
              <w:spacing w:after="0" w:line="240" w:lineRule="auto"/>
              <w:jc w:val="center"/>
              <w:rPr>
                <w:rFonts w:eastAsia="Times New Roman"/>
                <w:noProof/>
              </w:rPr>
            </w:pPr>
            <w:r>
              <w:rPr>
                <w:noProof/>
              </w:rPr>
              <w:t>1A-1</w:t>
            </w:r>
          </w:p>
        </w:tc>
        <w:tc>
          <w:tcPr>
            <w:tcW w:w="3543" w:type="dxa"/>
            <w:shd w:val="clear" w:color="auto" w:fill="C6EFCE"/>
            <w:noWrap/>
            <w:vAlign w:val="center"/>
            <w:hideMark/>
          </w:tcPr>
          <w:p w14:paraId="55ADD66D" w14:textId="77777777" w:rsidR="00FE6F09" w:rsidRDefault="00435AFB">
            <w:pPr>
              <w:pStyle w:val="P68B1DB1-Normal27"/>
              <w:spacing w:after="0" w:line="240" w:lineRule="auto"/>
              <w:rPr>
                <w:rFonts w:eastAsia="Times New Roman"/>
                <w:noProof/>
              </w:rPr>
            </w:pPr>
            <w:r>
              <w:rPr>
                <w:noProof/>
              </w:rPr>
              <w:t>1A: Reforma 1 - Competențe</w:t>
            </w:r>
          </w:p>
        </w:tc>
        <w:tc>
          <w:tcPr>
            <w:tcW w:w="1809" w:type="dxa"/>
            <w:shd w:val="clear" w:color="auto" w:fill="C6EFCE"/>
            <w:noWrap/>
            <w:vAlign w:val="center"/>
            <w:hideMark/>
          </w:tcPr>
          <w:p w14:paraId="0907F1DC"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hideMark/>
          </w:tcPr>
          <w:p w14:paraId="10D64BBB" w14:textId="5E7233FC" w:rsidR="00FE6F09" w:rsidRDefault="00435AFB">
            <w:pPr>
              <w:pStyle w:val="P68B1DB1-Normal27"/>
              <w:spacing w:after="0" w:line="240" w:lineRule="auto"/>
              <w:jc w:val="both"/>
              <w:rPr>
                <w:rFonts w:eastAsia="Times New Roman"/>
                <w:noProof/>
              </w:rPr>
            </w:pPr>
            <w:r>
              <w:rPr>
                <w:noProof/>
              </w:rPr>
              <w:t>Lansarea programului «Skillsdësch»</w:t>
            </w:r>
          </w:p>
        </w:tc>
      </w:tr>
      <w:tr w:rsidR="00FE6F09" w14:paraId="7E79120E" w14:textId="77777777">
        <w:trPr>
          <w:trHeight w:val="302"/>
        </w:trPr>
        <w:tc>
          <w:tcPr>
            <w:tcW w:w="1560" w:type="dxa"/>
            <w:shd w:val="clear" w:color="auto" w:fill="C6EFCE"/>
            <w:noWrap/>
            <w:vAlign w:val="center"/>
          </w:tcPr>
          <w:p w14:paraId="6ABADAC0" w14:textId="77777777" w:rsidR="00FE6F09" w:rsidRDefault="00435AFB">
            <w:pPr>
              <w:pStyle w:val="P68B1DB1-Normal27"/>
              <w:spacing w:after="0" w:line="240" w:lineRule="auto"/>
              <w:jc w:val="center"/>
              <w:rPr>
                <w:rFonts w:eastAsia="Times New Roman"/>
                <w:noProof/>
              </w:rPr>
            </w:pPr>
            <w:r>
              <w:rPr>
                <w:noProof/>
              </w:rPr>
              <w:t>1B-1</w:t>
            </w:r>
          </w:p>
        </w:tc>
        <w:tc>
          <w:tcPr>
            <w:tcW w:w="3543" w:type="dxa"/>
            <w:shd w:val="clear" w:color="auto" w:fill="C6EFCE"/>
            <w:noWrap/>
            <w:vAlign w:val="center"/>
          </w:tcPr>
          <w:p w14:paraId="1D66D9E9" w14:textId="77777777" w:rsidR="00FE6F09" w:rsidRDefault="00435AFB">
            <w:pPr>
              <w:pStyle w:val="P68B1DB1-Normal27"/>
              <w:spacing w:after="0" w:line="240" w:lineRule="auto"/>
              <w:rPr>
                <w:rFonts w:eastAsia="Times New Roman"/>
                <w:noProof/>
              </w:rPr>
            </w:pPr>
            <w:r>
              <w:rPr>
                <w:noProof/>
              </w:rPr>
              <w:t>1B: Reforma 1 – Consolidarea rezilienței sistemului de sănătate – Gesondheetsdësch</w:t>
            </w:r>
          </w:p>
        </w:tc>
        <w:tc>
          <w:tcPr>
            <w:tcW w:w="1809" w:type="dxa"/>
            <w:shd w:val="clear" w:color="auto" w:fill="C6EFCE"/>
            <w:noWrap/>
            <w:vAlign w:val="center"/>
          </w:tcPr>
          <w:p w14:paraId="0DC2712D"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tcPr>
          <w:p w14:paraId="777C814B" w14:textId="0406BCAD" w:rsidR="00FE6F09" w:rsidRDefault="00435AFB">
            <w:pPr>
              <w:pStyle w:val="P68B1DB1-Normal27"/>
              <w:spacing w:after="0" w:line="240" w:lineRule="auto"/>
              <w:jc w:val="both"/>
              <w:rPr>
                <w:rFonts w:eastAsia="Times New Roman"/>
                <w:noProof/>
              </w:rPr>
            </w:pPr>
            <w:r>
              <w:rPr>
                <w:noProof/>
              </w:rPr>
              <w:t xml:space="preserve">Lansarea și etapa pregătitoare a procesului „Gesondheetsdësch”, cu scopul de a aborda cele șase priorități tematice. </w:t>
            </w:r>
          </w:p>
        </w:tc>
      </w:tr>
      <w:tr w:rsidR="00FE6F09" w14:paraId="6D3FC784" w14:textId="77777777">
        <w:trPr>
          <w:trHeight w:val="302"/>
        </w:trPr>
        <w:tc>
          <w:tcPr>
            <w:tcW w:w="1560" w:type="dxa"/>
            <w:shd w:val="clear" w:color="auto" w:fill="C6EFCE"/>
            <w:noWrap/>
            <w:vAlign w:val="center"/>
          </w:tcPr>
          <w:p w14:paraId="05B68E03" w14:textId="77777777" w:rsidR="00FE6F09" w:rsidRDefault="00435AFB">
            <w:pPr>
              <w:pStyle w:val="P68B1DB1-Normal27"/>
              <w:spacing w:after="0" w:line="240" w:lineRule="auto"/>
              <w:jc w:val="center"/>
              <w:rPr>
                <w:rFonts w:eastAsia="Times New Roman"/>
                <w:noProof/>
              </w:rPr>
            </w:pPr>
            <w:r>
              <w:rPr>
                <w:noProof/>
              </w:rPr>
              <w:t>3C-3</w:t>
            </w:r>
          </w:p>
        </w:tc>
        <w:tc>
          <w:tcPr>
            <w:tcW w:w="3543" w:type="dxa"/>
            <w:shd w:val="clear" w:color="auto" w:fill="C6EFCE"/>
            <w:noWrap/>
            <w:vAlign w:val="center"/>
          </w:tcPr>
          <w:p w14:paraId="4772C45C" w14:textId="77777777" w:rsidR="00FE6F09" w:rsidRDefault="00435AFB">
            <w:pPr>
              <w:pStyle w:val="P68B1DB1-Normal27"/>
              <w:spacing w:after="0" w:line="240" w:lineRule="auto"/>
              <w:rPr>
                <w:rFonts w:eastAsia="Times New Roman"/>
                <w:noProof/>
              </w:rPr>
            </w:pPr>
            <w:r>
              <w:rPr>
                <w:noProof/>
              </w:rPr>
              <w:t>3C: Reforma 2 – Combaterea spălării banilor și a finanțării terorismului</w:t>
            </w:r>
          </w:p>
        </w:tc>
        <w:tc>
          <w:tcPr>
            <w:tcW w:w="1809" w:type="dxa"/>
            <w:shd w:val="clear" w:color="auto" w:fill="C6EFCE"/>
            <w:noWrap/>
            <w:vAlign w:val="center"/>
          </w:tcPr>
          <w:p w14:paraId="18E3CAE7"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tcPr>
          <w:p w14:paraId="75EBAC59" w14:textId="08AF8532" w:rsidR="00FE6F09" w:rsidRDefault="00435AFB">
            <w:pPr>
              <w:pStyle w:val="P68B1DB1-Normal27"/>
              <w:spacing w:after="0" w:line="240" w:lineRule="auto"/>
              <w:jc w:val="both"/>
              <w:rPr>
                <w:rFonts w:eastAsia="Times New Roman"/>
                <w:noProof/>
              </w:rPr>
            </w:pPr>
            <w:r>
              <w:rPr>
                <w:noProof/>
              </w:rPr>
              <w:t xml:space="preserve">Decretul Marelui Ducat din 14 august 2020 privind combaterea spălării banilor </w:t>
            </w:r>
          </w:p>
        </w:tc>
      </w:tr>
      <w:tr w:rsidR="00FE6F09" w14:paraId="32C05ECB" w14:textId="77777777">
        <w:trPr>
          <w:trHeight w:val="302"/>
        </w:trPr>
        <w:tc>
          <w:tcPr>
            <w:tcW w:w="1560" w:type="dxa"/>
            <w:shd w:val="clear" w:color="auto" w:fill="C6EFCE"/>
            <w:noWrap/>
            <w:vAlign w:val="center"/>
          </w:tcPr>
          <w:p w14:paraId="42D61674" w14:textId="77777777" w:rsidR="00FE6F09" w:rsidRDefault="00435AFB">
            <w:pPr>
              <w:pStyle w:val="P68B1DB1-Normal27"/>
              <w:spacing w:after="0" w:line="240" w:lineRule="auto"/>
              <w:jc w:val="center"/>
              <w:rPr>
                <w:rFonts w:eastAsia="Times New Roman"/>
                <w:noProof/>
              </w:rPr>
            </w:pPr>
            <w:r>
              <w:rPr>
                <w:noProof/>
              </w:rPr>
              <w:t>3C-6</w:t>
            </w:r>
          </w:p>
        </w:tc>
        <w:tc>
          <w:tcPr>
            <w:tcW w:w="3543" w:type="dxa"/>
            <w:shd w:val="clear" w:color="auto" w:fill="C6EFCE"/>
            <w:noWrap/>
            <w:vAlign w:val="center"/>
          </w:tcPr>
          <w:p w14:paraId="2A283197" w14:textId="77777777" w:rsidR="00FE6F09" w:rsidRDefault="00435AFB">
            <w:pPr>
              <w:pStyle w:val="P68B1DB1-Normal27"/>
              <w:spacing w:after="0" w:line="240" w:lineRule="auto"/>
              <w:rPr>
                <w:rFonts w:eastAsia="Times New Roman"/>
                <w:noProof/>
              </w:rPr>
            </w:pPr>
            <w:r>
              <w:rPr>
                <w:noProof/>
              </w:rPr>
              <w:t>3C: Reforma 2 – Combaterea spălării banilor și a finanțării terorismului</w:t>
            </w:r>
          </w:p>
        </w:tc>
        <w:tc>
          <w:tcPr>
            <w:tcW w:w="1809" w:type="dxa"/>
            <w:shd w:val="clear" w:color="auto" w:fill="C6EFCE"/>
            <w:noWrap/>
            <w:vAlign w:val="center"/>
          </w:tcPr>
          <w:p w14:paraId="63033257"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tcPr>
          <w:p w14:paraId="0CAF0E32" w14:textId="77777777" w:rsidR="00FE6F09" w:rsidRDefault="00435AFB">
            <w:pPr>
              <w:pStyle w:val="P68B1DB1-Normal27"/>
              <w:spacing w:after="0" w:line="240" w:lineRule="auto"/>
              <w:jc w:val="both"/>
              <w:rPr>
                <w:rFonts w:eastAsia="Times New Roman"/>
                <w:noProof/>
              </w:rPr>
            </w:pPr>
            <w:r>
              <w:rPr>
                <w:noProof/>
              </w:rPr>
              <w:t xml:space="preserve">Actualizarea din 2020 a evaluării naționale a riscurilor </w:t>
            </w:r>
          </w:p>
        </w:tc>
      </w:tr>
      <w:tr w:rsidR="00FE6F09" w14:paraId="46E179EC" w14:textId="77777777">
        <w:trPr>
          <w:trHeight w:val="302"/>
        </w:trPr>
        <w:tc>
          <w:tcPr>
            <w:tcW w:w="1560" w:type="dxa"/>
            <w:shd w:val="clear" w:color="auto" w:fill="C6EFCE"/>
            <w:noWrap/>
            <w:vAlign w:val="center"/>
          </w:tcPr>
          <w:p w14:paraId="1901684A" w14:textId="77777777" w:rsidR="00FE6F09" w:rsidRDefault="00435AFB">
            <w:pPr>
              <w:pStyle w:val="P68B1DB1-Normal27"/>
              <w:spacing w:after="0" w:line="240" w:lineRule="auto"/>
              <w:jc w:val="center"/>
              <w:rPr>
                <w:noProof/>
              </w:rPr>
            </w:pPr>
            <w:r>
              <w:rPr>
                <w:noProof/>
              </w:rPr>
              <w:t>1A-3</w:t>
            </w:r>
          </w:p>
        </w:tc>
        <w:tc>
          <w:tcPr>
            <w:tcW w:w="3543" w:type="dxa"/>
            <w:shd w:val="clear" w:color="auto" w:fill="C6EFCE"/>
            <w:noWrap/>
            <w:vAlign w:val="center"/>
          </w:tcPr>
          <w:p w14:paraId="660AB0DA" w14:textId="77777777" w:rsidR="00FE6F09" w:rsidRDefault="00435AFB">
            <w:pPr>
              <w:pStyle w:val="P68B1DB1-Normal27"/>
              <w:spacing w:after="0" w:line="240" w:lineRule="auto"/>
              <w:rPr>
                <w:noProof/>
              </w:rPr>
            </w:pPr>
            <w:r>
              <w:rPr>
                <w:noProof/>
              </w:rPr>
              <w:t>1A: Investiția 1 - FutureSkills</w:t>
            </w:r>
          </w:p>
        </w:tc>
        <w:tc>
          <w:tcPr>
            <w:tcW w:w="1809" w:type="dxa"/>
            <w:shd w:val="clear" w:color="auto" w:fill="C6EFCE"/>
            <w:noWrap/>
            <w:vAlign w:val="center"/>
          </w:tcPr>
          <w:p w14:paraId="432F9075"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12C5BC9C" w14:textId="77777777" w:rsidR="00FE6F09" w:rsidRDefault="00435AFB">
            <w:pPr>
              <w:pStyle w:val="P68B1DB1-Normal27"/>
              <w:spacing w:after="0" w:line="240" w:lineRule="auto"/>
              <w:jc w:val="both"/>
              <w:rPr>
                <w:noProof/>
              </w:rPr>
            </w:pPr>
            <w:r>
              <w:rPr>
                <w:noProof/>
              </w:rPr>
              <w:t xml:space="preserve">Acord între parteneri privind „faza operațională” </w:t>
            </w:r>
          </w:p>
        </w:tc>
      </w:tr>
      <w:tr w:rsidR="00FE6F09" w14:paraId="47DBC800" w14:textId="77777777">
        <w:trPr>
          <w:trHeight w:val="302"/>
        </w:trPr>
        <w:tc>
          <w:tcPr>
            <w:tcW w:w="1560" w:type="dxa"/>
            <w:shd w:val="clear" w:color="auto" w:fill="C6EFCE"/>
            <w:noWrap/>
            <w:vAlign w:val="center"/>
          </w:tcPr>
          <w:p w14:paraId="530F36FD" w14:textId="77777777" w:rsidR="00FE6F09" w:rsidRDefault="00435AFB">
            <w:pPr>
              <w:pStyle w:val="P68B1DB1-Normal27"/>
              <w:spacing w:after="0" w:line="240" w:lineRule="auto"/>
              <w:jc w:val="center"/>
              <w:rPr>
                <w:noProof/>
              </w:rPr>
            </w:pPr>
            <w:r>
              <w:rPr>
                <w:noProof/>
              </w:rPr>
              <w:t>1B-7</w:t>
            </w:r>
          </w:p>
        </w:tc>
        <w:tc>
          <w:tcPr>
            <w:tcW w:w="3543" w:type="dxa"/>
            <w:shd w:val="clear" w:color="auto" w:fill="C6EFCE"/>
            <w:noWrap/>
            <w:vAlign w:val="center"/>
          </w:tcPr>
          <w:p w14:paraId="09BD631A" w14:textId="77777777" w:rsidR="00FE6F09" w:rsidRDefault="00435AFB">
            <w:pPr>
              <w:pStyle w:val="P68B1DB1-Normal27"/>
              <w:spacing w:after="0" w:line="240" w:lineRule="auto"/>
              <w:rPr>
                <w:noProof/>
              </w:rPr>
            </w:pPr>
            <w:r>
              <w:rPr>
                <w:noProof/>
              </w:rPr>
              <w:t>1B: Investiția 2 – Consolidarea rezilienței sistemului de sănătate – Soluție de telemedicină pentru monitorizarea medicală la distanță a pacienților</w:t>
            </w:r>
          </w:p>
        </w:tc>
        <w:tc>
          <w:tcPr>
            <w:tcW w:w="1809" w:type="dxa"/>
            <w:shd w:val="clear" w:color="auto" w:fill="C6EFCE"/>
            <w:noWrap/>
            <w:vAlign w:val="center"/>
          </w:tcPr>
          <w:p w14:paraId="418F9218"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3BE47EA8" w14:textId="77777777" w:rsidR="00FE6F09" w:rsidRDefault="00435AFB">
            <w:pPr>
              <w:pStyle w:val="P68B1DB1-Normal27"/>
              <w:spacing w:after="0" w:line="240" w:lineRule="auto"/>
              <w:jc w:val="both"/>
              <w:rPr>
                <w:noProof/>
              </w:rPr>
            </w:pPr>
            <w:r>
              <w:rPr>
                <w:noProof/>
              </w:rPr>
              <w:t xml:space="preserve">„Maela” </w:t>
            </w:r>
          </w:p>
        </w:tc>
      </w:tr>
      <w:tr w:rsidR="00FE6F09" w14:paraId="4AE766AF" w14:textId="77777777">
        <w:trPr>
          <w:trHeight w:val="302"/>
        </w:trPr>
        <w:tc>
          <w:tcPr>
            <w:tcW w:w="1560" w:type="dxa"/>
            <w:shd w:val="clear" w:color="auto" w:fill="C6EFCE"/>
            <w:noWrap/>
            <w:vAlign w:val="center"/>
          </w:tcPr>
          <w:p w14:paraId="55948117" w14:textId="77777777" w:rsidR="00FE6F09" w:rsidRDefault="00435AFB">
            <w:pPr>
              <w:pStyle w:val="P68B1DB1-Normal27"/>
              <w:spacing w:after="0" w:line="240" w:lineRule="auto"/>
              <w:jc w:val="center"/>
              <w:rPr>
                <w:noProof/>
              </w:rPr>
            </w:pPr>
            <w:r>
              <w:rPr>
                <w:noProof/>
              </w:rPr>
              <w:t>3B-13</w:t>
            </w:r>
          </w:p>
        </w:tc>
        <w:tc>
          <w:tcPr>
            <w:tcW w:w="3543" w:type="dxa"/>
            <w:shd w:val="clear" w:color="auto" w:fill="C6EFCE"/>
            <w:noWrap/>
            <w:vAlign w:val="center"/>
          </w:tcPr>
          <w:p w14:paraId="3D292812" w14:textId="77777777" w:rsidR="00FE6F09" w:rsidRDefault="00435AFB">
            <w:pPr>
              <w:pStyle w:val="P68B1DB1-Normal27"/>
              <w:spacing w:after="0" w:line="240" w:lineRule="auto"/>
              <w:rPr>
                <w:noProof/>
              </w:rPr>
            </w:pPr>
            <w:r>
              <w:rPr>
                <w:noProof/>
              </w:rPr>
              <w:t>3B: Investiția 4 – Platforma națională pentru gestionarea investigațiilor publice</w:t>
            </w:r>
          </w:p>
        </w:tc>
        <w:tc>
          <w:tcPr>
            <w:tcW w:w="1809" w:type="dxa"/>
            <w:shd w:val="clear" w:color="auto" w:fill="C6EFCE"/>
            <w:noWrap/>
            <w:vAlign w:val="center"/>
          </w:tcPr>
          <w:p w14:paraId="6EF316C6"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7EBD9AC5" w14:textId="77777777" w:rsidR="00FE6F09" w:rsidRDefault="00435AFB">
            <w:pPr>
              <w:pStyle w:val="P68B1DB1-Normal27"/>
              <w:spacing w:after="0" w:line="240" w:lineRule="auto"/>
              <w:jc w:val="both"/>
              <w:rPr>
                <w:noProof/>
              </w:rPr>
            </w:pPr>
            <w:r>
              <w:rPr>
                <w:noProof/>
              </w:rPr>
              <w:t>Crearea unei platforme naționale pentru gestionarea și publicarea anchetelor publice și a documentelor conexe</w:t>
            </w:r>
          </w:p>
        </w:tc>
      </w:tr>
      <w:tr w:rsidR="00FE6F09" w14:paraId="2A0DC316" w14:textId="77777777">
        <w:trPr>
          <w:trHeight w:val="302"/>
        </w:trPr>
        <w:tc>
          <w:tcPr>
            <w:tcW w:w="1560" w:type="dxa"/>
            <w:shd w:val="clear" w:color="auto" w:fill="C6EFCE"/>
            <w:noWrap/>
            <w:vAlign w:val="center"/>
          </w:tcPr>
          <w:p w14:paraId="2A5B2FCD" w14:textId="77777777" w:rsidR="00FE6F09" w:rsidRDefault="00435AFB">
            <w:pPr>
              <w:pStyle w:val="P68B1DB1-Normal27"/>
              <w:spacing w:after="0" w:line="240" w:lineRule="auto"/>
              <w:jc w:val="center"/>
              <w:rPr>
                <w:noProof/>
              </w:rPr>
            </w:pPr>
            <w:r>
              <w:rPr>
                <w:noProof/>
              </w:rPr>
              <w:t>3C-1</w:t>
            </w:r>
          </w:p>
        </w:tc>
        <w:tc>
          <w:tcPr>
            <w:tcW w:w="3543" w:type="dxa"/>
            <w:shd w:val="clear" w:color="auto" w:fill="C6EFCE"/>
            <w:noWrap/>
            <w:vAlign w:val="center"/>
          </w:tcPr>
          <w:p w14:paraId="0745985A" w14:textId="77777777" w:rsidR="00FE6F09" w:rsidRDefault="00435AFB">
            <w:pPr>
              <w:pStyle w:val="P68B1DB1-Normal27"/>
              <w:spacing w:after="0" w:line="240" w:lineRule="auto"/>
              <w:rPr>
                <w:noProof/>
              </w:rPr>
            </w:pPr>
            <w:r>
              <w:rPr>
                <w:noProof/>
              </w:rPr>
              <w:t>3C: Reforma 1 – Modernizarea impozitării societăților comerciale</w:t>
            </w:r>
          </w:p>
        </w:tc>
        <w:tc>
          <w:tcPr>
            <w:tcW w:w="1809" w:type="dxa"/>
            <w:shd w:val="clear" w:color="auto" w:fill="C6EFCE"/>
            <w:noWrap/>
            <w:vAlign w:val="center"/>
          </w:tcPr>
          <w:p w14:paraId="13F2761C"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57A9D99A" w14:textId="1A6BEF18" w:rsidR="00FE6F09" w:rsidRDefault="00435AFB">
            <w:pPr>
              <w:pStyle w:val="P68B1DB1-Normal27"/>
              <w:spacing w:after="0" w:line="240" w:lineRule="auto"/>
              <w:jc w:val="both"/>
              <w:rPr>
                <w:noProof/>
              </w:rPr>
            </w:pPr>
            <w:r>
              <w:rPr>
                <w:noProof/>
              </w:rPr>
              <w:t xml:space="preserve">Legea din 10 februarie 2021 de modificare a Legii modificate din 4 decembrie 1967 privind impozitul pe venit (fostul proiect de lege nr. 7547) </w:t>
            </w:r>
          </w:p>
        </w:tc>
      </w:tr>
      <w:tr w:rsidR="00FE6F09" w14:paraId="64A53A8C" w14:textId="77777777">
        <w:trPr>
          <w:trHeight w:val="302"/>
        </w:trPr>
        <w:tc>
          <w:tcPr>
            <w:tcW w:w="1560" w:type="dxa"/>
            <w:shd w:val="clear" w:color="auto" w:fill="C6EFCE"/>
            <w:noWrap/>
            <w:vAlign w:val="center"/>
          </w:tcPr>
          <w:p w14:paraId="6D01EA2C" w14:textId="77777777" w:rsidR="00FE6F09" w:rsidRDefault="00435AFB">
            <w:pPr>
              <w:pStyle w:val="P68B1DB1-Normal27"/>
              <w:spacing w:after="0" w:line="240" w:lineRule="auto"/>
              <w:jc w:val="center"/>
              <w:rPr>
                <w:noProof/>
              </w:rPr>
            </w:pPr>
            <w:r>
              <w:rPr>
                <w:noProof/>
              </w:rPr>
              <w:t>3B-8</w:t>
            </w:r>
          </w:p>
        </w:tc>
        <w:tc>
          <w:tcPr>
            <w:tcW w:w="3543" w:type="dxa"/>
            <w:shd w:val="clear" w:color="auto" w:fill="C6EFCE"/>
            <w:noWrap/>
            <w:vAlign w:val="center"/>
          </w:tcPr>
          <w:p w14:paraId="7D818940" w14:textId="77777777" w:rsidR="00FE6F09" w:rsidRDefault="00435AFB">
            <w:pPr>
              <w:pStyle w:val="P68B1DB1-Normal27"/>
              <w:spacing w:after="0" w:line="240" w:lineRule="auto"/>
              <w:rPr>
                <w:noProof/>
              </w:rPr>
            </w:pPr>
            <w:r>
              <w:rPr>
                <w:noProof/>
              </w:rPr>
              <w:t>3B: Investiția 2 – Dezvoltarea MyGuichet – Proiectul 3/3: Aplicația mobilă MyGuichet.lu</w:t>
            </w:r>
          </w:p>
        </w:tc>
        <w:tc>
          <w:tcPr>
            <w:tcW w:w="1809" w:type="dxa"/>
            <w:shd w:val="clear" w:color="auto" w:fill="C6EFCE"/>
            <w:noWrap/>
            <w:vAlign w:val="center"/>
          </w:tcPr>
          <w:p w14:paraId="6D7B5269"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2F157138" w14:textId="77777777" w:rsidR="00FE6F09" w:rsidRDefault="00435AFB">
            <w:pPr>
              <w:pStyle w:val="P68B1DB1-Normal27"/>
              <w:spacing w:after="0" w:line="240" w:lineRule="auto"/>
              <w:jc w:val="both"/>
              <w:rPr>
                <w:noProof/>
              </w:rPr>
            </w:pPr>
            <w:r>
              <w:rPr>
                <w:noProof/>
              </w:rPr>
              <w:t>Implementarea unei versiuni mobile a MyGuichet (public restricționat)</w:t>
            </w:r>
          </w:p>
        </w:tc>
      </w:tr>
      <w:tr w:rsidR="00FE6F09" w14:paraId="2DDD0E4A" w14:textId="77777777">
        <w:trPr>
          <w:trHeight w:val="302"/>
        </w:trPr>
        <w:tc>
          <w:tcPr>
            <w:tcW w:w="1560" w:type="dxa"/>
            <w:shd w:val="clear" w:color="auto" w:fill="C6EFCE"/>
            <w:noWrap/>
            <w:vAlign w:val="center"/>
          </w:tcPr>
          <w:p w14:paraId="31C3F875" w14:textId="77777777" w:rsidR="00FE6F09" w:rsidRDefault="00435AFB">
            <w:pPr>
              <w:pStyle w:val="P68B1DB1-Normal27"/>
              <w:spacing w:after="0" w:line="240" w:lineRule="auto"/>
              <w:jc w:val="center"/>
              <w:rPr>
                <w:noProof/>
              </w:rPr>
            </w:pPr>
            <w:r>
              <w:rPr>
                <w:noProof/>
              </w:rPr>
              <w:t>3C-4</w:t>
            </w:r>
          </w:p>
        </w:tc>
        <w:tc>
          <w:tcPr>
            <w:tcW w:w="3543" w:type="dxa"/>
            <w:shd w:val="clear" w:color="auto" w:fill="C6EFCE"/>
            <w:noWrap/>
            <w:vAlign w:val="center"/>
          </w:tcPr>
          <w:p w14:paraId="461F740D" w14:textId="77777777" w:rsidR="00FE6F09" w:rsidRDefault="00435AFB">
            <w:pPr>
              <w:pStyle w:val="P68B1DB1-Normal27"/>
              <w:spacing w:after="0" w:line="240" w:lineRule="auto"/>
              <w:rPr>
                <w:noProof/>
              </w:rPr>
            </w:pPr>
            <w:r>
              <w:rPr>
                <w:noProof/>
              </w:rPr>
              <w:t>3C: Reforma 2 – Combaterea spălării banilor și a finanțării terorismului</w:t>
            </w:r>
          </w:p>
        </w:tc>
        <w:tc>
          <w:tcPr>
            <w:tcW w:w="1809" w:type="dxa"/>
            <w:shd w:val="clear" w:color="auto" w:fill="C6EFCE"/>
            <w:noWrap/>
            <w:vAlign w:val="center"/>
          </w:tcPr>
          <w:p w14:paraId="3FB3DE81"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726BD526" w14:textId="77777777" w:rsidR="00FE6F09" w:rsidRDefault="00435AFB">
            <w:pPr>
              <w:pStyle w:val="P68B1DB1-Normal27"/>
              <w:spacing w:after="0" w:line="240" w:lineRule="auto"/>
              <w:jc w:val="both"/>
              <w:rPr>
                <w:noProof/>
              </w:rPr>
            </w:pPr>
            <w:r>
              <w:rPr>
                <w:noProof/>
              </w:rPr>
              <w:t xml:space="preserve">Evaluarea verticală a riscurilor în domeniul finanțării terorismului </w:t>
            </w:r>
          </w:p>
        </w:tc>
      </w:tr>
      <w:tr w:rsidR="00FE6F09" w14:paraId="492D8EC0" w14:textId="77777777">
        <w:trPr>
          <w:trHeight w:val="302"/>
        </w:trPr>
        <w:tc>
          <w:tcPr>
            <w:tcW w:w="1560" w:type="dxa"/>
            <w:shd w:val="clear" w:color="auto" w:fill="C6EFCE"/>
            <w:noWrap/>
            <w:vAlign w:val="center"/>
          </w:tcPr>
          <w:p w14:paraId="1479ED8D" w14:textId="77777777" w:rsidR="00FE6F09" w:rsidRDefault="00435AFB">
            <w:pPr>
              <w:pStyle w:val="P68B1DB1-Normal27"/>
              <w:spacing w:after="0" w:line="240" w:lineRule="auto"/>
              <w:jc w:val="center"/>
              <w:rPr>
                <w:noProof/>
              </w:rPr>
            </w:pPr>
            <w:r>
              <w:rPr>
                <w:noProof/>
              </w:rPr>
              <w:t>1C-1</w:t>
            </w:r>
          </w:p>
        </w:tc>
        <w:tc>
          <w:tcPr>
            <w:tcW w:w="3543" w:type="dxa"/>
            <w:shd w:val="clear" w:color="auto" w:fill="C6EFCE"/>
            <w:noWrap/>
            <w:vAlign w:val="center"/>
          </w:tcPr>
          <w:p w14:paraId="249AE456" w14:textId="77777777" w:rsidR="00FE6F09" w:rsidRDefault="00435AFB">
            <w:pPr>
              <w:pStyle w:val="P68B1DB1-Normal27"/>
              <w:spacing w:after="0" w:line="240" w:lineRule="auto"/>
              <w:rPr>
                <w:noProof/>
              </w:rPr>
            </w:pPr>
            <w:r>
              <w:rPr>
                <w:noProof/>
              </w:rPr>
              <w:t>1C: Reformă – Pactul privind locuințele 2.0</w:t>
            </w:r>
          </w:p>
        </w:tc>
        <w:tc>
          <w:tcPr>
            <w:tcW w:w="1809" w:type="dxa"/>
            <w:shd w:val="clear" w:color="auto" w:fill="C6EFCE"/>
            <w:noWrap/>
            <w:vAlign w:val="center"/>
          </w:tcPr>
          <w:p w14:paraId="65366DDD"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7421A115" w14:textId="77777777" w:rsidR="00FE6F09" w:rsidRDefault="00435AFB">
            <w:pPr>
              <w:pStyle w:val="P68B1DB1-Normal27"/>
              <w:spacing w:after="0" w:line="240" w:lineRule="auto"/>
              <w:jc w:val="both"/>
              <w:rPr>
                <w:noProof/>
              </w:rPr>
            </w:pPr>
            <w:r>
              <w:rPr>
                <w:noProof/>
              </w:rPr>
              <w:t>Intrarea în vigoare a Pactului privind locuințele 2.0</w:t>
            </w:r>
          </w:p>
        </w:tc>
      </w:tr>
      <w:tr w:rsidR="00FE6F09" w14:paraId="7A15C06B" w14:textId="77777777">
        <w:trPr>
          <w:trHeight w:val="302"/>
        </w:trPr>
        <w:tc>
          <w:tcPr>
            <w:tcW w:w="1560" w:type="dxa"/>
            <w:shd w:val="clear" w:color="auto" w:fill="C6EFCE"/>
            <w:noWrap/>
            <w:vAlign w:val="center"/>
          </w:tcPr>
          <w:p w14:paraId="73CA39C8" w14:textId="77777777" w:rsidR="00FE6F09" w:rsidRDefault="00435AFB">
            <w:pPr>
              <w:pStyle w:val="P68B1DB1-Normal27"/>
              <w:spacing w:after="0" w:line="240" w:lineRule="auto"/>
              <w:jc w:val="center"/>
              <w:rPr>
                <w:noProof/>
              </w:rPr>
            </w:pPr>
            <w:r>
              <w:rPr>
                <w:noProof/>
              </w:rPr>
              <w:t>2A-1</w:t>
            </w:r>
          </w:p>
        </w:tc>
        <w:tc>
          <w:tcPr>
            <w:tcW w:w="3543" w:type="dxa"/>
            <w:shd w:val="clear" w:color="auto" w:fill="C6EFCE"/>
            <w:noWrap/>
            <w:vAlign w:val="center"/>
          </w:tcPr>
          <w:p w14:paraId="3017AC49" w14:textId="77777777" w:rsidR="00FE6F09" w:rsidRDefault="00435AFB">
            <w:pPr>
              <w:pStyle w:val="P68B1DB1-Normal27"/>
              <w:spacing w:after="0" w:line="240" w:lineRule="auto"/>
              <w:rPr>
                <w:noProof/>
              </w:rPr>
            </w:pPr>
            <w:r>
              <w:rPr>
                <w:noProof/>
              </w:rPr>
              <w:t>2A: Reformă: Electrificarea flotei autorităților și entităților contractante și a transportului public</w:t>
            </w:r>
          </w:p>
        </w:tc>
        <w:tc>
          <w:tcPr>
            <w:tcW w:w="1809" w:type="dxa"/>
            <w:shd w:val="clear" w:color="auto" w:fill="C6EFCE"/>
            <w:noWrap/>
            <w:vAlign w:val="center"/>
          </w:tcPr>
          <w:p w14:paraId="17394576"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0B2A8AA6" w14:textId="77777777" w:rsidR="00FE6F09" w:rsidRDefault="00435AFB">
            <w:pPr>
              <w:pStyle w:val="P68B1DB1-Normal27"/>
              <w:spacing w:after="0" w:line="240" w:lineRule="auto"/>
              <w:jc w:val="both"/>
              <w:rPr>
                <w:noProof/>
              </w:rPr>
            </w:pPr>
            <w:r>
              <w:rPr>
                <w:noProof/>
              </w:rPr>
              <w:t xml:space="preserve">Regulamentul Marelui Ducat privind achizițiile publice de vehicule nepoluante </w:t>
            </w:r>
          </w:p>
        </w:tc>
      </w:tr>
      <w:tr w:rsidR="00FE6F09" w14:paraId="53A2FB9E" w14:textId="77777777">
        <w:trPr>
          <w:trHeight w:val="302"/>
        </w:trPr>
        <w:tc>
          <w:tcPr>
            <w:tcW w:w="1560" w:type="dxa"/>
            <w:shd w:val="clear" w:color="auto" w:fill="C6EFCE"/>
            <w:noWrap/>
            <w:vAlign w:val="center"/>
          </w:tcPr>
          <w:p w14:paraId="2F83B8F7" w14:textId="77777777" w:rsidR="00FE6F09" w:rsidRDefault="00435AFB">
            <w:pPr>
              <w:pStyle w:val="P68B1DB1-Normal27"/>
              <w:spacing w:after="0" w:line="240" w:lineRule="auto"/>
              <w:jc w:val="center"/>
              <w:rPr>
                <w:noProof/>
              </w:rPr>
            </w:pPr>
            <w:r>
              <w:rPr>
                <w:noProof/>
              </w:rPr>
              <w:t>2B-1</w:t>
            </w:r>
          </w:p>
        </w:tc>
        <w:tc>
          <w:tcPr>
            <w:tcW w:w="3543" w:type="dxa"/>
            <w:shd w:val="clear" w:color="auto" w:fill="C6EFCE"/>
            <w:noWrap/>
            <w:vAlign w:val="center"/>
          </w:tcPr>
          <w:p w14:paraId="6B5BAB60" w14:textId="77777777" w:rsidR="00FE6F09" w:rsidRDefault="00435AFB">
            <w:pPr>
              <w:pStyle w:val="P68B1DB1-Normal27"/>
              <w:spacing w:after="0" w:line="240" w:lineRule="auto"/>
              <w:rPr>
                <w:noProof/>
              </w:rPr>
            </w:pPr>
            <w:r>
              <w:rPr>
                <w:noProof/>
              </w:rPr>
              <w:t>2B: Reforme și investiții: „Naturpakt”</w:t>
            </w:r>
          </w:p>
        </w:tc>
        <w:tc>
          <w:tcPr>
            <w:tcW w:w="1809" w:type="dxa"/>
            <w:shd w:val="clear" w:color="auto" w:fill="C6EFCE"/>
            <w:noWrap/>
            <w:vAlign w:val="center"/>
          </w:tcPr>
          <w:p w14:paraId="36CA854D"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1268A588" w14:textId="77777777" w:rsidR="00FE6F09" w:rsidRDefault="00435AFB">
            <w:pPr>
              <w:pStyle w:val="P68B1DB1-Normal27"/>
              <w:spacing w:after="0" w:line="240" w:lineRule="auto"/>
              <w:jc w:val="both"/>
              <w:rPr>
                <w:noProof/>
              </w:rPr>
            </w:pPr>
            <w:r>
              <w:rPr>
                <w:noProof/>
              </w:rPr>
              <w:t>Finalizarea catalogului de măsuri</w:t>
            </w:r>
          </w:p>
        </w:tc>
      </w:tr>
      <w:tr w:rsidR="00FE6F09" w14:paraId="267C910E" w14:textId="77777777">
        <w:trPr>
          <w:trHeight w:val="302"/>
        </w:trPr>
        <w:tc>
          <w:tcPr>
            <w:tcW w:w="1560" w:type="dxa"/>
            <w:shd w:val="clear" w:color="auto" w:fill="C6EFCE"/>
            <w:noWrap/>
            <w:vAlign w:val="center"/>
          </w:tcPr>
          <w:p w14:paraId="2E9BB27E" w14:textId="77777777" w:rsidR="00FE6F09" w:rsidRDefault="00435AFB">
            <w:pPr>
              <w:pStyle w:val="P68B1DB1-Normal27"/>
              <w:spacing w:after="0" w:line="240" w:lineRule="auto"/>
              <w:jc w:val="center"/>
              <w:rPr>
                <w:noProof/>
              </w:rPr>
            </w:pPr>
            <w:r>
              <w:rPr>
                <w:noProof/>
              </w:rPr>
              <w:t>3A-3</w:t>
            </w:r>
          </w:p>
        </w:tc>
        <w:tc>
          <w:tcPr>
            <w:tcW w:w="3543" w:type="dxa"/>
            <w:shd w:val="clear" w:color="auto" w:fill="C6EFCE"/>
            <w:noWrap/>
            <w:vAlign w:val="center"/>
          </w:tcPr>
          <w:p w14:paraId="261B5A4D" w14:textId="7436A926" w:rsidR="00FE6F09" w:rsidRDefault="00435AFB">
            <w:pPr>
              <w:pStyle w:val="P68B1DB1-Normal27"/>
              <w:spacing w:after="0" w:line="240" w:lineRule="auto"/>
              <w:rPr>
                <w:noProof/>
              </w:rPr>
            </w:pPr>
            <w:r>
              <w:rPr>
                <w:noProof/>
              </w:rPr>
              <w:t>3A: Investiția 1 – Dezvoltarea și implementarea infrastructurii de testare și a soluțiilor de conectivitate ultrasecurizate</w:t>
            </w:r>
          </w:p>
        </w:tc>
        <w:tc>
          <w:tcPr>
            <w:tcW w:w="1809" w:type="dxa"/>
            <w:shd w:val="clear" w:color="auto" w:fill="C6EFCE"/>
            <w:noWrap/>
            <w:vAlign w:val="center"/>
          </w:tcPr>
          <w:p w14:paraId="0263FD3D"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50F6C8A7" w14:textId="77777777" w:rsidR="00FE6F09" w:rsidRDefault="00435AFB">
            <w:pPr>
              <w:pStyle w:val="P68B1DB1-Normal27"/>
              <w:spacing w:after="0" w:line="240" w:lineRule="auto"/>
              <w:jc w:val="both"/>
              <w:rPr>
                <w:noProof/>
              </w:rPr>
            </w:pPr>
            <w:r>
              <w:rPr>
                <w:noProof/>
              </w:rPr>
              <w:t>Laboratorul LuxQCI </w:t>
            </w:r>
          </w:p>
        </w:tc>
      </w:tr>
      <w:tr w:rsidR="00FE6F09" w14:paraId="6DADED5B" w14:textId="77777777">
        <w:trPr>
          <w:trHeight w:val="302"/>
        </w:trPr>
        <w:tc>
          <w:tcPr>
            <w:tcW w:w="1560" w:type="dxa"/>
            <w:shd w:val="clear" w:color="auto" w:fill="C6EFCE"/>
            <w:noWrap/>
            <w:vAlign w:val="center"/>
          </w:tcPr>
          <w:p w14:paraId="13D57D29" w14:textId="77777777" w:rsidR="00FE6F09" w:rsidRDefault="00435AFB">
            <w:pPr>
              <w:pStyle w:val="P68B1DB1-Normal27"/>
              <w:spacing w:after="0" w:line="240" w:lineRule="auto"/>
              <w:jc w:val="center"/>
              <w:rPr>
                <w:noProof/>
              </w:rPr>
            </w:pPr>
            <w:r>
              <w:rPr>
                <w:noProof/>
              </w:rPr>
              <w:t>3B-9</w:t>
            </w:r>
          </w:p>
        </w:tc>
        <w:tc>
          <w:tcPr>
            <w:tcW w:w="3543" w:type="dxa"/>
            <w:shd w:val="clear" w:color="auto" w:fill="C6EFCE"/>
            <w:noWrap/>
            <w:vAlign w:val="center"/>
          </w:tcPr>
          <w:p w14:paraId="002F54C8" w14:textId="77777777" w:rsidR="00FE6F09" w:rsidRDefault="00435AFB">
            <w:pPr>
              <w:pStyle w:val="P68B1DB1-Normal27"/>
              <w:spacing w:after="0" w:line="240" w:lineRule="auto"/>
              <w:rPr>
                <w:noProof/>
              </w:rPr>
            </w:pPr>
            <w:r>
              <w:rPr>
                <w:noProof/>
              </w:rPr>
              <w:t>3B: Investiția 2 – Dezvoltarea MyGuichet – Proiectul 3/3: Aplicația mobilă MyGuichet.lu</w:t>
            </w:r>
          </w:p>
        </w:tc>
        <w:tc>
          <w:tcPr>
            <w:tcW w:w="1809" w:type="dxa"/>
            <w:shd w:val="clear" w:color="auto" w:fill="C6EFCE"/>
            <w:noWrap/>
            <w:vAlign w:val="center"/>
          </w:tcPr>
          <w:p w14:paraId="32D429B0"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10502526" w14:textId="77777777" w:rsidR="00FE6F09" w:rsidRDefault="00435AFB">
            <w:pPr>
              <w:pStyle w:val="P68B1DB1-Normal27"/>
              <w:spacing w:after="0" w:line="240" w:lineRule="auto"/>
              <w:jc w:val="both"/>
              <w:rPr>
                <w:noProof/>
              </w:rPr>
            </w:pPr>
            <w:r>
              <w:rPr>
                <w:noProof/>
              </w:rPr>
              <w:t>Implementarea unei versiuni mobile a MyGuichet.lu pentru publicul larg</w:t>
            </w:r>
          </w:p>
        </w:tc>
      </w:tr>
      <w:tr w:rsidR="00FE6F09" w14:paraId="1F395541" w14:textId="77777777">
        <w:trPr>
          <w:trHeight w:val="302"/>
        </w:trPr>
        <w:tc>
          <w:tcPr>
            <w:tcW w:w="1560" w:type="dxa"/>
            <w:shd w:val="clear" w:color="auto" w:fill="C6EFCE"/>
            <w:noWrap/>
            <w:vAlign w:val="center"/>
          </w:tcPr>
          <w:p w14:paraId="4477B1FF" w14:textId="77777777" w:rsidR="00FE6F09" w:rsidRDefault="00435AFB">
            <w:pPr>
              <w:pStyle w:val="P68B1DB1-Normal27"/>
              <w:spacing w:after="0" w:line="240" w:lineRule="auto"/>
              <w:jc w:val="center"/>
              <w:rPr>
                <w:noProof/>
              </w:rPr>
            </w:pPr>
            <w:r>
              <w:rPr>
                <w:noProof/>
              </w:rPr>
              <w:t>1A-4</w:t>
            </w:r>
          </w:p>
        </w:tc>
        <w:tc>
          <w:tcPr>
            <w:tcW w:w="3543" w:type="dxa"/>
            <w:shd w:val="clear" w:color="auto" w:fill="C6EFCE"/>
            <w:noWrap/>
            <w:vAlign w:val="center"/>
          </w:tcPr>
          <w:p w14:paraId="3EF459E1" w14:textId="77777777" w:rsidR="00FE6F09" w:rsidRDefault="00435AFB">
            <w:pPr>
              <w:pStyle w:val="P68B1DB1-Normal27"/>
              <w:spacing w:after="0" w:line="240" w:lineRule="auto"/>
              <w:rPr>
                <w:noProof/>
              </w:rPr>
            </w:pPr>
            <w:r>
              <w:rPr>
                <w:noProof/>
              </w:rPr>
              <w:t>1A: Investiția 1 - FutureSkills</w:t>
            </w:r>
          </w:p>
        </w:tc>
        <w:tc>
          <w:tcPr>
            <w:tcW w:w="1809" w:type="dxa"/>
            <w:shd w:val="clear" w:color="auto" w:fill="C6EFCE"/>
            <w:noWrap/>
            <w:vAlign w:val="center"/>
          </w:tcPr>
          <w:p w14:paraId="3F28E933" w14:textId="77777777" w:rsidR="00FE6F09" w:rsidRDefault="00435AFB">
            <w:pPr>
              <w:pStyle w:val="P68B1DB1-Normal27"/>
              <w:spacing w:after="0" w:line="240" w:lineRule="auto"/>
              <w:jc w:val="center"/>
              <w:rPr>
                <w:noProof/>
              </w:rPr>
            </w:pPr>
            <w:r>
              <w:rPr>
                <w:noProof/>
              </w:rPr>
              <w:t>Țintă</w:t>
            </w:r>
          </w:p>
        </w:tc>
        <w:tc>
          <w:tcPr>
            <w:tcW w:w="2869" w:type="dxa"/>
            <w:shd w:val="clear" w:color="auto" w:fill="C6EFCE"/>
            <w:noWrap/>
            <w:vAlign w:val="center"/>
          </w:tcPr>
          <w:p w14:paraId="1F8728EA" w14:textId="77777777" w:rsidR="00FE6F09" w:rsidRDefault="00435AFB">
            <w:pPr>
              <w:pStyle w:val="P68B1DB1-Normal27"/>
              <w:spacing w:after="0" w:line="240" w:lineRule="auto"/>
              <w:jc w:val="both"/>
              <w:rPr>
                <w:noProof/>
              </w:rPr>
            </w:pPr>
            <w:r>
              <w:rPr>
                <w:noProof/>
              </w:rPr>
              <w:t>Participanții la FutureSkills în vârstă de peste 45 de ani</w:t>
            </w:r>
          </w:p>
        </w:tc>
      </w:tr>
      <w:tr w:rsidR="00FE6F09" w14:paraId="45243BA3" w14:textId="77777777">
        <w:trPr>
          <w:trHeight w:val="302"/>
        </w:trPr>
        <w:tc>
          <w:tcPr>
            <w:tcW w:w="1560" w:type="dxa"/>
            <w:shd w:val="clear" w:color="auto" w:fill="C6EFCE"/>
            <w:noWrap/>
            <w:vAlign w:val="center"/>
          </w:tcPr>
          <w:p w14:paraId="75885396" w14:textId="77777777" w:rsidR="00FE6F09" w:rsidRDefault="00435AFB">
            <w:pPr>
              <w:pStyle w:val="P68B1DB1-Normal27"/>
              <w:spacing w:after="0" w:line="240" w:lineRule="auto"/>
              <w:jc w:val="center"/>
              <w:rPr>
                <w:noProof/>
              </w:rPr>
            </w:pPr>
            <w:r>
              <w:rPr>
                <w:noProof/>
              </w:rPr>
              <w:t>1A-5</w:t>
            </w:r>
          </w:p>
        </w:tc>
        <w:tc>
          <w:tcPr>
            <w:tcW w:w="3543" w:type="dxa"/>
            <w:shd w:val="clear" w:color="auto" w:fill="C6EFCE"/>
            <w:noWrap/>
            <w:vAlign w:val="center"/>
          </w:tcPr>
          <w:p w14:paraId="09FB8B72" w14:textId="77777777" w:rsidR="00FE6F09" w:rsidRDefault="00435AFB">
            <w:pPr>
              <w:pStyle w:val="P68B1DB1-Normal27"/>
              <w:spacing w:after="0" w:line="240" w:lineRule="auto"/>
              <w:rPr>
                <w:noProof/>
              </w:rPr>
            </w:pPr>
            <w:r>
              <w:rPr>
                <w:noProof/>
              </w:rPr>
              <w:t>1A: Investiția 1 - FutureSkills</w:t>
            </w:r>
          </w:p>
        </w:tc>
        <w:tc>
          <w:tcPr>
            <w:tcW w:w="1809" w:type="dxa"/>
            <w:shd w:val="clear" w:color="auto" w:fill="C6EFCE"/>
            <w:noWrap/>
            <w:vAlign w:val="center"/>
          </w:tcPr>
          <w:p w14:paraId="122141E6" w14:textId="77777777" w:rsidR="00FE6F09" w:rsidRDefault="00435AFB">
            <w:pPr>
              <w:pStyle w:val="P68B1DB1-Normal27"/>
              <w:spacing w:after="0" w:line="240" w:lineRule="auto"/>
              <w:jc w:val="center"/>
              <w:rPr>
                <w:noProof/>
              </w:rPr>
            </w:pPr>
            <w:r>
              <w:rPr>
                <w:noProof/>
              </w:rPr>
              <w:t>Țintă</w:t>
            </w:r>
          </w:p>
        </w:tc>
        <w:tc>
          <w:tcPr>
            <w:tcW w:w="2869" w:type="dxa"/>
            <w:shd w:val="clear" w:color="auto" w:fill="C6EFCE"/>
            <w:noWrap/>
            <w:vAlign w:val="center"/>
          </w:tcPr>
          <w:p w14:paraId="20E9D1D9" w14:textId="77777777" w:rsidR="00FE6F09" w:rsidRDefault="00435AFB">
            <w:pPr>
              <w:pStyle w:val="P68B1DB1-Normal27"/>
              <w:spacing w:after="0" w:line="240" w:lineRule="auto"/>
              <w:jc w:val="both"/>
              <w:rPr>
                <w:noProof/>
              </w:rPr>
            </w:pPr>
            <w:r>
              <w:rPr>
                <w:noProof/>
              </w:rPr>
              <w:t>Participanții la FutureSkills</w:t>
            </w:r>
          </w:p>
        </w:tc>
      </w:tr>
      <w:tr w:rsidR="00FE6F09" w14:paraId="1CF46543" w14:textId="77777777">
        <w:trPr>
          <w:trHeight w:val="302"/>
        </w:trPr>
        <w:tc>
          <w:tcPr>
            <w:tcW w:w="1560" w:type="dxa"/>
            <w:shd w:val="clear" w:color="auto" w:fill="C6EFCE"/>
            <w:noWrap/>
            <w:vAlign w:val="center"/>
          </w:tcPr>
          <w:p w14:paraId="1A10B2D6" w14:textId="77777777" w:rsidR="00FE6F09" w:rsidRDefault="00435AFB">
            <w:pPr>
              <w:pStyle w:val="P68B1DB1-Normal27"/>
              <w:spacing w:after="0" w:line="240" w:lineRule="auto"/>
              <w:jc w:val="center"/>
              <w:rPr>
                <w:noProof/>
              </w:rPr>
            </w:pPr>
            <w:r>
              <w:rPr>
                <w:noProof/>
              </w:rPr>
              <w:t>1B-2</w:t>
            </w:r>
          </w:p>
        </w:tc>
        <w:tc>
          <w:tcPr>
            <w:tcW w:w="3543" w:type="dxa"/>
            <w:shd w:val="clear" w:color="auto" w:fill="C6EFCE"/>
            <w:noWrap/>
            <w:vAlign w:val="center"/>
          </w:tcPr>
          <w:p w14:paraId="0DA96E52" w14:textId="77777777" w:rsidR="00FE6F09" w:rsidRDefault="00435AFB">
            <w:pPr>
              <w:pStyle w:val="P68B1DB1-Normal27"/>
              <w:spacing w:after="0" w:line="240" w:lineRule="auto"/>
              <w:rPr>
                <w:noProof/>
              </w:rPr>
            </w:pPr>
            <w:r>
              <w:rPr>
                <w:noProof/>
              </w:rPr>
              <w:t>1B: Reforma 1 – Consolidarea rezilienței sistemului de sănătate – Gesondheetsdësch</w:t>
            </w:r>
          </w:p>
        </w:tc>
        <w:tc>
          <w:tcPr>
            <w:tcW w:w="1809" w:type="dxa"/>
            <w:shd w:val="clear" w:color="auto" w:fill="C6EFCE"/>
            <w:noWrap/>
            <w:vAlign w:val="center"/>
          </w:tcPr>
          <w:p w14:paraId="37FA0A91"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0E744128" w14:textId="77777777" w:rsidR="00FE6F09" w:rsidRDefault="00435AFB">
            <w:pPr>
              <w:pStyle w:val="P68B1DB1-Normal27"/>
              <w:spacing w:after="0" w:line="240" w:lineRule="auto"/>
              <w:jc w:val="both"/>
              <w:rPr>
                <w:noProof/>
              </w:rPr>
            </w:pPr>
            <w:r>
              <w:rPr>
                <w:noProof/>
              </w:rPr>
              <w:t xml:space="preserve">Programul de lucru </w:t>
            </w:r>
          </w:p>
        </w:tc>
      </w:tr>
      <w:tr w:rsidR="00FE6F09" w14:paraId="498E3112" w14:textId="77777777">
        <w:trPr>
          <w:trHeight w:val="302"/>
        </w:trPr>
        <w:tc>
          <w:tcPr>
            <w:tcW w:w="1560" w:type="dxa"/>
            <w:shd w:val="clear" w:color="auto" w:fill="C6EFCE"/>
            <w:noWrap/>
            <w:vAlign w:val="center"/>
          </w:tcPr>
          <w:p w14:paraId="66DD8AFD" w14:textId="77777777" w:rsidR="00FE6F09" w:rsidRDefault="00435AFB">
            <w:pPr>
              <w:pStyle w:val="P68B1DB1-Normal27"/>
              <w:spacing w:after="0" w:line="240" w:lineRule="auto"/>
              <w:jc w:val="center"/>
              <w:rPr>
                <w:noProof/>
              </w:rPr>
            </w:pPr>
            <w:r>
              <w:rPr>
                <w:noProof/>
              </w:rPr>
              <w:t>2B-2</w:t>
            </w:r>
          </w:p>
        </w:tc>
        <w:tc>
          <w:tcPr>
            <w:tcW w:w="3543" w:type="dxa"/>
            <w:shd w:val="clear" w:color="auto" w:fill="C6EFCE"/>
            <w:noWrap/>
            <w:vAlign w:val="center"/>
          </w:tcPr>
          <w:p w14:paraId="5C29E8F8" w14:textId="77777777" w:rsidR="00FE6F09" w:rsidRDefault="00435AFB">
            <w:pPr>
              <w:pStyle w:val="P68B1DB1-Normal27"/>
              <w:spacing w:after="0" w:line="240" w:lineRule="auto"/>
              <w:rPr>
                <w:noProof/>
              </w:rPr>
            </w:pPr>
            <w:r>
              <w:rPr>
                <w:noProof/>
              </w:rPr>
              <w:t>2B: Reforme și investiții: „Naturpakt”</w:t>
            </w:r>
          </w:p>
        </w:tc>
        <w:tc>
          <w:tcPr>
            <w:tcW w:w="1809" w:type="dxa"/>
            <w:shd w:val="clear" w:color="auto" w:fill="C6EFCE"/>
            <w:noWrap/>
            <w:vAlign w:val="center"/>
          </w:tcPr>
          <w:p w14:paraId="4EDB62DC"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516C79EC" w14:textId="77777777" w:rsidR="00FE6F09" w:rsidRDefault="00435AFB">
            <w:pPr>
              <w:pStyle w:val="P68B1DB1-Normal27"/>
              <w:spacing w:after="0" w:line="240" w:lineRule="auto"/>
              <w:jc w:val="both"/>
              <w:rPr>
                <w:noProof/>
              </w:rPr>
            </w:pPr>
            <w:r>
              <w:rPr>
                <w:noProof/>
              </w:rPr>
              <w:t xml:space="preserve">Legea privind „Naturpakt” </w:t>
            </w:r>
          </w:p>
        </w:tc>
      </w:tr>
      <w:tr w:rsidR="00FE6F09" w14:paraId="63DF455F" w14:textId="77777777">
        <w:trPr>
          <w:trHeight w:val="302"/>
        </w:trPr>
        <w:tc>
          <w:tcPr>
            <w:tcW w:w="1560" w:type="dxa"/>
            <w:shd w:val="clear" w:color="auto" w:fill="C6EFCE"/>
            <w:noWrap/>
            <w:vAlign w:val="center"/>
          </w:tcPr>
          <w:p w14:paraId="6EFD4D50" w14:textId="77777777" w:rsidR="00FE6F09" w:rsidRDefault="00435AFB">
            <w:pPr>
              <w:pStyle w:val="P68B1DB1-Normal27"/>
              <w:spacing w:after="0" w:line="240" w:lineRule="auto"/>
              <w:jc w:val="center"/>
              <w:rPr>
                <w:noProof/>
              </w:rPr>
            </w:pPr>
            <w:r>
              <w:rPr>
                <w:noProof/>
              </w:rPr>
              <w:t>3B-1</w:t>
            </w:r>
          </w:p>
        </w:tc>
        <w:tc>
          <w:tcPr>
            <w:tcW w:w="3543" w:type="dxa"/>
            <w:shd w:val="clear" w:color="auto" w:fill="C6EFCE"/>
            <w:noWrap/>
            <w:vAlign w:val="center"/>
          </w:tcPr>
          <w:p w14:paraId="068BE4BC" w14:textId="77777777" w:rsidR="00FE6F09" w:rsidRDefault="00435AFB">
            <w:pPr>
              <w:pStyle w:val="P68B1DB1-Normal27"/>
              <w:spacing w:after="0" w:line="240" w:lineRule="auto"/>
              <w:rPr>
                <w:noProof/>
              </w:rPr>
            </w:pPr>
            <w:r>
              <w:rPr>
                <w:noProof/>
              </w:rPr>
              <w:t>3B: Investiția 1 – Gestionarea electronică a documentelor și gestionarea cazurilor</w:t>
            </w:r>
          </w:p>
        </w:tc>
        <w:tc>
          <w:tcPr>
            <w:tcW w:w="1809" w:type="dxa"/>
            <w:shd w:val="clear" w:color="auto" w:fill="C6EFCE"/>
            <w:noWrap/>
            <w:vAlign w:val="center"/>
          </w:tcPr>
          <w:p w14:paraId="3FD2BEB6"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12EB31B9" w14:textId="77777777" w:rsidR="00FE6F09" w:rsidRDefault="00435AFB">
            <w:pPr>
              <w:pStyle w:val="P68B1DB1-Normal27"/>
              <w:spacing w:after="0" w:line="240" w:lineRule="auto"/>
              <w:jc w:val="both"/>
              <w:rPr>
                <w:noProof/>
              </w:rPr>
            </w:pPr>
            <w:r>
              <w:rPr>
                <w:noProof/>
              </w:rPr>
              <w:t>Punerea în funcțiune a unei platforme centrale pentru gestionarea electronică a documentelor și gestionarea cazurilor.</w:t>
            </w:r>
          </w:p>
        </w:tc>
      </w:tr>
      <w:tr w:rsidR="00FE6F09" w14:paraId="03A3A580" w14:textId="77777777">
        <w:trPr>
          <w:trHeight w:val="302"/>
        </w:trPr>
        <w:tc>
          <w:tcPr>
            <w:tcW w:w="1560" w:type="dxa"/>
            <w:shd w:val="clear" w:color="auto" w:fill="C6EFCE"/>
            <w:noWrap/>
            <w:vAlign w:val="center"/>
          </w:tcPr>
          <w:p w14:paraId="07752C13" w14:textId="77777777" w:rsidR="00FE6F09" w:rsidRDefault="00435AFB">
            <w:pPr>
              <w:pStyle w:val="P68B1DB1-Normal27"/>
              <w:spacing w:after="0" w:line="240" w:lineRule="auto"/>
              <w:jc w:val="center"/>
              <w:rPr>
                <w:noProof/>
              </w:rPr>
            </w:pPr>
            <w:r>
              <w:rPr>
                <w:noProof/>
              </w:rPr>
              <w:t>3B-10</w:t>
            </w:r>
          </w:p>
        </w:tc>
        <w:tc>
          <w:tcPr>
            <w:tcW w:w="3543" w:type="dxa"/>
            <w:shd w:val="clear" w:color="auto" w:fill="C6EFCE"/>
            <w:noWrap/>
            <w:vAlign w:val="center"/>
          </w:tcPr>
          <w:p w14:paraId="35289138" w14:textId="77777777" w:rsidR="00FE6F09" w:rsidRDefault="00435AFB">
            <w:pPr>
              <w:pStyle w:val="P68B1DB1-Normal27"/>
              <w:spacing w:after="0" w:line="240" w:lineRule="auto"/>
              <w:rPr>
                <w:noProof/>
              </w:rPr>
            </w:pPr>
            <w:r>
              <w:rPr>
                <w:noProof/>
              </w:rPr>
              <w:t>3B: Investiția 3 – „eADEM”</w:t>
            </w:r>
          </w:p>
        </w:tc>
        <w:tc>
          <w:tcPr>
            <w:tcW w:w="1809" w:type="dxa"/>
            <w:shd w:val="clear" w:color="auto" w:fill="C6EFCE"/>
            <w:noWrap/>
            <w:vAlign w:val="center"/>
          </w:tcPr>
          <w:p w14:paraId="7057F3A6"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792B0D21" w14:textId="77777777" w:rsidR="00FE6F09" w:rsidRDefault="00435AFB">
            <w:pPr>
              <w:pStyle w:val="P68B1DB1-Normal27"/>
              <w:spacing w:after="0" w:line="240" w:lineRule="auto"/>
              <w:jc w:val="both"/>
              <w:rPr>
                <w:noProof/>
              </w:rPr>
            </w:pPr>
            <w:r>
              <w:rPr>
                <w:noProof/>
              </w:rPr>
              <w:t>Crearea strategiei ADEM 2025 pentru faza analitică</w:t>
            </w:r>
          </w:p>
        </w:tc>
      </w:tr>
      <w:tr w:rsidR="00FE6F09" w14:paraId="422F47B8" w14:textId="77777777">
        <w:trPr>
          <w:trHeight w:val="302"/>
        </w:trPr>
        <w:tc>
          <w:tcPr>
            <w:tcW w:w="1560" w:type="dxa"/>
            <w:shd w:val="clear" w:color="auto" w:fill="C6EFCE"/>
            <w:noWrap/>
            <w:vAlign w:val="center"/>
          </w:tcPr>
          <w:p w14:paraId="3810D261" w14:textId="77777777" w:rsidR="00FE6F09" w:rsidRDefault="00435AFB">
            <w:pPr>
              <w:pStyle w:val="P68B1DB1-Normal27"/>
              <w:spacing w:after="0" w:line="240" w:lineRule="auto"/>
              <w:jc w:val="center"/>
              <w:rPr>
                <w:noProof/>
              </w:rPr>
            </w:pPr>
            <w:r>
              <w:rPr>
                <w:noProof/>
              </w:rPr>
              <w:t>3C-5</w:t>
            </w:r>
          </w:p>
        </w:tc>
        <w:tc>
          <w:tcPr>
            <w:tcW w:w="3543" w:type="dxa"/>
            <w:shd w:val="clear" w:color="auto" w:fill="C6EFCE"/>
            <w:noWrap/>
            <w:vAlign w:val="center"/>
          </w:tcPr>
          <w:p w14:paraId="78639386" w14:textId="77777777" w:rsidR="00FE6F09" w:rsidRDefault="00435AFB">
            <w:pPr>
              <w:pStyle w:val="P68B1DB1-Normal27"/>
              <w:spacing w:after="0" w:line="240" w:lineRule="auto"/>
              <w:rPr>
                <w:noProof/>
              </w:rPr>
            </w:pPr>
            <w:r>
              <w:rPr>
                <w:noProof/>
              </w:rPr>
              <w:t>3C: Reforma 2 – Combaterea spălării banilor și a finanțării terorismului</w:t>
            </w:r>
          </w:p>
        </w:tc>
        <w:tc>
          <w:tcPr>
            <w:tcW w:w="1809" w:type="dxa"/>
            <w:shd w:val="clear" w:color="auto" w:fill="C6EFCE"/>
            <w:noWrap/>
            <w:vAlign w:val="center"/>
          </w:tcPr>
          <w:p w14:paraId="1F1F760A"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150028F0" w14:textId="77777777" w:rsidR="00FE6F09" w:rsidRDefault="00435AFB">
            <w:pPr>
              <w:pStyle w:val="P68B1DB1-Normal27"/>
              <w:spacing w:after="0" w:line="240" w:lineRule="auto"/>
              <w:jc w:val="both"/>
              <w:rPr>
                <w:noProof/>
              </w:rPr>
            </w:pPr>
            <w:r>
              <w:rPr>
                <w:noProof/>
              </w:rPr>
              <w:t xml:space="preserve">Evaluarea sectorială a riscurilor pentru persoanele juridice </w:t>
            </w:r>
          </w:p>
        </w:tc>
      </w:tr>
      <w:tr w:rsidR="00FE6F09" w14:paraId="5E0E2519" w14:textId="77777777">
        <w:trPr>
          <w:trHeight w:val="302"/>
        </w:trPr>
        <w:tc>
          <w:tcPr>
            <w:tcW w:w="1560" w:type="dxa"/>
            <w:shd w:val="clear" w:color="auto" w:fill="C6EFCE"/>
            <w:noWrap/>
            <w:vAlign w:val="center"/>
          </w:tcPr>
          <w:p w14:paraId="2ADF3117" w14:textId="77777777" w:rsidR="00FE6F09" w:rsidRDefault="00435AFB">
            <w:pPr>
              <w:pStyle w:val="P68B1DB1-Normal27"/>
              <w:spacing w:after="0" w:line="240" w:lineRule="auto"/>
              <w:jc w:val="center"/>
              <w:rPr>
                <w:noProof/>
              </w:rPr>
            </w:pPr>
            <w:r>
              <w:rPr>
                <w:noProof/>
              </w:rPr>
              <w:t>3C-8</w:t>
            </w:r>
          </w:p>
        </w:tc>
        <w:tc>
          <w:tcPr>
            <w:tcW w:w="3543" w:type="dxa"/>
            <w:shd w:val="clear" w:color="auto" w:fill="C6EFCE"/>
            <w:noWrap/>
            <w:vAlign w:val="center"/>
          </w:tcPr>
          <w:p w14:paraId="4F6B11A0" w14:textId="77777777" w:rsidR="00FE6F09" w:rsidRDefault="00435AFB">
            <w:pPr>
              <w:pStyle w:val="P68B1DB1-Normal27"/>
              <w:spacing w:after="0" w:line="240" w:lineRule="auto"/>
              <w:rPr>
                <w:noProof/>
              </w:rPr>
            </w:pPr>
            <w:r>
              <w:rPr>
                <w:noProof/>
              </w:rPr>
              <w:t>3C: Reforma 2 – Combaterea spălării banilor și a finanțării terorismului</w:t>
            </w:r>
          </w:p>
        </w:tc>
        <w:tc>
          <w:tcPr>
            <w:tcW w:w="1809" w:type="dxa"/>
            <w:shd w:val="clear" w:color="auto" w:fill="C6EFCE"/>
            <w:noWrap/>
            <w:vAlign w:val="center"/>
          </w:tcPr>
          <w:p w14:paraId="599011E6"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070B782E" w14:textId="77777777" w:rsidR="00FE6F09" w:rsidRDefault="00435AFB">
            <w:pPr>
              <w:pStyle w:val="P68B1DB1-Normal27"/>
              <w:spacing w:after="0" w:line="240" w:lineRule="auto"/>
              <w:jc w:val="both"/>
              <w:rPr>
                <w:noProof/>
              </w:rPr>
            </w:pPr>
            <w:r>
              <w:rPr>
                <w:noProof/>
              </w:rPr>
              <w:t>Finalizarea studiului privind consolidarea regimului aplicabil prestatorilor de servicii pentru fiducii și societăți</w:t>
            </w:r>
          </w:p>
        </w:tc>
      </w:tr>
      <w:tr w:rsidR="00FE6F09" w14:paraId="71632349" w14:textId="77777777">
        <w:trPr>
          <w:trHeight w:val="302"/>
        </w:trPr>
        <w:tc>
          <w:tcPr>
            <w:tcW w:w="1560" w:type="dxa"/>
            <w:shd w:val="clear" w:color="auto" w:fill="C6EFCE"/>
            <w:noWrap/>
            <w:vAlign w:val="center"/>
          </w:tcPr>
          <w:p w14:paraId="5FB2063F" w14:textId="77777777" w:rsidR="00FE6F09" w:rsidRDefault="00435AFB">
            <w:pPr>
              <w:pStyle w:val="P68B1DB1-Normal27"/>
              <w:spacing w:after="0" w:line="240" w:lineRule="auto"/>
              <w:jc w:val="center"/>
              <w:rPr>
                <w:noProof/>
              </w:rPr>
            </w:pPr>
            <w:r>
              <w:rPr>
                <w:noProof/>
              </w:rPr>
              <w:t>AC-2</w:t>
            </w:r>
          </w:p>
        </w:tc>
        <w:tc>
          <w:tcPr>
            <w:tcW w:w="3543" w:type="dxa"/>
            <w:shd w:val="clear" w:color="auto" w:fill="C6EFCE"/>
            <w:noWrap/>
            <w:vAlign w:val="center"/>
          </w:tcPr>
          <w:p w14:paraId="4BA69ABE" w14:textId="77777777" w:rsidR="00FE6F09" w:rsidRDefault="00435AFB">
            <w:pPr>
              <w:pStyle w:val="P68B1DB1-Normal27"/>
              <w:spacing w:after="0" w:line="240" w:lineRule="auto"/>
              <w:rPr>
                <w:noProof/>
              </w:rPr>
            </w:pPr>
            <w:r>
              <w:rPr>
                <w:noProof/>
              </w:rPr>
              <w:t>CA: Monitorizarea și punerea în aplicare a planului</w:t>
            </w:r>
          </w:p>
        </w:tc>
        <w:tc>
          <w:tcPr>
            <w:tcW w:w="1809" w:type="dxa"/>
            <w:shd w:val="clear" w:color="auto" w:fill="C6EFCE"/>
            <w:noWrap/>
            <w:vAlign w:val="center"/>
          </w:tcPr>
          <w:p w14:paraId="518B4E87"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68507346" w14:textId="77777777" w:rsidR="00FE6F09" w:rsidRDefault="00435AFB">
            <w:pPr>
              <w:pStyle w:val="P68B1DB1-Normal27"/>
              <w:spacing w:after="0" w:line="240" w:lineRule="auto"/>
              <w:jc w:val="both"/>
              <w:rPr>
                <w:noProof/>
              </w:rPr>
            </w:pPr>
            <w:r>
              <w:rPr>
                <w:noProof/>
              </w:rPr>
              <w:t>Protecția intereselor financiare ale UE</w:t>
            </w:r>
          </w:p>
        </w:tc>
      </w:tr>
      <w:tr w:rsidR="00FE6F09" w14:paraId="31C1F21E" w14:textId="77777777">
        <w:trPr>
          <w:trHeight w:val="302"/>
        </w:trPr>
        <w:tc>
          <w:tcPr>
            <w:tcW w:w="1560" w:type="dxa"/>
            <w:shd w:val="clear" w:color="auto" w:fill="C6EFCE"/>
            <w:noWrap/>
            <w:vAlign w:val="center"/>
          </w:tcPr>
          <w:p w14:paraId="034DA614" w14:textId="77777777" w:rsidR="00FE6F09" w:rsidRDefault="00FE6F09">
            <w:pPr>
              <w:spacing w:after="0" w:line="240" w:lineRule="auto"/>
              <w:rPr>
                <w:rFonts w:ascii="Times New Roman" w:eastAsia="Times New Roman" w:hAnsi="Times New Roman" w:cs="Times New Roman"/>
                <w:noProof/>
                <w:color w:val="006100"/>
              </w:rPr>
            </w:pPr>
          </w:p>
        </w:tc>
        <w:tc>
          <w:tcPr>
            <w:tcW w:w="3543" w:type="dxa"/>
            <w:shd w:val="clear" w:color="auto" w:fill="C6EFCE"/>
            <w:noWrap/>
            <w:vAlign w:val="center"/>
          </w:tcPr>
          <w:p w14:paraId="54E8F8CC" w14:textId="77777777" w:rsidR="00FE6F09" w:rsidRDefault="00FE6F09">
            <w:pPr>
              <w:spacing w:after="0" w:line="240" w:lineRule="auto"/>
              <w:rPr>
                <w:rFonts w:ascii="Times New Roman" w:eastAsia="Times New Roman" w:hAnsi="Times New Roman" w:cs="Times New Roman"/>
                <w:noProof/>
                <w:color w:val="006100"/>
              </w:rPr>
            </w:pPr>
          </w:p>
        </w:tc>
        <w:tc>
          <w:tcPr>
            <w:tcW w:w="1809" w:type="dxa"/>
            <w:shd w:val="clear" w:color="auto" w:fill="C6EFCE"/>
            <w:noWrap/>
            <w:vAlign w:val="center"/>
          </w:tcPr>
          <w:p w14:paraId="089D9869" w14:textId="77777777" w:rsidR="00FE6F09" w:rsidRDefault="00435AFB">
            <w:pPr>
              <w:pStyle w:val="P68B1DB1-Normal28"/>
              <w:spacing w:after="0" w:line="240" w:lineRule="auto"/>
              <w:jc w:val="center"/>
              <w:rPr>
                <w:noProof/>
              </w:rPr>
            </w:pPr>
            <w:r>
              <w:rPr>
                <w:noProof/>
              </w:rPr>
              <w:t>Suma tranșei</w:t>
            </w:r>
          </w:p>
        </w:tc>
        <w:tc>
          <w:tcPr>
            <w:tcW w:w="2869" w:type="dxa"/>
            <w:shd w:val="clear" w:color="auto" w:fill="C6EFCE"/>
            <w:noWrap/>
            <w:vAlign w:val="center"/>
          </w:tcPr>
          <w:p w14:paraId="20ECA6A6" w14:textId="77777777" w:rsidR="00FE6F09" w:rsidRDefault="00435AFB">
            <w:pPr>
              <w:pStyle w:val="P68B1DB1-Normal28"/>
              <w:spacing w:after="0" w:line="240" w:lineRule="auto"/>
              <w:jc w:val="center"/>
              <w:rPr>
                <w:bCs/>
                <w:noProof/>
              </w:rPr>
            </w:pPr>
            <w:bookmarkStart w:id="3" w:name="_Hlk171064288"/>
            <w:r>
              <w:rPr>
                <w:noProof/>
              </w:rPr>
              <w:t> </w:t>
            </w:r>
            <w:bookmarkEnd w:id="3"/>
            <w:r>
              <w:rPr>
                <w:noProof/>
              </w:rPr>
              <w:t>24 858 611 EUR</w:t>
            </w:r>
          </w:p>
        </w:tc>
      </w:tr>
    </w:tbl>
    <w:p w14:paraId="78722B22" w14:textId="77777777" w:rsidR="00FE6F09" w:rsidRDefault="00FE6F09">
      <w:pPr>
        <w:spacing w:before="120" w:after="120" w:line="240" w:lineRule="auto"/>
        <w:ind w:left="850"/>
        <w:jc w:val="both"/>
        <w:rPr>
          <w:rFonts w:ascii="Times New Roman" w:hAnsi="Times New Roman" w:cs="Times New Roman"/>
          <w:noProof/>
          <w:sz w:val="24"/>
        </w:rPr>
        <w:sectPr w:rsidR="00FE6F09" w:rsidSect="009823F0">
          <w:headerReference w:type="even" r:id="rId134"/>
          <w:headerReference w:type="default" r:id="rId135"/>
          <w:footerReference w:type="even" r:id="rId136"/>
          <w:footerReference w:type="default" r:id="rId137"/>
          <w:headerReference w:type="first" r:id="rId138"/>
          <w:footerReference w:type="first" r:id="rId139"/>
          <w:pgSz w:w="11906" w:h="16838"/>
          <w:pgMar w:top="1417" w:right="1417" w:bottom="1417" w:left="1417" w:header="708" w:footer="708" w:gutter="0"/>
          <w:cols w:space="708"/>
          <w:docGrid w:linePitch="360"/>
        </w:sectPr>
      </w:pPr>
    </w:p>
    <w:p w14:paraId="4EEDA712" w14:textId="77777777" w:rsidR="00FE6F09" w:rsidRDefault="00435AFB">
      <w:pPr>
        <w:pStyle w:val="P68B1DB1-Normal5"/>
        <w:numPr>
          <w:ilvl w:val="1"/>
          <w:numId w:val="6"/>
        </w:numPr>
        <w:spacing w:before="120" w:after="120" w:line="240" w:lineRule="auto"/>
        <w:jc w:val="both"/>
        <w:rPr>
          <w:noProof/>
        </w:rPr>
      </w:pPr>
      <w:r>
        <w:rPr>
          <w:noProof/>
        </w:rPr>
        <w:t xml:space="preserve">A doua tranșă (sprijin nerambursabil):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60"/>
        <w:gridCol w:w="3543"/>
        <w:gridCol w:w="1809"/>
        <w:gridCol w:w="2869"/>
      </w:tblGrid>
      <w:tr w:rsidR="00FE6F09" w14:paraId="0D84760B" w14:textId="77777777">
        <w:trPr>
          <w:trHeight w:val="906"/>
        </w:trPr>
        <w:tc>
          <w:tcPr>
            <w:tcW w:w="1560" w:type="dxa"/>
            <w:vMerge w:val="restart"/>
            <w:shd w:val="clear" w:color="auto" w:fill="BDD7EE"/>
            <w:vAlign w:val="center"/>
            <w:hideMark/>
          </w:tcPr>
          <w:p w14:paraId="0E2F30CA" w14:textId="77777777" w:rsidR="00FE6F09" w:rsidRDefault="00435AFB">
            <w:pPr>
              <w:pStyle w:val="P68B1DB1-Normal26"/>
              <w:spacing w:after="0" w:line="240" w:lineRule="auto"/>
              <w:jc w:val="center"/>
              <w:rPr>
                <w:noProof/>
              </w:rPr>
            </w:pPr>
            <w:r>
              <w:rPr>
                <w:noProof/>
              </w:rPr>
              <w:t>Număr secvențial</w:t>
            </w:r>
          </w:p>
        </w:tc>
        <w:tc>
          <w:tcPr>
            <w:tcW w:w="3543" w:type="dxa"/>
            <w:vMerge w:val="restart"/>
            <w:shd w:val="clear" w:color="auto" w:fill="BDD7EE"/>
            <w:vAlign w:val="center"/>
            <w:hideMark/>
          </w:tcPr>
          <w:p w14:paraId="436F614A" w14:textId="77777777" w:rsidR="00FE6F09" w:rsidRDefault="00435AFB">
            <w:pPr>
              <w:pStyle w:val="P68B1DB1-Normal26"/>
              <w:spacing w:after="0" w:line="240" w:lineRule="auto"/>
              <w:jc w:val="center"/>
              <w:rPr>
                <w:bCs/>
                <w:noProof/>
              </w:rPr>
            </w:pPr>
            <w:r>
              <w:rPr>
                <w:noProof/>
              </w:rPr>
              <w:t xml:space="preserve">Măsură conexă </w:t>
            </w:r>
          </w:p>
          <w:p w14:paraId="22F43EA8" w14:textId="77777777" w:rsidR="00FE6F09" w:rsidRDefault="00435AFB">
            <w:pPr>
              <w:pStyle w:val="P68B1DB1-Normal26"/>
              <w:spacing w:after="0" w:line="240" w:lineRule="auto"/>
              <w:jc w:val="center"/>
              <w:rPr>
                <w:noProof/>
              </w:rPr>
            </w:pPr>
            <w:r>
              <w:rPr>
                <w:noProof/>
              </w:rPr>
              <w:t>(Reformă sau investiție)</w:t>
            </w:r>
          </w:p>
        </w:tc>
        <w:tc>
          <w:tcPr>
            <w:tcW w:w="1809" w:type="dxa"/>
            <w:vMerge w:val="restart"/>
            <w:shd w:val="clear" w:color="auto" w:fill="BDD7EE"/>
            <w:vAlign w:val="center"/>
            <w:hideMark/>
          </w:tcPr>
          <w:p w14:paraId="0F1486A8" w14:textId="2EFA1C18" w:rsidR="00FE6F09" w:rsidRDefault="00435AFB">
            <w:pPr>
              <w:pStyle w:val="P68B1DB1-Normal26"/>
              <w:spacing w:after="0" w:line="240" w:lineRule="auto"/>
              <w:jc w:val="center"/>
              <w:rPr>
                <w:noProof/>
              </w:rPr>
            </w:pPr>
            <w:r>
              <w:rPr>
                <w:noProof/>
              </w:rPr>
              <w:t>Etapa/ținta</w:t>
            </w:r>
          </w:p>
        </w:tc>
        <w:tc>
          <w:tcPr>
            <w:tcW w:w="2869" w:type="dxa"/>
            <w:vMerge w:val="restart"/>
            <w:shd w:val="clear" w:color="auto" w:fill="BDD7EE"/>
            <w:vAlign w:val="center"/>
            <w:hideMark/>
          </w:tcPr>
          <w:p w14:paraId="217E836B" w14:textId="77777777" w:rsidR="00FE6F09" w:rsidRDefault="00435AFB">
            <w:pPr>
              <w:pStyle w:val="P68B1DB1-Normal26"/>
              <w:spacing w:after="0" w:line="240" w:lineRule="auto"/>
              <w:jc w:val="center"/>
              <w:rPr>
                <w:noProof/>
              </w:rPr>
            </w:pPr>
            <w:r>
              <w:rPr>
                <w:noProof/>
              </w:rPr>
              <w:t>Denumire</w:t>
            </w:r>
          </w:p>
        </w:tc>
      </w:tr>
      <w:tr w:rsidR="00FE6F09" w14:paraId="3E839316" w14:textId="77777777">
        <w:trPr>
          <w:trHeight w:val="509"/>
        </w:trPr>
        <w:tc>
          <w:tcPr>
            <w:tcW w:w="1560" w:type="dxa"/>
            <w:vMerge/>
            <w:vAlign w:val="center"/>
            <w:hideMark/>
          </w:tcPr>
          <w:p w14:paraId="2DB13321" w14:textId="77777777" w:rsidR="00FE6F09" w:rsidRDefault="00FE6F09">
            <w:pPr>
              <w:spacing w:after="0" w:line="240" w:lineRule="auto"/>
              <w:rPr>
                <w:rFonts w:ascii="Times New Roman" w:eastAsia="Times New Roman" w:hAnsi="Times New Roman" w:cs="Times New Roman"/>
                <w:b/>
                <w:bCs/>
                <w:noProof/>
                <w:sz w:val="24"/>
                <w:szCs w:val="24"/>
              </w:rPr>
            </w:pPr>
          </w:p>
        </w:tc>
        <w:tc>
          <w:tcPr>
            <w:tcW w:w="3543" w:type="dxa"/>
            <w:vMerge/>
            <w:vAlign w:val="center"/>
            <w:hideMark/>
          </w:tcPr>
          <w:p w14:paraId="02033622" w14:textId="77777777" w:rsidR="00FE6F09" w:rsidRDefault="00FE6F09">
            <w:pPr>
              <w:spacing w:after="0" w:line="240" w:lineRule="auto"/>
              <w:rPr>
                <w:rFonts w:ascii="Times New Roman" w:eastAsia="Times New Roman" w:hAnsi="Times New Roman" w:cs="Times New Roman"/>
                <w:b/>
                <w:bCs/>
                <w:noProof/>
                <w:sz w:val="24"/>
                <w:szCs w:val="24"/>
              </w:rPr>
            </w:pPr>
          </w:p>
        </w:tc>
        <w:tc>
          <w:tcPr>
            <w:tcW w:w="1809" w:type="dxa"/>
            <w:vMerge/>
            <w:vAlign w:val="center"/>
            <w:hideMark/>
          </w:tcPr>
          <w:p w14:paraId="50407238" w14:textId="77777777" w:rsidR="00FE6F09" w:rsidRDefault="00FE6F09">
            <w:pPr>
              <w:spacing w:after="0" w:line="240" w:lineRule="auto"/>
              <w:jc w:val="center"/>
              <w:rPr>
                <w:rFonts w:ascii="Times New Roman" w:eastAsia="Times New Roman" w:hAnsi="Times New Roman" w:cs="Times New Roman"/>
                <w:b/>
                <w:bCs/>
                <w:noProof/>
                <w:sz w:val="24"/>
                <w:szCs w:val="24"/>
              </w:rPr>
            </w:pPr>
          </w:p>
        </w:tc>
        <w:tc>
          <w:tcPr>
            <w:tcW w:w="2869" w:type="dxa"/>
            <w:vMerge/>
            <w:vAlign w:val="center"/>
            <w:hideMark/>
          </w:tcPr>
          <w:p w14:paraId="536AAD34" w14:textId="77777777" w:rsidR="00FE6F09" w:rsidRDefault="00FE6F09">
            <w:pPr>
              <w:spacing w:after="0" w:line="240" w:lineRule="auto"/>
              <w:jc w:val="both"/>
              <w:rPr>
                <w:rFonts w:ascii="Times New Roman" w:eastAsia="Times New Roman" w:hAnsi="Times New Roman" w:cs="Times New Roman"/>
                <w:b/>
                <w:bCs/>
                <w:noProof/>
                <w:sz w:val="24"/>
                <w:szCs w:val="24"/>
              </w:rPr>
            </w:pPr>
          </w:p>
        </w:tc>
      </w:tr>
      <w:tr w:rsidR="00FE6F09" w14:paraId="575F2B76" w14:textId="77777777">
        <w:trPr>
          <w:trHeight w:val="302"/>
        </w:trPr>
        <w:tc>
          <w:tcPr>
            <w:tcW w:w="1560" w:type="dxa"/>
            <w:shd w:val="clear" w:color="auto" w:fill="C6EFCE"/>
            <w:noWrap/>
            <w:vAlign w:val="center"/>
            <w:hideMark/>
          </w:tcPr>
          <w:p w14:paraId="58AE7BBF" w14:textId="77777777" w:rsidR="00FE6F09" w:rsidRDefault="00435AFB">
            <w:pPr>
              <w:pStyle w:val="P68B1DB1-Normal27"/>
              <w:spacing w:after="0" w:line="240" w:lineRule="auto"/>
              <w:jc w:val="center"/>
              <w:rPr>
                <w:rFonts w:eastAsia="Times New Roman"/>
                <w:noProof/>
              </w:rPr>
            </w:pPr>
            <w:r>
              <w:rPr>
                <w:noProof/>
              </w:rPr>
              <w:t>2A-2</w:t>
            </w:r>
          </w:p>
        </w:tc>
        <w:tc>
          <w:tcPr>
            <w:tcW w:w="3543" w:type="dxa"/>
            <w:shd w:val="clear" w:color="auto" w:fill="C6EFCE"/>
            <w:noWrap/>
            <w:vAlign w:val="center"/>
            <w:hideMark/>
          </w:tcPr>
          <w:p w14:paraId="38CE368A" w14:textId="77777777" w:rsidR="00FE6F09" w:rsidRDefault="00435AFB">
            <w:pPr>
              <w:pStyle w:val="P68B1DB1-Normal27"/>
              <w:spacing w:after="0" w:line="240" w:lineRule="auto"/>
              <w:rPr>
                <w:rFonts w:eastAsia="Times New Roman"/>
                <w:noProof/>
              </w:rPr>
            </w:pPr>
            <w:r>
              <w:rPr>
                <w:noProof/>
              </w:rPr>
              <w:t>2A: Investiții: Schema de sprijin pentru punctele de încărcare</w:t>
            </w:r>
          </w:p>
        </w:tc>
        <w:tc>
          <w:tcPr>
            <w:tcW w:w="1809" w:type="dxa"/>
            <w:shd w:val="clear" w:color="auto" w:fill="C6EFCE"/>
            <w:noWrap/>
            <w:vAlign w:val="center"/>
            <w:hideMark/>
          </w:tcPr>
          <w:p w14:paraId="5A0F120A"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hideMark/>
          </w:tcPr>
          <w:p w14:paraId="0F33F588" w14:textId="77777777" w:rsidR="00FE6F09" w:rsidRDefault="00435AFB">
            <w:pPr>
              <w:pStyle w:val="P68B1DB1-Normal27"/>
              <w:spacing w:after="0" w:line="240" w:lineRule="auto"/>
              <w:jc w:val="both"/>
              <w:rPr>
                <w:rFonts w:eastAsia="Times New Roman"/>
                <w:noProof/>
              </w:rPr>
            </w:pPr>
            <w:r>
              <w:rPr>
                <w:noProof/>
              </w:rPr>
              <w:t>Legea privind schema de sprijin pentru punctele de încărcare</w:t>
            </w:r>
          </w:p>
        </w:tc>
      </w:tr>
      <w:tr w:rsidR="00FE6F09" w14:paraId="3765BE0C" w14:textId="77777777">
        <w:trPr>
          <w:trHeight w:val="302"/>
        </w:trPr>
        <w:tc>
          <w:tcPr>
            <w:tcW w:w="1560" w:type="dxa"/>
            <w:shd w:val="clear" w:color="auto" w:fill="C6EFCE"/>
            <w:noWrap/>
            <w:vAlign w:val="center"/>
          </w:tcPr>
          <w:p w14:paraId="79132B86" w14:textId="77777777" w:rsidR="00FE6F09" w:rsidRDefault="00435AFB">
            <w:pPr>
              <w:pStyle w:val="P68B1DB1-Normal27"/>
              <w:spacing w:after="0" w:line="240" w:lineRule="auto"/>
              <w:jc w:val="center"/>
              <w:rPr>
                <w:rFonts w:eastAsia="Times New Roman"/>
                <w:noProof/>
              </w:rPr>
            </w:pPr>
            <w:r>
              <w:rPr>
                <w:noProof/>
              </w:rPr>
              <w:t>1A-2</w:t>
            </w:r>
          </w:p>
        </w:tc>
        <w:tc>
          <w:tcPr>
            <w:tcW w:w="3543" w:type="dxa"/>
            <w:shd w:val="clear" w:color="auto" w:fill="C6EFCE"/>
            <w:noWrap/>
            <w:vAlign w:val="center"/>
          </w:tcPr>
          <w:p w14:paraId="6F79B5D4" w14:textId="77777777" w:rsidR="00FE6F09" w:rsidRDefault="00435AFB">
            <w:pPr>
              <w:pStyle w:val="P68B1DB1-Normal27"/>
              <w:spacing w:after="0" w:line="240" w:lineRule="auto"/>
              <w:rPr>
                <w:rFonts w:eastAsia="Times New Roman"/>
                <w:noProof/>
              </w:rPr>
            </w:pPr>
            <w:r>
              <w:rPr>
                <w:noProof/>
              </w:rPr>
              <w:t>1A: Reforma 1 - Competențe</w:t>
            </w:r>
          </w:p>
        </w:tc>
        <w:tc>
          <w:tcPr>
            <w:tcW w:w="1809" w:type="dxa"/>
            <w:shd w:val="clear" w:color="auto" w:fill="C6EFCE"/>
            <w:noWrap/>
            <w:vAlign w:val="center"/>
          </w:tcPr>
          <w:p w14:paraId="2B41737D"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tcPr>
          <w:p w14:paraId="08F8446D" w14:textId="5BB629D0" w:rsidR="00FE6F09" w:rsidRDefault="00435AFB">
            <w:pPr>
              <w:pStyle w:val="P68B1DB1-Normal27"/>
              <w:spacing w:after="0" w:line="240" w:lineRule="auto"/>
              <w:jc w:val="both"/>
              <w:rPr>
                <w:rFonts w:eastAsia="Times New Roman"/>
                <w:noProof/>
              </w:rPr>
            </w:pPr>
            <w:r>
              <w:rPr>
                <w:noProof/>
              </w:rPr>
              <w:t>Lansarea cursurilor de formare profesională („poduri de competențe”)</w:t>
            </w:r>
          </w:p>
        </w:tc>
      </w:tr>
      <w:tr w:rsidR="00FE6F09" w14:paraId="6084393F" w14:textId="77777777">
        <w:trPr>
          <w:trHeight w:val="302"/>
        </w:trPr>
        <w:tc>
          <w:tcPr>
            <w:tcW w:w="1560" w:type="dxa"/>
            <w:shd w:val="clear" w:color="auto" w:fill="C6EFCE"/>
            <w:noWrap/>
            <w:vAlign w:val="center"/>
          </w:tcPr>
          <w:p w14:paraId="5538B1E4" w14:textId="77777777" w:rsidR="00FE6F09" w:rsidRDefault="00435AFB">
            <w:pPr>
              <w:pStyle w:val="P68B1DB1-Normal27"/>
              <w:spacing w:after="0" w:line="240" w:lineRule="auto"/>
              <w:jc w:val="center"/>
              <w:rPr>
                <w:rFonts w:eastAsia="Times New Roman"/>
                <w:noProof/>
              </w:rPr>
            </w:pPr>
            <w:r>
              <w:rPr>
                <w:noProof/>
              </w:rPr>
              <w:t>3A-2</w:t>
            </w:r>
          </w:p>
        </w:tc>
        <w:tc>
          <w:tcPr>
            <w:tcW w:w="3543" w:type="dxa"/>
            <w:shd w:val="clear" w:color="auto" w:fill="C6EFCE"/>
            <w:noWrap/>
            <w:vAlign w:val="center"/>
          </w:tcPr>
          <w:p w14:paraId="7B0D685E" w14:textId="276AB983" w:rsidR="00FE6F09" w:rsidRDefault="00435AFB">
            <w:pPr>
              <w:pStyle w:val="P68B1DB1-Normal27"/>
              <w:spacing w:after="0" w:line="240" w:lineRule="auto"/>
              <w:rPr>
                <w:rFonts w:eastAsia="Times New Roman"/>
                <w:noProof/>
              </w:rPr>
            </w:pPr>
            <w:r>
              <w:rPr>
                <w:noProof/>
              </w:rPr>
              <w:t>3A: Reforma 1 – Stimularea creării unui nou ecosistem în Luxemburg</w:t>
            </w:r>
          </w:p>
        </w:tc>
        <w:tc>
          <w:tcPr>
            <w:tcW w:w="1809" w:type="dxa"/>
            <w:shd w:val="clear" w:color="auto" w:fill="C6EFCE"/>
            <w:noWrap/>
            <w:vAlign w:val="center"/>
          </w:tcPr>
          <w:p w14:paraId="4C69D79B" w14:textId="29681E91" w:rsidR="00FE6F09" w:rsidRDefault="00435AFB">
            <w:pPr>
              <w:pStyle w:val="P68B1DB1-Normal27"/>
              <w:spacing w:after="0" w:line="240" w:lineRule="auto"/>
              <w:jc w:val="center"/>
              <w:rPr>
                <w:rFonts w:eastAsia="Times New Roman"/>
                <w:noProof/>
              </w:rPr>
            </w:pPr>
            <w:r>
              <w:rPr>
                <w:noProof/>
              </w:rPr>
              <w:t>Țintă</w:t>
            </w:r>
          </w:p>
        </w:tc>
        <w:tc>
          <w:tcPr>
            <w:tcW w:w="2869" w:type="dxa"/>
            <w:shd w:val="clear" w:color="auto" w:fill="C6EFCE"/>
            <w:noWrap/>
            <w:vAlign w:val="center"/>
          </w:tcPr>
          <w:p w14:paraId="13814016" w14:textId="77777777" w:rsidR="00FE6F09" w:rsidRDefault="00435AFB">
            <w:pPr>
              <w:pStyle w:val="P68B1DB1-Normal27"/>
              <w:spacing w:after="0" w:line="240" w:lineRule="auto"/>
              <w:jc w:val="both"/>
              <w:rPr>
                <w:rFonts w:eastAsia="Times New Roman"/>
                <w:noProof/>
              </w:rPr>
            </w:pPr>
            <w:r>
              <w:rPr>
                <w:noProof/>
              </w:rPr>
              <w:t>Distribuția cheilor cuantice</w:t>
            </w:r>
          </w:p>
        </w:tc>
      </w:tr>
      <w:tr w:rsidR="00FE6F09" w14:paraId="78CF25DC" w14:textId="77777777">
        <w:trPr>
          <w:trHeight w:val="302"/>
        </w:trPr>
        <w:tc>
          <w:tcPr>
            <w:tcW w:w="1560" w:type="dxa"/>
            <w:shd w:val="clear" w:color="auto" w:fill="C6EFCE"/>
            <w:noWrap/>
            <w:vAlign w:val="center"/>
          </w:tcPr>
          <w:p w14:paraId="4B951B00" w14:textId="77777777" w:rsidR="00FE6F09" w:rsidRDefault="00435AFB">
            <w:pPr>
              <w:pStyle w:val="P68B1DB1-Normal27"/>
              <w:spacing w:after="0" w:line="240" w:lineRule="auto"/>
              <w:jc w:val="center"/>
              <w:rPr>
                <w:rFonts w:eastAsia="Times New Roman"/>
                <w:noProof/>
              </w:rPr>
            </w:pPr>
            <w:r>
              <w:rPr>
                <w:noProof/>
              </w:rPr>
              <w:t>3B-5</w:t>
            </w:r>
          </w:p>
        </w:tc>
        <w:tc>
          <w:tcPr>
            <w:tcW w:w="3543" w:type="dxa"/>
            <w:shd w:val="clear" w:color="auto" w:fill="C6EFCE"/>
            <w:noWrap/>
            <w:vAlign w:val="center"/>
          </w:tcPr>
          <w:p w14:paraId="3239A52B" w14:textId="77777777" w:rsidR="00FE6F09" w:rsidRDefault="00435AFB">
            <w:pPr>
              <w:pStyle w:val="P68B1DB1-Normal27"/>
              <w:spacing w:after="0" w:line="240" w:lineRule="auto"/>
              <w:rPr>
                <w:rFonts w:eastAsia="Times New Roman"/>
                <w:noProof/>
              </w:rPr>
            </w:pPr>
            <w:r>
              <w:rPr>
                <w:noProof/>
              </w:rPr>
              <w:t>3B: Investiția 2 – Dezvoltarea MyGuichet – Proiectul 1/3: Numire virtuală</w:t>
            </w:r>
          </w:p>
        </w:tc>
        <w:tc>
          <w:tcPr>
            <w:tcW w:w="1809" w:type="dxa"/>
            <w:shd w:val="clear" w:color="auto" w:fill="C6EFCE"/>
            <w:noWrap/>
            <w:vAlign w:val="center"/>
          </w:tcPr>
          <w:p w14:paraId="6882381D"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tcPr>
          <w:p w14:paraId="66AF940A" w14:textId="77777777" w:rsidR="00FE6F09" w:rsidRDefault="00435AFB">
            <w:pPr>
              <w:pStyle w:val="P68B1DB1-Normal27"/>
              <w:spacing w:after="0" w:line="240" w:lineRule="auto"/>
              <w:jc w:val="both"/>
              <w:rPr>
                <w:rFonts w:eastAsia="Times New Roman"/>
                <w:noProof/>
              </w:rPr>
            </w:pPr>
            <w:r>
              <w:rPr>
                <w:noProof/>
              </w:rPr>
              <w:t>Faza 1 a schimbului prin videoconferință</w:t>
            </w:r>
          </w:p>
        </w:tc>
      </w:tr>
      <w:tr w:rsidR="00FE6F09" w14:paraId="4352FFF4" w14:textId="77777777">
        <w:trPr>
          <w:trHeight w:val="302"/>
        </w:trPr>
        <w:tc>
          <w:tcPr>
            <w:tcW w:w="1560" w:type="dxa"/>
            <w:shd w:val="clear" w:color="auto" w:fill="C6EFCE"/>
            <w:noWrap/>
            <w:vAlign w:val="center"/>
          </w:tcPr>
          <w:p w14:paraId="3DEC6E25" w14:textId="77777777" w:rsidR="00FE6F09" w:rsidRDefault="00435AFB">
            <w:pPr>
              <w:pStyle w:val="P68B1DB1-Normal27"/>
              <w:spacing w:after="0" w:line="240" w:lineRule="auto"/>
              <w:jc w:val="center"/>
              <w:rPr>
                <w:noProof/>
              </w:rPr>
            </w:pPr>
            <w:r>
              <w:rPr>
                <w:noProof/>
              </w:rPr>
              <w:t>1B-6</w:t>
            </w:r>
          </w:p>
        </w:tc>
        <w:tc>
          <w:tcPr>
            <w:tcW w:w="3543" w:type="dxa"/>
            <w:shd w:val="clear" w:color="auto" w:fill="C6EFCE"/>
            <w:noWrap/>
            <w:vAlign w:val="center"/>
          </w:tcPr>
          <w:p w14:paraId="324A59C8" w14:textId="77777777" w:rsidR="00FE6F09" w:rsidRDefault="00435AFB">
            <w:pPr>
              <w:pStyle w:val="P68B1DB1-Normal27"/>
              <w:spacing w:after="0" w:line="240" w:lineRule="auto"/>
              <w:rPr>
                <w:noProof/>
              </w:rPr>
            </w:pPr>
            <w:r>
              <w:rPr>
                <w:noProof/>
              </w:rPr>
              <w:t>1B: Investiția 1 – Consolidarea rezilienței sistemului de sănătate – Registrul digital unic al profesiilor din domeniul sănătății</w:t>
            </w:r>
          </w:p>
        </w:tc>
        <w:tc>
          <w:tcPr>
            <w:tcW w:w="1809" w:type="dxa"/>
            <w:shd w:val="clear" w:color="auto" w:fill="C6EFCE"/>
            <w:noWrap/>
            <w:vAlign w:val="center"/>
          </w:tcPr>
          <w:p w14:paraId="69632D6A" w14:textId="77777777" w:rsidR="00FE6F09" w:rsidRDefault="00435AFB">
            <w:pPr>
              <w:pStyle w:val="P68B1DB1-Normal27"/>
              <w:spacing w:after="0" w:line="240" w:lineRule="auto"/>
              <w:jc w:val="center"/>
              <w:rPr>
                <w:noProof/>
              </w:rPr>
            </w:pPr>
            <w:r>
              <w:rPr>
                <w:noProof/>
              </w:rPr>
              <w:t>Țintă</w:t>
            </w:r>
          </w:p>
        </w:tc>
        <w:tc>
          <w:tcPr>
            <w:tcW w:w="2869" w:type="dxa"/>
            <w:shd w:val="clear" w:color="auto" w:fill="C6EFCE"/>
            <w:noWrap/>
            <w:vAlign w:val="center"/>
          </w:tcPr>
          <w:p w14:paraId="1CD21A98" w14:textId="77777777" w:rsidR="00FE6F09" w:rsidRDefault="00435AFB">
            <w:pPr>
              <w:pStyle w:val="P68B1DB1-Normal27"/>
              <w:spacing w:after="0" w:line="240" w:lineRule="auto"/>
              <w:jc w:val="both"/>
              <w:rPr>
                <w:noProof/>
              </w:rPr>
            </w:pPr>
            <w:r>
              <w:rPr>
                <w:noProof/>
              </w:rPr>
              <w:t xml:space="preserve">Punerea la dispoziție a noului registru digital </w:t>
            </w:r>
          </w:p>
        </w:tc>
      </w:tr>
      <w:tr w:rsidR="00FE6F09" w14:paraId="5898F8BF" w14:textId="77777777">
        <w:trPr>
          <w:trHeight w:val="302"/>
        </w:trPr>
        <w:tc>
          <w:tcPr>
            <w:tcW w:w="1560" w:type="dxa"/>
            <w:shd w:val="clear" w:color="auto" w:fill="C6EFCE"/>
            <w:noWrap/>
            <w:vAlign w:val="center"/>
          </w:tcPr>
          <w:p w14:paraId="6231F919" w14:textId="77777777" w:rsidR="00FE6F09" w:rsidRDefault="00435AFB">
            <w:pPr>
              <w:pStyle w:val="P68B1DB1-Normal27"/>
              <w:spacing w:after="0" w:line="240" w:lineRule="auto"/>
              <w:jc w:val="center"/>
              <w:rPr>
                <w:noProof/>
              </w:rPr>
            </w:pPr>
            <w:r>
              <w:rPr>
                <w:noProof/>
              </w:rPr>
              <w:t>1C-3</w:t>
            </w:r>
          </w:p>
        </w:tc>
        <w:tc>
          <w:tcPr>
            <w:tcW w:w="3543" w:type="dxa"/>
            <w:shd w:val="clear" w:color="auto" w:fill="C6EFCE"/>
            <w:noWrap/>
            <w:vAlign w:val="center"/>
          </w:tcPr>
          <w:p w14:paraId="322E1C89" w14:textId="77777777" w:rsidR="00FE6F09" w:rsidRDefault="00435AFB">
            <w:pPr>
              <w:pStyle w:val="P68B1DB1-Normal27"/>
              <w:spacing w:after="0" w:line="240" w:lineRule="auto"/>
              <w:rPr>
                <w:noProof/>
              </w:rPr>
            </w:pPr>
            <w:r>
              <w:rPr>
                <w:noProof/>
              </w:rPr>
              <w:t>1C: Reformă – Pactul privind locuințele 2.0</w:t>
            </w:r>
          </w:p>
        </w:tc>
        <w:tc>
          <w:tcPr>
            <w:tcW w:w="1809" w:type="dxa"/>
            <w:shd w:val="clear" w:color="auto" w:fill="C6EFCE"/>
            <w:noWrap/>
            <w:vAlign w:val="center"/>
          </w:tcPr>
          <w:p w14:paraId="2E096F30" w14:textId="77777777" w:rsidR="00FE6F09" w:rsidRDefault="00435AFB">
            <w:pPr>
              <w:pStyle w:val="P68B1DB1-Normal27"/>
              <w:spacing w:after="0" w:line="240" w:lineRule="auto"/>
              <w:jc w:val="center"/>
              <w:rPr>
                <w:noProof/>
              </w:rPr>
            </w:pPr>
            <w:r>
              <w:rPr>
                <w:noProof/>
              </w:rPr>
              <w:t>Țintă</w:t>
            </w:r>
          </w:p>
        </w:tc>
        <w:tc>
          <w:tcPr>
            <w:tcW w:w="2869" w:type="dxa"/>
            <w:shd w:val="clear" w:color="auto" w:fill="C6EFCE"/>
            <w:noWrap/>
            <w:vAlign w:val="center"/>
          </w:tcPr>
          <w:p w14:paraId="3AFB5FDA" w14:textId="77777777" w:rsidR="00FE6F09" w:rsidRDefault="00435AFB">
            <w:pPr>
              <w:pStyle w:val="P68B1DB1-Normal27"/>
              <w:spacing w:after="0" w:line="240" w:lineRule="auto"/>
              <w:jc w:val="both"/>
              <w:rPr>
                <w:noProof/>
              </w:rPr>
            </w:pPr>
            <w:r>
              <w:rPr>
                <w:noProof/>
              </w:rPr>
              <w:t>Procentul municipalităților care semnează un acord de punere în aplicare</w:t>
            </w:r>
          </w:p>
        </w:tc>
      </w:tr>
      <w:tr w:rsidR="00FE6F09" w14:paraId="40D61A50" w14:textId="77777777">
        <w:trPr>
          <w:trHeight w:val="302"/>
        </w:trPr>
        <w:tc>
          <w:tcPr>
            <w:tcW w:w="1560" w:type="dxa"/>
            <w:shd w:val="clear" w:color="auto" w:fill="C6EFCE"/>
            <w:noWrap/>
            <w:vAlign w:val="center"/>
          </w:tcPr>
          <w:p w14:paraId="7F8BAD52" w14:textId="77777777" w:rsidR="00FE6F09" w:rsidRDefault="00435AFB">
            <w:pPr>
              <w:pStyle w:val="P68B1DB1-Normal27"/>
              <w:spacing w:after="0" w:line="240" w:lineRule="auto"/>
              <w:jc w:val="center"/>
              <w:rPr>
                <w:rFonts w:eastAsia="Times New Roman"/>
                <w:noProof/>
              </w:rPr>
            </w:pPr>
            <w:r>
              <w:rPr>
                <w:noProof/>
              </w:rPr>
              <w:t>3B-6</w:t>
            </w:r>
          </w:p>
        </w:tc>
        <w:tc>
          <w:tcPr>
            <w:tcW w:w="3543" w:type="dxa"/>
            <w:shd w:val="clear" w:color="auto" w:fill="C6EFCE"/>
            <w:noWrap/>
            <w:vAlign w:val="center"/>
          </w:tcPr>
          <w:p w14:paraId="2C851F3F" w14:textId="77777777" w:rsidR="00FE6F09" w:rsidRDefault="00435AFB">
            <w:pPr>
              <w:pStyle w:val="P68B1DB1-Normal27"/>
              <w:spacing w:after="0" w:line="240" w:lineRule="auto"/>
              <w:rPr>
                <w:noProof/>
              </w:rPr>
            </w:pPr>
            <w:r>
              <w:rPr>
                <w:noProof/>
              </w:rPr>
              <w:t>3B: Investiția 2 – Dezvoltarea MyGuichet – Proiectul 1/3: Numire virtuală</w:t>
            </w:r>
          </w:p>
        </w:tc>
        <w:tc>
          <w:tcPr>
            <w:tcW w:w="1809" w:type="dxa"/>
            <w:shd w:val="clear" w:color="auto" w:fill="C6EFCE"/>
            <w:noWrap/>
            <w:vAlign w:val="center"/>
          </w:tcPr>
          <w:p w14:paraId="0A0C827D"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1CF6BDA5" w14:textId="77777777" w:rsidR="00FE6F09" w:rsidRDefault="00435AFB">
            <w:pPr>
              <w:pStyle w:val="P68B1DB1-Normal27"/>
              <w:spacing w:after="0" w:line="240" w:lineRule="auto"/>
              <w:jc w:val="both"/>
              <w:rPr>
                <w:noProof/>
              </w:rPr>
            </w:pPr>
            <w:r>
              <w:rPr>
                <w:noProof/>
              </w:rPr>
              <w:t>Faza 2 a schimbului prin videoconferință</w:t>
            </w:r>
          </w:p>
        </w:tc>
      </w:tr>
      <w:tr w:rsidR="00FE6F09" w14:paraId="26CB4B17" w14:textId="77777777">
        <w:trPr>
          <w:trHeight w:val="302"/>
        </w:trPr>
        <w:tc>
          <w:tcPr>
            <w:tcW w:w="1560" w:type="dxa"/>
            <w:shd w:val="clear" w:color="auto" w:fill="C6EFCE"/>
            <w:noWrap/>
            <w:vAlign w:val="center"/>
          </w:tcPr>
          <w:p w14:paraId="70BC51D1" w14:textId="77777777" w:rsidR="00FE6F09" w:rsidRDefault="00435AFB">
            <w:pPr>
              <w:pStyle w:val="P68B1DB1-Normal27"/>
              <w:spacing w:after="0" w:line="240" w:lineRule="auto"/>
              <w:jc w:val="center"/>
              <w:rPr>
                <w:rFonts w:eastAsia="Times New Roman"/>
                <w:noProof/>
              </w:rPr>
            </w:pPr>
            <w:r>
              <w:rPr>
                <w:noProof/>
              </w:rPr>
              <w:t>3B-7</w:t>
            </w:r>
          </w:p>
        </w:tc>
        <w:tc>
          <w:tcPr>
            <w:tcW w:w="3543" w:type="dxa"/>
            <w:shd w:val="clear" w:color="auto" w:fill="C6EFCE"/>
            <w:noWrap/>
            <w:vAlign w:val="center"/>
          </w:tcPr>
          <w:p w14:paraId="039BA834" w14:textId="77777777" w:rsidR="00FE6F09" w:rsidRDefault="00435AFB">
            <w:pPr>
              <w:pStyle w:val="P68B1DB1-Normal27"/>
              <w:spacing w:after="0" w:line="240" w:lineRule="auto"/>
              <w:rPr>
                <w:noProof/>
              </w:rPr>
            </w:pPr>
            <w:r>
              <w:rPr>
                <w:noProof/>
              </w:rPr>
              <w:t>3B: Investiția 2 – Dezvoltarea MyGuichet – Proiectul 2/3: Diverse abordări C2G și B2G</w:t>
            </w:r>
          </w:p>
        </w:tc>
        <w:tc>
          <w:tcPr>
            <w:tcW w:w="1809" w:type="dxa"/>
            <w:shd w:val="clear" w:color="auto" w:fill="C6EFCE"/>
            <w:noWrap/>
            <w:vAlign w:val="center"/>
          </w:tcPr>
          <w:p w14:paraId="05908E50" w14:textId="77777777" w:rsidR="00FE6F09" w:rsidRDefault="00435AFB">
            <w:pPr>
              <w:pStyle w:val="P68B1DB1-Normal27"/>
              <w:spacing w:after="0" w:line="240" w:lineRule="auto"/>
              <w:jc w:val="center"/>
              <w:rPr>
                <w:noProof/>
              </w:rPr>
            </w:pPr>
            <w:r>
              <w:rPr>
                <w:noProof/>
              </w:rPr>
              <w:t>Țintă</w:t>
            </w:r>
          </w:p>
        </w:tc>
        <w:tc>
          <w:tcPr>
            <w:tcW w:w="2869" w:type="dxa"/>
            <w:shd w:val="clear" w:color="auto" w:fill="C6EFCE"/>
            <w:noWrap/>
            <w:vAlign w:val="center"/>
          </w:tcPr>
          <w:p w14:paraId="15B0481D" w14:textId="77777777" w:rsidR="00FE6F09" w:rsidRDefault="00435AFB">
            <w:pPr>
              <w:pStyle w:val="P68B1DB1-Normal27"/>
              <w:spacing w:after="0" w:line="240" w:lineRule="auto"/>
              <w:jc w:val="both"/>
              <w:rPr>
                <w:noProof/>
              </w:rPr>
            </w:pPr>
            <w:r>
              <w:rPr>
                <w:noProof/>
              </w:rPr>
              <w:t>12 servicii noi</w:t>
            </w:r>
          </w:p>
        </w:tc>
      </w:tr>
      <w:tr w:rsidR="00FE6F09" w14:paraId="39BFCEF7" w14:textId="77777777">
        <w:trPr>
          <w:trHeight w:val="302"/>
        </w:trPr>
        <w:tc>
          <w:tcPr>
            <w:tcW w:w="1560" w:type="dxa"/>
            <w:shd w:val="clear" w:color="auto" w:fill="C6EFCE"/>
            <w:noWrap/>
            <w:vAlign w:val="center"/>
          </w:tcPr>
          <w:p w14:paraId="600C80ED" w14:textId="77777777" w:rsidR="00FE6F09" w:rsidRDefault="00435AFB">
            <w:pPr>
              <w:pStyle w:val="P68B1DB1-Normal27"/>
              <w:spacing w:after="0" w:line="240" w:lineRule="auto"/>
              <w:jc w:val="center"/>
              <w:rPr>
                <w:noProof/>
              </w:rPr>
            </w:pPr>
            <w:r>
              <w:rPr>
                <w:noProof/>
              </w:rPr>
              <w:t>4A-2</w:t>
            </w:r>
          </w:p>
        </w:tc>
        <w:tc>
          <w:tcPr>
            <w:tcW w:w="3543" w:type="dxa"/>
            <w:shd w:val="clear" w:color="auto" w:fill="C6EFCE"/>
            <w:noWrap/>
            <w:vAlign w:val="center"/>
          </w:tcPr>
          <w:p w14:paraId="5ABB008D" w14:textId="77777777" w:rsidR="00FE6F09" w:rsidRDefault="00435AFB">
            <w:pPr>
              <w:pStyle w:val="P68B1DB1-Normal27"/>
              <w:spacing w:after="0" w:line="240" w:lineRule="auto"/>
              <w:rPr>
                <w:noProof/>
              </w:rPr>
            </w:pPr>
            <w:r>
              <w:rPr>
                <w:noProof/>
              </w:rPr>
              <w:t>4A: Reformă - Promovarea eficienței energetice și a energiei regenerabile în locuințe</w:t>
            </w:r>
          </w:p>
        </w:tc>
        <w:tc>
          <w:tcPr>
            <w:tcW w:w="1809" w:type="dxa"/>
            <w:shd w:val="clear" w:color="auto" w:fill="C6EFCE"/>
            <w:noWrap/>
            <w:vAlign w:val="center"/>
          </w:tcPr>
          <w:p w14:paraId="5311161C"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518A17CC" w14:textId="77777777" w:rsidR="00FE6F09" w:rsidRDefault="00435AFB">
            <w:pPr>
              <w:pStyle w:val="P68B1DB1-Normal27"/>
              <w:spacing w:after="0" w:line="240" w:lineRule="auto"/>
              <w:jc w:val="both"/>
              <w:rPr>
                <w:noProof/>
              </w:rPr>
            </w:pPr>
            <w:r>
              <w:rPr>
                <w:noProof/>
              </w:rPr>
              <w:t>Regulamentul Marelui Ducat de stabilire a orientărilor pentru schema de ajutoare care promovează eficiența energetică și energia regenerabilă în locuințe</w:t>
            </w:r>
          </w:p>
        </w:tc>
      </w:tr>
      <w:tr w:rsidR="00FE6F09" w14:paraId="58E98EF5" w14:textId="77777777">
        <w:trPr>
          <w:trHeight w:val="302"/>
        </w:trPr>
        <w:tc>
          <w:tcPr>
            <w:tcW w:w="1560" w:type="dxa"/>
            <w:shd w:val="clear" w:color="auto" w:fill="C6EFCE"/>
            <w:noWrap/>
            <w:vAlign w:val="center"/>
          </w:tcPr>
          <w:p w14:paraId="0E73BC1D" w14:textId="77777777" w:rsidR="00FE6F09" w:rsidRDefault="00435AFB">
            <w:pPr>
              <w:pStyle w:val="P68B1DB1-Normal27"/>
              <w:spacing w:after="0" w:line="240" w:lineRule="auto"/>
              <w:jc w:val="center"/>
              <w:rPr>
                <w:noProof/>
              </w:rPr>
            </w:pPr>
            <w:r>
              <w:rPr>
                <w:noProof/>
              </w:rPr>
              <w:t>4A-4</w:t>
            </w:r>
          </w:p>
        </w:tc>
        <w:tc>
          <w:tcPr>
            <w:tcW w:w="3543" w:type="dxa"/>
            <w:shd w:val="clear" w:color="auto" w:fill="C6EFCE"/>
            <w:noWrap/>
            <w:vAlign w:val="center"/>
          </w:tcPr>
          <w:p w14:paraId="09046AF9" w14:textId="77777777" w:rsidR="00FE6F09" w:rsidRDefault="00435AFB">
            <w:pPr>
              <w:pStyle w:val="P68B1DB1-Normal27"/>
              <w:spacing w:after="0" w:line="240" w:lineRule="auto"/>
              <w:rPr>
                <w:noProof/>
              </w:rPr>
            </w:pPr>
            <w:r>
              <w:rPr>
                <w:noProof/>
              </w:rPr>
              <w:t>4A: Promovarea mobilității active și cu emisii zero</w:t>
            </w:r>
          </w:p>
        </w:tc>
        <w:tc>
          <w:tcPr>
            <w:tcW w:w="1809" w:type="dxa"/>
            <w:shd w:val="clear" w:color="auto" w:fill="C6EFCE"/>
            <w:noWrap/>
            <w:vAlign w:val="center"/>
          </w:tcPr>
          <w:p w14:paraId="09887C0C"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540B8491" w14:textId="77777777" w:rsidR="00FE6F09" w:rsidRDefault="00435AFB">
            <w:pPr>
              <w:spacing w:after="0" w:line="240" w:lineRule="auto"/>
              <w:jc w:val="both"/>
              <w:rPr>
                <w:rFonts w:ascii="Times New Roman" w:hAnsi="Times New Roman" w:cs="Times New Roman"/>
                <w:noProof/>
                <w:color w:val="006100"/>
                <w:sz w:val="20"/>
                <w:szCs w:val="20"/>
              </w:rPr>
            </w:pPr>
            <w:r>
              <w:rPr>
                <w:rStyle w:val="normaltextrun"/>
                <w:rFonts w:ascii="Times New Roman" w:hAnsi="Times New Roman" w:cs="Times New Roman"/>
                <w:noProof/>
                <w:color w:val="006100"/>
                <w:sz w:val="20"/>
                <w:szCs w:val="20"/>
              </w:rPr>
              <w:t>Regulamentul Marelui Ducat de stabilire a orientărilor pentru schema de ajutoare de sprijinire a achiziționării de vehicule cu emisii zero</w:t>
            </w:r>
            <w:r>
              <w:rPr>
                <w:rStyle w:val="eop"/>
                <w:rFonts w:ascii="Times New Roman" w:hAnsi="Times New Roman" w:cs="Times New Roman"/>
                <w:noProof/>
                <w:color w:val="0078D4"/>
                <w:sz w:val="20"/>
                <w:szCs w:val="20"/>
              </w:rPr>
              <w:t> </w:t>
            </w:r>
          </w:p>
        </w:tc>
      </w:tr>
      <w:tr w:rsidR="00FE6F09" w14:paraId="4DE2C129" w14:textId="77777777">
        <w:trPr>
          <w:trHeight w:val="302"/>
        </w:trPr>
        <w:tc>
          <w:tcPr>
            <w:tcW w:w="1560" w:type="dxa"/>
            <w:shd w:val="clear" w:color="auto" w:fill="C6EFCE"/>
            <w:noWrap/>
            <w:vAlign w:val="center"/>
          </w:tcPr>
          <w:p w14:paraId="131E3682"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3543" w:type="dxa"/>
            <w:shd w:val="clear" w:color="auto" w:fill="C6EFCE"/>
            <w:noWrap/>
            <w:vAlign w:val="center"/>
          </w:tcPr>
          <w:p w14:paraId="091DC31D"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809" w:type="dxa"/>
            <w:shd w:val="clear" w:color="auto" w:fill="C6EFCE"/>
            <w:noWrap/>
            <w:vAlign w:val="center"/>
          </w:tcPr>
          <w:p w14:paraId="55D2F79D" w14:textId="77777777" w:rsidR="00FE6F09" w:rsidRDefault="00435AFB">
            <w:pPr>
              <w:pStyle w:val="P68B1DB1-Normal28"/>
              <w:spacing w:after="0" w:line="240" w:lineRule="auto"/>
              <w:jc w:val="center"/>
              <w:rPr>
                <w:noProof/>
              </w:rPr>
            </w:pPr>
            <w:r>
              <w:rPr>
                <w:noProof/>
              </w:rPr>
              <w:t>Suma tranșei</w:t>
            </w:r>
          </w:p>
        </w:tc>
        <w:tc>
          <w:tcPr>
            <w:tcW w:w="2869" w:type="dxa"/>
            <w:shd w:val="clear" w:color="auto" w:fill="C6EFCE"/>
            <w:noWrap/>
            <w:vAlign w:val="center"/>
          </w:tcPr>
          <w:p w14:paraId="19723833" w14:textId="77777777" w:rsidR="00FE6F09" w:rsidRDefault="00435AFB">
            <w:pPr>
              <w:pStyle w:val="P68B1DB1-Normal28"/>
              <w:spacing w:after="0" w:line="240" w:lineRule="auto"/>
              <w:jc w:val="center"/>
              <w:rPr>
                <w:bCs/>
                <w:noProof/>
              </w:rPr>
            </w:pPr>
            <w:r>
              <w:rPr>
                <w:noProof/>
              </w:rPr>
              <w:t>59 891 672 EUR</w:t>
            </w:r>
          </w:p>
        </w:tc>
      </w:tr>
    </w:tbl>
    <w:p w14:paraId="0F192A6C" w14:textId="77777777" w:rsidR="00FE6F09" w:rsidRDefault="00FE6F09">
      <w:pPr>
        <w:spacing w:before="120" w:after="120" w:line="240" w:lineRule="auto"/>
        <w:ind w:left="850"/>
        <w:jc w:val="both"/>
        <w:rPr>
          <w:rFonts w:ascii="Times New Roman" w:hAnsi="Times New Roman" w:cs="Times New Roman"/>
          <w:noProof/>
          <w:sz w:val="24"/>
        </w:rPr>
        <w:sectPr w:rsidR="00FE6F09" w:rsidSect="009823F0">
          <w:headerReference w:type="even" r:id="rId140"/>
          <w:headerReference w:type="default" r:id="rId141"/>
          <w:footerReference w:type="even" r:id="rId142"/>
          <w:footerReference w:type="default" r:id="rId143"/>
          <w:headerReference w:type="first" r:id="rId144"/>
          <w:footerReference w:type="first" r:id="rId145"/>
          <w:pgSz w:w="11906" w:h="16838"/>
          <w:pgMar w:top="1417" w:right="1417" w:bottom="1417" w:left="1417" w:header="708" w:footer="708" w:gutter="0"/>
          <w:cols w:space="708"/>
          <w:docGrid w:linePitch="360"/>
        </w:sectPr>
      </w:pPr>
    </w:p>
    <w:p w14:paraId="0532320F" w14:textId="77777777" w:rsidR="00FE6F09" w:rsidRDefault="00435AFB">
      <w:pPr>
        <w:pStyle w:val="P68B1DB1-Normal5"/>
        <w:numPr>
          <w:ilvl w:val="1"/>
          <w:numId w:val="6"/>
        </w:numPr>
        <w:tabs>
          <w:tab w:val="clear" w:pos="850"/>
        </w:tabs>
        <w:spacing w:before="120" w:after="120" w:line="240" w:lineRule="auto"/>
        <w:ind w:hanging="566"/>
        <w:jc w:val="both"/>
        <w:rPr>
          <w:noProof/>
        </w:rPr>
      </w:pPr>
      <w:r>
        <w:rPr>
          <w:noProof/>
        </w:rPr>
        <w:t>A treia tranșă (sprijin nerambursabil):</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3543"/>
        <w:gridCol w:w="1809"/>
        <w:gridCol w:w="2869"/>
      </w:tblGrid>
      <w:tr w:rsidR="00FE6F09" w14:paraId="2F04163D" w14:textId="77777777">
        <w:trPr>
          <w:trHeight w:val="906"/>
        </w:trPr>
        <w:tc>
          <w:tcPr>
            <w:tcW w:w="1555" w:type="dxa"/>
            <w:vMerge w:val="restart"/>
            <w:shd w:val="clear" w:color="auto" w:fill="BDD7EE"/>
            <w:vAlign w:val="center"/>
            <w:hideMark/>
          </w:tcPr>
          <w:p w14:paraId="71B70E03" w14:textId="77777777" w:rsidR="00FE6F09" w:rsidRDefault="00435AFB">
            <w:pPr>
              <w:pStyle w:val="P68B1DB1-Normal26"/>
              <w:spacing w:after="0" w:line="240" w:lineRule="auto"/>
              <w:jc w:val="center"/>
              <w:rPr>
                <w:noProof/>
              </w:rPr>
            </w:pPr>
            <w:r>
              <w:rPr>
                <w:noProof/>
              </w:rPr>
              <w:t>Număr secvențial</w:t>
            </w:r>
          </w:p>
        </w:tc>
        <w:tc>
          <w:tcPr>
            <w:tcW w:w="3543" w:type="dxa"/>
            <w:vMerge w:val="restart"/>
            <w:shd w:val="clear" w:color="auto" w:fill="BDD7EE"/>
            <w:vAlign w:val="center"/>
            <w:hideMark/>
          </w:tcPr>
          <w:p w14:paraId="16A17B82" w14:textId="77777777" w:rsidR="00FE6F09" w:rsidRDefault="00435AFB">
            <w:pPr>
              <w:pStyle w:val="P68B1DB1-Normal26"/>
              <w:spacing w:after="0" w:line="240" w:lineRule="auto"/>
              <w:jc w:val="center"/>
              <w:rPr>
                <w:bCs/>
                <w:noProof/>
              </w:rPr>
            </w:pPr>
            <w:r>
              <w:rPr>
                <w:noProof/>
              </w:rPr>
              <w:t xml:space="preserve">Măsură conexă </w:t>
            </w:r>
          </w:p>
          <w:p w14:paraId="4C0BEBCA" w14:textId="77777777" w:rsidR="00FE6F09" w:rsidRDefault="00435AFB">
            <w:pPr>
              <w:pStyle w:val="P68B1DB1-Normal26"/>
              <w:spacing w:after="0" w:line="240" w:lineRule="auto"/>
              <w:jc w:val="center"/>
              <w:rPr>
                <w:noProof/>
              </w:rPr>
            </w:pPr>
            <w:r>
              <w:rPr>
                <w:noProof/>
              </w:rPr>
              <w:t>(Reformă sau investiție)</w:t>
            </w:r>
          </w:p>
        </w:tc>
        <w:tc>
          <w:tcPr>
            <w:tcW w:w="1809" w:type="dxa"/>
            <w:vMerge w:val="restart"/>
            <w:shd w:val="clear" w:color="auto" w:fill="BDD7EE"/>
            <w:vAlign w:val="center"/>
            <w:hideMark/>
          </w:tcPr>
          <w:p w14:paraId="00617BC1" w14:textId="04EA48A5" w:rsidR="00FE6F09" w:rsidRDefault="00435AFB">
            <w:pPr>
              <w:pStyle w:val="P68B1DB1-Normal26"/>
              <w:spacing w:after="0" w:line="240" w:lineRule="auto"/>
              <w:jc w:val="center"/>
              <w:rPr>
                <w:noProof/>
              </w:rPr>
            </w:pPr>
            <w:r>
              <w:rPr>
                <w:noProof/>
              </w:rPr>
              <w:t>Etapa/ținta</w:t>
            </w:r>
          </w:p>
        </w:tc>
        <w:tc>
          <w:tcPr>
            <w:tcW w:w="2869" w:type="dxa"/>
            <w:vMerge w:val="restart"/>
            <w:shd w:val="clear" w:color="auto" w:fill="BDD7EE"/>
            <w:vAlign w:val="center"/>
            <w:hideMark/>
          </w:tcPr>
          <w:p w14:paraId="36D546A6" w14:textId="77777777" w:rsidR="00FE6F09" w:rsidRDefault="00435AFB">
            <w:pPr>
              <w:pStyle w:val="P68B1DB1-Normal26"/>
              <w:spacing w:after="0" w:line="240" w:lineRule="auto"/>
              <w:jc w:val="center"/>
              <w:rPr>
                <w:noProof/>
              </w:rPr>
            </w:pPr>
            <w:r>
              <w:rPr>
                <w:noProof/>
              </w:rPr>
              <w:t>Denumire</w:t>
            </w:r>
          </w:p>
        </w:tc>
      </w:tr>
      <w:tr w:rsidR="00FE6F09" w14:paraId="00FF5B78" w14:textId="77777777">
        <w:trPr>
          <w:trHeight w:val="517"/>
        </w:trPr>
        <w:tc>
          <w:tcPr>
            <w:tcW w:w="1555" w:type="dxa"/>
            <w:vMerge/>
            <w:vAlign w:val="center"/>
            <w:hideMark/>
          </w:tcPr>
          <w:p w14:paraId="4AD5F268" w14:textId="77777777" w:rsidR="00FE6F09" w:rsidRDefault="00FE6F09">
            <w:pPr>
              <w:spacing w:after="0" w:line="240" w:lineRule="auto"/>
              <w:jc w:val="center"/>
              <w:rPr>
                <w:rFonts w:ascii="Times New Roman" w:eastAsia="Times New Roman" w:hAnsi="Times New Roman" w:cs="Times New Roman"/>
                <w:b/>
                <w:bCs/>
                <w:noProof/>
                <w:sz w:val="24"/>
                <w:szCs w:val="24"/>
              </w:rPr>
            </w:pPr>
          </w:p>
        </w:tc>
        <w:tc>
          <w:tcPr>
            <w:tcW w:w="3543" w:type="dxa"/>
            <w:vMerge/>
            <w:vAlign w:val="center"/>
            <w:hideMark/>
          </w:tcPr>
          <w:p w14:paraId="0CC16E3B" w14:textId="77777777" w:rsidR="00FE6F09" w:rsidRDefault="00FE6F09">
            <w:pPr>
              <w:spacing w:after="0" w:line="240" w:lineRule="auto"/>
              <w:rPr>
                <w:rFonts w:ascii="Times New Roman" w:eastAsia="Times New Roman" w:hAnsi="Times New Roman" w:cs="Times New Roman"/>
                <w:b/>
                <w:bCs/>
                <w:noProof/>
                <w:sz w:val="24"/>
                <w:szCs w:val="24"/>
              </w:rPr>
            </w:pPr>
          </w:p>
        </w:tc>
        <w:tc>
          <w:tcPr>
            <w:tcW w:w="1809" w:type="dxa"/>
            <w:vMerge/>
            <w:vAlign w:val="center"/>
            <w:hideMark/>
          </w:tcPr>
          <w:p w14:paraId="73AE76DE" w14:textId="77777777" w:rsidR="00FE6F09" w:rsidRDefault="00FE6F09">
            <w:pPr>
              <w:spacing w:after="0" w:line="240" w:lineRule="auto"/>
              <w:jc w:val="center"/>
              <w:rPr>
                <w:rFonts w:ascii="Times New Roman" w:eastAsia="Times New Roman" w:hAnsi="Times New Roman" w:cs="Times New Roman"/>
                <w:b/>
                <w:bCs/>
                <w:noProof/>
                <w:sz w:val="24"/>
                <w:szCs w:val="24"/>
              </w:rPr>
            </w:pPr>
          </w:p>
        </w:tc>
        <w:tc>
          <w:tcPr>
            <w:tcW w:w="2869" w:type="dxa"/>
            <w:vMerge/>
            <w:vAlign w:val="center"/>
            <w:hideMark/>
          </w:tcPr>
          <w:p w14:paraId="07130DA6" w14:textId="77777777" w:rsidR="00FE6F09" w:rsidRDefault="00FE6F09">
            <w:pPr>
              <w:spacing w:after="0" w:line="240" w:lineRule="auto"/>
              <w:jc w:val="both"/>
              <w:rPr>
                <w:rFonts w:ascii="Times New Roman" w:eastAsia="Times New Roman" w:hAnsi="Times New Roman" w:cs="Times New Roman"/>
                <w:b/>
                <w:bCs/>
                <w:noProof/>
                <w:sz w:val="24"/>
                <w:szCs w:val="24"/>
              </w:rPr>
            </w:pPr>
          </w:p>
        </w:tc>
      </w:tr>
      <w:tr w:rsidR="00FE6F09" w14:paraId="14696D19" w14:textId="77777777">
        <w:trPr>
          <w:trHeight w:val="302"/>
        </w:trPr>
        <w:tc>
          <w:tcPr>
            <w:tcW w:w="1555" w:type="dxa"/>
            <w:shd w:val="clear" w:color="auto" w:fill="C6EFCE"/>
            <w:noWrap/>
            <w:vAlign w:val="center"/>
          </w:tcPr>
          <w:p w14:paraId="5F64CCFB" w14:textId="77777777" w:rsidR="00FE6F09" w:rsidRDefault="00435AFB">
            <w:pPr>
              <w:pStyle w:val="P68B1DB1-Normal27"/>
              <w:spacing w:after="0" w:line="240" w:lineRule="auto"/>
              <w:jc w:val="center"/>
              <w:rPr>
                <w:noProof/>
              </w:rPr>
            </w:pPr>
            <w:r>
              <w:rPr>
                <w:noProof/>
              </w:rPr>
              <w:t>1B-4</w:t>
            </w:r>
          </w:p>
        </w:tc>
        <w:tc>
          <w:tcPr>
            <w:tcW w:w="3543" w:type="dxa"/>
            <w:shd w:val="clear" w:color="auto" w:fill="C6EFCE"/>
            <w:noWrap/>
            <w:vAlign w:val="center"/>
          </w:tcPr>
          <w:p w14:paraId="3918907A" w14:textId="77777777" w:rsidR="00FE6F09" w:rsidRDefault="00435AFB">
            <w:pPr>
              <w:pStyle w:val="P68B1DB1-Normal27"/>
              <w:spacing w:after="0" w:line="240" w:lineRule="auto"/>
              <w:rPr>
                <w:noProof/>
              </w:rPr>
            </w:pPr>
            <w:r>
              <w:rPr>
                <w:noProof/>
              </w:rPr>
              <w:t>1B: Reforma 2 – Consolidarea rezilienței sistemului de sănătate – Reformarea competențelor cadrelor medicale</w:t>
            </w:r>
          </w:p>
        </w:tc>
        <w:tc>
          <w:tcPr>
            <w:tcW w:w="1809" w:type="dxa"/>
            <w:shd w:val="clear" w:color="auto" w:fill="C6EFCE"/>
            <w:noWrap/>
            <w:vAlign w:val="center"/>
          </w:tcPr>
          <w:p w14:paraId="7E6B6EB6"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7A832683" w14:textId="77777777" w:rsidR="00FE6F09" w:rsidRDefault="00435AFB">
            <w:pPr>
              <w:pStyle w:val="P68B1DB1-Normal27"/>
              <w:spacing w:after="0" w:line="240" w:lineRule="auto"/>
              <w:jc w:val="both"/>
              <w:rPr>
                <w:noProof/>
              </w:rPr>
            </w:pPr>
            <w:r>
              <w:rPr>
                <w:noProof/>
              </w:rPr>
              <w:t>Revizuirea profesiilor din domeniul sănătății și introducerea de noi măsuri în cadrul structurilor spitalicești</w:t>
            </w:r>
          </w:p>
        </w:tc>
      </w:tr>
      <w:tr w:rsidR="00FE6F09" w14:paraId="104AF6AE" w14:textId="77777777">
        <w:trPr>
          <w:trHeight w:val="302"/>
        </w:trPr>
        <w:tc>
          <w:tcPr>
            <w:tcW w:w="1555" w:type="dxa"/>
            <w:shd w:val="clear" w:color="auto" w:fill="C6EFCE"/>
            <w:noWrap/>
            <w:vAlign w:val="center"/>
            <w:hideMark/>
          </w:tcPr>
          <w:p w14:paraId="2B8B1526" w14:textId="77777777" w:rsidR="00FE6F09" w:rsidRDefault="00435AFB">
            <w:pPr>
              <w:pStyle w:val="P68B1DB1-Normal27"/>
              <w:spacing w:after="0" w:line="240" w:lineRule="auto"/>
              <w:jc w:val="center"/>
              <w:rPr>
                <w:rFonts w:eastAsia="Times New Roman"/>
                <w:noProof/>
              </w:rPr>
            </w:pPr>
            <w:r>
              <w:rPr>
                <w:noProof/>
              </w:rPr>
              <w:t>1B-8</w:t>
            </w:r>
          </w:p>
        </w:tc>
        <w:tc>
          <w:tcPr>
            <w:tcW w:w="3543" w:type="dxa"/>
            <w:shd w:val="clear" w:color="auto" w:fill="C6EFCE"/>
            <w:noWrap/>
            <w:vAlign w:val="center"/>
            <w:hideMark/>
          </w:tcPr>
          <w:p w14:paraId="11B72E12" w14:textId="77777777" w:rsidR="00FE6F09" w:rsidRDefault="00435AFB">
            <w:pPr>
              <w:pStyle w:val="P68B1DB1-Normal27"/>
              <w:spacing w:after="0" w:line="240" w:lineRule="auto"/>
              <w:rPr>
                <w:rFonts w:eastAsia="Times New Roman"/>
                <w:noProof/>
              </w:rPr>
            </w:pPr>
            <w:r>
              <w:rPr>
                <w:noProof/>
              </w:rPr>
              <w:t>1B: Investiția 2 – Consolidarea rezilienței sistemului de sănătate – Soluție de telemedicină pentru monitorizarea medicală la distanță</w:t>
            </w:r>
          </w:p>
        </w:tc>
        <w:tc>
          <w:tcPr>
            <w:tcW w:w="1809" w:type="dxa"/>
            <w:shd w:val="clear" w:color="auto" w:fill="C6EFCE"/>
            <w:noWrap/>
            <w:vAlign w:val="center"/>
            <w:hideMark/>
          </w:tcPr>
          <w:p w14:paraId="3B6F2528"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shd w:val="clear" w:color="auto" w:fill="C6EFCE"/>
            <w:noWrap/>
            <w:vAlign w:val="center"/>
            <w:hideMark/>
          </w:tcPr>
          <w:p w14:paraId="31F14759" w14:textId="77777777" w:rsidR="00FE6F09" w:rsidRDefault="00435AFB">
            <w:pPr>
              <w:pStyle w:val="P68B1DB1-Normal27"/>
              <w:spacing w:after="0" w:line="240" w:lineRule="auto"/>
              <w:jc w:val="both"/>
              <w:rPr>
                <w:rFonts w:eastAsia="Times New Roman"/>
                <w:noProof/>
              </w:rPr>
            </w:pPr>
            <w:r>
              <w:rPr>
                <w:noProof/>
              </w:rPr>
              <w:t>O soluție integrată</w:t>
            </w:r>
          </w:p>
        </w:tc>
      </w:tr>
      <w:tr w:rsidR="00FE6F09" w14:paraId="6F2B1E5A" w14:textId="77777777">
        <w:trPr>
          <w:trHeight w:val="302"/>
        </w:trPr>
        <w:tc>
          <w:tcPr>
            <w:tcW w:w="1555" w:type="dxa"/>
            <w:shd w:val="clear" w:color="auto" w:fill="C6EFCE"/>
            <w:noWrap/>
            <w:vAlign w:val="center"/>
          </w:tcPr>
          <w:p w14:paraId="26E6206B" w14:textId="77777777" w:rsidR="00FE6F09" w:rsidRDefault="00435AFB">
            <w:pPr>
              <w:pStyle w:val="P68B1DB1-Normal27"/>
              <w:spacing w:after="0" w:line="240" w:lineRule="auto"/>
              <w:jc w:val="center"/>
              <w:rPr>
                <w:noProof/>
              </w:rPr>
            </w:pPr>
            <w:r>
              <w:rPr>
                <w:noProof/>
              </w:rPr>
              <w:t>2B-5</w:t>
            </w:r>
          </w:p>
        </w:tc>
        <w:tc>
          <w:tcPr>
            <w:tcW w:w="3543" w:type="dxa"/>
            <w:shd w:val="clear" w:color="auto" w:fill="C6EFCE"/>
            <w:noWrap/>
            <w:vAlign w:val="center"/>
          </w:tcPr>
          <w:p w14:paraId="65766CFB" w14:textId="77777777" w:rsidR="00FE6F09" w:rsidRDefault="00435AFB">
            <w:pPr>
              <w:pStyle w:val="P68B1DB1-Normal27"/>
              <w:spacing w:after="0" w:line="240" w:lineRule="auto"/>
              <w:rPr>
                <w:noProof/>
              </w:rPr>
            </w:pPr>
            <w:r>
              <w:rPr>
                <w:noProof/>
              </w:rPr>
              <w:t>2B: Reforme și investiții: „Naturpakt”</w:t>
            </w:r>
          </w:p>
        </w:tc>
        <w:tc>
          <w:tcPr>
            <w:tcW w:w="1809" w:type="dxa"/>
            <w:shd w:val="clear" w:color="auto" w:fill="C6EFCE"/>
            <w:noWrap/>
            <w:vAlign w:val="center"/>
          </w:tcPr>
          <w:p w14:paraId="0B3FB74C" w14:textId="77777777" w:rsidR="00FE6F09" w:rsidRDefault="00435AFB">
            <w:pPr>
              <w:pStyle w:val="P68B1DB1-Normal27"/>
              <w:spacing w:after="0" w:line="240" w:lineRule="auto"/>
              <w:jc w:val="center"/>
              <w:rPr>
                <w:noProof/>
              </w:rPr>
            </w:pPr>
            <w:r>
              <w:rPr>
                <w:noProof/>
              </w:rPr>
              <w:t>Țintă</w:t>
            </w:r>
          </w:p>
        </w:tc>
        <w:tc>
          <w:tcPr>
            <w:tcW w:w="2869" w:type="dxa"/>
            <w:shd w:val="clear" w:color="auto" w:fill="C6EFCE"/>
            <w:noWrap/>
            <w:vAlign w:val="center"/>
          </w:tcPr>
          <w:p w14:paraId="2667977B" w14:textId="77777777" w:rsidR="00FE6F09" w:rsidRDefault="00435AFB">
            <w:pPr>
              <w:pStyle w:val="P68B1DB1-Normal9"/>
              <w:spacing w:after="0" w:line="240" w:lineRule="auto"/>
              <w:jc w:val="both"/>
              <w:rPr>
                <w:noProof/>
              </w:rPr>
            </w:pPr>
            <w:r>
              <w:rPr>
                <w:noProof/>
              </w:rPr>
              <w:t xml:space="preserve">Certificarea </w:t>
            </w:r>
            <w:r>
              <w:rPr>
                <w:i/>
                <w:noProof/>
              </w:rPr>
              <w:t>„Naturpakt”</w:t>
            </w:r>
            <w:r>
              <w:rPr>
                <w:noProof/>
              </w:rPr>
              <w:t xml:space="preserve"> a 50 de municipalități</w:t>
            </w:r>
          </w:p>
        </w:tc>
      </w:tr>
      <w:tr w:rsidR="00FE6F09" w14:paraId="2A8D6D0B" w14:textId="77777777">
        <w:trPr>
          <w:trHeight w:val="302"/>
        </w:trPr>
        <w:tc>
          <w:tcPr>
            <w:tcW w:w="1555" w:type="dxa"/>
            <w:shd w:val="clear" w:color="auto" w:fill="C6EFCE"/>
            <w:noWrap/>
            <w:vAlign w:val="center"/>
          </w:tcPr>
          <w:p w14:paraId="64384646" w14:textId="77777777" w:rsidR="00FE6F09" w:rsidRDefault="00435AFB">
            <w:pPr>
              <w:pStyle w:val="P68B1DB1-Normal27"/>
              <w:spacing w:after="0" w:line="240" w:lineRule="auto"/>
              <w:jc w:val="center"/>
              <w:rPr>
                <w:noProof/>
              </w:rPr>
            </w:pPr>
            <w:r>
              <w:rPr>
                <w:noProof/>
              </w:rPr>
              <w:t>3A-4</w:t>
            </w:r>
          </w:p>
        </w:tc>
        <w:tc>
          <w:tcPr>
            <w:tcW w:w="3543" w:type="dxa"/>
            <w:shd w:val="clear" w:color="auto" w:fill="C6EFCE"/>
            <w:noWrap/>
            <w:vAlign w:val="center"/>
          </w:tcPr>
          <w:p w14:paraId="5DECD4B4" w14:textId="77777777" w:rsidR="00FE6F09" w:rsidRDefault="00435AFB">
            <w:pPr>
              <w:pStyle w:val="P68B1DB1-Normal27"/>
              <w:spacing w:after="0" w:line="240" w:lineRule="auto"/>
              <w:rPr>
                <w:noProof/>
              </w:rPr>
            </w:pPr>
            <w:r>
              <w:rPr>
                <w:noProof/>
              </w:rPr>
              <w:t>3A: Investiția 1 - Dezvoltarea și implementarea infrastructurii de testare și a soluțiilor de conectivitate ultrasecurizate </w:t>
            </w:r>
          </w:p>
        </w:tc>
        <w:tc>
          <w:tcPr>
            <w:tcW w:w="1809" w:type="dxa"/>
            <w:shd w:val="clear" w:color="auto" w:fill="C6EFCE"/>
            <w:noWrap/>
            <w:vAlign w:val="center"/>
          </w:tcPr>
          <w:p w14:paraId="61A8DF18" w14:textId="445BA2B8"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213287B8" w14:textId="0A7E354E" w:rsidR="00FE6F09" w:rsidRDefault="00435AFB">
            <w:pPr>
              <w:pStyle w:val="P68B1DB1-Normal27"/>
              <w:spacing w:after="0" w:line="240" w:lineRule="auto"/>
              <w:jc w:val="both"/>
              <w:rPr>
                <w:noProof/>
              </w:rPr>
            </w:pPr>
            <w:r>
              <w:rPr>
                <w:noProof/>
              </w:rPr>
              <w:t xml:space="preserve">Raport ex post privind demonstrarea conexiunii terestre transfrontaliere cu chei cuantice de distribuție </w:t>
            </w:r>
          </w:p>
        </w:tc>
      </w:tr>
      <w:tr w:rsidR="00FE6F09" w14:paraId="4571294D" w14:textId="77777777">
        <w:trPr>
          <w:trHeight w:val="690"/>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D189D" w14:textId="77777777" w:rsidR="00FE6F09" w:rsidRDefault="00435AFB">
            <w:pPr>
              <w:pStyle w:val="P68B1DB1-Normal27"/>
              <w:spacing w:after="0" w:line="240" w:lineRule="auto"/>
              <w:jc w:val="center"/>
              <w:rPr>
                <w:noProof/>
              </w:rPr>
            </w:pPr>
            <w:r>
              <w:rPr>
                <w:noProof/>
              </w:rPr>
              <w:t>3B-4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C5FBCD" w14:textId="77777777" w:rsidR="00FE6F09" w:rsidRDefault="00435AFB">
            <w:pPr>
              <w:pStyle w:val="P68B1DB1-Normal27"/>
              <w:spacing w:after="0" w:line="240" w:lineRule="auto"/>
              <w:rPr>
                <w:noProof/>
              </w:rPr>
            </w:pPr>
            <w:r>
              <w:rPr>
                <w:noProof/>
              </w:rPr>
              <w:t xml:space="preserve">3B: Investiția 1 – Gestionarea electronică a documentelor și gestionarea cazurilor </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59CD3A" w14:textId="77777777" w:rsidR="00FE6F09" w:rsidRDefault="00435AFB">
            <w:pPr>
              <w:pStyle w:val="P68B1DB1-Normal27"/>
              <w:spacing w:after="0" w:line="240" w:lineRule="auto"/>
              <w:jc w:val="center"/>
              <w:rPr>
                <w:noProof/>
              </w:rPr>
            </w:pPr>
            <w:r>
              <w:rPr>
                <w:noProof/>
              </w:rPr>
              <w:t>Țintă</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2F72C" w14:textId="11402832" w:rsidR="00FE6F09" w:rsidRDefault="00435AFB">
            <w:pPr>
              <w:pStyle w:val="P68B1DB1-Normal27"/>
              <w:spacing w:after="0" w:line="240" w:lineRule="auto"/>
              <w:jc w:val="both"/>
              <w:rPr>
                <w:noProof/>
              </w:rPr>
            </w:pPr>
            <w:r>
              <w:rPr>
                <w:noProof/>
              </w:rPr>
              <w:t xml:space="preserve">Cinci entități guvernamentale au primit acces la platforma „Hive” </w:t>
            </w:r>
          </w:p>
        </w:tc>
      </w:tr>
      <w:tr w:rsidR="00FE6F09" w14:paraId="0C167677" w14:textId="77777777">
        <w:trPr>
          <w:trHeight w:val="302"/>
        </w:trPr>
        <w:tc>
          <w:tcPr>
            <w:tcW w:w="1555" w:type="dxa"/>
            <w:shd w:val="clear" w:color="auto" w:fill="C6EFCE"/>
            <w:noWrap/>
            <w:vAlign w:val="center"/>
          </w:tcPr>
          <w:p w14:paraId="3D1B91AB" w14:textId="77777777" w:rsidR="00FE6F09" w:rsidRDefault="00435AFB">
            <w:pPr>
              <w:pStyle w:val="P68B1DB1-Normal27"/>
              <w:spacing w:after="0" w:line="240" w:lineRule="auto"/>
              <w:jc w:val="center"/>
              <w:rPr>
                <w:noProof/>
              </w:rPr>
            </w:pPr>
            <w:r>
              <w:rPr>
                <w:noProof/>
              </w:rPr>
              <w:t>3C-9</w:t>
            </w:r>
          </w:p>
        </w:tc>
        <w:tc>
          <w:tcPr>
            <w:tcW w:w="3543" w:type="dxa"/>
            <w:shd w:val="clear" w:color="auto" w:fill="C6EFCE"/>
            <w:noWrap/>
            <w:vAlign w:val="center"/>
          </w:tcPr>
          <w:p w14:paraId="65B01833" w14:textId="77777777" w:rsidR="00FE6F09" w:rsidRDefault="00435AFB">
            <w:pPr>
              <w:pStyle w:val="P68B1DB1-Normal27"/>
              <w:spacing w:after="0" w:line="240" w:lineRule="auto"/>
              <w:rPr>
                <w:noProof/>
              </w:rPr>
            </w:pPr>
            <w:r>
              <w:rPr>
                <w:noProof/>
              </w:rPr>
              <w:t>3C: Reforma 2 – Combaterea spălării banilor și a finanțării terorismului</w:t>
            </w:r>
          </w:p>
        </w:tc>
        <w:tc>
          <w:tcPr>
            <w:tcW w:w="1809" w:type="dxa"/>
            <w:shd w:val="clear" w:color="auto" w:fill="C6EFCE"/>
            <w:noWrap/>
            <w:vAlign w:val="center"/>
          </w:tcPr>
          <w:p w14:paraId="2F9D3684"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3D414590" w14:textId="77777777" w:rsidR="00FE6F09" w:rsidRDefault="00435AFB">
            <w:pPr>
              <w:pStyle w:val="P68B1DB1-Normal27"/>
              <w:spacing w:after="0" w:line="240" w:lineRule="auto"/>
              <w:jc w:val="both"/>
              <w:rPr>
                <w:noProof/>
              </w:rPr>
            </w:pPr>
            <w:r>
              <w:rPr>
                <w:noProof/>
              </w:rPr>
              <w:t xml:space="preserve">Intrarea în vigoare a actului de consolidare a regimului aplicabil prestatorilor de servicii pentru fiducii și societăți </w:t>
            </w:r>
          </w:p>
        </w:tc>
      </w:tr>
      <w:tr w:rsidR="00FE6F09" w14:paraId="18BBFEF7" w14:textId="77777777">
        <w:trPr>
          <w:trHeight w:val="302"/>
        </w:trPr>
        <w:tc>
          <w:tcPr>
            <w:tcW w:w="1555" w:type="dxa"/>
            <w:shd w:val="clear" w:color="auto" w:fill="C6EFCE"/>
            <w:noWrap/>
          </w:tcPr>
          <w:p w14:paraId="54CB5BD7" w14:textId="77777777" w:rsidR="00FE6F09" w:rsidRDefault="00435AFB">
            <w:pPr>
              <w:pStyle w:val="P68B1DB1-Normal9"/>
              <w:spacing w:after="0" w:line="240" w:lineRule="auto"/>
              <w:jc w:val="center"/>
              <w:rPr>
                <w:noProof/>
              </w:rPr>
            </w:pPr>
            <w:r>
              <w:rPr>
                <w:noProof/>
              </w:rPr>
              <w:t>4A-5</w:t>
            </w:r>
          </w:p>
        </w:tc>
        <w:tc>
          <w:tcPr>
            <w:tcW w:w="3543" w:type="dxa"/>
            <w:shd w:val="clear" w:color="auto" w:fill="C6EFCE"/>
            <w:noWrap/>
          </w:tcPr>
          <w:p w14:paraId="188F322E" w14:textId="77777777" w:rsidR="00FE6F09" w:rsidRDefault="00435AFB">
            <w:pPr>
              <w:pStyle w:val="P68B1DB1-Normal9"/>
              <w:spacing w:after="0" w:line="240" w:lineRule="auto"/>
              <w:rPr>
                <w:noProof/>
              </w:rPr>
            </w:pPr>
            <w:r>
              <w:rPr>
                <w:noProof/>
              </w:rPr>
              <w:t xml:space="preserve">4A: Investiția 2 – Promovarea mobilității active și cu emisii zero </w:t>
            </w:r>
          </w:p>
        </w:tc>
        <w:tc>
          <w:tcPr>
            <w:tcW w:w="1809" w:type="dxa"/>
            <w:shd w:val="clear" w:color="auto" w:fill="C6EFCE"/>
            <w:noWrap/>
            <w:vAlign w:val="center"/>
          </w:tcPr>
          <w:p w14:paraId="4884D7D7" w14:textId="77777777" w:rsidR="00FE6F09" w:rsidRDefault="00435AFB">
            <w:pPr>
              <w:pStyle w:val="P68B1DB1-Normal27"/>
              <w:spacing w:after="0" w:line="240" w:lineRule="auto"/>
              <w:jc w:val="center"/>
              <w:rPr>
                <w:noProof/>
              </w:rPr>
            </w:pPr>
            <w:r>
              <w:rPr>
                <w:noProof/>
              </w:rPr>
              <w:t>Țintă</w:t>
            </w:r>
          </w:p>
        </w:tc>
        <w:tc>
          <w:tcPr>
            <w:tcW w:w="2869" w:type="dxa"/>
            <w:shd w:val="clear" w:color="auto" w:fill="C6EFCE"/>
            <w:noWrap/>
            <w:vAlign w:val="center"/>
          </w:tcPr>
          <w:p w14:paraId="2B5937BC" w14:textId="77777777" w:rsidR="00FE6F09" w:rsidRDefault="00435AFB">
            <w:pPr>
              <w:pStyle w:val="P68B1DB1-Normal27"/>
              <w:spacing w:after="0" w:line="240" w:lineRule="auto"/>
              <w:jc w:val="both"/>
              <w:rPr>
                <w:noProof/>
              </w:rPr>
            </w:pPr>
            <w:r>
              <w:rPr>
                <w:noProof/>
              </w:rPr>
              <w:t>Numărul de vehicule cu emisii zero achiziționate prin achiziționare, leasing sau închiriere</w:t>
            </w:r>
          </w:p>
        </w:tc>
      </w:tr>
      <w:tr w:rsidR="00FE6F09" w14:paraId="4973221F" w14:textId="77777777">
        <w:trPr>
          <w:trHeight w:val="302"/>
        </w:trPr>
        <w:tc>
          <w:tcPr>
            <w:tcW w:w="1555" w:type="dxa"/>
            <w:shd w:val="clear" w:color="auto" w:fill="C6EFCE"/>
            <w:noWrap/>
          </w:tcPr>
          <w:p w14:paraId="7F311122" w14:textId="77777777" w:rsidR="00FE6F09" w:rsidRDefault="00435AFB">
            <w:pPr>
              <w:pStyle w:val="P68B1DB1-Normal9"/>
              <w:spacing w:after="0" w:line="240" w:lineRule="auto"/>
              <w:jc w:val="center"/>
              <w:rPr>
                <w:noProof/>
              </w:rPr>
            </w:pPr>
            <w:r>
              <w:rPr>
                <w:noProof/>
              </w:rPr>
              <w:t>4A-1</w:t>
            </w:r>
          </w:p>
        </w:tc>
        <w:tc>
          <w:tcPr>
            <w:tcW w:w="3543" w:type="dxa"/>
            <w:shd w:val="clear" w:color="auto" w:fill="C6EFCE"/>
            <w:noWrap/>
          </w:tcPr>
          <w:p w14:paraId="186B4987" w14:textId="77777777" w:rsidR="00FE6F09" w:rsidRDefault="00435AFB">
            <w:pPr>
              <w:pStyle w:val="P68B1DB1-Normal27"/>
              <w:spacing w:after="0" w:line="240" w:lineRule="auto"/>
              <w:rPr>
                <w:rFonts w:eastAsia="Times New Roman"/>
                <w:noProof/>
              </w:rPr>
            </w:pPr>
            <w:r>
              <w:rPr>
                <w:noProof/>
              </w:rPr>
              <w:t xml:space="preserve"> 4A: Reforma 1 - Promovarea producției durabile de biogaz</w:t>
            </w:r>
          </w:p>
        </w:tc>
        <w:tc>
          <w:tcPr>
            <w:tcW w:w="1809" w:type="dxa"/>
            <w:shd w:val="clear" w:color="auto" w:fill="C6EFCE"/>
            <w:noWrap/>
            <w:vAlign w:val="center"/>
          </w:tcPr>
          <w:p w14:paraId="66F08367" w14:textId="77777777" w:rsidR="00FE6F09" w:rsidRDefault="00435AFB">
            <w:pPr>
              <w:pStyle w:val="P68B1DB1-Normal27"/>
              <w:spacing w:after="0" w:line="240" w:lineRule="auto"/>
              <w:jc w:val="center"/>
              <w:rPr>
                <w:noProof/>
              </w:rPr>
            </w:pPr>
            <w:r>
              <w:rPr>
                <w:noProof/>
              </w:rPr>
              <w:t>Etapa de referință</w:t>
            </w:r>
          </w:p>
        </w:tc>
        <w:tc>
          <w:tcPr>
            <w:tcW w:w="2869" w:type="dxa"/>
            <w:shd w:val="clear" w:color="auto" w:fill="C6EFCE"/>
            <w:noWrap/>
            <w:vAlign w:val="center"/>
          </w:tcPr>
          <w:p w14:paraId="33EDEB92" w14:textId="34D055E9" w:rsidR="00FE6F09" w:rsidRDefault="00435AFB">
            <w:pPr>
              <w:pStyle w:val="P68B1DB1-Normal27"/>
              <w:spacing w:after="0" w:line="240" w:lineRule="auto"/>
              <w:jc w:val="both"/>
              <w:rPr>
                <w:noProof/>
              </w:rPr>
            </w:pPr>
            <w:r>
              <w:rPr>
                <w:noProof/>
              </w:rPr>
              <w:t>Regulamentul Marelui Ducat de reformare a schemei de sprijin pentru biogazul durabil</w:t>
            </w:r>
          </w:p>
        </w:tc>
      </w:tr>
      <w:tr w:rsidR="00FE6F09" w14:paraId="37CAE617" w14:textId="77777777">
        <w:trPr>
          <w:trHeight w:val="302"/>
        </w:trPr>
        <w:tc>
          <w:tcPr>
            <w:tcW w:w="1555" w:type="dxa"/>
            <w:shd w:val="clear" w:color="auto" w:fill="C6EFCE"/>
            <w:noWrap/>
          </w:tcPr>
          <w:p w14:paraId="60F0D02F" w14:textId="77777777" w:rsidR="00FE6F09" w:rsidRDefault="00435AFB">
            <w:pPr>
              <w:pStyle w:val="P68B1DB1-Normal9"/>
              <w:spacing w:after="0" w:line="240" w:lineRule="auto"/>
              <w:jc w:val="center"/>
              <w:rPr>
                <w:noProof/>
              </w:rPr>
            </w:pPr>
            <w:r>
              <w:rPr>
                <w:noProof/>
              </w:rPr>
              <w:t>4A-6</w:t>
            </w:r>
          </w:p>
        </w:tc>
        <w:tc>
          <w:tcPr>
            <w:tcW w:w="3543" w:type="dxa"/>
            <w:shd w:val="clear" w:color="auto" w:fill="C6EFCE"/>
            <w:noWrap/>
          </w:tcPr>
          <w:p w14:paraId="116F7B83" w14:textId="77777777" w:rsidR="00FE6F09" w:rsidRDefault="00435AFB">
            <w:pPr>
              <w:pStyle w:val="P68B1DB1-Normal9"/>
              <w:spacing w:after="0" w:line="240" w:lineRule="auto"/>
              <w:rPr>
                <w:noProof/>
              </w:rPr>
            </w:pPr>
            <w:r>
              <w:rPr>
                <w:noProof/>
              </w:rPr>
              <w:t xml:space="preserve">4A: Investiția 3: Construcția unităților de generare a energiei fotovoltaice în spațiile comerciale </w:t>
            </w:r>
          </w:p>
        </w:tc>
        <w:tc>
          <w:tcPr>
            <w:tcW w:w="1809" w:type="dxa"/>
            <w:shd w:val="clear" w:color="auto" w:fill="C6EFCE"/>
            <w:noWrap/>
            <w:vAlign w:val="center"/>
          </w:tcPr>
          <w:p w14:paraId="7CE1FB4C" w14:textId="77777777" w:rsidR="00FE6F09" w:rsidRDefault="00435AFB">
            <w:pPr>
              <w:pStyle w:val="P68B1DB1-Normal27"/>
              <w:spacing w:after="0" w:line="240" w:lineRule="auto"/>
              <w:jc w:val="center"/>
              <w:rPr>
                <w:noProof/>
              </w:rPr>
            </w:pPr>
            <w:r>
              <w:rPr>
                <w:noProof/>
              </w:rPr>
              <w:t>Țintă</w:t>
            </w:r>
          </w:p>
        </w:tc>
        <w:tc>
          <w:tcPr>
            <w:tcW w:w="2869" w:type="dxa"/>
            <w:shd w:val="clear" w:color="auto" w:fill="C6EFCE"/>
            <w:noWrap/>
            <w:vAlign w:val="center"/>
          </w:tcPr>
          <w:p w14:paraId="047280FC" w14:textId="77777777" w:rsidR="00FE6F09" w:rsidRDefault="00435AFB">
            <w:pPr>
              <w:pStyle w:val="P68B1DB1-Normal9"/>
              <w:spacing w:after="0" w:line="240" w:lineRule="auto"/>
              <w:jc w:val="both"/>
              <w:rPr>
                <w:noProof/>
              </w:rPr>
            </w:pPr>
            <w:r>
              <w:rPr>
                <w:noProof/>
              </w:rPr>
              <w:t>Capacitatea fotovoltaică instalată a unităților de producere a energiei electrice în spațiile comerciale</w:t>
            </w:r>
          </w:p>
        </w:tc>
      </w:tr>
      <w:tr w:rsidR="00FE6F09" w14:paraId="01BE66C0" w14:textId="77777777">
        <w:trPr>
          <w:trHeight w:val="302"/>
        </w:trPr>
        <w:tc>
          <w:tcPr>
            <w:tcW w:w="1555" w:type="dxa"/>
            <w:shd w:val="clear" w:color="auto" w:fill="C6EFCE"/>
            <w:noWrap/>
            <w:vAlign w:val="center"/>
          </w:tcPr>
          <w:p w14:paraId="7DE9D013" w14:textId="77777777" w:rsidR="00FE6F09" w:rsidRDefault="00FE6F09">
            <w:pPr>
              <w:spacing w:after="0" w:line="240" w:lineRule="auto"/>
              <w:jc w:val="center"/>
              <w:rPr>
                <w:rFonts w:ascii="Times New Roman" w:hAnsi="Times New Roman" w:cs="Times New Roman"/>
                <w:noProof/>
                <w:color w:val="006100"/>
                <w:sz w:val="20"/>
                <w:szCs w:val="20"/>
              </w:rPr>
            </w:pPr>
          </w:p>
        </w:tc>
        <w:tc>
          <w:tcPr>
            <w:tcW w:w="3543" w:type="dxa"/>
            <w:shd w:val="clear" w:color="auto" w:fill="C6EFCE"/>
            <w:noWrap/>
            <w:vAlign w:val="center"/>
          </w:tcPr>
          <w:p w14:paraId="0DE0734C" w14:textId="77777777" w:rsidR="00FE6F09" w:rsidRDefault="00FE6F09">
            <w:pPr>
              <w:spacing w:after="0" w:line="240" w:lineRule="auto"/>
              <w:rPr>
                <w:rFonts w:ascii="Times New Roman" w:hAnsi="Times New Roman" w:cs="Times New Roman"/>
                <w:noProof/>
                <w:color w:val="006100"/>
                <w:sz w:val="20"/>
                <w:szCs w:val="20"/>
              </w:rPr>
            </w:pPr>
          </w:p>
        </w:tc>
        <w:tc>
          <w:tcPr>
            <w:tcW w:w="1809" w:type="dxa"/>
            <w:shd w:val="clear" w:color="auto" w:fill="C6EFCE"/>
            <w:noWrap/>
            <w:vAlign w:val="center"/>
          </w:tcPr>
          <w:p w14:paraId="76B3F0F7" w14:textId="77777777" w:rsidR="00FE6F09" w:rsidRDefault="00435AFB">
            <w:pPr>
              <w:pStyle w:val="P68B1DB1-Normal28"/>
              <w:spacing w:after="0" w:line="240" w:lineRule="auto"/>
              <w:jc w:val="center"/>
              <w:rPr>
                <w:noProof/>
              </w:rPr>
            </w:pPr>
            <w:r>
              <w:rPr>
                <w:noProof/>
              </w:rPr>
              <w:t>Suma tranșei</w:t>
            </w:r>
          </w:p>
        </w:tc>
        <w:tc>
          <w:tcPr>
            <w:tcW w:w="2869" w:type="dxa"/>
            <w:shd w:val="clear" w:color="auto" w:fill="C6EFCE"/>
            <w:noWrap/>
            <w:vAlign w:val="center"/>
          </w:tcPr>
          <w:p w14:paraId="70302312" w14:textId="77777777" w:rsidR="00FE6F09" w:rsidRDefault="00435AFB">
            <w:pPr>
              <w:pStyle w:val="P68B1DB1-Normal9"/>
              <w:spacing w:after="0" w:line="240" w:lineRule="auto"/>
              <w:jc w:val="center"/>
              <w:rPr>
                <w:noProof/>
              </w:rPr>
            </w:pPr>
            <w:r>
              <w:rPr>
                <w:b/>
                <w:noProof/>
              </w:rPr>
              <w:t>95 560 498 EUR</w:t>
            </w:r>
          </w:p>
        </w:tc>
      </w:tr>
    </w:tbl>
    <w:p w14:paraId="1B75B517" w14:textId="24DC78BA" w:rsidR="00FE6F09" w:rsidRDefault="00FE6F09">
      <w:pPr>
        <w:spacing w:before="120" w:after="120" w:line="240" w:lineRule="auto"/>
        <w:ind w:left="850"/>
        <w:jc w:val="both"/>
        <w:rPr>
          <w:rFonts w:ascii="Times New Roman" w:hAnsi="Times New Roman" w:cs="Times New Roman"/>
          <w:noProof/>
          <w:sz w:val="24"/>
        </w:rPr>
      </w:pPr>
    </w:p>
    <w:p w14:paraId="0DB0FD0D"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146"/>
          <w:headerReference w:type="default" r:id="rId147"/>
          <w:footerReference w:type="even" r:id="rId148"/>
          <w:footerReference w:type="default" r:id="rId149"/>
          <w:headerReference w:type="first" r:id="rId150"/>
          <w:footerReference w:type="first" r:id="rId151"/>
          <w:pgSz w:w="11906" w:h="16838"/>
          <w:pgMar w:top="1417" w:right="1417" w:bottom="1417" w:left="1417" w:header="708" w:footer="708" w:gutter="0"/>
          <w:cols w:space="708"/>
          <w:docGrid w:linePitch="360"/>
        </w:sectPr>
      </w:pPr>
    </w:p>
    <w:p w14:paraId="4A9DAFB2" w14:textId="77777777" w:rsidR="00FE6F09" w:rsidRDefault="00435AFB">
      <w:pPr>
        <w:pStyle w:val="P68B1DB1-Normal5"/>
        <w:numPr>
          <w:ilvl w:val="1"/>
          <w:numId w:val="6"/>
        </w:numPr>
        <w:tabs>
          <w:tab w:val="clear" w:pos="850"/>
        </w:tabs>
        <w:spacing w:before="120" w:after="120" w:line="240" w:lineRule="auto"/>
        <w:ind w:hanging="566"/>
        <w:jc w:val="both"/>
        <w:rPr>
          <w:noProof/>
        </w:rPr>
      </w:pPr>
      <w:r>
        <w:rPr>
          <w:noProof/>
        </w:rPr>
        <w:t xml:space="preserve">A patra tranșă (sprijin nerambursabil): </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3543"/>
        <w:gridCol w:w="1809"/>
        <w:gridCol w:w="2869"/>
      </w:tblGrid>
      <w:tr w:rsidR="00FE6F09" w14:paraId="6B81ADFB" w14:textId="77777777">
        <w:trPr>
          <w:trHeight w:val="906"/>
        </w:trPr>
        <w:tc>
          <w:tcPr>
            <w:tcW w:w="1555" w:type="dxa"/>
            <w:vMerge w:val="restart"/>
            <w:shd w:val="clear" w:color="auto" w:fill="BDD7EE"/>
            <w:vAlign w:val="center"/>
            <w:hideMark/>
          </w:tcPr>
          <w:p w14:paraId="1E6A09D8" w14:textId="77777777" w:rsidR="00FE6F09" w:rsidRDefault="00435AFB">
            <w:pPr>
              <w:pStyle w:val="P68B1DB1-Normal26"/>
              <w:spacing w:after="0" w:line="240" w:lineRule="auto"/>
              <w:jc w:val="center"/>
              <w:rPr>
                <w:noProof/>
              </w:rPr>
            </w:pPr>
            <w:r>
              <w:rPr>
                <w:noProof/>
              </w:rPr>
              <w:t>Număr secvențial</w:t>
            </w:r>
          </w:p>
        </w:tc>
        <w:tc>
          <w:tcPr>
            <w:tcW w:w="3543" w:type="dxa"/>
            <w:vMerge w:val="restart"/>
            <w:shd w:val="clear" w:color="auto" w:fill="BDD7EE"/>
            <w:vAlign w:val="center"/>
            <w:hideMark/>
          </w:tcPr>
          <w:p w14:paraId="65087690" w14:textId="77777777" w:rsidR="00FE6F09" w:rsidRDefault="00435AFB">
            <w:pPr>
              <w:pStyle w:val="P68B1DB1-Normal26"/>
              <w:spacing w:after="0" w:line="240" w:lineRule="auto"/>
              <w:jc w:val="center"/>
              <w:rPr>
                <w:bCs/>
                <w:noProof/>
              </w:rPr>
            </w:pPr>
            <w:r>
              <w:rPr>
                <w:noProof/>
              </w:rPr>
              <w:t xml:space="preserve">Măsură conexă </w:t>
            </w:r>
          </w:p>
          <w:p w14:paraId="10B95D03" w14:textId="77777777" w:rsidR="00FE6F09" w:rsidRDefault="00435AFB">
            <w:pPr>
              <w:pStyle w:val="P68B1DB1-Normal26"/>
              <w:spacing w:after="0" w:line="240" w:lineRule="auto"/>
              <w:jc w:val="center"/>
              <w:rPr>
                <w:noProof/>
              </w:rPr>
            </w:pPr>
            <w:r>
              <w:rPr>
                <w:noProof/>
              </w:rPr>
              <w:t>(Reformă sau investiție)</w:t>
            </w:r>
          </w:p>
        </w:tc>
        <w:tc>
          <w:tcPr>
            <w:tcW w:w="1809" w:type="dxa"/>
            <w:vMerge w:val="restart"/>
            <w:shd w:val="clear" w:color="auto" w:fill="BDD7EE"/>
            <w:vAlign w:val="center"/>
            <w:hideMark/>
          </w:tcPr>
          <w:p w14:paraId="323208BE" w14:textId="13793EF7" w:rsidR="00FE6F09" w:rsidRDefault="00435AFB">
            <w:pPr>
              <w:pStyle w:val="P68B1DB1-Normal26"/>
              <w:spacing w:after="0" w:line="240" w:lineRule="auto"/>
              <w:jc w:val="center"/>
              <w:rPr>
                <w:noProof/>
              </w:rPr>
            </w:pPr>
            <w:r>
              <w:rPr>
                <w:noProof/>
              </w:rPr>
              <w:t>Etapa/ținta</w:t>
            </w:r>
          </w:p>
        </w:tc>
        <w:tc>
          <w:tcPr>
            <w:tcW w:w="2869" w:type="dxa"/>
            <w:vMerge w:val="restart"/>
            <w:shd w:val="clear" w:color="auto" w:fill="BDD7EE"/>
            <w:vAlign w:val="center"/>
            <w:hideMark/>
          </w:tcPr>
          <w:p w14:paraId="448633E5" w14:textId="77777777" w:rsidR="00FE6F09" w:rsidRDefault="00435AFB">
            <w:pPr>
              <w:pStyle w:val="P68B1DB1-Normal26"/>
              <w:spacing w:after="0" w:line="240" w:lineRule="auto"/>
              <w:jc w:val="center"/>
              <w:rPr>
                <w:noProof/>
              </w:rPr>
            </w:pPr>
            <w:r>
              <w:rPr>
                <w:noProof/>
              </w:rPr>
              <w:t>Denumire</w:t>
            </w:r>
          </w:p>
        </w:tc>
      </w:tr>
      <w:tr w:rsidR="00FE6F09" w14:paraId="67098976" w14:textId="77777777">
        <w:trPr>
          <w:trHeight w:val="509"/>
        </w:trPr>
        <w:tc>
          <w:tcPr>
            <w:tcW w:w="1555" w:type="dxa"/>
            <w:vMerge/>
            <w:vAlign w:val="center"/>
            <w:hideMark/>
          </w:tcPr>
          <w:p w14:paraId="68FC758F" w14:textId="77777777" w:rsidR="00FE6F09" w:rsidRDefault="00FE6F09">
            <w:pPr>
              <w:spacing w:after="0" w:line="240" w:lineRule="auto"/>
              <w:jc w:val="center"/>
              <w:rPr>
                <w:rFonts w:ascii="Times New Roman" w:eastAsia="Times New Roman" w:hAnsi="Times New Roman" w:cs="Times New Roman"/>
                <w:b/>
                <w:bCs/>
                <w:noProof/>
                <w:sz w:val="24"/>
                <w:szCs w:val="24"/>
              </w:rPr>
            </w:pPr>
          </w:p>
        </w:tc>
        <w:tc>
          <w:tcPr>
            <w:tcW w:w="3543" w:type="dxa"/>
            <w:vMerge/>
            <w:vAlign w:val="center"/>
            <w:hideMark/>
          </w:tcPr>
          <w:p w14:paraId="3836E70F" w14:textId="77777777" w:rsidR="00FE6F09" w:rsidRDefault="00FE6F09">
            <w:pPr>
              <w:spacing w:after="0" w:line="240" w:lineRule="auto"/>
              <w:rPr>
                <w:rFonts w:ascii="Times New Roman" w:eastAsia="Times New Roman" w:hAnsi="Times New Roman" w:cs="Times New Roman"/>
                <w:b/>
                <w:bCs/>
                <w:noProof/>
                <w:sz w:val="24"/>
                <w:szCs w:val="24"/>
              </w:rPr>
            </w:pPr>
          </w:p>
        </w:tc>
        <w:tc>
          <w:tcPr>
            <w:tcW w:w="1809" w:type="dxa"/>
            <w:vMerge/>
            <w:vAlign w:val="center"/>
            <w:hideMark/>
          </w:tcPr>
          <w:p w14:paraId="2D4B0ACF" w14:textId="77777777" w:rsidR="00FE6F09" w:rsidRDefault="00FE6F09">
            <w:pPr>
              <w:spacing w:after="0" w:line="240" w:lineRule="auto"/>
              <w:jc w:val="center"/>
              <w:rPr>
                <w:rFonts w:ascii="Times New Roman" w:eastAsia="Times New Roman" w:hAnsi="Times New Roman" w:cs="Times New Roman"/>
                <w:b/>
                <w:bCs/>
                <w:noProof/>
                <w:sz w:val="24"/>
                <w:szCs w:val="24"/>
              </w:rPr>
            </w:pPr>
          </w:p>
        </w:tc>
        <w:tc>
          <w:tcPr>
            <w:tcW w:w="2869" w:type="dxa"/>
            <w:vMerge/>
            <w:vAlign w:val="center"/>
            <w:hideMark/>
          </w:tcPr>
          <w:p w14:paraId="32EA714E" w14:textId="77777777" w:rsidR="00FE6F09" w:rsidRDefault="00FE6F09">
            <w:pPr>
              <w:spacing w:after="0" w:line="240" w:lineRule="auto"/>
              <w:jc w:val="both"/>
              <w:rPr>
                <w:rFonts w:ascii="Times New Roman" w:eastAsia="Times New Roman" w:hAnsi="Times New Roman" w:cs="Times New Roman"/>
                <w:b/>
                <w:bCs/>
                <w:noProof/>
                <w:sz w:val="24"/>
                <w:szCs w:val="24"/>
              </w:rPr>
            </w:pPr>
          </w:p>
        </w:tc>
      </w:tr>
      <w:tr w:rsidR="00FE6F09" w14:paraId="154AF592" w14:textId="7777777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EB62AF" w14:textId="77777777" w:rsidR="00FE6F09" w:rsidRDefault="00435AFB">
            <w:pPr>
              <w:pStyle w:val="P68B1DB1-Normal27"/>
              <w:spacing w:after="0" w:line="240" w:lineRule="auto"/>
              <w:jc w:val="center"/>
              <w:rPr>
                <w:rFonts w:eastAsia="Times New Roman"/>
                <w:noProof/>
              </w:rPr>
            </w:pPr>
            <w:r>
              <w:rPr>
                <w:noProof/>
              </w:rPr>
              <w:t>2A-4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35C637" w14:textId="77777777" w:rsidR="00FE6F09" w:rsidRDefault="00435AFB">
            <w:pPr>
              <w:pStyle w:val="P68B1DB1-Normal27"/>
              <w:spacing w:after="0" w:line="240" w:lineRule="auto"/>
              <w:rPr>
                <w:rFonts w:eastAsia="Times New Roman"/>
                <w:noProof/>
              </w:rPr>
            </w:pPr>
            <w:r>
              <w:rPr>
                <w:noProof/>
              </w:rPr>
              <w:t>2A: Investiții: Schema de sprijin pentru punctele de încărcare</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020286" w14:textId="77777777" w:rsidR="00FE6F09" w:rsidRDefault="00435AFB">
            <w:pPr>
              <w:pStyle w:val="P68B1DB1-Normal27"/>
              <w:spacing w:after="0" w:line="240" w:lineRule="auto"/>
              <w:jc w:val="center"/>
              <w:rPr>
                <w:rFonts w:eastAsia="Times New Roman"/>
                <w:noProof/>
              </w:rPr>
            </w:pPr>
            <w:r>
              <w:rPr>
                <w:noProof/>
              </w:rPr>
              <w:t>Țintă</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27A0A8" w14:textId="77777777" w:rsidR="00FE6F09" w:rsidRDefault="00435AFB">
            <w:pPr>
              <w:pStyle w:val="P68B1DB1-Normal27"/>
              <w:spacing w:after="0" w:line="240" w:lineRule="auto"/>
              <w:jc w:val="both"/>
              <w:rPr>
                <w:rFonts w:eastAsia="Times New Roman"/>
                <w:noProof/>
              </w:rPr>
            </w:pPr>
            <w:r>
              <w:rPr>
                <w:noProof/>
              </w:rPr>
              <w:t xml:space="preserve">Numărul de puncte de încărcare instalate </w:t>
            </w:r>
          </w:p>
        </w:tc>
      </w:tr>
      <w:tr w:rsidR="00FE6F09" w14:paraId="267E06DB" w14:textId="7777777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B9FC7" w14:textId="77777777" w:rsidR="00FE6F09" w:rsidRDefault="00435AFB">
            <w:pPr>
              <w:pStyle w:val="P68B1DB1-Normal27"/>
              <w:spacing w:after="0" w:line="240" w:lineRule="auto"/>
              <w:jc w:val="center"/>
              <w:rPr>
                <w:rFonts w:eastAsia="Times New Roman"/>
                <w:noProof/>
              </w:rPr>
            </w:pPr>
            <w:r>
              <w:rPr>
                <w:noProof/>
              </w:rPr>
              <w:t>1B-5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D88E8" w14:textId="77777777" w:rsidR="00FE6F09" w:rsidRDefault="00435AFB">
            <w:pPr>
              <w:pStyle w:val="P68B1DB1-Normal27"/>
              <w:spacing w:after="0" w:line="240" w:lineRule="auto"/>
              <w:rPr>
                <w:rFonts w:eastAsia="Times New Roman"/>
                <w:noProof/>
              </w:rPr>
            </w:pPr>
            <w:r>
              <w:rPr>
                <w:noProof/>
              </w:rPr>
              <w:t>1B: Reforma 2 – Consolidarea rezilienței sistemului de sănătate – Reformarea competențelor cadrelor medicale</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A109B" w14:textId="77777777" w:rsidR="00FE6F09" w:rsidRDefault="00435AFB">
            <w:pPr>
              <w:pStyle w:val="P68B1DB1-Normal27"/>
              <w:spacing w:after="0" w:line="240" w:lineRule="auto"/>
              <w:jc w:val="center"/>
              <w:rPr>
                <w:rFonts w:eastAsia="Times New Roman"/>
                <w:noProof/>
              </w:rPr>
            </w:pPr>
            <w:r>
              <w:rPr>
                <w:noProof/>
              </w:rPr>
              <w:t>Etapa de referință</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C12E7" w14:textId="77777777" w:rsidR="00FE6F09" w:rsidRDefault="00435AFB">
            <w:pPr>
              <w:pStyle w:val="P68B1DB1-Normal27"/>
              <w:spacing w:after="0" w:line="240" w:lineRule="auto"/>
              <w:jc w:val="both"/>
              <w:rPr>
                <w:rFonts w:eastAsia="Times New Roman"/>
                <w:noProof/>
              </w:rPr>
            </w:pPr>
            <w:r>
              <w:rPr>
                <w:noProof/>
              </w:rPr>
              <w:t>Responsabilitățile asistenților medicali generaliști</w:t>
            </w:r>
          </w:p>
        </w:tc>
      </w:tr>
      <w:tr w:rsidR="00FE6F09" w14:paraId="3853D352" w14:textId="77777777">
        <w:trPr>
          <w:trHeight w:val="607"/>
        </w:trPr>
        <w:tc>
          <w:tcPr>
            <w:tcW w:w="1555" w:type="dxa"/>
            <w:tcBorders>
              <w:top w:val="nil"/>
              <w:left w:val="single" w:sz="4" w:space="0" w:color="auto"/>
              <w:bottom w:val="single" w:sz="4" w:space="0" w:color="auto"/>
              <w:right w:val="single" w:sz="4" w:space="0" w:color="auto"/>
            </w:tcBorders>
            <w:shd w:val="clear" w:color="auto" w:fill="C6EFCE"/>
            <w:noWrap/>
            <w:vAlign w:val="center"/>
          </w:tcPr>
          <w:p w14:paraId="4BD9B85B" w14:textId="77777777" w:rsidR="00FE6F09" w:rsidRDefault="00435AFB">
            <w:pPr>
              <w:pStyle w:val="P68B1DB1-Normal27"/>
              <w:spacing w:after="0" w:line="240" w:lineRule="auto"/>
              <w:jc w:val="center"/>
              <w:rPr>
                <w:rFonts w:eastAsia="Times New Roman"/>
                <w:noProof/>
              </w:rPr>
            </w:pPr>
            <w:r>
              <w:rPr>
                <w:noProof/>
              </w:rPr>
              <w:t>3C-7</w:t>
            </w:r>
          </w:p>
        </w:tc>
        <w:tc>
          <w:tcPr>
            <w:tcW w:w="3543" w:type="dxa"/>
            <w:tcBorders>
              <w:top w:val="nil"/>
              <w:left w:val="nil"/>
              <w:bottom w:val="single" w:sz="4" w:space="0" w:color="auto"/>
              <w:right w:val="single" w:sz="4" w:space="0" w:color="auto"/>
            </w:tcBorders>
            <w:shd w:val="clear" w:color="auto" w:fill="C6EFCE"/>
            <w:noWrap/>
            <w:vAlign w:val="center"/>
          </w:tcPr>
          <w:p w14:paraId="7A8248C2" w14:textId="77777777" w:rsidR="00FE6F09" w:rsidRDefault="00435AFB">
            <w:pPr>
              <w:pStyle w:val="P68B1DB1-Normal27"/>
              <w:spacing w:after="0" w:line="240" w:lineRule="auto"/>
              <w:rPr>
                <w:rFonts w:eastAsia="Times New Roman"/>
                <w:noProof/>
              </w:rPr>
            </w:pPr>
            <w:r>
              <w:rPr>
                <w:noProof/>
              </w:rPr>
              <w:t>3C: Reforma 2 – Combaterea spălării banilor și a finanțării terorismului</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E222D" w14:textId="77777777" w:rsidR="00FE6F09" w:rsidRDefault="00435AFB">
            <w:pPr>
              <w:pStyle w:val="P68B1DB1-Normal27"/>
              <w:spacing w:after="0" w:line="240" w:lineRule="auto"/>
              <w:jc w:val="center"/>
              <w:rPr>
                <w:noProof/>
              </w:rPr>
            </w:pPr>
            <w:r>
              <w:rPr>
                <w:noProof/>
              </w:rPr>
              <w:t>Etapa de referință</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E2012C" w14:textId="77777777" w:rsidR="00FE6F09" w:rsidRDefault="00435AFB">
            <w:pPr>
              <w:pStyle w:val="P68B1DB1-Normal27"/>
              <w:spacing w:after="0" w:line="240" w:lineRule="auto"/>
              <w:jc w:val="both"/>
              <w:rPr>
                <w:noProof/>
              </w:rPr>
            </w:pPr>
            <w:r>
              <w:rPr>
                <w:noProof/>
              </w:rPr>
              <w:t>Transformarea Registrului Comerțului din Luxemburg</w:t>
            </w:r>
          </w:p>
        </w:tc>
      </w:tr>
      <w:tr w:rsidR="00FE6F09" w14:paraId="30A98907" w14:textId="77777777">
        <w:trPr>
          <w:trHeight w:val="302"/>
        </w:trPr>
        <w:tc>
          <w:tcPr>
            <w:tcW w:w="1555" w:type="dxa"/>
            <w:tcBorders>
              <w:top w:val="nil"/>
              <w:left w:val="single" w:sz="4" w:space="0" w:color="auto"/>
              <w:bottom w:val="single" w:sz="4" w:space="0" w:color="auto"/>
              <w:right w:val="single" w:sz="4" w:space="0" w:color="auto"/>
            </w:tcBorders>
            <w:shd w:val="clear" w:color="auto" w:fill="C6EFCE"/>
            <w:noWrap/>
          </w:tcPr>
          <w:p w14:paraId="02DEBE92" w14:textId="77777777" w:rsidR="00FE6F09" w:rsidRDefault="00435AFB">
            <w:pPr>
              <w:pStyle w:val="P68B1DB1-Normal9"/>
              <w:spacing w:after="0" w:line="240" w:lineRule="auto"/>
              <w:jc w:val="center"/>
              <w:rPr>
                <w:noProof/>
              </w:rPr>
            </w:pPr>
            <w:r>
              <w:rPr>
                <w:noProof/>
              </w:rPr>
              <w:t>4A-3</w:t>
            </w:r>
          </w:p>
        </w:tc>
        <w:tc>
          <w:tcPr>
            <w:tcW w:w="3543" w:type="dxa"/>
            <w:tcBorders>
              <w:top w:val="nil"/>
              <w:left w:val="nil"/>
              <w:bottom w:val="single" w:sz="4" w:space="0" w:color="auto"/>
              <w:right w:val="single" w:sz="4" w:space="0" w:color="auto"/>
            </w:tcBorders>
            <w:shd w:val="clear" w:color="auto" w:fill="C6EFCE"/>
            <w:noWrap/>
          </w:tcPr>
          <w:p w14:paraId="364188FC" w14:textId="34FDB28B" w:rsidR="00FE6F09" w:rsidRDefault="00435AFB">
            <w:pPr>
              <w:pStyle w:val="P68B1DB1-Normal9"/>
              <w:spacing w:after="0" w:line="240" w:lineRule="auto"/>
              <w:rPr>
                <w:noProof/>
              </w:rPr>
            </w:pPr>
            <w:r>
              <w:rPr>
                <w:noProof/>
              </w:rPr>
              <w:t>4A: Investiția 1 - Promovarea eficienței energetice și a energiei regenerabile în locuințe</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30E9E5" w14:textId="77777777" w:rsidR="00FE6F09" w:rsidRDefault="00435AFB">
            <w:pPr>
              <w:pStyle w:val="P68B1DB1-Normal27"/>
              <w:spacing w:after="0" w:line="240" w:lineRule="auto"/>
              <w:jc w:val="center"/>
              <w:rPr>
                <w:noProof/>
              </w:rPr>
            </w:pPr>
            <w:r>
              <w:rPr>
                <w:noProof/>
              </w:rPr>
              <w:t>Țintă</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99F1A" w14:textId="77777777" w:rsidR="00FE6F09" w:rsidRDefault="00435AFB">
            <w:pPr>
              <w:pStyle w:val="P68B1DB1-Normal27"/>
              <w:spacing w:after="0" w:line="240" w:lineRule="auto"/>
              <w:jc w:val="both"/>
              <w:rPr>
                <w:noProof/>
              </w:rPr>
            </w:pPr>
            <w:r>
              <w:rPr>
                <w:noProof/>
              </w:rPr>
              <w:t>Numărul de aprobări de granturi pentru proiecte energetice</w:t>
            </w:r>
          </w:p>
        </w:tc>
      </w:tr>
      <w:tr w:rsidR="00FE6F09" w14:paraId="77298B88" w14:textId="7777777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tcPr>
          <w:p w14:paraId="72FAB0A0" w14:textId="77777777" w:rsidR="00FE6F09" w:rsidRDefault="00435AFB">
            <w:pPr>
              <w:pStyle w:val="P68B1DB1-Normal9"/>
              <w:spacing w:after="0" w:line="240" w:lineRule="auto"/>
              <w:jc w:val="center"/>
              <w:rPr>
                <w:noProof/>
              </w:rPr>
            </w:pPr>
            <w:r>
              <w:rPr>
                <w:noProof/>
              </w:rPr>
              <w:t>4A-7</w:t>
            </w:r>
          </w:p>
        </w:tc>
        <w:tc>
          <w:tcPr>
            <w:tcW w:w="3543" w:type="dxa"/>
            <w:tcBorders>
              <w:top w:val="single" w:sz="4" w:space="0" w:color="auto"/>
              <w:left w:val="nil"/>
              <w:bottom w:val="single" w:sz="4" w:space="0" w:color="auto"/>
              <w:right w:val="single" w:sz="4" w:space="0" w:color="auto"/>
            </w:tcBorders>
            <w:shd w:val="clear" w:color="auto" w:fill="C6EFCE"/>
            <w:noWrap/>
          </w:tcPr>
          <w:p w14:paraId="1656D739" w14:textId="77777777" w:rsidR="00FE6F09" w:rsidRDefault="00435AFB">
            <w:pPr>
              <w:pStyle w:val="P68B1DB1-Normal9"/>
              <w:spacing w:after="0" w:line="240" w:lineRule="auto"/>
              <w:rPr>
                <w:noProof/>
              </w:rPr>
            </w:pPr>
            <w:r>
              <w:rPr>
                <w:noProof/>
              </w:rPr>
              <w:t>4A: Investiția 3: Construcția unităților de generare a energiei fotovoltaice în spațiile comerciale</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B6B2B" w14:textId="77777777" w:rsidR="00FE6F09" w:rsidRDefault="00435AFB">
            <w:pPr>
              <w:pStyle w:val="P68B1DB1-Normal27"/>
              <w:spacing w:after="0" w:line="240" w:lineRule="auto"/>
              <w:jc w:val="center"/>
              <w:rPr>
                <w:noProof/>
              </w:rPr>
            </w:pPr>
            <w:r>
              <w:rPr>
                <w:noProof/>
              </w:rPr>
              <w:t>Țintă</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B12B6" w14:textId="77777777" w:rsidR="00FE6F09" w:rsidRDefault="00435AFB">
            <w:pPr>
              <w:pStyle w:val="P68B1DB1-Normal9"/>
              <w:spacing w:after="0" w:line="240" w:lineRule="auto"/>
              <w:jc w:val="both"/>
              <w:rPr>
                <w:noProof/>
              </w:rPr>
            </w:pPr>
            <w:r>
              <w:rPr>
                <w:noProof/>
              </w:rPr>
              <w:t>Capacitatea fotovoltaică instalată a unităților de producere a energiei electrice în spațiile comerciale</w:t>
            </w:r>
          </w:p>
        </w:tc>
      </w:tr>
      <w:tr w:rsidR="00FE6F09" w14:paraId="2F161CCF" w14:textId="7777777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tcPr>
          <w:p w14:paraId="0FDAE22F" w14:textId="77777777" w:rsidR="00FE6F09" w:rsidRDefault="00435AFB">
            <w:pPr>
              <w:pStyle w:val="P68B1DB1-Normal9"/>
              <w:spacing w:after="0" w:line="240" w:lineRule="auto"/>
              <w:jc w:val="center"/>
              <w:rPr>
                <w:noProof/>
              </w:rPr>
            </w:pPr>
            <w:r>
              <w:rPr>
                <w:noProof/>
              </w:rPr>
              <w:t>4A-8</w:t>
            </w:r>
          </w:p>
        </w:tc>
        <w:tc>
          <w:tcPr>
            <w:tcW w:w="3543" w:type="dxa"/>
            <w:tcBorders>
              <w:top w:val="single" w:sz="4" w:space="0" w:color="auto"/>
              <w:left w:val="nil"/>
              <w:bottom w:val="single" w:sz="4" w:space="0" w:color="auto"/>
              <w:right w:val="single" w:sz="4" w:space="0" w:color="auto"/>
            </w:tcBorders>
            <w:shd w:val="clear" w:color="auto" w:fill="C6EFCE"/>
            <w:noWrap/>
          </w:tcPr>
          <w:p w14:paraId="5B23EFA0" w14:textId="2B37D341" w:rsidR="00FE6F09" w:rsidRDefault="00435AFB">
            <w:pPr>
              <w:pStyle w:val="P68B1DB1-Normal9"/>
              <w:spacing w:after="0" w:line="240" w:lineRule="auto"/>
              <w:rPr>
                <w:noProof/>
              </w:rPr>
            </w:pPr>
            <w:r>
              <w:rPr>
                <w:noProof/>
              </w:rPr>
              <w:t>Investiția 4: Măsură extinsă: Investiția [2A-4]: Schema de sprijin pentru punctele de încărcare</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ACC311" w14:textId="77777777" w:rsidR="00FE6F09" w:rsidRDefault="00435AFB">
            <w:pPr>
              <w:pStyle w:val="P68B1DB1-Normal27"/>
              <w:spacing w:after="0" w:line="240" w:lineRule="auto"/>
              <w:jc w:val="center"/>
              <w:rPr>
                <w:noProof/>
              </w:rPr>
            </w:pPr>
            <w:r>
              <w:rPr>
                <w:noProof/>
              </w:rPr>
              <w:t>Țintă</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412E7" w14:textId="77777777" w:rsidR="00FE6F09" w:rsidRDefault="00435AFB">
            <w:pPr>
              <w:pStyle w:val="P68B1DB1-Normal27"/>
              <w:spacing w:after="0" w:line="240" w:lineRule="auto"/>
              <w:jc w:val="both"/>
              <w:rPr>
                <w:rFonts w:eastAsia="Times New Roman"/>
                <w:noProof/>
              </w:rPr>
            </w:pPr>
            <w:r>
              <w:rPr>
                <w:noProof/>
              </w:rPr>
              <w:t>Numărul de puncte de încărcare instalate</w:t>
            </w:r>
          </w:p>
        </w:tc>
      </w:tr>
      <w:tr w:rsidR="00FE6F09" w14:paraId="06A33A9E" w14:textId="7777777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BF275" w14:textId="77777777" w:rsidR="00FE6F09" w:rsidRDefault="00435AFB">
            <w:pPr>
              <w:pStyle w:val="P68B1DB1-Normal27"/>
              <w:spacing w:after="0" w:line="240" w:lineRule="auto"/>
              <w:jc w:val="center"/>
              <w:rPr>
                <w:rFonts w:eastAsia="Times New Roman"/>
                <w:noProof/>
              </w:rPr>
            </w:pPr>
            <w:r>
              <w:rPr>
                <w:noProof/>
              </w:rPr>
              <w:t>3B-12</w:t>
            </w:r>
          </w:p>
        </w:tc>
        <w:tc>
          <w:tcPr>
            <w:tcW w:w="3543" w:type="dxa"/>
            <w:tcBorders>
              <w:top w:val="single" w:sz="4" w:space="0" w:color="auto"/>
              <w:left w:val="nil"/>
              <w:bottom w:val="single" w:sz="4" w:space="0" w:color="auto"/>
              <w:right w:val="single" w:sz="4" w:space="0" w:color="auto"/>
            </w:tcBorders>
            <w:shd w:val="clear" w:color="auto" w:fill="C6EFCE"/>
            <w:noWrap/>
            <w:vAlign w:val="center"/>
          </w:tcPr>
          <w:p w14:paraId="28717ABA" w14:textId="77777777" w:rsidR="00FE6F09" w:rsidRDefault="00435AFB">
            <w:pPr>
              <w:pStyle w:val="P68B1DB1-Normal27"/>
              <w:spacing w:after="0" w:line="240" w:lineRule="auto"/>
              <w:rPr>
                <w:rFonts w:eastAsia="Times New Roman"/>
                <w:noProof/>
              </w:rPr>
            </w:pPr>
            <w:r>
              <w:rPr>
                <w:noProof/>
              </w:rPr>
              <w:t>3B: Investiția 3 – „MyADEM”</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7DEDBD" w14:textId="77777777" w:rsidR="00FE6F09" w:rsidRDefault="00435AFB">
            <w:pPr>
              <w:pStyle w:val="P68B1DB1-Normal27"/>
              <w:spacing w:after="0" w:line="240" w:lineRule="auto"/>
              <w:jc w:val="center"/>
              <w:rPr>
                <w:noProof/>
              </w:rPr>
            </w:pPr>
            <w:r>
              <w:rPr>
                <w:noProof/>
              </w:rPr>
              <w:t>Etapa de referință</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164008" w14:textId="77777777" w:rsidR="00FE6F09" w:rsidRDefault="00435AFB">
            <w:pPr>
              <w:pStyle w:val="P68B1DB1-Normal27"/>
              <w:spacing w:after="0" w:line="240" w:lineRule="auto"/>
              <w:rPr>
                <w:rFonts w:eastAsia="Times New Roman"/>
                <w:noProof/>
              </w:rPr>
            </w:pPr>
            <w:r>
              <w:rPr>
                <w:noProof/>
              </w:rPr>
              <w:t>Proceduri administrative digitale legate de MyADEM</w:t>
            </w:r>
          </w:p>
        </w:tc>
      </w:tr>
      <w:tr w:rsidR="00FE6F09" w14:paraId="270D0679" w14:textId="77777777">
        <w:trPr>
          <w:trHeight w:val="302"/>
        </w:trPr>
        <w:tc>
          <w:tcPr>
            <w:tcW w:w="1555" w:type="dxa"/>
            <w:shd w:val="clear" w:color="auto" w:fill="C6EFCE"/>
            <w:noWrap/>
            <w:vAlign w:val="center"/>
          </w:tcPr>
          <w:p w14:paraId="3F0C6C5B" w14:textId="77777777" w:rsidR="00FE6F09" w:rsidRDefault="00FE6F09">
            <w:pPr>
              <w:spacing w:after="0" w:line="240" w:lineRule="auto"/>
              <w:jc w:val="center"/>
              <w:rPr>
                <w:rFonts w:ascii="Times New Roman" w:eastAsia="Times New Roman" w:hAnsi="Times New Roman" w:cs="Times New Roman"/>
                <w:noProof/>
                <w:color w:val="006100"/>
                <w:sz w:val="20"/>
                <w:szCs w:val="20"/>
              </w:rPr>
            </w:pPr>
          </w:p>
        </w:tc>
        <w:tc>
          <w:tcPr>
            <w:tcW w:w="3543" w:type="dxa"/>
            <w:shd w:val="clear" w:color="auto" w:fill="C6EFCE"/>
            <w:noWrap/>
            <w:vAlign w:val="center"/>
          </w:tcPr>
          <w:p w14:paraId="5AA5B84C" w14:textId="77777777" w:rsidR="00FE6F09" w:rsidRDefault="00FE6F09">
            <w:pPr>
              <w:spacing w:after="0" w:line="240" w:lineRule="auto"/>
              <w:rPr>
                <w:rFonts w:ascii="Times New Roman" w:eastAsia="Times New Roman" w:hAnsi="Times New Roman" w:cs="Times New Roman"/>
                <w:noProof/>
                <w:color w:val="006100"/>
                <w:sz w:val="20"/>
                <w:szCs w:val="20"/>
              </w:rPr>
            </w:pPr>
          </w:p>
        </w:tc>
        <w:tc>
          <w:tcPr>
            <w:tcW w:w="1809" w:type="dxa"/>
            <w:shd w:val="clear" w:color="auto" w:fill="C6EFCE"/>
            <w:noWrap/>
            <w:vAlign w:val="center"/>
          </w:tcPr>
          <w:p w14:paraId="229C2243" w14:textId="77777777" w:rsidR="00FE6F09" w:rsidRDefault="00435AFB">
            <w:pPr>
              <w:pStyle w:val="P68B1DB1-Normal28"/>
              <w:spacing w:after="0" w:line="240" w:lineRule="auto"/>
              <w:jc w:val="center"/>
              <w:rPr>
                <w:bCs/>
                <w:noProof/>
              </w:rPr>
            </w:pPr>
            <w:r>
              <w:rPr>
                <w:noProof/>
              </w:rPr>
              <w:t>Suma tranșei</w:t>
            </w:r>
          </w:p>
        </w:tc>
        <w:tc>
          <w:tcPr>
            <w:tcW w:w="2869" w:type="dxa"/>
            <w:shd w:val="clear" w:color="auto" w:fill="C6EFCE"/>
            <w:noWrap/>
            <w:vAlign w:val="center"/>
          </w:tcPr>
          <w:p w14:paraId="5ADB3855" w14:textId="77777777" w:rsidR="00FE6F09" w:rsidRDefault="00435AFB">
            <w:pPr>
              <w:pStyle w:val="P68B1DB1-Normal9"/>
              <w:spacing w:after="0" w:line="240" w:lineRule="auto"/>
              <w:jc w:val="center"/>
              <w:rPr>
                <w:b/>
                <w:bCs/>
                <w:noProof/>
              </w:rPr>
            </w:pPr>
            <w:r>
              <w:rPr>
                <w:b/>
                <w:noProof/>
              </w:rPr>
              <w:t>60 789 995 EUR</w:t>
            </w:r>
          </w:p>
        </w:tc>
      </w:tr>
    </w:tbl>
    <w:p w14:paraId="39BE1185" w14:textId="77777777" w:rsidR="00FE6F09" w:rsidRDefault="00FE6F09">
      <w:pPr>
        <w:spacing w:before="120" w:after="120" w:line="240" w:lineRule="auto"/>
        <w:jc w:val="both"/>
        <w:rPr>
          <w:rFonts w:ascii="Times New Roman" w:hAnsi="Times New Roman" w:cs="Times New Roman"/>
          <w:noProof/>
          <w:sz w:val="24"/>
        </w:rPr>
        <w:sectPr w:rsidR="00FE6F09" w:rsidSect="009823F0">
          <w:headerReference w:type="even" r:id="rId152"/>
          <w:headerReference w:type="default" r:id="rId153"/>
          <w:footerReference w:type="even" r:id="rId154"/>
          <w:footerReference w:type="default" r:id="rId155"/>
          <w:headerReference w:type="first" r:id="rId156"/>
          <w:footerReference w:type="first" r:id="rId157"/>
          <w:pgSz w:w="11906" w:h="16838"/>
          <w:pgMar w:top="1417" w:right="1417" w:bottom="1417" w:left="1417" w:header="708" w:footer="708" w:gutter="0"/>
          <w:cols w:space="708"/>
          <w:docGrid w:linePitch="360"/>
        </w:sectPr>
      </w:pPr>
    </w:p>
    <w:p w14:paraId="4BB2F2AF" w14:textId="77777777" w:rsidR="00FE6F09" w:rsidRDefault="00435AFB">
      <w:pPr>
        <w:pStyle w:val="P68B1DB1-Normal2"/>
        <w:spacing w:before="120" w:after="120" w:line="240" w:lineRule="auto"/>
        <w:rPr>
          <w:noProof/>
        </w:rPr>
      </w:pPr>
      <w:r>
        <w:rPr>
          <w:noProof/>
        </w:rPr>
        <w:t xml:space="preserve">Secțiunea 3: DISPOZIȚII SUPLIMENTARE </w:t>
      </w:r>
    </w:p>
    <w:p w14:paraId="2B14F579" w14:textId="77777777" w:rsidR="00FE6F09" w:rsidRDefault="00435AFB">
      <w:pPr>
        <w:pStyle w:val="P68B1DB1-Normal6"/>
        <w:numPr>
          <w:ilvl w:val="0"/>
          <w:numId w:val="20"/>
        </w:numPr>
        <w:tabs>
          <w:tab w:val="clear" w:pos="850"/>
        </w:tabs>
        <w:spacing w:after="0" w:line="240" w:lineRule="auto"/>
        <w:ind w:left="284" w:hanging="284"/>
        <w:jc w:val="both"/>
        <w:rPr>
          <w:noProof/>
        </w:rPr>
      </w:pPr>
      <w:r>
        <w:rPr>
          <w:noProof/>
        </w:rPr>
        <w:t>Modalități de monitorizare și punere în aplicare a planului de redresare și reziliență</w:t>
      </w:r>
    </w:p>
    <w:p w14:paraId="5E19EAE3" w14:textId="61D94661" w:rsidR="00FE6F09" w:rsidRDefault="00435AFB">
      <w:pPr>
        <w:pStyle w:val="P68B1DB1-Normal5"/>
        <w:spacing w:before="120" w:after="120" w:line="240" w:lineRule="auto"/>
        <w:jc w:val="both"/>
        <w:rPr>
          <w:noProof/>
        </w:rPr>
      </w:pPr>
      <w:r>
        <w:rPr>
          <w:noProof/>
        </w:rPr>
        <w:t xml:space="preserve">Monitorizarea și punerea în aplicare a planului de redresare și reziliență al Luxemburgului se desfășoară în conformitate cu următoarele mecanisme. </w:t>
      </w:r>
    </w:p>
    <w:p w14:paraId="2354EEB1" w14:textId="77777777" w:rsidR="00FE6F09" w:rsidRDefault="00435AFB">
      <w:pPr>
        <w:pStyle w:val="P68B1DB1-Normal14"/>
        <w:spacing w:before="120" w:after="120" w:line="240" w:lineRule="auto"/>
        <w:jc w:val="both"/>
        <w:rPr>
          <w:noProof/>
        </w:rPr>
      </w:pPr>
      <w:r>
        <w:rPr>
          <w:noProof/>
        </w:rPr>
        <w:t>Direcția pentru afaceri economice și bugetare din cadrul Ministerului Finanțelor are responsabilitatea generală pentru punerea în aplicare a planului și acționează ca departament de gestionare și ca punct unic de contact pentru Comisie. Acest serviciu răspunde, de asemenea, de întocmirea cererilor de plată și a declarațiilor de gestiune și coordonează și monitorizează punerea în aplicare a planului. De asemenea, aceasta colectează datele privind indicatorii, astfel cum au fost prezentate de destinatarii finali, și efectuează verificările de gestiune.</w:t>
      </w:r>
    </w:p>
    <w:p w14:paraId="0C55C92E" w14:textId="77777777" w:rsidR="00FE6F09" w:rsidRDefault="00435AFB">
      <w:pPr>
        <w:pStyle w:val="P68B1DB1-Normal14"/>
        <w:spacing w:before="120" w:after="120" w:line="240" w:lineRule="auto"/>
        <w:jc w:val="both"/>
        <w:rPr>
          <w:noProof/>
        </w:rPr>
      </w:pPr>
      <w:r>
        <w:rPr>
          <w:noProof/>
        </w:rPr>
        <w:t xml:space="preserve">Departamentul de gestionare este responsabil de agregarea tuturor informațiilor referitoare la indicatorii pentru care efectuează, de asemenea, o verificare a coerenței și, în general, un control al calității. De asemenea, departamentul de gestionare este responsabil de comunicarea și utilizarea acestor date de monitorizare, atât în cadrul comitetelor de coordonare, cât și în raportul anual de punere în aplicare. </w:t>
      </w:r>
    </w:p>
    <w:p w14:paraId="5213AB1F" w14:textId="77777777" w:rsidR="00FE6F09" w:rsidRDefault="00435AFB">
      <w:pPr>
        <w:pStyle w:val="P68B1DB1-Normal14"/>
        <w:spacing w:before="120" w:after="120" w:line="240" w:lineRule="auto"/>
        <w:jc w:val="both"/>
        <w:rPr>
          <w:noProof/>
        </w:rPr>
      </w:pPr>
      <w:r>
        <w:rPr>
          <w:noProof/>
        </w:rPr>
        <w:t xml:space="preserve">Departamentul de gestionare efectuează controale (inclusiv la fața locului) cu privire la aspectele administrative, financiare, tehnice și fizice ale operațiunilor, în toate etapele gestionării unei măsuri incluse în planul de redresare și reziliență. Aceste controale se efectuează atunci când se examinează fișele de finanțare, în cursul punerii în aplicare și al monitorizării măsurilor, atunci când se depun cereri de rambursare a granturilor către destinatarii finali și atunci când se efectuează plăți către destinatarii finali. </w:t>
      </w:r>
    </w:p>
    <w:p w14:paraId="5798B40E" w14:textId="77777777" w:rsidR="00FE6F09" w:rsidRDefault="00435AFB">
      <w:pPr>
        <w:pStyle w:val="P68B1DB1-Normal14"/>
        <w:spacing w:before="120" w:after="120" w:line="240" w:lineRule="auto"/>
        <w:jc w:val="both"/>
        <w:rPr>
          <w:noProof/>
        </w:rPr>
      </w:pPr>
      <w:r>
        <w:rPr>
          <w:noProof/>
        </w:rPr>
        <w:t xml:space="preserve">În plus, se pun în aplicare măsuri specifice pentru a verifica respectarea normelor privind achizițiile publice, pentru a preveni corupția și pentru a proteja interesele financiare ale UE. </w:t>
      </w:r>
    </w:p>
    <w:p w14:paraId="1840573A" w14:textId="7DBDDE1F" w:rsidR="00FE6F09" w:rsidRDefault="00435AFB">
      <w:pPr>
        <w:pStyle w:val="P68B1DB1-Normal14"/>
        <w:spacing w:before="120" w:after="120" w:line="240" w:lineRule="auto"/>
        <w:jc w:val="both"/>
        <w:rPr>
          <w:noProof/>
        </w:rPr>
      </w:pPr>
      <w:r>
        <w:rPr>
          <w:noProof/>
        </w:rPr>
        <w:t xml:space="preserve">Inspectoratul General de Finanțe (IGF) este autoritatea de audit pentru planul de redresare și reziliență. </w:t>
      </w:r>
    </w:p>
    <w:p w14:paraId="775F1340" w14:textId="77777777" w:rsidR="00FE6F09" w:rsidRDefault="00435AFB">
      <w:pPr>
        <w:pStyle w:val="P68B1DB1-Normal14"/>
        <w:spacing w:before="120" w:after="120" w:line="240" w:lineRule="auto"/>
        <w:jc w:val="both"/>
        <w:rPr>
          <w:noProof/>
        </w:rPr>
      </w:pPr>
      <w:r>
        <w:rPr>
          <w:noProof/>
        </w:rPr>
        <w:t xml:space="preserve">Autoritatea de audit urmează o abordare de audit bazată pe următoarele principii: auditul anual al sistemului (care acoperă sistemul instituit pentru raportarea jaloanelor și a țintelor și care acoperă, de asemenea, sistemul de control intern pentru prevenirea, detectarea și corectarea fraudei, a conflictelor de interese, a corupției și a dublei finanțări) și auditurile anuale ale operațiunilor (pe baza unui eșantion adecvat). </w:t>
      </w:r>
    </w:p>
    <w:p w14:paraId="15726D85" w14:textId="77777777" w:rsidR="00FE6F09" w:rsidRDefault="00435AFB">
      <w:pPr>
        <w:pStyle w:val="P68B1DB1-Normal14"/>
        <w:spacing w:before="120" w:after="120" w:line="240" w:lineRule="auto"/>
        <w:jc w:val="both"/>
        <w:rPr>
          <w:noProof/>
        </w:rPr>
      </w:pPr>
      <w:r>
        <w:rPr>
          <w:noProof/>
        </w:rPr>
        <w:t xml:space="preserve">Datele referitoare la destinatarii finali se colectează de îndată ce aceștia intră în operațiune, ceea ce se realizează fie prin introducerea datelor direct de către departamentul de gestionare, fie prin importul de date printr-un fișier Excel de import. Datele colectate în acest mod sunt apoi introduse fie direct în sistemul informatic, fie importate prin fișiere. </w:t>
      </w:r>
    </w:p>
    <w:p w14:paraId="02D62243" w14:textId="2D7146B9" w:rsidR="00FE6F09" w:rsidRDefault="00435AFB">
      <w:pPr>
        <w:pStyle w:val="P68B1DB1-Normal5"/>
        <w:rPr>
          <w:noProof/>
        </w:rPr>
      </w:pPr>
      <w:r>
        <w:rPr>
          <w:noProof/>
        </w:rPr>
        <w:br w:type="page"/>
      </w:r>
    </w:p>
    <w:p w14:paraId="767ADE88" w14:textId="77777777" w:rsidR="00FE6F09" w:rsidRDefault="00435AFB">
      <w:pPr>
        <w:pStyle w:val="P68B1DB1-NumPar129"/>
        <w:numPr>
          <w:ilvl w:val="0"/>
          <w:numId w:val="20"/>
        </w:numPr>
        <w:spacing w:before="0" w:after="0"/>
        <w:ind w:left="284" w:hanging="284"/>
        <w:rPr>
          <w:noProof/>
        </w:rPr>
      </w:pPr>
      <w:r>
        <w:rPr>
          <w:noProof/>
        </w:rPr>
        <w:t>Modalități de asigurare a accesului deplin al Comisiei la datele subiacente</w:t>
      </w:r>
    </w:p>
    <w:p w14:paraId="62B7EFEE" w14:textId="19A3A14E" w:rsidR="00FE6F09" w:rsidRDefault="00435AFB">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Direcția pentru afaceri economice și bugetare din cadrul Ministerului Finanțelor, în calitate de organism central de coordonare a planului de redresare și reziliență al Luxemburgului și a punerii sale în aplicare, este responsabilă de coordonarea și monitorizarea generală a planului. În special, acesta acționează ca organism de coordonare pentru monitorizarea progreselor înregistrate în ceea ce privește jaloanele și țintele, pentru monitorizarea și, după caz, punerea în aplicare a activităților de control și ca punct unic de contact pentru Comisie. Acest serviciu răspunde, de asemenea, de întocmirea cererilor de plată și a declarațiilor de gestiune. Acesta coordonează</w:t>
      </w:r>
      <w:r>
        <w:rPr>
          <w:rFonts w:ascii="Times New Roman" w:hAnsi="Times New Roman" w:cs="Times New Roman"/>
          <w:noProof/>
        </w:rPr>
        <w:t xml:space="preserve"> </w:t>
      </w:r>
      <w:r>
        <w:rPr>
          <w:rFonts w:ascii="Times New Roman" w:hAnsi="Times New Roman" w:cs="Times New Roman"/>
          <w:noProof/>
          <w:sz w:val="24"/>
        </w:rPr>
        <w:t xml:space="preserve">raportarea jaloanelor și a țintelor, a indicatorilor relevanți, dar și a informațiilor financiare calitative și a altor date, cum ar fi datele privind indicatorii transmise de </w:t>
      </w:r>
      <w:r>
        <w:rPr>
          <w:rFonts w:ascii="Times New Roman" w:eastAsia="Times New Roman" w:hAnsi="Times New Roman" w:cs="Times New Roman"/>
          <w:noProof/>
          <w:sz w:val="24"/>
          <w:szCs w:val="24"/>
        </w:rPr>
        <w:t>destinatarii finali</w:t>
      </w:r>
      <w:r w:rsidR="001B52FB">
        <w:rPr>
          <w:rFonts w:ascii="Times New Roman" w:hAnsi="Times New Roman" w:cs="Times New Roman"/>
          <w:noProof/>
        </w:rPr>
        <w:t xml:space="preserve"> </w:t>
      </w:r>
      <w:r>
        <w:rPr>
          <w:rFonts w:ascii="Times New Roman" w:hAnsi="Times New Roman" w:cs="Times New Roman"/>
          <w:noProof/>
          <w:sz w:val="24"/>
        </w:rPr>
        <w:t>prin intermediul unui sistem informatic dedicat, și efectuează verificările de gestiune. Inspectoratul General de Finanțe (IGF) este autoritatea de audit pentru planul de redresare și reziliență.</w:t>
      </w:r>
    </w:p>
    <w:p w14:paraId="09F1644F" w14:textId="55DA79AE" w:rsidR="00FE6F09" w:rsidRDefault="00435AFB">
      <w:pPr>
        <w:pStyle w:val="P68B1DB1-Normal14"/>
        <w:spacing w:before="120" w:after="120" w:line="240" w:lineRule="auto"/>
        <w:jc w:val="both"/>
        <w:rPr>
          <w:noProof/>
        </w:rPr>
      </w:pPr>
      <w:r>
        <w:rPr>
          <w:noProof/>
        </w:rPr>
        <w:t>În conformitate cu articolul 24 alineatul (2) din Regulamentul (UE) 2021/241, după finalizarea jaloanelor și a țintelor relevante convenite în secțiunea 2.1 din prezenta anexă, Luxemburgul prezintă Comisiei o cerere justificată în mod corespunzător de plată a contribuției financiare. Luxemburgul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FE6F09">
      <w:headerReference w:type="even" r:id="rId158"/>
      <w:headerReference w:type="default" r:id="rId159"/>
      <w:footerReference w:type="even" r:id="rId160"/>
      <w:footerReference w:type="default" r:id="rId161"/>
      <w:headerReference w:type="first" r:id="rId162"/>
      <w:footerReference w:type="first" r:id="rId1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E7F8B" w14:textId="77777777" w:rsidR="00FE6F09" w:rsidRDefault="00435AFB">
      <w:pPr>
        <w:spacing w:after="0" w:line="240" w:lineRule="auto"/>
      </w:pPr>
      <w:r>
        <w:separator/>
      </w:r>
    </w:p>
  </w:endnote>
  <w:endnote w:type="continuationSeparator" w:id="0">
    <w:p w14:paraId="6DE187CB" w14:textId="77777777" w:rsidR="00FE6F09" w:rsidRDefault="00435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4D986" w14:textId="362F17A6" w:rsidR="00E44407" w:rsidRPr="00E44407" w:rsidRDefault="00E44407" w:rsidP="00E44407">
    <w:pPr>
      <w:pStyle w:val="FooterCoverPage"/>
      <w:rPr>
        <w:rFonts w:ascii="Arial" w:hAnsi="Arial" w:cs="Arial"/>
        <w:b/>
        <w:sz w:val="48"/>
      </w:rPr>
    </w:pPr>
    <w:r w:rsidRPr="00E44407">
      <w:rPr>
        <w:rFonts w:ascii="Arial" w:hAnsi="Arial" w:cs="Arial"/>
        <w:b/>
        <w:sz w:val="48"/>
      </w:rPr>
      <w:t>RO</w:t>
    </w:r>
    <w:r w:rsidRPr="00E44407">
      <w:rPr>
        <w:rFonts w:ascii="Arial" w:hAnsi="Arial" w:cs="Arial"/>
        <w:b/>
        <w:sz w:val="48"/>
      </w:rPr>
      <w:tab/>
    </w:r>
    <w:r w:rsidRPr="00E44407">
      <w:rPr>
        <w:rFonts w:ascii="Arial" w:hAnsi="Arial" w:cs="Arial"/>
        <w:b/>
        <w:sz w:val="48"/>
      </w:rPr>
      <w:tab/>
    </w:r>
    <w:r w:rsidRPr="00E44407">
      <w:tab/>
    </w:r>
    <w:r w:rsidRPr="00E4440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B5A05" w14:textId="5395E5E5" w:rsidR="00E44407" w:rsidRPr="00E44407" w:rsidRDefault="00E44407" w:rsidP="00E44407">
    <w:pPr>
      <w:pStyle w:val="FooterCoverPage"/>
      <w:rPr>
        <w:rFonts w:ascii="Arial" w:hAnsi="Arial" w:cs="Arial"/>
        <w:b/>
        <w:sz w:val="48"/>
      </w:rPr>
    </w:pPr>
    <w:r w:rsidRPr="00E44407">
      <w:rPr>
        <w:rFonts w:ascii="Arial" w:hAnsi="Arial" w:cs="Arial"/>
        <w:b/>
        <w:sz w:val="48"/>
      </w:rPr>
      <w:t>RO</w:t>
    </w:r>
    <w:r w:rsidRPr="00E44407">
      <w:rPr>
        <w:rFonts w:ascii="Arial" w:hAnsi="Arial" w:cs="Arial"/>
        <w:b/>
        <w:sz w:val="48"/>
      </w:rPr>
      <w:tab/>
    </w:r>
    <w:r w:rsidRPr="00E44407">
      <w:rPr>
        <w:rFonts w:ascii="Arial" w:hAnsi="Arial" w:cs="Arial"/>
        <w:b/>
        <w:sz w:val="48"/>
      </w:rPr>
      <w:tab/>
    </w:r>
    <w:r w:rsidRPr="00E44407">
      <w:tab/>
    </w:r>
    <w:r w:rsidRPr="00E4440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D89FE" w14:textId="77777777" w:rsidR="00E44407" w:rsidRPr="00E44407" w:rsidRDefault="00E44407" w:rsidP="00E4440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2A4B1" w14:textId="77777777" w:rsidR="00FE6F09" w:rsidRDefault="00FE6F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653"/>
      <w:docPartObj>
        <w:docPartGallery w:val="Page Numbers (Bottom of Page)"/>
        <w:docPartUnique/>
      </w:docPartObj>
    </w:sdtPr>
    <w:sdtEndPr>
      <w:rPr>
        <w:noProof/>
      </w:rPr>
    </w:sdtEndPr>
    <w:sdtContent>
      <w:p w14:paraId="7BC82A86" w14:textId="2E08373A" w:rsidR="00FE6F09" w:rsidRDefault="00435AFB">
        <w:pPr>
          <w:pStyle w:val="P68B1DB1-Footer30"/>
          <w:jc w:val="center"/>
        </w:pPr>
        <w:r>
          <w:fldChar w:fldCharType="begin"/>
        </w:r>
        <w:r>
          <w:instrText xml:space="preserve"> PAGE   \* MERGEFORMAT </w:instrText>
        </w:r>
        <w:r>
          <w:fldChar w:fldCharType="separate"/>
        </w:r>
        <w:r w:rsidR="00E44407">
          <w:rPr>
            <w:noProof/>
          </w:rP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F1A3" w14:textId="77777777" w:rsidR="00FE6F09" w:rsidRDefault="00FE6F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BE14C" w14:textId="77777777" w:rsidR="00FE6F09" w:rsidRDefault="00FE6F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6075615"/>
      <w:docPartObj>
        <w:docPartGallery w:val="Page Numbers (Bottom of Page)"/>
        <w:docPartUnique/>
      </w:docPartObj>
    </w:sdtPr>
    <w:sdtEndPr>
      <w:rPr>
        <w:noProof/>
      </w:rPr>
    </w:sdtEndPr>
    <w:sdtContent>
      <w:p w14:paraId="62E65EEE" w14:textId="461A6E34" w:rsidR="00FE6F09" w:rsidRDefault="00435AFB">
        <w:pPr>
          <w:pStyle w:val="P68B1DB1-Footer30"/>
          <w:jc w:val="center"/>
        </w:pPr>
        <w:r>
          <w:fldChar w:fldCharType="begin"/>
        </w:r>
        <w:r>
          <w:instrText xml:space="preserve"> PAGE   \* MERGEFORMAT </w:instrText>
        </w:r>
        <w:r>
          <w:fldChar w:fldCharType="separate"/>
        </w:r>
        <w:r w:rsidR="00E44407">
          <w:rPr>
            <w:noProof/>
          </w:rPr>
          <w:t>4</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95118" w14:textId="77777777" w:rsidR="00FE6F09" w:rsidRDefault="00FE6F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0A43D" w14:textId="77777777" w:rsidR="00FE6F09" w:rsidRDefault="00FE6F0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983330"/>
      <w:docPartObj>
        <w:docPartGallery w:val="Page Numbers (Bottom of Page)"/>
        <w:docPartUnique/>
      </w:docPartObj>
    </w:sdtPr>
    <w:sdtEndPr>
      <w:rPr>
        <w:noProof/>
      </w:rPr>
    </w:sdtEndPr>
    <w:sdtContent>
      <w:p w14:paraId="5548B04B" w14:textId="7C990757" w:rsidR="00FE6F09" w:rsidRDefault="00435AFB">
        <w:pPr>
          <w:pStyle w:val="P68B1DB1-Footer30"/>
          <w:jc w:val="center"/>
        </w:pPr>
        <w:r>
          <w:fldChar w:fldCharType="begin"/>
        </w:r>
        <w:r>
          <w:instrText xml:space="preserve"> PAGE   \* MERGEFORMAT </w:instrText>
        </w:r>
        <w:r>
          <w:fldChar w:fldCharType="separate"/>
        </w:r>
        <w:r w:rsidR="00E44407">
          <w:rPr>
            <w:noProof/>
          </w:rPr>
          <w:t>5</w:t>
        </w:r>
        <w:r>
          <w:fldChar w:fldCharType="end"/>
        </w:r>
      </w:p>
    </w:sdtContent>
  </w:sdt>
  <w:p w14:paraId="60A00A01" w14:textId="77777777" w:rsidR="00FE6F09" w:rsidRDefault="00FE6F09">
    <w:pPr>
      <w:pStyle w:val="Footer"/>
      <w:rPr>
        <w:b/>
        <w:bCs/>
        <w:szCs w:val="24"/>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4C10C" w14:textId="77777777" w:rsidR="00FE6F09" w:rsidRDefault="00FE6F0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2A419" w14:textId="77777777" w:rsidR="00FE6F09" w:rsidRDefault="00FE6F0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4619D" w14:textId="6EB2FD53" w:rsidR="00FE6F09" w:rsidRDefault="00435AFB">
    <w:pPr>
      <w:pStyle w:val="P68B1DB1-Footer31"/>
      <w:jc w:val="center"/>
    </w:pPr>
    <w:r>
      <w:fldChar w:fldCharType="begin"/>
    </w:r>
    <w:r>
      <w:instrText xml:space="preserve"> PAGE   \* MERGEFORMAT </w:instrText>
    </w:r>
    <w:r>
      <w:fldChar w:fldCharType="separate"/>
    </w:r>
    <w:r w:rsidR="001D63D8">
      <w:rPr>
        <w:noProof/>
      </w:rPr>
      <w:t>9</w:t>
    </w:r>
    <w:r>
      <w:fldChar w:fldCharType="end"/>
    </w:r>
  </w:p>
  <w:p w14:paraId="76800C5D" w14:textId="4A2BA4F7" w:rsidR="00FE6F09" w:rsidRDefault="00FE6F09">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5FEED" w14:textId="77777777" w:rsidR="00FE6F09" w:rsidRDefault="00FE6F0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0D15E" w14:textId="77777777" w:rsidR="00FE6F09" w:rsidRDefault="00FE6F0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562531"/>
      <w:docPartObj>
        <w:docPartGallery w:val="Page Numbers (Bottom of Page)"/>
        <w:docPartUnique/>
      </w:docPartObj>
    </w:sdtPr>
    <w:sdtEndPr>
      <w:rPr>
        <w:noProof/>
      </w:rPr>
    </w:sdtEndPr>
    <w:sdtContent>
      <w:p w14:paraId="4FE74EBF" w14:textId="70D28AB6" w:rsidR="00FE6F09" w:rsidRDefault="00435AFB">
        <w:pPr>
          <w:pStyle w:val="P68B1DB1-Footer32"/>
          <w:jc w:val="center"/>
        </w:pPr>
        <w:r>
          <w:fldChar w:fldCharType="begin"/>
        </w:r>
        <w:r>
          <w:instrText xml:space="preserve"> PAGE   \* MERGEFORMAT </w:instrText>
        </w:r>
        <w:r>
          <w:fldChar w:fldCharType="separate"/>
        </w:r>
        <w:r w:rsidR="001D63D8">
          <w:rPr>
            <w:noProof/>
          </w:rPr>
          <w:t>11</w:t>
        </w:r>
        <w:r>
          <w:fldChar w:fldCharType="end"/>
        </w:r>
      </w:p>
    </w:sdtContent>
  </w:sdt>
  <w:p w14:paraId="427BB508" w14:textId="3E081B15" w:rsidR="00FE6F09" w:rsidRDefault="00FE6F0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928F6" w14:textId="77777777" w:rsidR="00FE6F09" w:rsidRDefault="00FE6F0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4B1ED" w14:textId="77777777" w:rsidR="00FE6F09" w:rsidRDefault="00FE6F0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15793"/>
      <w:docPartObj>
        <w:docPartGallery w:val="Page Numbers (Bottom of Page)"/>
        <w:docPartUnique/>
      </w:docPartObj>
    </w:sdtPr>
    <w:sdtEndPr>
      <w:rPr>
        <w:noProof/>
      </w:rPr>
    </w:sdtEndPr>
    <w:sdtContent>
      <w:p w14:paraId="739458F8" w14:textId="797E5AC9" w:rsidR="00FE6F09" w:rsidRDefault="00435AFB">
        <w:pPr>
          <w:pStyle w:val="P68B1DB1-Footer30"/>
          <w:jc w:val="center"/>
        </w:pPr>
        <w:r>
          <w:fldChar w:fldCharType="begin"/>
        </w:r>
        <w:r>
          <w:instrText xml:space="preserve"> PAGE   \* MERGEFORMAT </w:instrText>
        </w:r>
        <w:r>
          <w:fldChar w:fldCharType="separate"/>
        </w:r>
        <w:r w:rsidR="001D63D8">
          <w:rPr>
            <w:noProof/>
          </w:rPr>
          <w:t>12</w:t>
        </w:r>
        <w: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50398" w14:textId="77777777" w:rsidR="00FE6F09" w:rsidRDefault="00FE6F0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34228" w14:textId="77777777" w:rsidR="00FE6F09" w:rsidRDefault="00FE6F0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781307"/>
      <w:docPartObj>
        <w:docPartGallery w:val="Page Numbers (Bottom of Page)"/>
        <w:docPartUnique/>
      </w:docPartObj>
    </w:sdtPr>
    <w:sdtEndPr>
      <w:rPr>
        <w:noProof/>
      </w:rPr>
    </w:sdtEndPr>
    <w:sdtContent>
      <w:p w14:paraId="70E3487E" w14:textId="2F1AD642" w:rsidR="00FE6F09" w:rsidRDefault="00435AFB">
        <w:pPr>
          <w:pStyle w:val="P68B1DB1-Footer30"/>
          <w:jc w:val="center"/>
        </w:pPr>
        <w:r>
          <w:fldChar w:fldCharType="begin"/>
        </w:r>
        <w:r>
          <w:instrText xml:space="preserve"> PAGE   \* MERGEFORMAT </w:instrText>
        </w:r>
        <w:r>
          <w:fldChar w:fldCharType="separate"/>
        </w:r>
        <w:r w:rsidR="001D63D8">
          <w:rPr>
            <w:noProof/>
          </w:rPr>
          <w:t>13</w:t>
        </w:r>
        <w: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72E0E" w14:textId="77777777" w:rsidR="00FE6F09" w:rsidRDefault="00FE6F0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C18F8" w14:textId="77777777" w:rsidR="00FE6F09" w:rsidRDefault="00FE6F0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7983336"/>
      <w:docPartObj>
        <w:docPartGallery w:val="Page Numbers (Bottom of Page)"/>
        <w:docPartUnique/>
      </w:docPartObj>
    </w:sdtPr>
    <w:sdtEndPr>
      <w:rPr>
        <w:noProof/>
      </w:rPr>
    </w:sdtEndPr>
    <w:sdtContent>
      <w:p w14:paraId="4F5BE33B" w14:textId="44540339" w:rsidR="00FE6F09" w:rsidRDefault="00435AFB">
        <w:pPr>
          <w:pStyle w:val="P68B1DB1-Footer30"/>
          <w:jc w:val="center"/>
        </w:pPr>
        <w:r>
          <w:fldChar w:fldCharType="begin"/>
        </w:r>
        <w:r>
          <w:instrText xml:space="preserve"> PAGE   \* MERGEFORMAT </w:instrText>
        </w:r>
        <w:r>
          <w:fldChar w:fldCharType="separate"/>
        </w:r>
        <w:r w:rsidR="001D63D8">
          <w:rPr>
            <w:noProof/>
          </w:rPr>
          <w:t>14</w:t>
        </w:r>
        <w: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E8CE" w14:textId="77777777" w:rsidR="00FE6F09" w:rsidRDefault="00FE6F0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2E1F5" w14:textId="77777777" w:rsidR="00FE6F09" w:rsidRDefault="00FE6F0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960059"/>
      <w:docPartObj>
        <w:docPartGallery w:val="Page Numbers (Bottom of Page)"/>
        <w:docPartUnique/>
      </w:docPartObj>
    </w:sdtPr>
    <w:sdtEndPr>
      <w:rPr>
        <w:noProof/>
      </w:rPr>
    </w:sdtEndPr>
    <w:sdtContent>
      <w:p w14:paraId="71E822EE" w14:textId="0A1A2272" w:rsidR="00FE6F09" w:rsidRDefault="00435AFB">
        <w:pPr>
          <w:pStyle w:val="P68B1DB1-Footer30"/>
          <w:jc w:val="center"/>
        </w:pPr>
        <w:r>
          <w:fldChar w:fldCharType="begin"/>
        </w:r>
        <w:r>
          <w:instrText xml:space="preserve"> PAGE   \* MERGEFORMAT </w:instrText>
        </w:r>
        <w:r>
          <w:fldChar w:fldCharType="separate"/>
        </w:r>
        <w:r w:rsidR="001D63D8">
          <w:rPr>
            <w:noProof/>
          </w:rPr>
          <w:t>15</w:t>
        </w:r>
        <w: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B7B3E" w14:textId="77777777" w:rsidR="00FE6F09" w:rsidRDefault="00FE6F0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A24D6" w14:textId="77777777" w:rsidR="00FE6F09" w:rsidRDefault="00FE6F0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152335"/>
      <w:docPartObj>
        <w:docPartGallery w:val="Page Numbers (Bottom of Page)"/>
        <w:docPartUnique/>
      </w:docPartObj>
    </w:sdtPr>
    <w:sdtEndPr>
      <w:rPr>
        <w:noProof/>
      </w:rPr>
    </w:sdtEndPr>
    <w:sdtContent>
      <w:p w14:paraId="1BFA4C5E" w14:textId="644BD989" w:rsidR="00FE6F09" w:rsidRDefault="00435AFB">
        <w:pPr>
          <w:pStyle w:val="P68B1DB1-Footer30"/>
          <w:jc w:val="center"/>
        </w:pPr>
        <w:r>
          <w:fldChar w:fldCharType="begin"/>
        </w:r>
        <w:r>
          <w:instrText xml:space="preserve"> PAGE   \* MERGEFORMAT </w:instrText>
        </w:r>
        <w:r>
          <w:fldChar w:fldCharType="separate"/>
        </w:r>
        <w:r w:rsidR="001D63D8">
          <w:rPr>
            <w:noProof/>
          </w:rPr>
          <w:t>16</w:t>
        </w:r>
        <w: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FFE8D" w14:textId="77777777" w:rsidR="00FE6F09" w:rsidRDefault="00FE6F0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4158F" w14:textId="77777777" w:rsidR="00FE6F09" w:rsidRDefault="00FE6F0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093928"/>
      <w:docPartObj>
        <w:docPartGallery w:val="Page Numbers (Bottom of Page)"/>
        <w:docPartUnique/>
      </w:docPartObj>
    </w:sdtPr>
    <w:sdtEndPr>
      <w:rPr>
        <w:noProof/>
      </w:rPr>
    </w:sdtEndPr>
    <w:sdtContent>
      <w:p w14:paraId="73F304EE" w14:textId="153DF8DE" w:rsidR="00FE6F09" w:rsidRDefault="00435AFB">
        <w:pPr>
          <w:pStyle w:val="P68B1DB1-Footer30"/>
          <w:jc w:val="center"/>
        </w:pPr>
        <w:r>
          <w:fldChar w:fldCharType="begin"/>
        </w:r>
        <w:r>
          <w:instrText xml:space="preserve"> PAGE   \* MERGEFORMAT </w:instrText>
        </w:r>
        <w:r>
          <w:fldChar w:fldCharType="separate"/>
        </w:r>
        <w:r w:rsidR="001D63D8">
          <w:rPr>
            <w:noProof/>
          </w:rPr>
          <w:t>17</w:t>
        </w:r>
        <w: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A0501" w14:textId="77777777" w:rsidR="00FE6F09" w:rsidRDefault="00FE6F0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666F" w14:textId="77777777" w:rsidR="00FE6F09" w:rsidRDefault="00FE6F0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8356761"/>
      <w:docPartObj>
        <w:docPartGallery w:val="Page Numbers (Bottom of Page)"/>
        <w:docPartUnique/>
      </w:docPartObj>
    </w:sdtPr>
    <w:sdtEndPr>
      <w:rPr>
        <w:noProof/>
      </w:rPr>
    </w:sdtEndPr>
    <w:sdtContent>
      <w:p w14:paraId="00ACF972" w14:textId="6F103249" w:rsidR="00FE6F09" w:rsidRDefault="00435AFB">
        <w:pPr>
          <w:pStyle w:val="P68B1DB1-Footer30"/>
          <w:jc w:val="center"/>
        </w:pPr>
        <w:r>
          <w:fldChar w:fldCharType="begin"/>
        </w:r>
        <w:r>
          <w:instrText xml:space="preserve"> PAGE   \* MERGEFORMAT </w:instrText>
        </w:r>
        <w:r>
          <w:fldChar w:fldCharType="separate"/>
        </w:r>
        <w:r w:rsidR="001D63D8">
          <w:rPr>
            <w:noProof/>
          </w:rPr>
          <w:t>18</w:t>
        </w:r>
        <w: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D5E2E" w14:textId="77777777" w:rsidR="00FE6F09" w:rsidRDefault="00FE6F0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BB00" w14:textId="77777777" w:rsidR="00FE6F09" w:rsidRDefault="00FE6F0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339308"/>
      <w:docPartObj>
        <w:docPartGallery w:val="Page Numbers (Bottom of Page)"/>
        <w:docPartUnique/>
      </w:docPartObj>
    </w:sdtPr>
    <w:sdtEndPr>
      <w:rPr>
        <w:noProof/>
      </w:rPr>
    </w:sdtEndPr>
    <w:sdtContent>
      <w:p w14:paraId="2307EFF8" w14:textId="6513010A" w:rsidR="00FE6F09" w:rsidRDefault="00435AFB">
        <w:pPr>
          <w:pStyle w:val="P68B1DB1-Footer30"/>
          <w:jc w:val="center"/>
        </w:pPr>
        <w:r>
          <w:fldChar w:fldCharType="begin"/>
        </w:r>
        <w:r>
          <w:instrText xml:space="preserve"> PAGE   \* MERGEFORMAT </w:instrText>
        </w:r>
        <w:r>
          <w:fldChar w:fldCharType="separate"/>
        </w:r>
        <w:r w:rsidR="001D63D8">
          <w:rPr>
            <w:noProof/>
          </w:rPr>
          <w:t>20</w:t>
        </w:r>
        <w: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787BE" w14:textId="77777777" w:rsidR="00FE6F09" w:rsidRDefault="00FE6F0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C148" w14:textId="77777777" w:rsidR="00FE6F09" w:rsidRDefault="00FE6F0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530248"/>
      <w:docPartObj>
        <w:docPartGallery w:val="Page Numbers (Bottom of Page)"/>
        <w:docPartUnique/>
      </w:docPartObj>
    </w:sdtPr>
    <w:sdtEndPr>
      <w:rPr>
        <w:noProof/>
      </w:rPr>
    </w:sdtEndPr>
    <w:sdtContent>
      <w:p w14:paraId="26976912" w14:textId="518FD33F" w:rsidR="00FE6F09" w:rsidRDefault="00435AFB">
        <w:pPr>
          <w:pStyle w:val="P68B1DB1-Footer30"/>
          <w:jc w:val="center"/>
        </w:pPr>
        <w:r>
          <w:fldChar w:fldCharType="begin"/>
        </w:r>
        <w:r>
          <w:instrText xml:space="preserve"> PAGE   \* MERGEFORMAT </w:instrText>
        </w:r>
        <w:r>
          <w:fldChar w:fldCharType="separate"/>
        </w:r>
        <w:r w:rsidR="001D63D8">
          <w:rPr>
            <w:noProof/>
          </w:rPr>
          <w:t>21</w:t>
        </w:r>
        <w:r>
          <w:fldChar w:fldCharType="end"/>
        </w:r>
      </w:p>
    </w:sdtContent>
  </w:sdt>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2B254" w14:textId="77777777" w:rsidR="00FE6F09" w:rsidRDefault="00FE6F0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A2CA9" w14:textId="77777777" w:rsidR="00FE6F09" w:rsidRDefault="00FE6F0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6415745"/>
      <w:docPartObj>
        <w:docPartGallery w:val="Page Numbers (Bottom of Page)"/>
        <w:docPartUnique/>
      </w:docPartObj>
    </w:sdtPr>
    <w:sdtEndPr>
      <w:rPr>
        <w:noProof/>
      </w:rPr>
    </w:sdtEndPr>
    <w:sdtContent>
      <w:p w14:paraId="04368F4D" w14:textId="77777777" w:rsidR="00FE6F09" w:rsidRDefault="00435AFB">
        <w:pPr>
          <w:pStyle w:val="P68B1DB1-Footer30"/>
          <w:jc w:val="center"/>
        </w:pPr>
        <w:r>
          <w:fldChar w:fldCharType="begin"/>
        </w:r>
        <w:r>
          <w:instrText xml:space="preserve"> PAGE   \* MERGEFORMAT </w:instrText>
        </w:r>
        <w:r>
          <w:fldChar w:fldCharType="separate"/>
        </w:r>
        <w:r>
          <w:t>22</w:t>
        </w:r>
        <w: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E4DFA" w14:textId="77777777" w:rsidR="00FE6F09" w:rsidRDefault="00FE6F0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34CB" w14:textId="77777777" w:rsidR="00FE6F09" w:rsidRDefault="00FE6F0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85612"/>
      <w:docPartObj>
        <w:docPartGallery w:val="Page Numbers (Bottom of Page)"/>
        <w:docPartUnique/>
      </w:docPartObj>
    </w:sdtPr>
    <w:sdtEndPr>
      <w:rPr>
        <w:noProof/>
      </w:rPr>
    </w:sdtEndPr>
    <w:sdtContent>
      <w:p w14:paraId="145E565B" w14:textId="77777777" w:rsidR="00FE6F09" w:rsidRDefault="00435AFB">
        <w:pPr>
          <w:pStyle w:val="P68B1DB1-Footer30"/>
          <w:jc w:val="center"/>
        </w:pPr>
        <w:r>
          <w:fldChar w:fldCharType="begin"/>
        </w:r>
        <w:r>
          <w:instrText xml:space="preserve"> PAGE   \* MERGEFORMAT </w:instrText>
        </w:r>
        <w:r>
          <w:fldChar w:fldCharType="separate"/>
        </w:r>
        <w:r>
          <w:t>24</w:t>
        </w:r>
        <w:r>
          <w:fldChar w:fldCharType="end"/>
        </w:r>
      </w:p>
    </w:sdtContent>
  </w:sdt>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2E0EF" w14:textId="77777777" w:rsidR="00FE6F09" w:rsidRDefault="00FE6F0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D9E17" w14:textId="77777777" w:rsidR="00FE6F09" w:rsidRDefault="00FE6F0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89118"/>
      <w:docPartObj>
        <w:docPartGallery w:val="Page Numbers (Bottom of Page)"/>
        <w:docPartUnique/>
      </w:docPartObj>
    </w:sdtPr>
    <w:sdtEndPr>
      <w:rPr>
        <w:noProof/>
      </w:rPr>
    </w:sdtEndPr>
    <w:sdtContent>
      <w:p w14:paraId="2BCB783B" w14:textId="77777777" w:rsidR="00FE6F09" w:rsidRDefault="00435AFB">
        <w:pPr>
          <w:pStyle w:val="P68B1DB1-Footer30"/>
          <w:jc w:val="center"/>
        </w:pPr>
        <w:r>
          <w:fldChar w:fldCharType="begin"/>
        </w:r>
        <w:r>
          <w:instrText xml:space="preserve"> PAGE   \* MERGEFORMAT </w:instrText>
        </w:r>
        <w:r>
          <w:fldChar w:fldCharType="separate"/>
        </w:r>
        <w:r>
          <w:t>37</w:t>
        </w:r>
        <w:r>
          <w:fldChar w:fldCharType="end"/>
        </w:r>
      </w:p>
    </w:sdtContent>
  </w:sdt>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83A48" w14:textId="77777777" w:rsidR="00FE6F09" w:rsidRDefault="00FE6F0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8C505" w14:textId="77777777" w:rsidR="00FE6F09" w:rsidRDefault="00FE6F0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733897"/>
      <w:docPartObj>
        <w:docPartGallery w:val="Page Numbers (Bottom of Page)"/>
        <w:docPartUnique/>
      </w:docPartObj>
    </w:sdtPr>
    <w:sdtEndPr>
      <w:rPr>
        <w:noProof/>
      </w:rPr>
    </w:sdtEndPr>
    <w:sdtContent>
      <w:p w14:paraId="47F926C8" w14:textId="77777777" w:rsidR="00FE6F09" w:rsidRDefault="00435AFB">
        <w:pPr>
          <w:pStyle w:val="P68B1DB1-Footer30"/>
          <w:jc w:val="center"/>
        </w:pPr>
        <w:r>
          <w:fldChar w:fldCharType="begin"/>
        </w:r>
        <w:r>
          <w:instrText xml:space="preserve"> PAGE   \* MERGEFORMAT </w:instrText>
        </w:r>
        <w:r>
          <w:fldChar w:fldCharType="separate"/>
        </w:r>
        <w:r>
          <w:t>40</w:t>
        </w:r>
        <w:r>
          <w:fldChar w:fldCharType="end"/>
        </w:r>
      </w:p>
    </w:sdtContent>
  </w:sdt>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F89EF" w14:textId="77777777" w:rsidR="00FE6F09" w:rsidRDefault="00FE6F0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697EC" w14:textId="77777777" w:rsidR="00FE6F09" w:rsidRDefault="00FE6F0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130048"/>
      <w:docPartObj>
        <w:docPartGallery w:val="Page Numbers (Bottom of Page)"/>
        <w:docPartUnique/>
      </w:docPartObj>
    </w:sdtPr>
    <w:sdtEndPr>
      <w:rPr>
        <w:noProof/>
      </w:rPr>
    </w:sdtEndPr>
    <w:sdtContent>
      <w:p w14:paraId="0B4E8EA5" w14:textId="77777777" w:rsidR="00FE6F09" w:rsidRDefault="00435AFB">
        <w:pPr>
          <w:pStyle w:val="P68B1DB1-Footer30"/>
          <w:jc w:val="center"/>
        </w:pPr>
        <w:r>
          <w:fldChar w:fldCharType="begin"/>
        </w:r>
        <w:r>
          <w:instrText xml:space="preserve"> PAGE   \* MERGEFORMAT </w:instrText>
        </w:r>
        <w:r>
          <w:fldChar w:fldCharType="separate"/>
        </w:r>
        <w:r>
          <w:t>41</w:t>
        </w:r>
        <w:r>
          <w:fldChar w:fldCharType="end"/>
        </w:r>
      </w:p>
    </w:sdtContent>
  </w:sdt>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B664F" w14:textId="77777777" w:rsidR="00FE6F09" w:rsidRDefault="00FE6F0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396E1" w14:textId="77777777" w:rsidR="00FE6F09" w:rsidRDefault="00FE6F0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042846"/>
      <w:docPartObj>
        <w:docPartGallery w:val="Page Numbers (Bottom of Page)"/>
        <w:docPartUnique/>
      </w:docPartObj>
    </w:sdtPr>
    <w:sdtEndPr>
      <w:rPr>
        <w:noProof/>
      </w:rPr>
    </w:sdtEndPr>
    <w:sdtContent>
      <w:p w14:paraId="14D0048C" w14:textId="77777777" w:rsidR="00FE6F09" w:rsidRDefault="00435AFB">
        <w:pPr>
          <w:pStyle w:val="P68B1DB1-Footer30"/>
          <w:jc w:val="center"/>
        </w:pPr>
        <w:r>
          <w:fldChar w:fldCharType="begin"/>
        </w:r>
        <w:r>
          <w:instrText xml:space="preserve"> PAGE   \* MERGEFORMAT </w:instrText>
        </w:r>
        <w:r>
          <w:fldChar w:fldCharType="separate"/>
        </w:r>
        <w:r>
          <w:t>42</w:t>
        </w:r>
        <w:r>
          <w:fldChar w:fldCharType="end"/>
        </w:r>
      </w:p>
    </w:sdtContent>
  </w:sdt>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67A1E" w14:textId="77777777" w:rsidR="00FE6F09" w:rsidRDefault="00FE6F0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F9DEA" w14:textId="77777777" w:rsidR="00FE6F09" w:rsidRDefault="00FE6F0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6095001"/>
      <w:docPartObj>
        <w:docPartGallery w:val="Page Numbers (Bottom of Page)"/>
        <w:docPartUnique/>
      </w:docPartObj>
    </w:sdtPr>
    <w:sdtEndPr>
      <w:rPr>
        <w:noProof/>
      </w:rPr>
    </w:sdtEndPr>
    <w:sdtContent>
      <w:p w14:paraId="10D07C49" w14:textId="77777777" w:rsidR="00FE6F09" w:rsidRDefault="00435AFB">
        <w:pPr>
          <w:pStyle w:val="P68B1DB1-Footer30"/>
          <w:jc w:val="center"/>
        </w:pPr>
        <w:r>
          <w:fldChar w:fldCharType="begin"/>
        </w:r>
        <w:r>
          <w:instrText xml:space="preserve"> PAGE   \* MERGEFORMAT </w:instrText>
        </w:r>
        <w:r>
          <w:fldChar w:fldCharType="separate"/>
        </w:r>
        <w:r>
          <w:t>47</w:t>
        </w:r>
        <w:r>
          <w:fldChar w:fldCharType="end"/>
        </w:r>
      </w:p>
    </w:sdtContent>
  </w:sdt>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1DD2B" w14:textId="77777777" w:rsidR="00FE6F09" w:rsidRDefault="00FE6F0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4239B" w14:textId="77777777" w:rsidR="00FE6F09" w:rsidRDefault="00FE6F0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27276"/>
      <w:docPartObj>
        <w:docPartGallery w:val="Page Numbers (Bottom of Page)"/>
        <w:docPartUnique/>
      </w:docPartObj>
    </w:sdtPr>
    <w:sdtEndPr>
      <w:rPr>
        <w:noProof/>
      </w:rPr>
    </w:sdtEndPr>
    <w:sdtContent>
      <w:p w14:paraId="3B37FC33" w14:textId="77777777" w:rsidR="00FE6F09" w:rsidRDefault="00435AFB">
        <w:pPr>
          <w:pStyle w:val="P68B1DB1-Footer30"/>
          <w:jc w:val="center"/>
        </w:pPr>
        <w:r>
          <w:fldChar w:fldCharType="begin"/>
        </w:r>
        <w:r>
          <w:instrText xml:space="preserve"> PAGE   \* MERGEFORMAT </w:instrText>
        </w:r>
        <w:r>
          <w:fldChar w:fldCharType="separate"/>
        </w:r>
        <w:r>
          <w:t>47</w:t>
        </w:r>
        <w:r>
          <w:fldChar w:fldCharType="end"/>
        </w:r>
      </w:p>
    </w:sdtContent>
  </w:sdt>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D388" w14:textId="77777777" w:rsidR="00FE6F09" w:rsidRDefault="00FE6F0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B745D" w14:textId="77777777" w:rsidR="00FE6F09" w:rsidRDefault="00FE6F0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942413"/>
      <w:docPartObj>
        <w:docPartGallery w:val="Page Numbers (Bottom of Page)"/>
        <w:docPartUnique/>
      </w:docPartObj>
    </w:sdtPr>
    <w:sdtEndPr>
      <w:rPr>
        <w:noProof/>
      </w:rPr>
    </w:sdtEndPr>
    <w:sdtContent>
      <w:p w14:paraId="72C534AF" w14:textId="77777777" w:rsidR="00FE6F09" w:rsidRDefault="00435AFB">
        <w:pPr>
          <w:pStyle w:val="P68B1DB1-Footer30"/>
          <w:jc w:val="center"/>
        </w:pPr>
        <w:r>
          <w:fldChar w:fldCharType="begin"/>
        </w:r>
        <w:r>
          <w:instrText xml:space="preserve"> PAGE   \* MERGEFORMAT </w:instrText>
        </w:r>
        <w:r>
          <w:fldChar w:fldCharType="separate"/>
        </w:r>
        <w:r>
          <w:t>47</w:t>
        </w:r>
        <w:r>
          <w:fldChar w:fldCharType="end"/>
        </w:r>
      </w:p>
    </w:sdtContent>
  </w:sdt>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81538" w14:textId="77777777" w:rsidR="00FE6F09" w:rsidRDefault="00FE6F0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11B4D" w14:textId="77777777" w:rsidR="00FE6F09" w:rsidRDefault="00FE6F0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4776325"/>
      <w:docPartObj>
        <w:docPartGallery w:val="Page Numbers (Bottom of Page)"/>
        <w:docPartUnique/>
      </w:docPartObj>
    </w:sdtPr>
    <w:sdtEndPr>
      <w:rPr>
        <w:noProof/>
      </w:rPr>
    </w:sdtEndPr>
    <w:sdtContent>
      <w:p w14:paraId="6F76C18F" w14:textId="77777777" w:rsidR="00FE6F09" w:rsidRDefault="00435AFB">
        <w:pPr>
          <w:pStyle w:val="P68B1DB1-Footer30"/>
          <w:jc w:val="center"/>
        </w:pPr>
        <w:r>
          <w:fldChar w:fldCharType="begin"/>
        </w:r>
        <w:r>
          <w:instrText xml:space="preserve"> PAGE   \* MERGEFORMAT </w:instrText>
        </w:r>
        <w:r>
          <w:fldChar w:fldCharType="separate"/>
        </w:r>
        <w:r>
          <w:t>50</w:t>
        </w:r>
        <w:r>
          <w:fldChar w:fldCharType="end"/>
        </w:r>
      </w:p>
    </w:sdtContent>
  </w:sdt>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67DC6" w14:textId="00DB92E4" w:rsidR="00FE6F09" w:rsidRDefault="00FE6F09">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2BE69" w14:textId="77777777" w:rsidR="00FE6F09" w:rsidRDefault="00FE6F09">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440744"/>
      <w:docPartObj>
        <w:docPartGallery w:val="Page Numbers (Bottom of Page)"/>
        <w:docPartUnique/>
      </w:docPartObj>
    </w:sdtPr>
    <w:sdtEndPr>
      <w:rPr>
        <w:noProof/>
      </w:rPr>
    </w:sdtEndPr>
    <w:sdtContent>
      <w:p w14:paraId="50CCDEFD" w14:textId="77777777" w:rsidR="00FE6F09" w:rsidRDefault="00435AFB">
        <w:pPr>
          <w:pStyle w:val="P68B1DB1-Footer30"/>
          <w:jc w:val="center"/>
        </w:pPr>
        <w:r>
          <w:fldChar w:fldCharType="begin"/>
        </w:r>
        <w:r>
          <w:instrText xml:space="preserve"> PAGE   \* MERGEFORMAT </w:instrText>
        </w:r>
        <w:r>
          <w:fldChar w:fldCharType="separate"/>
        </w:r>
        <w:r>
          <w:t>50</w:t>
        </w:r>
        <w:r>
          <w:fldChar w:fldCharType="end"/>
        </w:r>
      </w:p>
    </w:sdtContent>
  </w:sdt>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453AA" w14:textId="77777777" w:rsidR="00FE6F09" w:rsidRDefault="00FE6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4A218" w14:textId="77777777" w:rsidR="00FE6F09" w:rsidRDefault="00435AFB">
      <w:pPr>
        <w:spacing w:after="0" w:line="240" w:lineRule="auto"/>
      </w:pPr>
      <w:r>
        <w:separator/>
      </w:r>
    </w:p>
  </w:footnote>
  <w:footnote w:type="continuationSeparator" w:id="0">
    <w:p w14:paraId="2C01F92A" w14:textId="77777777" w:rsidR="00FE6F09" w:rsidRDefault="00435AFB">
      <w:pPr>
        <w:spacing w:after="0" w:line="240" w:lineRule="auto"/>
      </w:pPr>
      <w:r>
        <w:continuationSeparator/>
      </w:r>
    </w:p>
  </w:footnote>
  <w:footnote w:id="1">
    <w:p w14:paraId="7B5EAB76" w14:textId="77850D60" w:rsidR="00FE6F09" w:rsidRDefault="00435AFB">
      <w:pPr>
        <w:pStyle w:val="FootnoteText"/>
      </w:pPr>
      <w:r>
        <w:rPr>
          <w:rStyle w:val="FootnoteReference"/>
        </w:rPr>
        <w:footnoteRef/>
      </w:r>
      <w:r>
        <w:t xml:space="preserve"> Sursă: Agenția Europeană de Mediu, vizualizator de date privind gazele cu efect de seră.</w:t>
      </w:r>
    </w:p>
  </w:footnote>
  <w:footnote w:id="2">
    <w:p w14:paraId="79E4C0A7" w14:textId="33C04B66" w:rsidR="00FE6F09" w:rsidRDefault="00435AFB">
      <w:pPr>
        <w:pStyle w:val="NormalWeb"/>
        <w:spacing w:before="0" w:beforeAutospacing="0" w:after="0" w:afterAutospacing="0"/>
        <w:rPr>
          <w:sz w:val="20"/>
          <w:szCs w:val="20"/>
        </w:rPr>
      </w:pPr>
      <w:r>
        <w:rPr>
          <w:rStyle w:val="FootnoteReference"/>
          <w:sz w:val="20"/>
          <w:szCs w:val="20"/>
        </w:rPr>
        <w:footnoteRef/>
      </w:r>
      <w:r>
        <w:rPr>
          <w:sz w:val="20"/>
          <w:szCs w:val="20"/>
        </w:rPr>
        <w:t xml:space="preserve"> Directiva (UE) 2019/1161 a Parlamentului European și a Consiliului din 20 iunie 2019 de modificare a Directivei 2009/33/CE privind promovarea vehiculelor de transport rutier nepoluante și eficiente din punct de vedere energetic. JO L 188, 12.7.2019, p. 116-130.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D1713" w14:textId="77777777" w:rsidR="00E44407" w:rsidRPr="00E44407" w:rsidRDefault="00E44407" w:rsidP="00E4440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CBB0C" w14:textId="77777777" w:rsidR="00E44407" w:rsidRPr="00E44407" w:rsidRDefault="00E44407" w:rsidP="00E4440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73EF1" w14:textId="77777777" w:rsidR="00E44407" w:rsidRPr="00E44407" w:rsidRDefault="00E44407" w:rsidP="00E4440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DBC1B" w14:textId="204EB72E" w:rsidR="00FE6F09" w:rsidRDefault="00FE6F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D2A06" w14:textId="77777777" w:rsidR="00FE6F09" w:rsidRDefault="00FE6F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FE7A4" w14:textId="77777777" w:rsidR="00FE6F09" w:rsidRDefault="00FE6F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7BF1B" w14:textId="77777777" w:rsidR="00FE6F09" w:rsidRDefault="00FE6F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0388F" w14:textId="77777777" w:rsidR="00FE6F09" w:rsidRDefault="00FE6F0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C38A9" w14:textId="77777777" w:rsidR="00FE6F09" w:rsidRDefault="00FE6F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2E988" w14:textId="77777777" w:rsidR="00FE6F09" w:rsidRDefault="00FE6F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318BB" w14:textId="77777777" w:rsidR="00FE6F09" w:rsidRDefault="00FE6F0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97CE2" w14:textId="77777777" w:rsidR="00FE6F09" w:rsidRDefault="00FE6F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CDF6C" w14:textId="77777777" w:rsidR="00FE6F09" w:rsidRDefault="00FE6F0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6CB61" w14:textId="77777777" w:rsidR="00FE6F09" w:rsidRDefault="00FE6F0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BACF2" w14:textId="77777777" w:rsidR="00FE6F09" w:rsidRDefault="00FE6F0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9A5AD" w14:textId="77777777" w:rsidR="00FE6F09" w:rsidRDefault="00FE6F0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B61C" w14:textId="77777777" w:rsidR="00FE6F09" w:rsidRDefault="00FE6F0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9F75" w14:textId="77777777" w:rsidR="00FE6F09" w:rsidRDefault="00FE6F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22129" w14:textId="77777777" w:rsidR="00FE6F09" w:rsidRDefault="00FE6F0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62C6" w14:textId="77777777" w:rsidR="00FE6F09" w:rsidRDefault="00FE6F0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0D7E4" w14:textId="77777777" w:rsidR="00FE6F09" w:rsidRDefault="00FE6F0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51CE8" w14:textId="77777777" w:rsidR="00FE6F09" w:rsidRDefault="00FE6F0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09CDE" w14:textId="77777777" w:rsidR="00FE6F09" w:rsidRDefault="00FE6F0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B0189" w14:textId="77777777" w:rsidR="00FE6F09" w:rsidRDefault="00FE6F0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A26D3" w14:textId="77777777" w:rsidR="00FE6F09" w:rsidRDefault="00FE6F0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8C209" w14:textId="77777777" w:rsidR="00FE6F09" w:rsidRDefault="00FE6F0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E5EDD" w14:textId="77777777" w:rsidR="00FE6F09" w:rsidRDefault="00FE6F0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5F76D" w14:textId="77777777" w:rsidR="00FE6F09" w:rsidRDefault="00FE6F0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1A4C2" w14:textId="77777777" w:rsidR="00FE6F09" w:rsidRDefault="00FE6F0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58AA0" w14:textId="77777777" w:rsidR="00FE6F09" w:rsidRDefault="00FE6F0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8CC15" w14:textId="77777777" w:rsidR="00FE6F09" w:rsidRDefault="00FE6F0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35AEA" w14:textId="77777777" w:rsidR="00FE6F09" w:rsidRDefault="00FE6F0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279BF" w14:textId="77777777" w:rsidR="00FE6F09" w:rsidRDefault="00FE6F0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8ADFB" w14:textId="77777777" w:rsidR="00FE6F09" w:rsidRDefault="00FE6F0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33499" w14:textId="77777777" w:rsidR="00FE6F09" w:rsidRDefault="00FE6F09">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BE095" w14:textId="77777777" w:rsidR="00FE6F09" w:rsidRDefault="00FE6F0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FE5CF" w14:textId="77777777" w:rsidR="00FE6F09" w:rsidRDefault="00FE6F0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9077F" w14:textId="77777777" w:rsidR="00FE6F09" w:rsidRDefault="00FE6F09">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384DA" w14:textId="77777777" w:rsidR="00FE6F09" w:rsidRDefault="00FE6F0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0E1CC" w14:textId="77777777" w:rsidR="00FE6F09" w:rsidRDefault="00FE6F0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FB02F" w14:textId="77777777" w:rsidR="00FE6F09" w:rsidRDefault="00FE6F09">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482A4" w14:textId="77777777" w:rsidR="00FE6F09" w:rsidRDefault="00FE6F0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17166" w14:textId="77777777" w:rsidR="00FE6F09" w:rsidRDefault="00FE6F0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E8299" w14:textId="77777777" w:rsidR="00FE6F09" w:rsidRDefault="00FE6F0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36BBC" w14:textId="77777777" w:rsidR="00FE6F09" w:rsidRDefault="00FE6F0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BE297" w14:textId="77777777" w:rsidR="00FE6F09" w:rsidRDefault="00FE6F0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59D9B" w14:textId="77777777" w:rsidR="00FE6F09" w:rsidRDefault="00FE6F09">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98E0F" w14:textId="77777777" w:rsidR="00FE6F09" w:rsidRDefault="00FE6F0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73D34" w14:textId="77777777" w:rsidR="00FE6F09" w:rsidRDefault="00FE6F0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715A1" w14:textId="77777777" w:rsidR="00FE6F09" w:rsidRDefault="00FE6F09">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99F0D" w14:textId="77777777" w:rsidR="00FE6F09" w:rsidRDefault="00FE6F0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9246" w14:textId="77777777" w:rsidR="00FE6F09" w:rsidRDefault="00FE6F0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1A20C" w14:textId="77777777" w:rsidR="00FE6F09" w:rsidRDefault="00FE6F09">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E26ED" w14:textId="77777777" w:rsidR="00FE6F09" w:rsidRDefault="00FE6F0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67C93" w14:textId="77777777" w:rsidR="00FE6F09" w:rsidRDefault="00FE6F0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2535E" w14:textId="77777777" w:rsidR="00FE6F09" w:rsidRDefault="00FE6F09">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D975A" w14:textId="77777777" w:rsidR="00FE6F09" w:rsidRDefault="00FE6F0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3C5CD" w14:textId="77777777" w:rsidR="00FE6F09" w:rsidRDefault="00FE6F0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63E3C" w14:textId="77777777" w:rsidR="00FE6F09" w:rsidRDefault="00FE6F09">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F082" w14:textId="77777777" w:rsidR="00FE6F09" w:rsidRDefault="00FE6F0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4CA63" w14:textId="77777777" w:rsidR="00FE6F09" w:rsidRDefault="00FE6F0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14B9D" w14:textId="77777777" w:rsidR="00FE6F09" w:rsidRDefault="00FE6F09">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94D1A" w14:textId="77777777" w:rsidR="00FE6F09" w:rsidRDefault="00FE6F0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D9DB3" w14:textId="77777777" w:rsidR="00FE6F09" w:rsidRDefault="00FE6F0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D6864" w14:textId="77777777" w:rsidR="00FE6F09" w:rsidRDefault="00FE6F09">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8F695" w14:textId="77777777" w:rsidR="00FE6F09" w:rsidRDefault="00FE6F0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E6182" w14:textId="77777777" w:rsidR="00FE6F09" w:rsidRDefault="00FE6F0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E43B" w14:textId="77777777" w:rsidR="00FE6F09" w:rsidRDefault="00FE6F09">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7BB8A" w14:textId="77777777" w:rsidR="00FE6F09" w:rsidRDefault="00FE6F0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0180D" w14:textId="77777777" w:rsidR="00FE6F09" w:rsidRDefault="00FE6F0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5C18F" w14:textId="77777777" w:rsidR="00FE6F09" w:rsidRDefault="00FE6F09">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26B3B" w14:textId="77777777" w:rsidR="00FE6F09" w:rsidRDefault="00FE6F0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72A4C" w14:textId="77777777" w:rsidR="00FE6F09" w:rsidRDefault="00FE6F0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23CCF" w14:textId="77777777" w:rsidR="00FE6F09" w:rsidRDefault="00FE6F09">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46E5D" w14:textId="77777777" w:rsidR="00FE6F09" w:rsidRDefault="00FE6F09">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12500" w14:textId="77777777" w:rsidR="00FE6F09" w:rsidRDefault="00FE6F09">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08CD" w14:textId="77777777" w:rsidR="00FE6F09" w:rsidRDefault="00FE6F09">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4D8C" w14:textId="77777777" w:rsidR="00FE6F09" w:rsidRDefault="00FE6F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0,62882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3140A8D"/>
    <w:multiLevelType w:val="hybridMultilevel"/>
    <w:tmpl w:val="D7F2FB3E"/>
    <w:lvl w:ilvl="0" w:tplc="9864DD8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0"/>
  </w:num>
  <w:num w:numId="3">
    <w:abstractNumId w:val="17"/>
  </w:num>
  <w:num w:numId="4">
    <w:abstractNumId w:val="8"/>
  </w:num>
  <w:num w:numId="5">
    <w:abstractNumId w:val="11"/>
  </w:num>
  <w:num w:numId="6">
    <w:abstractNumId w:val="6"/>
  </w:num>
  <w:num w:numId="7">
    <w:abstractNumId w:val="5"/>
  </w:num>
  <w:num w:numId="8">
    <w:abstractNumId w:val="12"/>
  </w:num>
  <w:num w:numId="9">
    <w:abstractNumId w:val="14"/>
  </w:num>
  <w:num w:numId="10">
    <w:abstractNumId w:val="15"/>
  </w:num>
  <w:num w:numId="11">
    <w:abstractNumId w:val="7"/>
  </w:num>
  <w:num w:numId="12">
    <w:abstractNumId w:val="13"/>
  </w:num>
  <w:num w:numId="13">
    <w:abstractNumId w:val="19"/>
  </w:num>
  <w:num w:numId="14">
    <w:abstractNumId w:val="4"/>
  </w:num>
  <w:num w:numId="15">
    <w:abstractNumId w:val="2"/>
  </w:num>
  <w:num w:numId="16">
    <w:abstractNumId w:val="1"/>
  </w:num>
  <w:num w:numId="17">
    <w:abstractNumId w:val="0"/>
  </w:num>
  <w:num w:numId="18">
    <w:abstractNumId w:val="3"/>
  </w:num>
  <w:num w:numId="19">
    <w:abstractNumId w:val="18"/>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260A3C76-B817-4524-955E-7B711A25FB83"/>
    <w:docVar w:name="LW_COVERPAGE_TYPE" w:val="1"/>
    <w:docVar w:name="LW_CROSSREFERENCE" w:val="{SWD(2026) 167 final}"/>
    <w:docVar w:name="LW_DocType" w:val="NORMAL"/>
    <w:docVar w:name="LW_EMISSION" w:val="18.6.2026"/>
    <w:docVar w:name="LW_EMISSION_ISODATE" w:val="2026-06-18"/>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Luxemburgului"/>
    <w:docVar w:name="LW_PART_NBR" w:val="1"/>
    <w:docVar w:name="LW_PART_NBR_TOTAL" w:val="1"/>
    <w:docVar w:name="LW_REF.INST.NEW" w:val="COM"/>
    <w:docVar w:name="LW_REF.INST.NEW_ADOPTED" w:val="final"/>
    <w:docVar w:name="LW_REF.INST.NEW_TEXT" w:val="(2026) 3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9823F0"/>
    <w:rsid w:val="000167A4"/>
    <w:rsid w:val="00016814"/>
    <w:rsid w:val="0003271F"/>
    <w:rsid w:val="000766A3"/>
    <w:rsid w:val="0007763B"/>
    <w:rsid w:val="00086781"/>
    <w:rsid w:val="00086787"/>
    <w:rsid w:val="00093B99"/>
    <w:rsid w:val="000B2889"/>
    <w:rsid w:val="000D31C4"/>
    <w:rsid w:val="000E5ACC"/>
    <w:rsid w:val="000F2603"/>
    <w:rsid w:val="00105381"/>
    <w:rsid w:val="00112875"/>
    <w:rsid w:val="001233EA"/>
    <w:rsid w:val="00144883"/>
    <w:rsid w:val="00150784"/>
    <w:rsid w:val="001768BF"/>
    <w:rsid w:val="00176EBF"/>
    <w:rsid w:val="0018115A"/>
    <w:rsid w:val="00191256"/>
    <w:rsid w:val="00195C16"/>
    <w:rsid w:val="001A490D"/>
    <w:rsid w:val="001B52FB"/>
    <w:rsid w:val="001B7936"/>
    <w:rsid w:val="001C670D"/>
    <w:rsid w:val="001D63D8"/>
    <w:rsid w:val="0022140A"/>
    <w:rsid w:val="002231BB"/>
    <w:rsid w:val="002365D5"/>
    <w:rsid w:val="00254C2B"/>
    <w:rsid w:val="00260F2B"/>
    <w:rsid w:val="0028607F"/>
    <w:rsid w:val="002905BA"/>
    <w:rsid w:val="002B37FC"/>
    <w:rsid w:val="002C400C"/>
    <w:rsid w:val="002D2C3D"/>
    <w:rsid w:val="002E1712"/>
    <w:rsid w:val="00323B6F"/>
    <w:rsid w:val="003421F5"/>
    <w:rsid w:val="00342827"/>
    <w:rsid w:val="00342D38"/>
    <w:rsid w:val="003672B9"/>
    <w:rsid w:val="00370833"/>
    <w:rsid w:val="00376197"/>
    <w:rsid w:val="003874AE"/>
    <w:rsid w:val="00391F75"/>
    <w:rsid w:val="00394459"/>
    <w:rsid w:val="003A0728"/>
    <w:rsid w:val="003A5A0B"/>
    <w:rsid w:val="003B11C5"/>
    <w:rsid w:val="003B5207"/>
    <w:rsid w:val="00424458"/>
    <w:rsid w:val="00435AFB"/>
    <w:rsid w:val="00437FC8"/>
    <w:rsid w:val="00443C86"/>
    <w:rsid w:val="00465190"/>
    <w:rsid w:val="0048701D"/>
    <w:rsid w:val="00490F62"/>
    <w:rsid w:val="004B17AC"/>
    <w:rsid w:val="004B544D"/>
    <w:rsid w:val="004E1C1A"/>
    <w:rsid w:val="004E5AB6"/>
    <w:rsid w:val="00500505"/>
    <w:rsid w:val="00506596"/>
    <w:rsid w:val="00576A5B"/>
    <w:rsid w:val="005B1D20"/>
    <w:rsid w:val="005C7143"/>
    <w:rsid w:val="005E3533"/>
    <w:rsid w:val="005F6D93"/>
    <w:rsid w:val="005F7341"/>
    <w:rsid w:val="0060048C"/>
    <w:rsid w:val="00604CBD"/>
    <w:rsid w:val="00612EED"/>
    <w:rsid w:val="00612F34"/>
    <w:rsid w:val="00623EF7"/>
    <w:rsid w:val="00625FD6"/>
    <w:rsid w:val="00632F2B"/>
    <w:rsid w:val="00656B0B"/>
    <w:rsid w:val="0066087F"/>
    <w:rsid w:val="007319A1"/>
    <w:rsid w:val="007328BA"/>
    <w:rsid w:val="0074643C"/>
    <w:rsid w:val="00751E39"/>
    <w:rsid w:val="00751FB1"/>
    <w:rsid w:val="00755BAA"/>
    <w:rsid w:val="00757371"/>
    <w:rsid w:val="00760B4D"/>
    <w:rsid w:val="00764BDB"/>
    <w:rsid w:val="007714AE"/>
    <w:rsid w:val="00787A60"/>
    <w:rsid w:val="0079352F"/>
    <w:rsid w:val="007D76E4"/>
    <w:rsid w:val="007E627A"/>
    <w:rsid w:val="007E72DC"/>
    <w:rsid w:val="008003B9"/>
    <w:rsid w:val="00817253"/>
    <w:rsid w:val="00834002"/>
    <w:rsid w:val="00843041"/>
    <w:rsid w:val="00845F25"/>
    <w:rsid w:val="00846E0F"/>
    <w:rsid w:val="00854B82"/>
    <w:rsid w:val="00857276"/>
    <w:rsid w:val="00882121"/>
    <w:rsid w:val="008879A2"/>
    <w:rsid w:val="00893413"/>
    <w:rsid w:val="008958EC"/>
    <w:rsid w:val="0089675E"/>
    <w:rsid w:val="008B0ACA"/>
    <w:rsid w:val="008B170E"/>
    <w:rsid w:val="008B666F"/>
    <w:rsid w:val="008E373E"/>
    <w:rsid w:val="008E3BF4"/>
    <w:rsid w:val="008E3E1F"/>
    <w:rsid w:val="00903498"/>
    <w:rsid w:val="00904334"/>
    <w:rsid w:val="00922B2F"/>
    <w:rsid w:val="00945A96"/>
    <w:rsid w:val="00946A78"/>
    <w:rsid w:val="009534A5"/>
    <w:rsid w:val="009814E8"/>
    <w:rsid w:val="009823F0"/>
    <w:rsid w:val="009D22CD"/>
    <w:rsid w:val="009E6941"/>
    <w:rsid w:val="009F7510"/>
    <w:rsid w:val="00A12871"/>
    <w:rsid w:val="00A1791B"/>
    <w:rsid w:val="00A17CDD"/>
    <w:rsid w:val="00A437B5"/>
    <w:rsid w:val="00A52CB9"/>
    <w:rsid w:val="00A54149"/>
    <w:rsid w:val="00A54481"/>
    <w:rsid w:val="00A8719C"/>
    <w:rsid w:val="00B43FBE"/>
    <w:rsid w:val="00B93CCC"/>
    <w:rsid w:val="00B9453F"/>
    <w:rsid w:val="00BB260C"/>
    <w:rsid w:val="00BC4C0E"/>
    <w:rsid w:val="00BD2985"/>
    <w:rsid w:val="00BE49E5"/>
    <w:rsid w:val="00C0691D"/>
    <w:rsid w:val="00C14EA0"/>
    <w:rsid w:val="00C16C6C"/>
    <w:rsid w:val="00C215B9"/>
    <w:rsid w:val="00C27AD6"/>
    <w:rsid w:val="00C42D72"/>
    <w:rsid w:val="00C64DF4"/>
    <w:rsid w:val="00C82A63"/>
    <w:rsid w:val="00C82DC3"/>
    <w:rsid w:val="00CB62DD"/>
    <w:rsid w:val="00D14094"/>
    <w:rsid w:val="00D16AB8"/>
    <w:rsid w:val="00D176F4"/>
    <w:rsid w:val="00D333BB"/>
    <w:rsid w:val="00D47F7F"/>
    <w:rsid w:val="00D64890"/>
    <w:rsid w:val="00D80587"/>
    <w:rsid w:val="00D85BA1"/>
    <w:rsid w:val="00DB0376"/>
    <w:rsid w:val="00DC61B0"/>
    <w:rsid w:val="00E11E3D"/>
    <w:rsid w:val="00E22B0C"/>
    <w:rsid w:val="00E44407"/>
    <w:rsid w:val="00EA0D33"/>
    <w:rsid w:val="00ED467C"/>
    <w:rsid w:val="00EE2C7A"/>
    <w:rsid w:val="00EE3E6A"/>
    <w:rsid w:val="00F056C6"/>
    <w:rsid w:val="00F21D85"/>
    <w:rsid w:val="00F25E48"/>
    <w:rsid w:val="00F406B7"/>
    <w:rsid w:val="00F51817"/>
    <w:rsid w:val="00F90EBD"/>
    <w:rsid w:val="00FA79F6"/>
    <w:rsid w:val="00FC00B3"/>
    <w:rsid w:val="00FE5667"/>
    <w:rsid w:val="00FE6F09"/>
    <w:rsid w:val="00FE7658"/>
    <w:rsid w:val="00FF31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DDD23"/>
  <w15:chartTrackingRefBased/>
  <w15:docId w15:val="{8F4DA695-E7C2-4404-B9FD-FBCF048D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82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2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23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823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3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3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3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3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3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3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23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23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823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3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3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3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3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3F0"/>
    <w:rPr>
      <w:rFonts w:eastAsiaTheme="majorEastAsia" w:cstheme="majorBidi"/>
      <w:color w:val="272727" w:themeColor="text1" w:themeTint="D8"/>
    </w:rPr>
  </w:style>
  <w:style w:type="paragraph" w:styleId="Title">
    <w:name w:val="Title"/>
    <w:basedOn w:val="Normal"/>
    <w:next w:val="Normal"/>
    <w:link w:val="TitleChar"/>
    <w:uiPriority w:val="10"/>
    <w:qFormat/>
    <w:rsid w:val="009823F0"/>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9823F0"/>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9823F0"/>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9823F0"/>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9823F0"/>
    <w:pPr>
      <w:spacing w:before="160"/>
      <w:jc w:val="center"/>
    </w:pPr>
    <w:rPr>
      <w:i/>
      <w:iCs/>
      <w:color w:val="404040" w:themeColor="text1" w:themeTint="BF"/>
    </w:rPr>
  </w:style>
  <w:style w:type="character" w:customStyle="1" w:styleId="QuoteChar">
    <w:name w:val="Quote Char"/>
    <w:basedOn w:val="DefaultParagraphFont"/>
    <w:link w:val="Quote"/>
    <w:uiPriority w:val="29"/>
    <w:rsid w:val="009823F0"/>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9823F0"/>
    <w:pPr>
      <w:ind w:left="720"/>
      <w:contextualSpacing/>
    </w:pPr>
  </w:style>
  <w:style w:type="character" w:styleId="IntenseEmphasis">
    <w:name w:val="Intense Emphasis"/>
    <w:basedOn w:val="DefaultParagraphFont"/>
    <w:uiPriority w:val="21"/>
    <w:qFormat/>
    <w:rsid w:val="009823F0"/>
    <w:rPr>
      <w:i/>
      <w:iCs/>
      <w:color w:val="0F4761" w:themeColor="accent1" w:themeShade="BF"/>
    </w:rPr>
  </w:style>
  <w:style w:type="paragraph" w:styleId="IntenseQuote">
    <w:name w:val="Intense Quote"/>
    <w:basedOn w:val="Normal"/>
    <w:next w:val="Normal"/>
    <w:link w:val="IntenseQuoteChar"/>
    <w:uiPriority w:val="30"/>
    <w:qFormat/>
    <w:rsid w:val="00982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3F0"/>
    <w:rPr>
      <w:i/>
      <w:iCs/>
      <w:color w:val="0F4761" w:themeColor="accent1" w:themeShade="BF"/>
    </w:rPr>
  </w:style>
  <w:style w:type="character" w:styleId="IntenseReference">
    <w:name w:val="Intense Reference"/>
    <w:basedOn w:val="DefaultParagraphFont"/>
    <w:uiPriority w:val="32"/>
    <w:qFormat/>
    <w:rsid w:val="009823F0"/>
    <w:rPr>
      <w:b/>
      <w:bCs/>
      <w:smallCaps/>
      <w:color w:val="0F4761" w:themeColor="accent1" w:themeShade="BF"/>
    </w:rPr>
  </w:style>
  <w:style w:type="character" w:customStyle="1" w:styleId="Marker">
    <w:name w:val="Marker"/>
    <w:basedOn w:val="DefaultParagraphFont"/>
    <w:rsid w:val="009823F0"/>
    <w:rPr>
      <w:color w:val="0000FF"/>
      <w:shd w:val="clear" w:color="auto" w:fill="auto"/>
    </w:rPr>
  </w:style>
  <w:style w:type="paragraph" w:styleId="Header">
    <w:name w:val="header"/>
    <w:basedOn w:val="Normal"/>
    <w:link w:val="HeaderChar"/>
    <w:uiPriority w:val="99"/>
    <w:unhideWhenUsed/>
    <w:rsid w:val="009823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3F0"/>
  </w:style>
  <w:style w:type="paragraph" w:styleId="Footer">
    <w:name w:val="footer"/>
    <w:basedOn w:val="Normal"/>
    <w:link w:val="FooterChar"/>
    <w:uiPriority w:val="99"/>
    <w:unhideWhenUsed/>
    <w:rsid w:val="009823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3F0"/>
  </w:style>
  <w:style w:type="paragraph" w:customStyle="1" w:styleId="Pagedecouverture">
    <w:name w:val="Page de couverture"/>
    <w:basedOn w:val="Normal"/>
    <w:next w:val="Normal"/>
    <w:rsid w:val="009823F0"/>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823F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823F0"/>
    <w:rPr>
      <w:rFonts w:ascii="Times New Roman" w:hAnsi="Times New Roman" w:cs="Times New Roman"/>
      <w:sz w:val="24"/>
    </w:rPr>
  </w:style>
  <w:style w:type="paragraph" w:customStyle="1" w:styleId="FooterSensitivity">
    <w:name w:val="Footer Sensitivity"/>
    <w:basedOn w:val="Normal"/>
    <w:link w:val="FooterSensitivityChar"/>
    <w:rsid w:val="009823F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823F0"/>
    <w:rPr>
      <w:rFonts w:ascii="Times New Roman" w:hAnsi="Times New Roman" w:cs="Times New Roman"/>
      <w:b/>
      <w:sz w:val="32"/>
    </w:rPr>
  </w:style>
  <w:style w:type="paragraph" w:customStyle="1" w:styleId="HeaderCoverPage">
    <w:name w:val="Header Cover Page"/>
    <w:basedOn w:val="Normal"/>
    <w:link w:val="HeaderCoverPageChar"/>
    <w:rsid w:val="009823F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823F0"/>
    <w:rPr>
      <w:rFonts w:ascii="Times New Roman" w:hAnsi="Times New Roman" w:cs="Times New Roman"/>
      <w:sz w:val="24"/>
    </w:rPr>
  </w:style>
  <w:style w:type="paragraph" w:customStyle="1" w:styleId="HeaderSensitivity">
    <w:name w:val="Header Sensitivity"/>
    <w:basedOn w:val="Normal"/>
    <w:link w:val="HeaderSensitivityChar"/>
    <w:rsid w:val="009823F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823F0"/>
    <w:rPr>
      <w:rFonts w:ascii="Times New Roman" w:hAnsi="Times New Roman" w:cs="Times New Roman"/>
      <w:b/>
      <w:sz w:val="32"/>
    </w:rPr>
  </w:style>
  <w:style w:type="paragraph" w:customStyle="1" w:styleId="HeaderSensitivityRight">
    <w:name w:val="Header Sensitivity Right"/>
    <w:basedOn w:val="Normal"/>
    <w:link w:val="HeaderSensitivityRightChar"/>
    <w:rsid w:val="009823F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823F0"/>
    <w:rPr>
      <w:rFonts w:ascii="Times New Roman" w:hAnsi="Times New Roman" w:cs="Times New Roman"/>
      <w:sz w:val="28"/>
    </w:rPr>
  </w:style>
  <w:style w:type="paragraph" w:customStyle="1" w:styleId="TechnicalBlockBase">
    <w:name w:val="TechnicalBlockBase"/>
    <w:link w:val="TechnicalBlockBaseChar"/>
    <w:rsid w:val="009823F0"/>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9823F0"/>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9823F0"/>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9823F0"/>
    <w:rPr>
      <w:rFonts w:ascii="Arial" w:eastAsia="Times New Roman" w:hAnsi="Arial" w:cs="Arial"/>
      <w:b/>
      <w:kern w:val="0"/>
      <w:sz w:val="23"/>
      <w:szCs w:val="20"/>
      <w:u w:color="606060"/>
    </w:rPr>
  </w:style>
  <w:style w:type="paragraph" w:customStyle="1" w:styleId="TBDistrbMarkers">
    <w:name w:val="TBDistrbMarkers"/>
    <w:basedOn w:val="TBEntRefer"/>
    <w:qFormat/>
    <w:rsid w:val="009823F0"/>
    <w:pPr>
      <w:tabs>
        <w:tab w:val="left" w:pos="2262"/>
      </w:tabs>
    </w:pPr>
    <w:rPr>
      <w:i/>
      <w:iCs/>
      <w:szCs w:val="23"/>
    </w:rPr>
  </w:style>
  <w:style w:type="paragraph" w:customStyle="1" w:styleId="TBEntACP">
    <w:name w:val="TBEntACP"/>
    <w:basedOn w:val="TechnicalBlockBase"/>
    <w:rsid w:val="009823F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9823F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9823F0"/>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9823F0"/>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9823F0"/>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9823F0"/>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9823F0"/>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9823F0"/>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9823F0"/>
    <w:rPr>
      <w:rFonts w:ascii="Arial" w:eastAsia="Times New Roman" w:hAnsi="Arial" w:cs="Arial"/>
      <w:b/>
      <w:kern w:val="0"/>
      <w:sz w:val="23"/>
      <w:szCs w:val="20"/>
      <w:u w:color="606060"/>
    </w:rPr>
  </w:style>
  <w:style w:type="paragraph" w:customStyle="1" w:styleId="TBSubjectTable">
    <w:name w:val="TBSubjectTable"/>
    <w:basedOn w:val="TechnicalBlockBase"/>
    <w:rsid w:val="009823F0"/>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9823F0"/>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9823F0"/>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9823F0"/>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9823F0"/>
    <w:pPr>
      <w:widowControl/>
      <w:spacing w:before="40" w:after="40" w:line="240" w:lineRule="auto"/>
      <w:ind w:left="0" w:right="0"/>
    </w:pPr>
    <w:rPr>
      <w:rFonts w:ascii="Arial" w:hAnsi="Arial"/>
      <w:b w:val="0"/>
      <w:i w:val="0"/>
      <w:dstrike w:val="0"/>
      <w:color w:val="auto"/>
      <w:sz w:val="23"/>
      <w:u w:val="none"/>
    </w:rPr>
  </w:style>
  <w:style w:type="paragraph" w:customStyle="1" w:styleId="EntText">
    <w:name w:val="EntText"/>
    <w:basedOn w:val="Normal"/>
    <w:uiPriority w:val="99"/>
    <w:unhideWhenUsed/>
    <w:rsid w:val="009823F0"/>
    <w:pPr>
      <w:spacing w:after="200" w:line="360" w:lineRule="auto"/>
    </w:pPr>
    <w:rPr>
      <w:rFonts w:ascii="Times New Roman" w:hAnsi="Times New Roman"/>
      <w:kern w:val="0"/>
      <w:sz w:val="24"/>
    </w:rPr>
  </w:style>
  <w:style w:type="paragraph" w:customStyle="1" w:styleId="Lignefinal">
    <w:name w:val="Ligne final"/>
    <w:basedOn w:val="Normal"/>
    <w:uiPriority w:val="99"/>
    <w:unhideWhenUsed/>
    <w:rsid w:val="009823F0"/>
    <w:pPr>
      <w:pBdr>
        <w:bottom w:val="single" w:sz="4" w:space="0" w:color="000000"/>
      </w:pBdr>
      <w:spacing w:before="360" w:after="120" w:line="276" w:lineRule="auto"/>
      <w:ind w:left="3400" w:right="3400"/>
      <w:jc w:val="center"/>
    </w:pPr>
    <w:rPr>
      <w:rFonts w:ascii="Times New Roman" w:hAnsi="Times New Roman"/>
      <w:kern w:val="0"/>
    </w:rPr>
  </w:style>
  <w:style w:type="paragraph" w:customStyle="1" w:styleId="pj">
    <w:name w:val="p.j."/>
    <w:basedOn w:val="Normal"/>
    <w:uiPriority w:val="99"/>
    <w:unhideWhenUsed/>
    <w:rsid w:val="009823F0"/>
    <w:pPr>
      <w:spacing w:before="1200" w:after="120" w:line="276" w:lineRule="auto"/>
      <w:ind w:left="1440" w:hanging="1440"/>
    </w:pPr>
    <w:rPr>
      <w:rFonts w:ascii="Times New Roman" w:hAnsi="Times New Roman"/>
      <w:kern w:val="0"/>
      <w:sz w:val="24"/>
    </w:rPr>
  </w:style>
  <w:style w:type="paragraph" w:customStyle="1" w:styleId="HeaderCouncil">
    <w:name w:val="Header Council"/>
    <w:basedOn w:val="Normal"/>
    <w:uiPriority w:val="99"/>
    <w:unhideWhenUsed/>
    <w:rsid w:val="009823F0"/>
    <w:pPr>
      <w:spacing w:after="0" w:line="276" w:lineRule="auto"/>
    </w:pPr>
    <w:rPr>
      <w:rFonts w:ascii="Times New Roman" w:hAnsi="Times New Roman"/>
      <w:kern w:val="0"/>
      <w:sz w:val="2"/>
    </w:rPr>
  </w:style>
  <w:style w:type="paragraph" w:customStyle="1" w:styleId="HeaderCouncilLarge">
    <w:name w:val="Header Council Large"/>
    <w:basedOn w:val="Normal"/>
    <w:uiPriority w:val="99"/>
    <w:unhideWhenUsed/>
    <w:rsid w:val="009823F0"/>
    <w:pPr>
      <w:spacing w:after="440" w:line="276" w:lineRule="auto"/>
    </w:pPr>
    <w:rPr>
      <w:rFonts w:ascii="Times New Roman" w:hAnsi="Times New Roman"/>
      <w:kern w:val="0"/>
      <w:sz w:val="2"/>
    </w:rPr>
  </w:style>
  <w:style w:type="paragraph" w:customStyle="1" w:styleId="FooterCouncil">
    <w:name w:val="Footer Council"/>
    <w:basedOn w:val="Normal"/>
    <w:uiPriority w:val="99"/>
    <w:unhideWhenUsed/>
    <w:rsid w:val="009823F0"/>
    <w:pPr>
      <w:spacing w:after="0" w:line="276" w:lineRule="auto"/>
    </w:pPr>
    <w:rPr>
      <w:rFonts w:ascii="Times New Roman" w:hAnsi="Times New Roman"/>
      <w:kern w:val="0"/>
      <w:sz w:val="2"/>
    </w:rPr>
  </w:style>
  <w:style w:type="paragraph" w:customStyle="1" w:styleId="FooterText">
    <w:name w:val="Footer Text"/>
    <w:basedOn w:val="Normal"/>
    <w:uiPriority w:val="99"/>
    <w:unhideWhenUsed/>
    <w:rsid w:val="009823F0"/>
    <w:pPr>
      <w:spacing w:after="0" w:line="240" w:lineRule="auto"/>
    </w:pPr>
    <w:rPr>
      <w:rFonts w:ascii="Times New Roman" w:hAnsi="Times New Roman"/>
      <w:kern w:val="0"/>
      <w:sz w:val="24"/>
    </w:rPr>
  </w:style>
  <w:style w:type="numbering" w:customStyle="1" w:styleId="NoList1">
    <w:name w:val="No List1"/>
    <w:next w:val="NoList"/>
    <w:uiPriority w:val="99"/>
    <w:semiHidden/>
    <w:unhideWhenUsed/>
    <w:rsid w:val="009823F0"/>
  </w:style>
  <w:style w:type="paragraph" w:styleId="FootnoteText">
    <w:name w:val="footnote text"/>
    <w:basedOn w:val="Normal"/>
    <w:link w:val="FootnoteTextChar"/>
    <w:uiPriority w:val="99"/>
    <w:semiHidden/>
    <w:unhideWhenUsed/>
    <w:rsid w:val="009823F0"/>
    <w:pPr>
      <w:spacing w:after="0" w:line="240" w:lineRule="auto"/>
      <w:ind w:left="720" w:hanging="720"/>
      <w:jc w:val="both"/>
    </w:pPr>
    <w:rPr>
      <w:rFonts w:ascii="Times New Roman" w:hAnsi="Times New Roman" w:cs="Times New Roman"/>
      <w:kern w:val="0"/>
      <w:sz w:val="20"/>
      <w:szCs w:val="20"/>
    </w:rPr>
  </w:style>
  <w:style w:type="character" w:customStyle="1" w:styleId="FootnoteTextChar">
    <w:name w:val="Footnote Text Char"/>
    <w:basedOn w:val="DefaultParagraphFont"/>
    <w:link w:val="FootnoteText"/>
    <w:uiPriority w:val="99"/>
    <w:semiHidden/>
    <w:rsid w:val="009823F0"/>
    <w:rPr>
      <w:rFonts w:ascii="Times New Roman" w:hAnsi="Times New Roman" w:cs="Times New Roman"/>
      <w:kern w:val="0"/>
      <w:sz w:val="20"/>
      <w:szCs w:val="20"/>
    </w:rPr>
  </w:style>
  <w:style w:type="paragraph" w:styleId="TOCHeading">
    <w:name w:val="TOC Heading"/>
    <w:basedOn w:val="Normal"/>
    <w:next w:val="Normal"/>
    <w:uiPriority w:val="39"/>
    <w:semiHidden/>
    <w:unhideWhenUsed/>
    <w:qFormat/>
    <w:rsid w:val="009823F0"/>
    <w:pPr>
      <w:spacing w:before="120" w:after="240" w:line="240" w:lineRule="auto"/>
      <w:jc w:val="center"/>
    </w:pPr>
    <w:rPr>
      <w:rFonts w:ascii="Times New Roman" w:hAnsi="Times New Roman" w:cs="Times New Roman"/>
      <w:b/>
      <w:kern w:val="0"/>
      <w:sz w:val="28"/>
    </w:rPr>
  </w:style>
  <w:style w:type="paragraph" w:styleId="TOC1">
    <w:name w:val="toc 1"/>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2">
    <w:name w:val="toc 2"/>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3">
    <w:name w:val="toc 3"/>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4">
    <w:name w:val="toc 4"/>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5">
    <w:name w:val="toc 5"/>
    <w:basedOn w:val="Normal"/>
    <w:next w:val="Normal"/>
    <w:uiPriority w:val="39"/>
    <w:semiHidden/>
    <w:unhideWhenUsed/>
    <w:rsid w:val="009823F0"/>
    <w:pPr>
      <w:tabs>
        <w:tab w:val="right" w:leader="dot" w:pos="9071"/>
      </w:tabs>
      <w:spacing w:before="300" w:after="120" w:line="240" w:lineRule="auto"/>
    </w:pPr>
    <w:rPr>
      <w:rFonts w:ascii="Times New Roman" w:hAnsi="Times New Roman" w:cs="Times New Roman"/>
      <w:kern w:val="0"/>
      <w:sz w:val="24"/>
    </w:rPr>
  </w:style>
  <w:style w:type="paragraph" w:styleId="TOC6">
    <w:name w:val="toc 6"/>
    <w:basedOn w:val="Normal"/>
    <w:next w:val="Normal"/>
    <w:uiPriority w:val="39"/>
    <w:semiHidden/>
    <w:unhideWhenUsed/>
    <w:rsid w:val="009823F0"/>
    <w:pPr>
      <w:tabs>
        <w:tab w:val="right" w:leader="dot" w:pos="9071"/>
      </w:tabs>
      <w:spacing w:before="240" w:after="120" w:line="240" w:lineRule="auto"/>
    </w:pPr>
    <w:rPr>
      <w:rFonts w:ascii="Times New Roman" w:hAnsi="Times New Roman" w:cs="Times New Roman"/>
      <w:kern w:val="0"/>
      <w:sz w:val="24"/>
    </w:rPr>
  </w:style>
  <w:style w:type="paragraph" w:styleId="TOC7">
    <w:name w:val="toc 7"/>
    <w:basedOn w:val="Normal"/>
    <w:next w:val="Normal"/>
    <w:uiPriority w:val="39"/>
    <w:semiHidden/>
    <w:unhideWhenUsed/>
    <w:rsid w:val="009823F0"/>
    <w:pPr>
      <w:tabs>
        <w:tab w:val="right" w:leader="dot" w:pos="9071"/>
      </w:tabs>
      <w:spacing w:before="180" w:after="120" w:line="240" w:lineRule="auto"/>
    </w:pPr>
    <w:rPr>
      <w:rFonts w:ascii="Times New Roman" w:hAnsi="Times New Roman" w:cs="Times New Roman"/>
      <w:kern w:val="0"/>
      <w:sz w:val="24"/>
    </w:rPr>
  </w:style>
  <w:style w:type="paragraph" w:styleId="TOC8">
    <w:name w:val="toc 8"/>
    <w:basedOn w:val="Normal"/>
    <w:next w:val="Normal"/>
    <w:uiPriority w:val="39"/>
    <w:semiHidden/>
    <w:unhideWhenUsed/>
    <w:rsid w:val="009823F0"/>
    <w:pPr>
      <w:tabs>
        <w:tab w:val="right" w:leader="dot" w:pos="9071"/>
      </w:tabs>
      <w:spacing w:before="120" w:after="120" w:line="240" w:lineRule="auto"/>
    </w:pPr>
    <w:rPr>
      <w:rFonts w:ascii="Times New Roman" w:hAnsi="Times New Roman" w:cs="Times New Roman"/>
      <w:kern w:val="0"/>
      <w:sz w:val="24"/>
    </w:rPr>
  </w:style>
  <w:style w:type="paragraph" w:styleId="TOC9">
    <w:name w:val="toc 9"/>
    <w:basedOn w:val="Normal"/>
    <w:next w:val="Normal"/>
    <w:uiPriority w:val="39"/>
    <w:semiHidden/>
    <w:unhideWhenUsed/>
    <w:rsid w:val="009823F0"/>
    <w:pPr>
      <w:tabs>
        <w:tab w:val="right" w:leader="dot" w:pos="9071"/>
      </w:tabs>
      <w:spacing w:before="120" w:after="120" w:line="240" w:lineRule="auto"/>
      <w:jc w:val="both"/>
    </w:pPr>
    <w:rPr>
      <w:rFonts w:ascii="Times New Roman" w:hAnsi="Times New Roman" w:cs="Times New Roman"/>
      <w:kern w:val="0"/>
      <w:sz w:val="24"/>
    </w:rPr>
  </w:style>
  <w:style w:type="paragraph" w:customStyle="1" w:styleId="HeaderLandscape">
    <w:name w:val="HeaderLandscape"/>
    <w:basedOn w:val="Normal"/>
    <w:rsid w:val="009823F0"/>
    <w:pPr>
      <w:tabs>
        <w:tab w:val="center" w:pos="7285"/>
        <w:tab w:val="right" w:pos="14003"/>
      </w:tabs>
      <w:spacing w:after="120" w:line="240" w:lineRule="auto"/>
      <w:jc w:val="both"/>
    </w:pPr>
    <w:rPr>
      <w:rFonts w:ascii="Times New Roman" w:hAnsi="Times New Roman" w:cs="Times New Roman"/>
      <w:kern w:val="0"/>
      <w:sz w:val="24"/>
    </w:rPr>
  </w:style>
  <w:style w:type="paragraph" w:customStyle="1" w:styleId="FooterLandscape">
    <w:name w:val="FooterLandscape"/>
    <w:basedOn w:val="Normal"/>
    <w:rsid w:val="009823F0"/>
    <w:pPr>
      <w:tabs>
        <w:tab w:val="center" w:pos="7285"/>
        <w:tab w:val="center" w:pos="10913"/>
        <w:tab w:val="right" w:pos="15137"/>
      </w:tabs>
      <w:spacing w:before="360" w:after="0" w:line="240" w:lineRule="auto"/>
      <w:ind w:left="-567" w:right="-567"/>
    </w:pPr>
    <w:rPr>
      <w:rFonts w:ascii="Times New Roman" w:hAnsi="Times New Roman" w:cs="Times New Roman"/>
      <w:kern w:val="0"/>
      <w:sz w:val="24"/>
    </w:rPr>
  </w:style>
  <w:style w:type="character" w:styleId="FootnoteReference">
    <w:name w:val="footnote reference"/>
    <w:basedOn w:val="DefaultParagraphFont"/>
    <w:uiPriority w:val="99"/>
    <w:semiHidden/>
    <w:unhideWhenUsed/>
    <w:rsid w:val="009823F0"/>
    <w:rPr>
      <w:shd w:val="clear" w:color="auto" w:fill="auto"/>
      <w:vertAlign w:val="superscript"/>
    </w:rPr>
  </w:style>
  <w:style w:type="paragraph" w:customStyle="1" w:styleId="Text1">
    <w:name w:val="Text 1"/>
    <w:basedOn w:val="Normal"/>
    <w:rsid w:val="009823F0"/>
    <w:pPr>
      <w:spacing w:before="120" w:after="120" w:line="240" w:lineRule="auto"/>
      <w:ind w:left="850"/>
      <w:jc w:val="both"/>
    </w:pPr>
    <w:rPr>
      <w:rFonts w:ascii="Times New Roman" w:hAnsi="Times New Roman" w:cs="Times New Roman"/>
      <w:kern w:val="0"/>
      <w:sz w:val="24"/>
    </w:rPr>
  </w:style>
  <w:style w:type="paragraph" w:customStyle="1" w:styleId="Text2">
    <w:name w:val="Text 2"/>
    <w:basedOn w:val="Normal"/>
    <w:rsid w:val="009823F0"/>
    <w:pPr>
      <w:spacing w:before="120" w:after="120" w:line="240" w:lineRule="auto"/>
      <w:ind w:left="1417"/>
      <w:jc w:val="both"/>
    </w:pPr>
    <w:rPr>
      <w:rFonts w:ascii="Times New Roman" w:hAnsi="Times New Roman" w:cs="Times New Roman"/>
      <w:kern w:val="0"/>
      <w:sz w:val="24"/>
    </w:rPr>
  </w:style>
  <w:style w:type="paragraph" w:customStyle="1" w:styleId="Text3">
    <w:name w:val="Text 3"/>
    <w:basedOn w:val="Normal"/>
    <w:rsid w:val="009823F0"/>
    <w:pPr>
      <w:spacing w:before="120" w:after="120" w:line="240" w:lineRule="auto"/>
      <w:ind w:left="1984"/>
      <w:jc w:val="both"/>
    </w:pPr>
    <w:rPr>
      <w:rFonts w:ascii="Times New Roman" w:hAnsi="Times New Roman" w:cs="Times New Roman"/>
      <w:kern w:val="0"/>
      <w:sz w:val="24"/>
    </w:rPr>
  </w:style>
  <w:style w:type="paragraph" w:customStyle="1" w:styleId="Text4">
    <w:name w:val="Text 4"/>
    <w:basedOn w:val="Normal"/>
    <w:rsid w:val="009823F0"/>
    <w:pPr>
      <w:spacing w:before="120" w:after="120" w:line="240" w:lineRule="auto"/>
      <w:ind w:left="2551"/>
      <w:jc w:val="both"/>
    </w:pPr>
    <w:rPr>
      <w:rFonts w:ascii="Times New Roman" w:hAnsi="Times New Roman" w:cs="Times New Roman"/>
      <w:kern w:val="0"/>
      <w:sz w:val="24"/>
    </w:rPr>
  </w:style>
  <w:style w:type="paragraph" w:customStyle="1" w:styleId="NormalCentered">
    <w:name w:val="Normal Centered"/>
    <w:basedOn w:val="Normal"/>
    <w:rsid w:val="009823F0"/>
    <w:pPr>
      <w:spacing w:before="120" w:after="120" w:line="240" w:lineRule="auto"/>
      <w:jc w:val="center"/>
    </w:pPr>
    <w:rPr>
      <w:rFonts w:ascii="Times New Roman" w:hAnsi="Times New Roman" w:cs="Times New Roman"/>
      <w:kern w:val="0"/>
      <w:sz w:val="24"/>
    </w:rPr>
  </w:style>
  <w:style w:type="paragraph" w:customStyle="1" w:styleId="NormalLeft">
    <w:name w:val="Normal Left"/>
    <w:basedOn w:val="Normal"/>
    <w:rsid w:val="009823F0"/>
    <w:pPr>
      <w:spacing w:before="120" w:after="120" w:line="240" w:lineRule="auto"/>
    </w:pPr>
    <w:rPr>
      <w:rFonts w:ascii="Times New Roman" w:hAnsi="Times New Roman" w:cs="Times New Roman"/>
      <w:kern w:val="0"/>
      <w:sz w:val="24"/>
    </w:rPr>
  </w:style>
  <w:style w:type="paragraph" w:customStyle="1" w:styleId="NormalRight">
    <w:name w:val="Normal Right"/>
    <w:basedOn w:val="Normal"/>
    <w:rsid w:val="009823F0"/>
    <w:pPr>
      <w:spacing w:before="120" w:after="120" w:line="240" w:lineRule="auto"/>
      <w:jc w:val="right"/>
    </w:pPr>
    <w:rPr>
      <w:rFonts w:ascii="Times New Roman" w:hAnsi="Times New Roman" w:cs="Times New Roman"/>
      <w:kern w:val="0"/>
      <w:sz w:val="24"/>
    </w:rPr>
  </w:style>
  <w:style w:type="paragraph" w:customStyle="1" w:styleId="QuotedText">
    <w:name w:val="Quoted Text"/>
    <w:basedOn w:val="Normal"/>
    <w:rsid w:val="009823F0"/>
    <w:pPr>
      <w:spacing w:before="120" w:after="120" w:line="240" w:lineRule="auto"/>
      <w:ind w:left="1417"/>
      <w:jc w:val="both"/>
    </w:pPr>
    <w:rPr>
      <w:rFonts w:ascii="Times New Roman" w:hAnsi="Times New Roman" w:cs="Times New Roman"/>
      <w:kern w:val="0"/>
      <w:sz w:val="24"/>
    </w:rPr>
  </w:style>
  <w:style w:type="paragraph" w:customStyle="1" w:styleId="Point0">
    <w:name w:val="Point 0"/>
    <w:basedOn w:val="Normal"/>
    <w:rsid w:val="009823F0"/>
    <w:pPr>
      <w:spacing w:before="120" w:after="120" w:line="240" w:lineRule="auto"/>
      <w:ind w:left="850" w:hanging="850"/>
      <w:jc w:val="both"/>
    </w:pPr>
    <w:rPr>
      <w:rFonts w:ascii="Times New Roman" w:hAnsi="Times New Roman" w:cs="Times New Roman"/>
      <w:kern w:val="0"/>
      <w:sz w:val="24"/>
    </w:rPr>
  </w:style>
  <w:style w:type="paragraph" w:customStyle="1" w:styleId="Point1">
    <w:name w:val="Point 1"/>
    <w:basedOn w:val="Normal"/>
    <w:rsid w:val="009823F0"/>
    <w:pPr>
      <w:spacing w:before="120" w:after="120" w:line="240" w:lineRule="auto"/>
      <w:ind w:left="1417" w:hanging="567"/>
      <w:jc w:val="both"/>
    </w:pPr>
    <w:rPr>
      <w:rFonts w:ascii="Times New Roman" w:hAnsi="Times New Roman" w:cs="Times New Roman"/>
      <w:kern w:val="0"/>
      <w:sz w:val="24"/>
    </w:rPr>
  </w:style>
  <w:style w:type="paragraph" w:customStyle="1" w:styleId="Point2">
    <w:name w:val="Point 2"/>
    <w:basedOn w:val="Normal"/>
    <w:rsid w:val="009823F0"/>
    <w:pPr>
      <w:spacing w:before="120" w:after="120" w:line="240" w:lineRule="auto"/>
      <w:ind w:left="1984" w:hanging="567"/>
      <w:jc w:val="both"/>
    </w:pPr>
    <w:rPr>
      <w:rFonts w:ascii="Times New Roman" w:hAnsi="Times New Roman" w:cs="Times New Roman"/>
      <w:kern w:val="0"/>
      <w:sz w:val="24"/>
    </w:rPr>
  </w:style>
  <w:style w:type="paragraph" w:customStyle="1" w:styleId="Point3">
    <w:name w:val="Point 3"/>
    <w:basedOn w:val="Normal"/>
    <w:rsid w:val="009823F0"/>
    <w:pPr>
      <w:spacing w:before="120" w:after="120" w:line="240" w:lineRule="auto"/>
      <w:ind w:left="2551" w:hanging="567"/>
      <w:jc w:val="both"/>
    </w:pPr>
    <w:rPr>
      <w:rFonts w:ascii="Times New Roman" w:hAnsi="Times New Roman" w:cs="Times New Roman"/>
      <w:kern w:val="0"/>
      <w:sz w:val="24"/>
    </w:rPr>
  </w:style>
  <w:style w:type="paragraph" w:customStyle="1" w:styleId="Point4">
    <w:name w:val="Point 4"/>
    <w:basedOn w:val="Normal"/>
    <w:rsid w:val="009823F0"/>
    <w:pPr>
      <w:spacing w:before="120" w:after="120" w:line="240" w:lineRule="auto"/>
      <w:ind w:left="3118" w:hanging="567"/>
      <w:jc w:val="both"/>
    </w:pPr>
    <w:rPr>
      <w:rFonts w:ascii="Times New Roman" w:hAnsi="Times New Roman" w:cs="Times New Roman"/>
      <w:kern w:val="0"/>
      <w:sz w:val="24"/>
    </w:rPr>
  </w:style>
  <w:style w:type="paragraph" w:customStyle="1" w:styleId="Tiret0">
    <w:name w:val="Tiret 0"/>
    <w:basedOn w:val="Point0"/>
    <w:rsid w:val="009823F0"/>
    <w:pPr>
      <w:numPr>
        <w:numId w:val="1"/>
      </w:numPr>
      <w:tabs>
        <w:tab w:val="clear" w:pos="850"/>
      </w:tabs>
      <w:ind w:left="0" w:firstLine="0"/>
    </w:pPr>
  </w:style>
  <w:style w:type="paragraph" w:customStyle="1" w:styleId="Tiret1">
    <w:name w:val="Tiret 1"/>
    <w:basedOn w:val="Point1"/>
    <w:rsid w:val="009823F0"/>
    <w:pPr>
      <w:numPr>
        <w:numId w:val="2"/>
      </w:numPr>
      <w:tabs>
        <w:tab w:val="clear" w:pos="1417"/>
      </w:tabs>
      <w:ind w:left="0" w:firstLine="0"/>
    </w:pPr>
  </w:style>
  <w:style w:type="paragraph" w:customStyle="1" w:styleId="Tiret2">
    <w:name w:val="Tiret 2"/>
    <w:basedOn w:val="Point2"/>
    <w:rsid w:val="009823F0"/>
    <w:pPr>
      <w:numPr>
        <w:numId w:val="3"/>
      </w:numPr>
      <w:tabs>
        <w:tab w:val="clear" w:pos="1984"/>
      </w:tabs>
      <w:ind w:left="0" w:firstLine="0"/>
    </w:pPr>
  </w:style>
  <w:style w:type="paragraph" w:customStyle="1" w:styleId="Tiret3">
    <w:name w:val="Tiret 3"/>
    <w:basedOn w:val="Point3"/>
    <w:rsid w:val="009823F0"/>
    <w:pPr>
      <w:numPr>
        <w:numId w:val="4"/>
      </w:numPr>
      <w:tabs>
        <w:tab w:val="clear" w:pos="2551"/>
      </w:tabs>
      <w:ind w:left="0" w:firstLine="0"/>
    </w:pPr>
  </w:style>
  <w:style w:type="paragraph" w:customStyle="1" w:styleId="Tiret4">
    <w:name w:val="Tiret 4"/>
    <w:basedOn w:val="Point4"/>
    <w:rsid w:val="009823F0"/>
    <w:pPr>
      <w:numPr>
        <w:numId w:val="5"/>
      </w:numPr>
      <w:tabs>
        <w:tab w:val="clear" w:pos="3118"/>
      </w:tabs>
      <w:ind w:left="0" w:firstLine="0"/>
    </w:pPr>
  </w:style>
  <w:style w:type="paragraph" w:customStyle="1" w:styleId="PointDouble0">
    <w:name w:val="PointDouble 0"/>
    <w:basedOn w:val="Normal"/>
    <w:rsid w:val="009823F0"/>
    <w:pPr>
      <w:tabs>
        <w:tab w:val="left" w:pos="850"/>
      </w:tabs>
      <w:spacing w:before="120" w:after="120" w:line="240" w:lineRule="auto"/>
      <w:ind w:left="1417" w:hanging="1417"/>
      <w:jc w:val="both"/>
    </w:pPr>
    <w:rPr>
      <w:rFonts w:ascii="Times New Roman" w:hAnsi="Times New Roman" w:cs="Times New Roman"/>
      <w:kern w:val="0"/>
      <w:sz w:val="24"/>
    </w:rPr>
  </w:style>
  <w:style w:type="paragraph" w:customStyle="1" w:styleId="PointDouble1">
    <w:name w:val="PointDouble 1"/>
    <w:basedOn w:val="Normal"/>
    <w:rsid w:val="009823F0"/>
    <w:pPr>
      <w:tabs>
        <w:tab w:val="left" w:pos="1417"/>
      </w:tabs>
      <w:spacing w:before="120" w:after="120" w:line="240" w:lineRule="auto"/>
      <w:ind w:left="1984" w:hanging="1134"/>
      <w:jc w:val="both"/>
    </w:pPr>
    <w:rPr>
      <w:rFonts w:ascii="Times New Roman" w:hAnsi="Times New Roman" w:cs="Times New Roman"/>
      <w:kern w:val="0"/>
      <w:sz w:val="24"/>
    </w:rPr>
  </w:style>
  <w:style w:type="paragraph" w:customStyle="1" w:styleId="PointDouble2">
    <w:name w:val="PointDouble 2"/>
    <w:basedOn w:val="Normal"/>
    <w:rsid w:val="009823F0"/>
    <w:pPr>
      <w:tabs>
        <w:tab w:val="left" w:pos="1984"/>
      </w:tabs>
      <w:spacing w:before="120" w:after="120" w:line="240" w:lineRule="auto"/>
      <w:ind w:left="2551" w:hanging="1134"/>
      <w:jc w:val="both"/>
    </w:pPr>
    <w:rPr>
      <w:rFonts w:ascii="Times New Roman" w:hAnsi="Times New Roman" w:cs="Times New Roman"/>
      <w:kern w:val="0"/>
      <w:sz w:val="24"/>
    </w:rPr>
  </w:style>
  <w:style w:type="paragraph" w:customStyle="1" w:styleId="PointDouble3">
    <w:name w:val="PointDouble 3"/>
    <w:basedOn w:val="Normal"/>
    <w:rsid w:val="009823F0"/>
    <w:pPr>
      <w:tabs>
        <w:tab w:val="left" w:pos="2551"/>
      </w:tabs>
      <w:spacing w:before="120" w:after="120" w:line="240" w:lineRule="auto"/>
      <w:ind w:left="3118" w:hanging="1134"/>
      <w:jc w:val="both"/>
    </w:pPr>
    <w:rPr>
      <w:rFonts w:ascii="Times New Roman" w:hAnsi="Times New Roman" w:cs="Times New Roman"/>
      <w:kern w:val="0"/>
      <w:sz w:val="24"/>
    </w:rPr>
  </w:style>
  <w:style w:type="paragraph" w:customStyle="1" w:styleId="PointDouble4">
    <w:name w:val="PointDouble 4"/>
    <w:basedOn w:val="Normal"/>
    <w:rsid w:val="009823F0"/>
    <w:pPr>
      <w:tabs>
        <w:tab w:val="left" w:pos="3118"/>
      </w:tabs>
      <w:spacing w:before="120" w:after="120" w:line="240" w:lineRule="auto"/>
      <w:ind w:left="3685" w:hanging="1134"/>
      <w:jc w:val="both"/>
    </w:pPr>
    <w:rPr>
      <w:rFonts w:ascii="Times New Roman" w:hAnsi="Times New Roman" w:cs="Times New Roman"/>
      <w:kern w:val="0"/>
      <w:sz w:val="24"/>
    </w:rPr>
  </w:style>
  <w:style w:type="paragraph" w:customStyle="1" w:styleId="PointTriple0">
    <w:name w:val="PointTriple 0"/>
    <w:basedOn w:val="Normal"/>
    <w:rsid w:val="009823F0"/>
    <w:pPr>
      <w:tabs>
        <w:tab w:val="left" w:pos="850"/>
        <w:tab w:val="left" w:pos="1417"/>
      </w:tabs>
      <w:spacing w:before="120" w:after="120" w:line="240" w:lineRule="auto"/>
      <w:ind w:left="1984" w:hanging="1984"/>
      <w:jc w:val="both"/>
    </w:pPr>
    <w:rPr>
      <w:rFonts w:ascii="Times New Roman" w:hAnsi="Times New Roman" w:cs="Times New Roman"/>
      <w:kern w:val="0"/>
      <w:sz w:val="24"/>
    </w:rPr>
  </w:style>
  <w:style w:type="paragraph" w:customStyle="1" w:styleId="PointTriple1">
    <w:name w:val="PointTriple 1"/>
    <w:basedOn w:val="Normal"/>
    <w:rsid w:val="009823F0"/>
    <w:pPr>
      <w:tabs>
        <w:tab w:val="left" w:pos="1417"/>
        <w:tab w:val="left" w:pos="1984"/>
      </w:tabs>
      <w:spacing w:before="120" w:after="120" w:line="240" w:lineRule="auto"/>
      <w:ind w:left="2551" w:hanging="1701"/>
      <w:jc w:val="both"/>
    </w:pPr>
    <w:rPr>
      <w:rFonts w:ascii="Times New Roman" w:hAnsi="Times New Roman" w:cs="Times New Roman"/>
      <w:kern w:val="0"/>
      <w:sz w:val="24"/>
    </w:rPr>
  </w:style>
  <w:style w:type="paragraph" w:customStyle="1" w:styleId="PointTriple2">
    <w:name w:val="PointTriple 2"/>
    <w:basedOn w:val="Normal"/>
    <w:rsid w:val="009823F0"/>
    <w:pPr>
      <w:tabs>
        <w:tab w:val="left" w:pos="1984"/>
        <w:tab w:val="left" w:pos="2551"/>
      </w:tabs>
      <w:spacing w:before="120" w:after="120" w:line="240" w:lineRule="auto"/>
      <w:ind w:left="3118" w:hanging="1701"/>
      <w:jc w:val="both"/>
    </w:pPr>
    <w:rPr>
      <w:rFonts w:ascii="Times New Roman" w:hAnsi="Times New Roman" w:cs="Times New Roman"/>
      <w:kern w:val="0"/>
      <w:sz w:val="24"/>
    </w:rPr>
  </w:style>
  <w:style w:type="paragraph" w:customStyle="1" w:styleId="PointTriple3">
    <w:name w:val="PointTriple 3"/>
    <w:basedOn w:val="Normal"/>
    <w:rsid w:val="009823F0"/>
    <w:pPr>
      <w:tabs>
        <w:tab w:val="left" w:pos="2551"/>
        <w:tab w:val="left" w:pos="3118"/>
      </w:tabs>
      <w:spacing w:before="120" w:after="120" w:line="240" w:lineRule="auto"/>
      <w:ind w:left="3685" w:hanging="1701"/>
      <w:jc w:val="both"/>
    </w:pPr>
    <w:rPr>
      <w:rFonts w:ascii="Times New Roman" w:hAnsi="Times New Roman" w:cs="Times New Roman"/>
      <w:kern w:val="0"/>
      <w:sz w:val="24"/>
    </w:rPr>
  </w:style>
  <w:style w:type="paragraph" w:customStyle="1" w:styleId="PointTriple4">
    <w:name w:val="PointTriple 4"/>
    <w:basedOn w:val="Normal"/>
    <w:rsid w:val="009823F0"/>
    <w:pPr>
      <w:tabs>
        <w:tab w:val="left" w:pos="3118"/>
        <w:tab w:val="left" w:pos="3685"/>
      </w:tabs>
      <w:spacing w:before="120" w:after="120" w:line="240" w:lineRule="auto"/>
      <w:ind w:left="4252" w:hanging="1701"/>
      <w:jc w:val="both"/>
    </w:pPr>
    <w:rPr>
      <w:rFonts w:ascii="Times New Roman" w:hAnsi="Times New Roman" w:cs="Times New Roman"/>
      <w:kern w:val="0"/>
      <w:sz w:val="24"/>
    </w:rPr>
  </w:style>
  <w:style w:type="paragraph" w:customStyle="1" w:styleId="NumPar1">
    <w:name w:val="NumPar 1"/>
    <w:basedOn w:val="Normal"/>
    <w:next w:val="Text1"/>
    <w:rsid w:val="009823F0"/>
    <w:pPr>
      <w:numPr>
        <w:numId w:val="6"/>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NumPar2">
    <w:name w:val="NumPar 2"/>
    <w:basedOn w:val="Normal"/>
    <w:next w:val="Text1"/>
    <w:rsid w:val="009823F0"/>
    <w:pPr>
      <w:numPr>
        <w:ilvl w:val="1"/>
        <w:numId w:val="6"/>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NumPar3">
    <w:name w:val="NumPar 3"/>
    <w:basedOn w:val="Normal"/>
    <w:next w:val="Text1"/>
    <w:rsid w:val="009823F0"/>
    <w:pPr>
      <w:numPr>
        <w:ilvl w:val="2"/>
        <w:numId w:val="6"/>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NumPar4">
    <w:name w:val="NumPar 4"/>
    <w:basedOn w:val="Normal"/>
    <w:next w:val="Text1"/>
    <w:rsid w:val="009823F0"/>
    <w:pPr>
      <w:numPr>
        <w:ilvl w:val="3"/>
        <w:numId w:val="6"/>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ManualNumPar1">
    <w:name w:val="Manual NumPar 1"/>
    <w:basedOn w:val="Normal"/>
    <w:next w:val="Text1"/>
    <w:rsid w:val="009823F0"/>
    <w:pPr>
      <w:spacing w:before="120" w:after="120" w:line="240" w:lineRule="auto"/>
      <w:ind w:left="850" w:hanging="850"/>
      <w:jc w:val="both"/>
    </w:pPr>
    <w:rPr>
      <w:rFonts w:ascii="Times New Roman" w:hAnsi="Times New Roman" w:cs="Times New Roman"/>
      <w:kern w:val="0"/>
      <w:sz w:val="24"/>
    </w:rPr>
  </w:style>
  <w:style w:type="paragraph" w:customStyle="1" w:styleId="ManualNumPar2">
    <w:name w:val="Manual NumPar 2"/>
    <w:basedOn w:val="Normal"/>
    <w:next w:val="Text1"/>
    <w:rsid w:val="009823F0"/>
    <w:pPr>
      <w:spacing w:before="120" w:after="120" w:line="240" w:lineRule="auto"/>
      <w:ind w:left="850" w:hanging="850"/>
      <w:jc w:val="both"/>
    </w:pPr>
    <w:rPr>
      <w:rFonts w:ascii="Times New Roman" w:hAnsi="Times New Roman" w:cs="Times New Roman"/>
      <w:kern w:val="0"/>
      <w:sz w:val="24"/>
    </w:rPr>
  </w:style>
  <w:style w:type="paragraph" w:customStyle="1" w:styleId="ManualNumPar3">
    <w:name w:val="Manual NumPar 3"/>
    <w:basedOn w:val="Normal"/>
    <w:next w:val="Text1"/>
    <w:rsid w:val="009823F0"/>
    <w:pPr>
      <w:spacing w:before="120" w:after="120" w:line="240" w:lineRule="auto"/>
      <w:ind w:left="850" w:hanging="850"/>
      <w:jc w:val="both"/>
    </w:pPr>
    <w:rPr>
      <w:rFonts w:ascii="Times New Roman" w:hAnsi="Times New Roman" w:cs="Times New Roman"/>
      <w:kern w:val="0"/>
      <w:sz w:val="24"/>
    </w:rPr>
  </w:style>
  <w:style w:type="paragraph" w:customStyle="1" w:styleId="ManualNumPar4">
    <w:name w:val="Manual NumPar 4"/>
    <w:basedOn w:val="Normal"/>
    <w:next w:val="Text1"/>
    <w:rsid w:val="009823F0"/>
    <w:pPr>
      <w:spacing w:before="120" w:after="120" w:line="240" w:lineRule="auto"/>
      <w:ind w:left="850" w:hanging="850"/>
      <w:jc w:val="both"/>
    </w:pPr>
    <w:rPr>
      <w:rFonts w:ascii="Times New Roman" w:hAnsi="Times New Roman" w:cs="Times New Roman"/>
      <w:kern w:val="0"/>
      <w:sz w:val="24"/>
    </w:rPr>
  </w:style>
  <w:style w:type="paragraph" w:customStyle="1" w:styleId="QuotedNumPar">
    <w:name w:val="Quoted NumPar"/>
    <w:basedOn w:val="Normal"/>
    <w:rsid w:val="009823F0"/>
    <w:pPr>
      <w:spacing w:before="120" w:after="120" w:line="240" w:lineRule="auto"/>
      <w:ind w:left="1417" w:hanging="567"/>
      <w:jc w:val="both"/>
    </w:pPr>
    <w:rPr>
      <w:rFonts w:ascii="Times New Roman" w:hAnsi="Times New Roman" w:cs="Times New Roman"/>
      <w:kern w:val="0"/>
      <w:sz w:val="24"/>
    </w:rPr>
  </w:style>
  <w:style w:type="paragraph" w:customStyle="1" w:styleId="ManualHeading1">
    <w:name w:val="Manual Heading 1"/>
    <w:basedOn w:val="Normal"/>
    <w:next w:val="Text1"/>
    <w:rsid w:val="009823F0"/>
    <w:pPr>
      <w:keepNext/>
      <w:tabs>
        <w:tab w:val="left" w:pos="850"/>
      </w:tabs>
      <w:spacing w:before="360" w:after="120" w:line="240" w:lineRule="auto"/>
      <w:ind w:left="850" w:hanging="850"/>
      <w:jc w:val="both"/>
      <w:outlineLvl w:val="0"/>
    </w:pPr>
    <w:rPr>
      <w:rFonts w:ascii="Times New Roman" w:hAnsi="Times New Roman" w:cs="Times New Roman"/>
      <w:b/>
      <w:smallCaps/>
      <w:kern w:val="0"/>
      <w:sz w:val="24"/>
    </w:rPr>
  </w:style>
  <w:style w:type="paragraph" w:customStyle="1" w:styleId="ManualHeading2">
    <w:name w:val="Manual Heading 2"/>
    <w:basedOn w:val="Normal"/>
    <w:next w:val="Text1"/>
    <w:rsid w:val="009823F0"/>
    <w:pPr>
      <w:keepNext/>
      <w:tabs>
        <w:tab w:val="left" w:pos="850"/>
      </w:tabs>
      <w:spacing w:before="120" w:after="120" w:line="240" w:lineRule="auto"/>
      <w:ind w:left="850" w:hanging="850"/>
      <w:jc w:val="both"/>
      <w:outlineLvl w:val="1"/>
    </w:pPr>
    <w:rPr>
      <w:rFonts w:ascii="Times New Roman" w:hAnsi="Times New Roman" w:cs="Times New Roman"/>
      <w:b/>
      <w:kern w:val="0"/>
      <w:sz w:val="24"/>
    </w:rPr>
  </w:style>
  <w:style w:type="paragraph" w:customStyle="1" w:styleId="ManualHeading3">
    <w:name w:val="Manual Heading 3"/>
    <w:basedOn w:val="Normal"/>
    <w:next w:val="Text1"/>
    <w:rsid w:val="009823F0"/>
    <w:pPr>
      <w:keepNext/>
      <w:tabs>
        <w:tab w:val="left" w:pos="850"/>
      </w:tabs>
      <w:spacing w:before="120" w:after="120" w:line="240" w:lineRule="auto"/>
      <w:ind w:left="850" w:hanging="850"/>
      <w:jc w:val="both"/>
      <w:outlineLvl w:val="2"/>
    </w:pPr>
    <w:rPr>
      <w:rFonts w:ascii="Times New Roman" w:hAnsi="Times New Roman" w:cs="Times New Roman"/>
      <w:i/>
      <w:kern w:val="0"/>
      <w:sz w:val="24"/>
    </w:rPr>
  </w:style>
  <w:style w:type="paragraph" w:customStyle="1" w:styleId="ManualHeading4">
    <w:name w:val="Manual Heading 4"/>
    <w:basedOn w:val="Normal"/>
    <w:next w:val="Text1"/>
    <w:rsid w:val="009823F0"/>
    <w:pPr>
      <w:keepNext/>
      <w:tabs>
        <w:tab w:val="left" w:pos="850"/>
      </w:tabs>
      <w:spacing w:before="120" w:after="120" w:line="240" w:lineRule="auto"/>
      <w:ind w:left="850" w:hanging="850"/>
      <w:jc w:val="both"/>
      <w:outlineLvl w:val="3"/>
    </w:pPr>
    <w:rPr>
      <w:rFonts w:ascii="Times New Roman" w:hAnsi="Times New Roman" w:cs="Times New Roman"/>
      <w:kern w:val="0"/>
      <w:sz w:val="24"/>
    </w:rPr>
  </w:style>
  <w:style w:type="paragraph" w:customStyle="1" w:styleId="ChapterTitle">
    <w:name w:val="ChapterTitle"/>
    <w:basedOn w:val="Normal"/>
    <w:next w:val="Normal"/>
    <w:rsid w:val="009823F0"/>
    <w:pPr>
      <w:keepNext/>
      <w:spacing w:before="120" w:after="360" w:line="240" w:lineRule="auto"/>
      <w:jc w:val="center"/>
    </w:pPr>
    <w:rPr>
      <w:rFonts w:ascii="Times New Roman" w:hAnsi="Times New Roman" w:cs="Times New Roman"/>
      <w:b/>
      <w:kern w:val="0"/>
      <w:sz w:val="32"/>
    </w:rPr>
  </w:style>
  <w:style w:type="paragraph" w:customStyle="1" w:styleId="PartTitle">
    <w:name w:val="PartTitle"/>
    <w:basedOn w:val="Normal"/>
    <w:next w:val="ChapterTitle"/>
    <w:rsid w:val="009823F0"/>
    <w:pPr>
      <w:keepNext/>
      <w:pageBreakBefore/>
      <w:spacing w:before="120" w:after="360" w:line="240" w:lineRule="auto"/>
      <w:jc w:val="center"/>
    </w:pPr>
    <w:rPr>
      <w:rFonts w:ascii="Times New Roman" w:hAnsi="Times New Roman" w:cs="Times New Roman"/>
      <w:b/>
      <w:kern w:val="0"/>
      <w:sz w:val="36"/>
    </w:rPr>
  </w:style>
  <w:style w:type="paragraph" w:customStyle="1" w:styleId="SectionTitle">
    <w:name w:val="SectionTitle"/>
    <w:basedOn w:val="Normal"/>
    <w:next w:val="Heading1"/>
    <w:rsid w:val="009823F0"/>
    <w:pPr>
      <w:keepNext/>
      <w:spacing w:before="120" w:after="360" w:line="240" w:lineRule="auto"/>
      <w:jc w:val="center"/>
    </w:pPr>
    <w:rPr>
      <w:rFonts w:ascii="Times New Roman" w:hAnsi="Times New Roman" w:cs="Times New Roman"/>
      <w:b/>
      <w:smallCaps/>
      <w:kern w:val="0"/>
      <w:sz w:val="28"/>
    </w:rPr>
  </w:style>
  <w:style w:type="paragraph" w:customStyle="1" w:styleId="TableTitle">
    <w:name w:val="Table Title"/>
    <w:basedOn w:val="Normal"/>
    <w:next w:val="Normal"/>
    <w:rsid w:val="009823F0"/>
    <w:pPr>
      <w:spacing w:before="120" w:after="120" w:line="240" w:lineRule="auto"/>
      <w:jc w:val="center"/>
    </w:pPr>
    <w:rPr>
      <w:rFonts w:ascii="Times New Roman" w:hAnsi="Times New Roman" w:cs="Times New Roman"/>
      <w:b/>
      <w:kern w:val="0"/>
      <w:sz w:val="24"/>
    </w:rPr>
  </w:style>
  <w:style w:type="character" w:customStyle="1" w:styleId="Marker1">
    <w:name w:val="Marker1"/>
    <w:basedOn w:val="DefaultParagraphFont"/>
    <w:rsid w:val="009823F0"/>
    <w:rPr>
      <w:color w:val="008000"/>
      <w:shd w:val="clear" w:color="auto" w:fill="auto"/>
    </w:rPr>
  </w:style>
  <w:style w:type="character" w:customStyle="1" w:styleId="Marker2">
    <w:name w:val="Marker2"/>
    <w:basedOn w:val="DefaultParagraphFont"/>
    <w:rsid w:val="009823F0"/>
    <w:rPr>
      <w:color w:val="FF0000"/>
      <w:shd w:val="clear" w:color="auto" w:fill="auto"/>
    </w:rPr>
  </w:style>
  <w:style w:type="paragraph" w:customStyle="1" w:styleId="Point0number">
    <w:name w:val="Point 0 (number)"/>
    <w:basedOn w:val="Normal"/>
    <w:rsid w:val="009823F0"/>
    <w:pPr>
      <w:numPr>
        <w:numId w:val="7"/>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Point1number">
    <w:name w:val="Point 1 (number)"/>
    <w:basedOn w:val="Normal"/>
    <w:rsid w:val="009823F0"/>
    <w:pPr>
      <w:numPr>
        <w:ilvl w:val="2"/>
        <w:numId w:val="7"/>
      </w:numPr>
      <w:tabs>
        <w:tab w:val="clear" w:pos="1417"/>
      </w:tabs>
      <w:spacing w:before="120" w:after="120" w:line="240" w:lineRule="auto"/>
      <w:ind w:left="0" w:firstLine="0"/>
      <w:jc w:val="both"/>
    </w:pPr>
    <w:rPr>
      <w:rFonts w:ascii="Times New Roman" w:hAnsi="Times New Roman" w:cs="Times New Roman"/>
      <w:kern w:val="0"/>
      <w:sz w:val="24"/>
    </w:rPr>
  </w:style>
  <w:style w:type="paragraph" w:customStyle="1" w:styleId="Point2number">
    <w:name w:val="Point 2 (number)"/>
    <w:basedOn w:val="Normal"/>
    <w:rsid w:val="009823F0"/>
    <w:pPr>
      <w:numPr>
        <w:ilvl w:val="4"/>
        <w:numId w:val="7"/>
      </w:numPr>
      <w:tabs>
        <w:tab w:val="clear" w:pos="1984"/>
      </w:tabs>
      <w:spacing w:before="120" w:after="120" w:line="240" w:lineRule="auto"/>
      <w:ind w:left="0" w:firstLine="0"/>
      <w:jc w:val="both"/>
    </w:pPr>
    <w:rPr>
      <w:rFonts w:ascii="Times New Roman" w:hAnsi="Times New Roman" w:cs="Times New Roman"/>
      <w:kern w:val="0"/>
      <w:sz w:val="24"/>
    </w:rPr>
  </w:style>
  <w:style w:type="paragraph" w:customStyle="1" w:styleId="Point3number">
    <w:name w:val="Point 3 (number)"/>
    <w:basedOn w:val="Normal"/>
    <w:rsid w:val="009823F0"/>
    <w:pPr>
      <w:numPr>
        <w:ilvl w:val="6"/>
        <w:numId w:val="7"/>
      </w:numPr>
      <w:tabs>
        <w:tab w:val="clear" w:pos="2551"/>
      </w:tabs>
      <w:spacing w:before="120" w:after="120" w:line="240" w:lineRule="auto"/>
      <w:ind w:left="0" w:firstLine="0"/>
      <w:jc w:val="both"/>
    </w:pPr>
    <w:rPr>
      <w:rFonts w:ascii="Times New Roman" w:hAnsi="Times New Roman" w:cs="Times New Roman"/>
      <w:kern w:val="0"/>
      <w:sz w:val="24"/>
    </w:rPr>
  </w:style>
  <w:style w:type="paragraph" w:customStyle="1" w:styleId="Point0letter">
    <w:name w:val="Point 0 (letter)"/>
    <w:basedOn w:val="Normal"/>
    <w:rsid w:val="009823F0"/>
    <w:pPr>
      <w:numPr>
        <w:ilvl w:val="1"/>
        <w:numId w:val="7"/>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Point1letter">
    <w:name w:val="Point 1 (letter)"/>
    <w:basedOn w:val="Normal"/>
    <w:rsid w:val="009823F0"/>
    <w:pPr>
      <w:numPr>
        <w:ilvl w:val="3"/>
        <w:numId w:val="7"/>
      </w:numPr>
      <w:tabs>
        <w:tab w:val="clear" w:pos="1417"/>
      </w:tabs>
      <w:spacing w:before="120" w:after="120" w:line="240" w:lineRule="auto"/>
      <w:ind w:left="0" w:firstLine="0"/>
      <w:jc w:val="both"/>
    </w:pPr>
    <w:rPr>
      <w:rFonts w:ascii="Times New Roman" w:hAnsi="Times New Roman" w:cs="Times New Roman"/>
      <w:kern w:val="0"/>
      <w:sz w:val="24"/>
    </w:rPr>
  </w:style>
  <w:style w:type="paragraph" w:customStyle="1" w:styleId="Point2letter">
    <w:name w:val="Point 2 (letter)"/>
    <w:basedOn w:val="Normal"/>
    <w:rsid w:val="009823F0"/>
    <w:pPr>
      <w:numPr>
        <w:ilvl w:val="5"/>
        <w:numId w:val="7"/>
      </w:numPr>
      <w:tabs>
        <w:tab w:val="clear" w:pos="1984"/>
      </w:tabs>
      <w:spacing w:before="120" w:after="120" w:line="240" w:lineRule="auto"/>
      <w:ind w:left="0" w:firstLine="0"/>
      <w:jc w:val="both"/>
    </w:pPr>
    <w:rPr>
      <w:rFonts w:ascii="Times New Roman" w:hAnsi="Times New Roman" w:cs="Times New Roman"/>
      <w:kern w:val="0"/>
      <w:sz w:val="24"/>
    </w:rPr>
  </w:style>
  <w:style w:type="paragraph" w:customStyle="1" w:styleId="Point3letter">
    <w:name w:val="Point 3 (letter)"/>
    <w:basedOn w:val="Normal"/>
    <w:rsid w:val="009823F0"/>
    <w:pPr>
      <w:numPr>
        <w:ilvl w:val="7"/>
        <w:numId w:val="7"/>
      </w:numPr>
      <w:tabs>
        <w:tab w:val="clear" w:pos="2551"/>
      </w:tabs>
      <w:spacing w:before="120" w:after="120" w:line="240" w:lineRule="auto"/>
      <w:ind w:left="0" w:firstLine="0"/>
      <w:jc w:val="both"/>
    </w:pPr>
    <w:rPr>
      <w:rFonts w:ascii="Times New Roman" w:hAnsi="Times New Roman" w:cs="Times New Roman"/>
      <w:kern w:val="0"/>
      <w:sz w:val="24"/>
    </w:rPr>
  </w:style>
  <w:style w:type="paragraph" w:customStyle="1" w:styleId="Point4letter">
    <w:name w:val="Point 4 (letter)"/>
    <w:basedOn w:val="Normal"/>
    <w:rsid w:val="009823F0"/>
    <w:pPr>
      <w:numPr>
        <w:ilvl w:val="8"/>
        <w:numId w:val="7"/>
      </w:numPr>
      <w:tabs>
        <w:tab w:val="clear" w:pos="3118"/>
      </w:tabs>
      <w:spacing w:before="120" w:after="120" w:line="240" w:lineRule="auto"/>
      <w:ind w:left="0" w:firstLine="0"/>
      <w:jc w:val="both"/>
    </w:pPr>
    <w:rPr>
      <w:rFonts w:ascii="Times New Roman" w:hAnsi="Times New Roman" w:cs="Times New Roman"/>
      <w:kern w:val="0"/>
      <w:sz w:val="24"/>
    </w:rPr>
  </w:style>
  <w:style w:type="paragraph" w:customStyle="1" w:styleId="Bullet0">
    <w:name w:val="Bullet 0"/>
    <w:basedOn w:val="Normal"/>
    <w:rsid w:val="009823F0"/>
    <w:pPr>
      <w:numPr>
        <w:numId w:val="8"/>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Bullet1">
    <w:name w:val="Bullet 1"/>
    <w:basedOn w:val="Normal"/>
    <w:rsid w:val="009823F0"/>
    <w:pPr>
      <w:numPr>
        <w:numId w:val="9"/>
      </w:numPr>
      <w:tabs>
        <w:tab w:val="clear" w:pos="1417"/>
      </w:tabs>
      <w:spacing w:before="120" w:after="120" w:line="240" w:lineRule="auto"/>
      <w:ind w:left="0" w:firstLine="0"/>
      <w:jc w:val="both"/>
    </w:pPr>
    <w:rPr>
      <w:rFonts w:ascii="Times New Roman" w:hAnsi="Times New Roman" w:cs="Times New Roman"/>
      <w:kern w:val="0"/>
      <w:sz w:val="24"/>
    </w:rPr>
  </w:style>
  <w:style w:type="paragraph" w:customStyle="1" w:styleId="Bullet2">
    <w:name w:val="Bullet 2"/>
    <w:basedOn w:val="Normal"/>
    <w:rsid w:val="009823F0"/>
    <w:pPr>
      <w:numPr>
        <w:numId w:val="10"/>
      </w:numPr>
      <w:tabs>
        <w:tab w:val="clear" w:pos="1984"/>
      </w:tabs>
      <w:spacing w:before="120" w:after="120" w:line="240" w:lineRule="auto"/>
      <w:ind w:left="0" w:firstLine="0"/>
      <w:jc w:val="both"/>
    </w:pPr>
    <w:rPr>
      <w:rFonts w:ascii="Times New Roman" w:hAnsi="Times New Roman" w:cs="Times New Roman"/>
      <w:kern w:val="0"/>
      <w:sz w:val="24"/>
    </w:rPr>
  </w:style>
  <w:style w:type="paragraph" w:customStyle="1" w:styleId="Bullet3">
    <w:name w:val="Bullet 3"/>
    <w:basedOn w:val="Normal"/>
    <w:rsid w:val="009823F0"/>
    <w:pPr>
      <w:numPr>
        <w:numId w:val="11"/>
      </w:numPr>
      <w:tabs>
        <w:tab w:val="clear" w:pos="2551"/>
      </w:tabs>
      <w:spacing w:before="120" w:after="120" w:line="240" w:lineRule="auto"/>
      <w:ind w:left="0" w:firstLine="0"/>
      <w:jc w:val="both"/>
    </w:pPr>
    <w:rPr>
      <w:rFonts w:ascii="Times New Roman" w:hAnsi="Times New Roman" w:cs="Times New Roman"/>
      <w:kern w:val="0"/>
      <w:sz w:val="24"/>
    </w:rPr>
  </w:style>
  <w:style w:type="paragraph" w:customStyle="1" w:styleId="Bullet4">
    <w:name w:val="Bullet 4"/>
    <w:basedOn w:val="Normal"/>
    <w:rsid w:val="009823F0"/>
    <w:pPr>
      <w:numPr>
        <w:numId w:val="12"/>
      </w:numPr>
      <w:tabs>
        <w:tab w:val="clear" w:pos="3118"/>
      </w:tabs>
      <w:spacing w:before="120" w:after="120" w:line="240" w:lineRule="auto"/>
      <w:ind w:left="0" w:firstLine="0"/>
      <w:jc w:val="both"/>
    </w:pPr>
    <w:rPr>
      <w:rFonts w:ascii="Times New Roman" w:hAnsi="Times New Roman" w:cs="Times New Roman"/>
      <w:kern w:val="0"/>
      <w:sz w:val="24"/>
    </w:rPr>
  </w:style>
  <w:style w:type="paragraph" w:customStyle="1" w:styleId="Langue">
    <w:name w:val="Langue"/>
    <w:basedOn w:val="Normal"/>
    <w:next w:val="Rfrenceinterne"/>
    <w:rsid w:val="009823F0"/>
    <w:pPr>
      <w:framePr w:wrap="around" w:vAnchor="page" w:hAnchor="text" w:xAlign="center" w:y="14741"/>
      <w:spacing w:after="600" w:line="240" w:lineRule="auto"/>
      <w:jc w:val="center"/>
    </w:pPr>
    <w:rPr>
      <w:rFonts w:ascii="Times New Roman" w:hAnsi="Times New Roman" w:cs="Times New Roman"/>
      <w:b/>
      <w:caps/>
      <w:kern w:val="0"/>
      <w:sz w:val="24"/>
    </w:rPr>
  </w:style>
  <w:style w:type="paragraph" w:customStyle="1" w:styleId="Nomdelinstitution">
    <w:name w:val="Nom de l'institution"/>
    <w:basedOn w:val="Normal"/>
    <w:next w:val="Emission"/>
    <w:rsid w:val="009823F0"/>
    <w:pPr>
      <w:spacing w:after="0" w:line="240" w:lineRule="auto"/>
    </w:pPr>
    <w:rPr>
      <w:rFonts w:ascii="Arial" w:hAnsi="Arial" w:cs="Arial"/>
      <w:kern w:val="0"/>
      <w:sz w:val="24"/>
    </w:rPr>
  </w:style>
  <w:style w:type="paragraph" w:customStyle="1" w:styleId="Emission">
    <w:name w:val="Emission"/>
    <w:basedOn w:val="Normal"/>
    <w:next w:val="Rfrenceinstitutionnelle"/>
    <w:rsid w:val="009823F0"/>
    <w:pPr>
      <w:spacing w:after="0" w:line="240" w:lineRule="auto"/>
      <w:ind w:left="5103"/>
    </w:pPr>
    <w:rPr>
      <w:rFonts w:ascii="Times New Roman" w:hAnsi="Times New Roman" w:cs="Times New Roman"/>
      <w:kern w:val="0"/>
      <w:sz w:val="24"/>
    </w:rPr>
  </w:style>
  <w:style w:type="paragraph" w:customStyle="1" w:styleId="Rfrenceinstitutionnelle">
    <w:name w:val="Référence institutionnelle"/>
    <w:basedOn w:val="Normal"/>
    <w:next w:val="Confidentialit"/>
    <w:rsid w:val="009823F0"/>
    <w:pPr>
      <w:spacing w:after="240" w:line="240" w:lineRule="auto"/>
      <w:ind w:left="5103"/>
    </w:pPr>
    <w:rPr>
      <w:rFonts w:ascii="Times New Roman" w:hAnsi="Times New Roman" w:cs="Times New Roman"/>
      <w:kern w:val="0"/>
      <w:sz w:val="24"/>
    </w:rPr>
  </w:style>
  <w:style w:type="paragraph" w:customStyle="1" w:styleId="Declassification">
    <w:name w:val="Declassification"/>
    <w:basedOn w:val="Normal"/>
    <w:next w:val="Normal"/>
    <w:rsid w:val="009823F0"/>
    <w:pPr>
      <w:spacing w:after="0" w:line="240" w:lineRule="auto"/>
      <w:jc w:val="both"/>
    </w:pPr>
    <w:rPr>
      <w:rFonts w:ascii="Times New Roman" w:hAnsi="Times New Roman" w:cs="Times New Roman"/>
      <w:kern w:val="0"/>
      <w:sz w:val="24"/>
    </w:rPr>
  </w:style>
  <w:style w:type="paragraph" w:customStyle="1" w:styleId="Disclaimer">
    <w:name w:val="Disclaimer"/>
    <w:basedOn w:val="Normal"/>
    <w:rsid w:val="009823F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rPr>
  </w:style>
  <w:style w:type="paragraph" w:customStyle="1" w:styleId="SecurityMarking">
    <w:name w:val="SecurityMarking"/>
    <w:basedOn w:val="Normal"/>
    <w:rsid w:val="009823F0"/>
    <w:pPr>
      <w:spacing w:after="0" w:line="276" w:lineRule="auto"/>
      <w:ind w:left="5103"/>
    </w:pPr>
    <w:rPr>
      <w:rFonts w:ascii="Times New Roman" w:hAnsi="Times New Roman" w:cs="Times New Roman"/>
      <w:kern w:val="0"/>
      <w:sz w:val="28"/>
    </w:rPr>
  </w:style>
  <w:style w:type="paragraph" w:customStyle="1" w:styleId="DateMarking">
    <w:name w:val="DateMarking"/>
    <w:basedOn w:val="Normal"/>
    <w:rsid w:val="009823F0"/>
    <w:pPr>
      <w:spacing w:after="0" w:line="276" w:lineRule="auto"/>
      <w:ind w:left="5103"/>
    </w:pPr>
    <w:rPr>
      <w:rFonts w:ascii="Times New Roman" w:hAnsi="Times New Roman" w:cs="Times New Roman"/>
      <w:i/>
      <w:kern w:val="0"/>
      <w:sz w:val="28"/>
    </w:rPr>
  </w:style>
  <w:style w:type="paragraph" w:customStyle="1" w:styleId="ReleasableTo">
    <w:name w:val="ReleasableTo"/>
    <w:basedOn w:val="Normal"/>
    <w:rsid w:val="009823F0"/>
    <w:pPr>
      <w:spacing w:after="0" w:line="276" w:lineRule="auto"/>
      <w:ind w:left="5103"/>
    </w:pPr>
    <w:rPr>
      <w:rFonts w:ascii="Times New Roman" w:hAnsi="Times New Roman" w:cs="Times New Roman"/>
      <w:i/>
      <w:kern w:val="0"/>
      <w:sz w:val="28"/>
    </w:rPr>
  </w:style>
  <w:style w:type="paragraph" w:customStyle="1" w:styleId="Annexetitreexpos">
    <w:name w:val="Annexe titre (exposé)"/>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Annexetitre">
    <w:name w:val="Annexe titre"/>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Annexetitrefichefinancire">
    <w:name w:val="Annexe titre (fiche financière)"/>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Applicationdirecte">
    <w:name w:val="Application directe"/>
    <w:basedOn w:val="Normal"/>
    <w:next w:val="Fait"/>
    <w:rsid w:val="009823F0"/>
    <w:pPr>
      <w:spacing w:before="480" w:after="120" w:line="240" w:lineRule="auto"/>
      <w:jc w:val="both"/>
    </w:pPr>
    <w:rPr>
      <w:rFonts w:ascii="Times New Roman" w:hAnsi="Times New Roman" w:cs="Times New Roman"/>
      <w:kern w:val="0"/>
      <w:sz w:val="24"/>
    </w:rPr>
  </w:style>
  <w:style w:type="paragraph" w:customStyle="1" w:styleId="Avertissementtitre">
    <w:name w:val="Avertissement titre"/>
    <w:basedOn w:val="Normal"/>
    <w:next w:val="Normal"/>
    <w:rsid w:val="009823F0"/>
    <w:pPr>
      <w:keepNext/>
      <w:spacing w:before="480" w:after="120" w:line="240" w:lineRule="auto"/>
      <w:jc w:val="both"/>
    </w:pPr>
    <w:rPr>
      <w:rFonts w:ascii="Times New Roman" w:hAnsi="Times New Roman" w:cs="Times New Roman"/>
      <w:kern w:val="0"/>
      <w:sz w:val="24"/>
      <w:u w:val="single"/>
    </w:rPr>
  </w:style>
  <w:style w:type="paragraph" w:customStyle="1" w:styleId="Confidence">
    <w:name w:val="Confidence"/>
    <w:basedOn w:val="Normal"/>
    <w:next w:val="Normal"/>
    <w:rsid w:val="009823F0"/>
    <w:pPr>
      <w:spacing w:before="360" w:after="120" w:line="240" w:lineRule="auto"/>
      <w:jc w:val="center"/>
    </w:pPr>
    <w:rPr>
      <w:rFonts w:ascii="Times New Roman" w:hAnsi="Times New Roman" w:cs="Times New Roman"/>
      <w:kern w:val="0"/>
      <w:sz w:val="24"/>
    </w:rPr>
  </w:style>
  <w:style w:type="paragraph" w:customStyle="1" w:styleId="Confidentialit">
    <w:name w:val="Confidentialité"/>
    <w:basedOn w:val="Normal"/>
    <w:next w:val="TypedudocumentPagedecouverture"/>
    <w:rsid w:val="009823F0"/>
    <w:pPr>
      <w:spacing w:before="240" w:after="240" w:line="240" w:lineRule="auto"/>
      <w:ind w:left="5103"/>
    </w:pPr>
    <w:rPr>
      <w:rFonts w:ascii="Times New Roman" w:hAnsi="Times New Roman" w:cs="Times New Roman"/>
      <w:i/>
      <w:kern w:val="0"/>
      <w:sz w:val="32"/>
    </w:rPr>
  </w:style>
  <w:style w:type="paragraph" w:customStyle="1" w:styleId="Considrant">
    <w:name w:val="Considérant"/>
    <w:basedOn w:val="Normal"/>
    <w:rsid w:val="009823F0"/>
    <w:pPr>
      <w:numPr>
        <w:numId w:val="13"/>
      </w:numPr>
      <w:tabs>
        <w:tab w:val="clear" w:pos="709"/>
      </w:tabs>
      <w:spacing w:before="120" w:after="120" w:line="240" w:lineRule="auto"/>
      <w:ind w:left="0" w:firstLine="0"/>
      <w:jc w:val="both"/>
    </w:pPr>
    <w:rPr>
      <w:rFonts w:ascii="Times New Roman" w:hAnsi="Times New Roman" w:cs="Times New Roman"/>
      <w:kern w:val="0"/>
      <w:sz w:val="24"/>
    </w:rPr>
  </w:style>
  <w:style w:type="paragraph" w:customStyle="1" w:styleId="Corrigendum">
    <w:name w:val="Corrigendum"/>
    <w:basedOn w:val="Normal"/>
    <w:next w:val="Normal"/>
    <w:rsid w:val="009823F0"/>
    <w:pPr>
      <w:spacing w:after="240" w:line="240" w:lineRule="auto"/>
    </w:pPr>
    <w:rPr>
      <w:rFonts w:ascii="Times New Roman" w:hAnsi="Times New Roman" w:cs="Times New Roman"/>
      <w:kern w:val="0"/>
      <w:sz w:val="24"/>
    </w:rPr>
  </w:style>
  <w:style w:type="paragraph" w:customStyle="1" w:styleId="Datedadoption">
    <w:name w:val="Date d'adoption"/>
    <w:basedOn w:val="Normal"/>
    <w:next w:val="IntrtEEE"/>
    <w:rsid w:val="009823F0"/>
    <w:pPr>
      <w:spacing w:before="360" w:after="0" w:line="240" w:lineRule="auto"/>
      <w:jc w:val="center"/>
    </w:pPr>
    <w:rPr>
      <w:rFonts w:ascii="Times New Roman" w:hAnsi="Times New Roman" w:cs="Times New Roman"/>
      <w:b/>
      <w:kern w:val="0"/>
      <w:sz w:val="24"/>
    </w:rPr>
  </w:style>
  <w:style w:type="paragraph" w:customStyle="1" w:styleId="Exposdesmotifstitre">
    <w:name w:val="Exposé des motifs titre"/>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Fait">
    <w:name w:val="Fait à"/>
    <w:basedOn w:val="Normal"/>
    <w:next w:val="Institutionquisigne"/>
    <w:rsid w:val="009823F0"/>
    <w:pPr>
      <w:keepNext/>
      <w:spacing w:before="120" w:after="0" w:line="240" w:lineRule="auto"/>
      <w:jc w:val="both"/>
    </w:pPr>
    <w:rPr>
      <w:rFonts w:ascii="Times New Roman" w:hAnsi="Times New Roman" w:cs="Times New Roman"/>
      <w:kern w:val="0"/>
      <w:sz w:val="24"/>
    </w:rPr>
  </w:style>
  <w:style w:type="paragraph" w:customStyle="1" w:styleId="Formuledadoption">
    <w:name w:val="Formule d'adoption"/>
    <w:basedOn w:val="Normal"/>
    <w:next w:val="Titrearticle"/>
    <w:rsid w:val="009823F0"/>
    <w:pPr>
      <w:keepNext/>
      <w:spacing w:before="120" w:after="120" w:line="240" w:lineRule="auto"/>
      <w:jc w:val="both"/>
    </w:pPr>
    <w:rPr>
      <w:rFonts w:ascii="Times New Roman" w:hAnsi="Times New Roman" w:cs="Times New Roman"/>
      <w:kern w:val="0"/>
      <w:sz w:val="24"/>
    </w:rPr>
  </w:style>
  <w:style w:type="paragraph" w:customStyle="1" w:styleId="Institutionquiagit">
    <w:name w:val="Institution qui agit"/>
    <w:basedOn w:val="Normal"/>
    <w:next w:val="Normal"/>
    <w:rsid w:val="009823F0"/>
    <w:pPr>
      <w:keepNext/>
      <w:spacing w:before="600" w:after="120" w:line="240" w:lineRule="auto"/>
      <w:jc w:val="both"/>
    </w:pPr>
    <w:rPr>
      <w:rFonts w:ascii="Times New Roman" w:hAnsi="Times New Roman" w:cs="Times New Roman"/>
      <w:kern w:val="0"/>
      <w:sz w:val="24"/>
    </w:rPr>
  </w:style>
  <w:style w:type="paragraph" w:customStyle="1" w:styleId="Institutionquisigne">
    <w:name w:val="Institution qui signe"/>
    <w:basedOn w:val="Normal"/>
    <w:next w:val="Personnequisigne"/>
    <w:rsid w:val="009823F0"/>
    <w:pPr>
      <w:keepNext/>
      <w:tabs>
        <w:tab w:val="left" w:pos="4252"/>
      </w:tabs>
      <w:spacing w:before="720" w:after="0" w:line="240" w:lineRule="auto"/>
      <w:jc w:val="both"/>
    </w:pPr>
    <w:rPr>
      <w:rFonts w:ascii="Times New Roman" w:hAnsi="Times New Roman" w:cs="Times New Roman"/>
      <w:i/>
      <w:kern w:val="0"/>
      <w:sz w:val="24"/>
    </w:rPr>
  </w:style>
  <w:style w:type="paragraph" w:customStyle="1" w:styleId="ManualConsidrant">
    <w:name w:val="Manual Considérant"/>
    <w:basedOn w:val="Normal"/>
    <w:rsid w:val="009823F0"/>
    <w:pPr>
      <w:spacing w:before="120" w:after="120" w:line="240" w:lineRule="auto"/>
      <w:ind w:left="709" w:hanging="709"/>
      <w:jc w:val="both"/>
    </w:pPr>
    <w:rPr>
      <w:rFonts w:ascii="Times New Roman" w:hAnsi="Times New Roman" w:cs="Times New Roman"/>
      <w:kern w:val="0"/>
      <w:sz w:val="24"/>
    </w:rPr>
  </w:style>
  <w:style w:type="paragraph" w:customStyle="1" w:styleId="Personnequisigne">
    <w:name w:val="Personne qui signe"/>
    <w:basedOn w:val="Normal"/>
    <w:next w:val="Institutionquisigne"/>
    <w:rsid w:val="009823F0"/>
    <w:pPr>
      <w:tabs>
        <w:tab w:val="left" w:pos="4252"/>
      </w:tabs>
      <w:spacing w:after="0" w:line="240" w:lineRule="auto"/>
    </w:pPr>
    <w:rPr>
      <w:rFonts w:ascii="Times New Roman" w:hAnsi="Times New Roman" w:cs="Times New Roman"/>
      <w:i/>
      <w:kern w:val="0"/>
      <w:sz w:val="24"/>
    </w:rPr>
  </w:style>
  <w:style w:type="paragraph" w:customStyle="1" w:styleId="Rfrenceinterinstitutionnelle">
    <w:name w:val="Référence interinstitutionnelle"/>
    <w:basedOn w:val="Normal"/>
    <w:next w:val="Statut"/>
    <w:rsid w:val="009823F0"/>
    <w:pPr>
      <w:spacing w:after="0" w:line="240" w:lineRule="auto"/>
      <w:ind w:left="5103"/>
    </w:pPr>
    <w:rPr>
      <w:rFonts w:ascii="Times New Roman" w:hAnsi="Times New Roman" w:cs="Times New Roman"/>
      <w:kern w:val="0"/>
      <w:sz w:val="24"/>
    </w:rPr>
  </w:style>
  <w:style w:type="paragraph" w:customStyle="1" w:styleId="Rfrenceinterne">
    <w:name w:val="Référence interne"/>
    <w:basedOn w:val="Normal"/>
    <w:next w:val="Rfrenceinterinstitutionnelle"/>
    <w:rsid w:val="009823F0"/>
    <w:pPr>
      <w:spacing w:after="0" w:line="240" w:lineRule="auto"/>
      <w:ind w:left="5103"/>
    </w:pPr>
    <w:rPr>
      <w:rFonts w:ascii="Times New Roman" w:hAnsi="Times New Roman" w:cs="Times New Roman"/>
      <w:kern w:val="0"/>
      <w:sz w:val="24"/>
    </w:rPr>
  </w:style>
  <w:style w:type="paragraph" w:customStyle="1" w:styleId="Statut">
    <w:name w:val="Statut"/>
    <w:basedOn w:val="Normal"/>
    <w:next w:val="Typedudocument"/>
    <w:rsid w:val="009823F0"/>
    <w:pPr>
      <w:spacing w:after="240" w:line="240" w:lineRule="auto"/>
      <w:jc w:val="center"/>
    </w:pPr>
    <w:rPr>
      <w:rFonts w:ascii="Times New Roman" w:hAnsi="Times New Roman" w:cs="Times New Roman"/>
      <w:kern w:val="0"/>
      <w:sz w:val="24"/>
    </w:rPr>
  </w:style>
  <w:style w:type="paragraph" w:customStyle="1" w:styleId="Titrearticle">
    <w:name w:val="Titre article"/>
    <w:basedOn w:val="Normal"/>
    <w:next w:val="Normal"/>
    <w:rsid w:val="009823F0"/>
    <w:pPr>
      <w:keepNext/>
      <w:spacing w:before="360" w:after="120" w:line="240" w:lineRule="auto"/>
      <w:jc w:val="center"/>
    </w:pPr>
    <w:rPr>
      <w:rFonts w:ascii="Times New Roman" w:hAnsi="Times New Roman" w:cs="Times New Roman"/>
      <w:i/>
      <w:kern w:val="0"/>
      <w:sz w:val="24"/>
    </w:rPr>
  </w:style>
  <w:style w:type="paragraph" w:customStyle="1" w:styleId="Typedudocument">
    <w:name w:val="Type du document"/>
    <w:basedOn w:val="Normal"/>
    <w:next w:val="Accompagnant"/>
    <w:rsid w:val="009823F0"/>
    <w:pPr>
      <w:spacing w:before="360" w:after="180" w:line="240" w:lineRule="auto"/>
      <w:jc w:val="center"/>
    </w:pPr>
    <w:rPr>
      <w:rFonts w:ascii="Times New Roman" w:hAnsi="Times New Roman" w:cs="Times New Roman"/>
      <w:b/>
      <w:kern w:val="0"/>
      <w:sz w:val="24"/>
    </w:rPr>
  </w:style>
  <w:style w:type="character" w:customStyle="1" w:styleId="Added">
    <w:name w:val="Added"/>
    <w:basedOn w:val="DefaultParagraphFont"/>
    <w:rsid w:val="009823F0"/>
    <w:rPr>
      <w:b/>
      <w:u w:val="single"/>
      <w:shd w:val="clear" w:color="auto" w:fill="auto"/>
    </w:rPr>
  </w:style>
  <w:style w:type="character" w:customStyle="1" w:styleId="Deleted">
    <w:name w:val="Deleted"/>
    <w:basedOn w:val="DefaultParagraphFont"/>
    <w:rsid w:val="009823F0"/>
    <w:rPr>
      <w:strike/>
      <w:dstrike w:val="0"/>
      <w:shd w:val="clear" w:color="auto" w:fill="auto"/>
    </w:rPr>
  </w:style>
  <w:style w:type="paragraph" w:customStyle="1" w:styleId="Address">
    <w:name w:val="Address"/>
    <w:basedOn w:val="Normal"/>
    <w:next w:val="Normal"/>
    <w:rsid w:val="009823F0"/>
    <w:pPr>
      <w:keepLines/>
      <w:spacing w:before="120" w:after="120" w:line="360" w:lineRule="auto"/>
      <w:ind w:left="3402"/>
    </w:pPr>
    <w:rPr>
      <w:rFonts w:ascii="Times New Roman" w:hAnsi="Times New Roman" w:cs="Times New Roman"/>
      <w:kern w:val="0"/>
      <w:sz w:val="24"/>
    </w:rPr>
  </w:style>
  <w:style w:type="paragraph" w:customStyle="1" w:styleId="Objetexterne">
    <w:name w:val="Objet externe"/>
    <w:basedOn w:val="Normal"/>
    <w:next w:val="Normal"/>
    <w:rsid w:val="009823F0"/>
    <w:pPr>
      <w:spacing w:before="120" w:after="120" w:line="240" w:lineRule="auto"/>
      <w:jc w:val="both"/>
    </w:pPr>
    <w:rPr>
      <w:rFonts w:ascii="Times New Roman" w:hAnsi="Times New Roman" w:cs="Times New Roman"/>
      <w:i/>
      <w:caps/>
      <w:kern w:val="0"/>
      <w:sz w:val="24"/>
    </w:rPr>
  </w:style>
  <w:style w:type="paragraph" w:customStyle="1" w:styleId="Supertitre">
    <w:name w:val="Supertitre"/>
    <w:basedOn w:val="Normal"/>
    <w:next w:val="Normal"/>
    <w:rsid w:val="009823F0"/>
    <w:pPr>
      <w:spacing w:after="600" w:line="240" w:lineRule="auto"/>
      <w:jc w:val="center"/>
    </w:pPr>
    <w:rPr>
      <w:rFonts w:ascii="Times New Roman" w:hAnsi="Times New Roman" w:cs="Times New Roman"/>
      <w:b/>
      <w:kern w:val="0"/>
      <w:sz w:val="24"/>
    </w:rPr>
  </w:style>
  <w:style w:type="paragraph" w:customStyle="1" w:styleId="Languesfaisantfoi">
    <w:name w:val="Langues faisant foi"/>
    <w:basedOn w:val="Normal"/>
    <w:next w:val="Normal"/>
    <w:rsid w:val="009823F0"/>
    <w:pPr>
      <w:spacing w:before="360" w:after="240" w:line="240" w:lineRule="auto"/>
      <w:jc w:val="center"/>
    </w:pPr>
    <w:rPr>
      <w:rFonts w:ascii="Times New Roman" w:hAnsi="Times New Roman" w:cs="Times New Roman"/>
      <w:kern w:val="0"/>
      <w:sz w:val="24"/>
    </w:rPr>
  </w:style>
  <w:style w:type="paragraph" w:customStyle="1" w:styleId="Rfrencecroise">
    <w:name w:val="Référence croisée"/>
    <w:basedOn w:val="Normal"/>
    <w:rsid w:val="009823F0"/>
    <w:pPr>
      <w:spacing w:after="0" w:line="240" w:lineRule="auto"/>
      <w:jc w:val="center"/>
    </w:pPr>
    <w:rPr>
      <w:rFonts w:ascii="Times New Roman" w:hAnsi="Times New Roman" w:cs="Times New Roman"/>
      <w:kern w:val="0"/>
      <w:sz w:val="24"/>
    </w:rPr>
  </w:style>
  <w:style w:type="paragraph" w:customStyle="1" w:styleId="Fichefinanciretitre">
    <w:name w:val="Fiche financière titre"/>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DatedadoptionPagedecouverture">
    <w:name w:val="Date d'adoption (Page de couverture)"/>
    <w:basedOn w:val="Datedadoption"/>
    <w:next w:val="IntrtEEEPagedecouverture"/>
    <w:rsid w:val="009823F0"/>
  </w:style>
  <w:style w:type="paragraph" w:customStyle="1" w:styleId="RfrenceinterinstitutionnellePagedecouverture">
    <w:name w:val="Référence interinstitutionnelle (Page de couverture)"/>
    <w:basedOn w:val="Rfrenceinterinstitutionnelle"/>
    <w:next w:val="Confidentialit"/>
    <w:rsid w:val="009823F0"/>
  </w:style>
  <w:style w:type="paragraph" w:customStyle="1" w:styleId="StatutPagedecouverture">
    <w:name w:val="Statut (Page de couverture)"/>
    <w:basedOn w:val="Statut"/>
    <w:next w:val="TypedudocumentPagedecouverture"/>
    <w:rsid w:val="009823F0"/>
  </w:style>
  <w:style w:type="paragraph" w:customStyle="1" w:styleId="TypedudocumentPagedecouverture">
    <w:name w:val="Type du document (Page de couverture)"/>
    <w:basedOn w:val="Typedudocument"/>
    <w:next w:val="AccompagnantPagedecouverture"/>
    <w:rsid w:val="009823F0"/>
  </w:style>
  <w:style w:type="paragraph" w:customStyle="1" w:styleId="Volume">
    <w:name w:val="Volume"/>
    <w:basedOn w:val="Normal"/>
    <w:next w:val="Confidentialit"/>
    <w:rsid w:val="009823F0"/>
    <w:pPr>
      <w:spacing w:after="240" w:line="240" w:lineRule="auto"/>
      <w:ind w:left="5103"/>
    </w:pPr>
    <w:rPr>
      <w:rFonts w:ascii="Times New Roman" w:hAnsi="Times New Roman" w:cs="Times New Roman"/>
      <w:kern w:val="0"/>
      <w:sz w:val="24"/>
    </w:rPr>
  </w:style>
  <w:style w:type="paragraph" w:customStyle="1" w:styleId="IntrtEEE">
    <w:name w:val="Intérêt EEE"/>
    <w:basedOn w:val="Languesfaisantfoi"/>
    <w:next w:val="Normal"/>
    <w:rsid w:val="009823F0"/>
    <w:pPr>
      <w:spacing w:after="0"/>
    </w:pPr>
  </w:style>
  <w:style w:type="paragraph" w:customStyle="1" w:styleId="Accompagnant">
    <w:name w:val="Accompagnant"/>
    <w:basedOn w:val="Normal"/>
    <w:next w:val="Typeacteprincipal"/>
    <w:rsid w:val="009823F0"/>
    <w:pPr>
      <w:spacing w:before="180" w:after="240" w:line="240" w:lineRule="auto"/>
      <w:jc w:val="center"/>
    </w:pPr>
    <w:rPr>
      <w:rFonts w:ascii="Times New Roman" w:hAnsi="Times New Roman" w:cs="Times New Roman"/>
      <w:b/>
      <w:kern w:val="0"/>
      <w:sz w:val="24"/>
    </w:rPr>
  </w:style>
  <w:style w:type="paragraph" w:customStyle="1" w:styleId="Typeacteprincipal">
    <w:name w:val="Type acte principal"/>
    <w:basedOn w:val="Normal"/>
    <w:next w:val="Objetacteprincipal"/>
    <w:rsid w:val="009823F0"/>
    <w:pPr>
      <w:spacing w:after="240" w:line="240" w:lineRule="auto"/>
      <w:jc w:val="center"/>
    </w:pPr>
    <w:rPr>
      <w:rFonts w:ascii="Times New Roman" w:hAnsi="Times New Roman" w:cs="Times New Roman"/>
      <w:b/>
      <w:kern w:val="0"/>
      <w:sz w:val="24"/>
    </w:rPr>
  </w:style>
  <w:style w:type="paragraph" w:customStyle="1" w:styleId="Objetacteprincipal">
    <w:name w:val="Objet acte principal"/>
    <w:basedOn w:val="Normal"/>
    <w:next w:val="Titrearticle"/>
    <w:rsid w:val="009823F0"/>
    <w:pPr>
      <w:spacing w:after="360" w:line="240" w:lineRule="auto"/>
      <w:jc w:val="center"/>
    </w:pPr>
    <w:rPr>
      <w:rFonts w:ascii="Times New Roman" w:hAnsi="Times New Roman" w:cs="Times New Roman"/>
      <w:b/>
      <w:kern w:val="0"/>
      <w:sz w:val="24"/>
    </w:rPr>
  </w:style>
  <w:style w:type="paragraph" w:customStyle="1" w:styleId="IntrtEEEPagedecouverture">
    <w:name w:val="Intérêt EEE (Page de couverture)"/>
    <w:basedOn w:val="IntrtEEE"/>
    <w:next w:val="Normal"/>
    <w:rsid w:val="009823F0"/>
  </w:style>
  <w:style w:type="paragraph" w:customStyle="1" w:styleId="AccompagnantPagedecouverture">
    <w:name w:val="Accompagnant (Page de couverture)"/>
    <w:basedOn w:val="Accompagnant"/>
    <w:next w:val="TypeacteprincipalPagedecouverture"/>
    <w:rsid w:val="009823F0"/>
  </w:style>
  <w:style w:type="paragraph" w:customStyle="1" w:styleId="TypeacteprincipalPagedecouverture">
    <w:name w:val="Type acte principal (Page de couverture)"/>
    <w:basedOn w:val="Typeacteprincipal"/>
    <w:next w:val="ObjetacteprincipalPagedecouverture"/>
    <w:rsid w:val="009823F0"/>
  </w:style>
  <w:style w:type="paragraph" w:customStyle="1" w:styleId="ObjetacteprincipalPagedecouverture">
    <w:name w:val="Objet acte principal (Page de couverture)"/>
    <w:basedOn w:val="Objetacteprincipal"/>
    <w:next w:val="Rfrencecroise"/>
    <w:rsid w:val="009823F0"/>
  </w:style>
  <w:style w:type="paragraph" w:customStyle="1" w:styleId="LanguesfaisantfoiPagedecouverture">
    <w:name w:val="Langues faisant foi (Page de couverture)"/>
    <w:basedOn w:val="Normal"/>
    <w:next w:val="Rfrencecroise"/>
    <w:rsid w:val="009823F0"/>
    <w:pPr>
      <w:spacing w:before="360" w:after="240" w:line="240" w:lineRule="auto"/>
      <w:jc w:val="center"/>
    </w:pPr>
    <w:rPr>
      <w:rFonts w:ascii="Times New Roman" w:hAnsi="Times New Roman" w:cs="Times New Roman"/>
      <w:kern w:val="0"/>
      <w:sz w:val="24"/>
    </w:rPr>
  </w:style>
  <w:style w:type="character" w:styleId="CommentReference">
    <w:name w:val="annotation reference"/>
    <w:basedOn w:val="DefaultParagraphFont"/>
    <w:uiPriority w:val="99"/>
    <w:unhideWhenUsed/>
    <w:rsid w:val="009823F0"/>
    <w:rPr>
      <w:sz w:val="16"/>
      <w:szCs w:val="16"/>
    </w:rPr>
  </w:style>
  <w:style w:type="paragraph" w:styleId="CommentText">
    <w:name w:val="annotation text"/>
    <w:basedOn w:val="Normal"/>
    <w:link w:val="CommentTextChar"/>
    <w:uiPriority w:val="99"/>
    <w:unhideWhenUsed/>
    <w:rsid w:val="009823F0"/>
    <w:pPr>
      <w:spacing w:before="120" w:after="120" w:line="240" w:lineRule="auto"/>
      <w:jc w:val="both"/>
    </w:pPr>
    <w:rPr>
      <w:rFonts w:ascii="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9823F0"/>
    <w:rPr>
      <w:rFonts w:ascii="Times New Roman" w:hAnsi="Times New Roman" w:cs="Times New Roman"/>
      <w:kern w:val="0"/>
      <w:sz w:val="20"/>
      <w:szCs w:val="20"/>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9823F0"/>
  </w:style>
  <w:style w:type="paragraph" w:styleId="BalloonText">
    <w:name w:val="Balloon Text"/>
    <w:basedOn w:val="Normal"/>
    <w:link w:val="BalloonTextChar"/>
    <w:uiPriority w:val="99"/>
    <w:semiHidden/>
    <w:unhideWhenUsed/>
    <w:rsid w:val="009823F0"/>
    <w:pPr>
      <w:spacing w:after="0" w:line="240" w:lineRule="auto"/>
      <w:jc w:val="both"/>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9823F0"/>
    <w:rPr>
      <w:rFonts w:ascii="Segoe UI" w:hAnsi="Segoe UI" w:cs="Segoe UI"/>
      <w:kern w:val="0"/>
      <w:sz w:val="18"/>
      <w:szCs w:val="18"/>
    </w:rPr>
  </w:style>
  <w:style w:type="paragraph" w:styleId="ListBullet">
    <w:name w:val="List Bullet"/>
    <w:basedOn w:val="Normal"/>
    <w:uiPriority w:val="99"/>
    <w:unhideWhenUsed/>
    <w:rsid w:val="009823F0"/>
    <w:pPr>
      <w:numPr>
        <w:numId w:val="14"/>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paragraph" w:styleId="ListBullet2">
    <w:name w:val="List Bullet 2"/>
    <w:basedOn w:val="Normal"/>
    <w:uiPriority w:val="99"/>
    <w:semiHidden/>
    <w:unhideWhenUsed/>
    <w:rsid w:val="009823F0"/>
    <w:pPr>
      <w:numPr>
        <w:numId w:val="15"/>
      </w:numPr>
      <w:tabs>
        <w:tab w:val="clear" w:pos="643"/>
      </w:tabs>
      <w:spacing w:before="120" w:after="120" w:line="240" w:lineRule="auto"/>
      <w:ind w:left="0" w:firstLine="0"/>
      <w:contextualSpacing/>
      <w:jc w:val="both"/>
    </w:pPr>
    <w:rPr>
      <w:rFonts w:ascii="Times New Roman" w:hAnsi="Times New Roman" w:cs="Times New Roman"/>
      <w:kern w:val="0"/>
      <w:sz w:val="24"/>
    </w:rPr>
  </w:style>
  <w:style w:type="paragraph" w:styleId="ListBullet3">
    <w:name w:val="List Bullet 3"/>
    <w:basedOn w:val="Normal"/>
    <w:uiPriority w:val="99"/>
    <w:semiHidden/>
    <w:unhideWhenUsed/>
    <w:rsid w:val="009823F0"/>
    <w:pPr>
      <w:numPr>
        <w:numId w:val="16"/>
      </w:numPr>
      <w:tabs>
        <w:tab w:val="clear" w:pos="926"/>
      </w:tabs>
      <w:spacing w:before="120" w:after="120" w:line="240" w:lineRule="auto"/>
      <w:ind w:left="0" w:firstLine="0"/>
      <w:contextualSpacing/>
      <w:jc w:val="both"/>
    </w:pPr>
    <w:rPr>
      <w:rFonts w:ascii="Times New Roman" w:hAnsi="Times New Roman" w:cs="Times New Roman"/>
      <w:kern w:val="0"/>
      <w:sz w:val="24"/>
    </w:rPr>
  </w:style>
  <w:style w:type="paragraph" w:styleId="ListBullet4">
    <w:name w:val="List Bullet 4"/>
    <w:basedOn w:val="Normal"/>
    <w:uiPriority w:val="99"/>
    <w:semiHidden/>
    <w:unhideWhenUsed/>
    <w:rsid w:val="009823F0"/>
    <w:pPr>
      <w:numPr>
        <w:numId w:val="17"/>
      </w:numPr>
      <w:tabs>
        <w:tab w:val="clear" w:pos="1209"/>
      </w:tabs>
      <w:spacing w:before="120" w:after="120" w:line="240" w:lineRule="auto"/>
      <w:ind w:left="0" w:firstLine="0"/>
      <w:contextualSpacing/>
      <w:jc w:val="both"/>
    </w:pPr>
    <w:rPr>
      <w:rFonts w:ascii="Times New Roman" w:hAnsi="Times New Roman" w:cs="Times New Roman"/>
      <w:kern w:val="0"/>
      <w:sz w:val="24"/>
    </w:rPr>
  </w:style>
  <w:style w:type="paragraph" w:styleId="CommentSubject">
    <w:name w:val="annotation subject"/>
    <w:basedOn w:val="CommentText"/>
    <w:next w:val="CommentText"/>
    <w:link w:val="CommentSubjectChar"/>
    <w:uiPriority w:val="99"/>
    <w:semiHidden/>
    <w:unhideWhenUsed/>
    <w:rsid w:val="009823F0"/>
    <w:rPr>
      <w:b/>
      <w:bCs/>
    </w:rPr>
  </w:style>
  <w:style w:type="character" w:customStyle="1" w:styleId="CommentSubjectChar">
    <w:name w:val="Comment Subject Char"/>
    <w:basedOn w:val="CommentTextChar"/>
    <w:link w:val="CommentSubject"/>
    <w:uiPriority w:val="99"/>
    <w:semiHidden/>
    <w:rsid w:val="009823F0"/>
    <w:rPr>
      <w:rFonts w:ascii="Times New Roman" w:hAnsi="Times New Roman" w:cs="Times New Roman"/>
      <w:b/>
      <w:bCs/>
      <w:kern w:val="0"/>
      <w:sz w:val="20"/>
      <w:szCs w:val="20"/>
    </w:rPr>
  </w:style>
  <w:style w:type="paragraph" w:styleId="Revision">
    <w:name w:val="Revision"/>
    <w:hidden/>
    <w:uiPriority w:val="99"/>
    <w:semiHidden/>
    <w:rsid w:val="009823F0"/>
    <w:pPr>
      <w:spacing w:after="0" w:line="240" w:lineRule="auto"/>
    </w:pPr>
    <w:rPr>
      <w:rFonts w:ascii="Times New Roman" w:hAnsi="Times New Roman" w:cs="Times New Roman"/>
      <w:kern w:val="0"/>
      <w:sz w:val="24"/>
    </w:rPr>
  </w:style>
  <w:style w:type="table" w:styleId="TableGrid">
    <w:name w:val="Table Grid"/>
    <w:basedOn w:val="TableNormal"/>
    <w:uiPriority w:val="39"/>
    <w:rsid w:val="009823F0"/>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982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rPr>
  </w:style>
  <w:style w:type="character" w:customStyle="1" w:styleId="HTMLPreformattedChar">
    <w:name w:val="HTML Preformatted Char"/>
    <w:basedOn w:val="DefaultParagraphFont"/>
    <w:link w:val="HTMLPreformatted"/>
    <w:uiPriority w:val="99"/>
    <w:semiHidden/>
    <w:rsid w:val="009823F0"/>
    <w:rPr>
      <w:rFonts w:ascii="Courier New" w:eastAsia="Times New Roman" w:hAnsi="Courier New" w:cs="Courier New"/>
      <w:kern w:val="0"/>
      <w:sz w:val="20"/>
      <w:szCs w:val="20"/>
    </w:rPr>
  </w:style>
  <w:style w:type="character" w:styleId="Hyperlink">
    <w:name w:val="Hyperlink"/>
    <w:basedOn w:val="DefaultParagraphFont"/>
    <w:uiPriority w:val="99"/>
    <w:unhideWhenUsed/>
    <w:rsid w:val="009823F0"/>
    <w:rPr>
      <w:color w:val="0000FF"/>
      <w:u w:val="single"/>
    </w:rPr>
  </w:style>
  <w:style w:type="character" w:styleId="HTMLCite">
    <w:name w:val="HTML Cite"/>
    <w:basedOn w:val="DefaultParagraphFont"/>
    <w:uiPriority w:val="99"/>
    <w:semiHidden/>
    <w:unhideWhenUsed/>
    <w:rsid w:val="009823F0"/>
    <w:rPr>
      <w:i/>
      <w:iCs/>
    </w:rPr>
  </w:style>
  <w:style w:type="character" w:customStyle="1" w:styleId="acopre">
    <w:name w:val="acopre"/>
    <w:basedOn w:val="DefaultParagraphFont"/>
    <w:rsid w:val="009823F0"/>
  </w:style>
  <w:style w:type="character" w:styleId="Emphasis">
    <w:name w:val="Emphasis"/>
    <w:basedOn w:val="DefaultParagraphFont"/>
    <w:uiPriority w:val="20"/>
    <w:qFormat/>
    <w:rsid w:val="009823F0"/>
    <w:rPr>
      <w:i/>
      <w:iCs/>
    </w:rPr>
  </w:style>
  <w:style w:type="character" w:customStyle="1" w:styleId="lo8sbd">
    <w:name w:val="lo8sbd"/>
    <w:basedOn w:val="DefaultParagraphFont"/>
    <w:rsid w:val="009823F0"/>
  </w:style>
  <w:style w:type="paragraph" w:customStyle="1" w:styleId="s1fapd">
    <w:name w:val="s1fapd"/>
    <w:basedOn w:val="Normal"/>
    <w:rsid w:val="009823F0"/>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wurvib">
    <w:name w:val="wurvib"/>
    <w:basedOn w:val="DefaultParagraphFont"/>
    <w:rsid w:val="009823F0"/>
  </w:style>
  <w:style w:type="character" w:customStyle="1" w:styleId="dyjrff">
    <w:name w:val="dyjrff"/>
    <w:basedOn w:val="DefaultParagraphFont"/>
    <w:rsid w:val="009823F0"/>
  </w:style>
  <w:style w:type="character" w:customStyle="1" w:styleId="glpvmc">
    <w:name w:val="glpvmc"/>
    <w:basedOn w:val="DefaultParagraphFont"/>
    <w:rsid w:val="009823F0"/>
  </w:style>
  <w:style w:type="character" w:customStyle="1" w:styleId="f">
    <w:name w:val="f"/>
    <w:basedOn w:val="DefaultParagraphFont"/>
    <w:rsid w:val="009823F0"/>
  </w:style>
  <w:style w:type="character" w:customStyle="1" w:styleId="mfmhoc">
    <w:name w:val="mfmhoc"/>
    <w:basedOn w:val="DefaultParagraphFont"/>
    <w:rsid w:val="009823F0"/>
  </w:style>
  <w:style w:type="character" w:customStyle="1" w:styleId="q8lrlc">
    <w:name w:val="q8lrlc"/>
    <w:basedOn w:val="DefaultParagraphFont"/>
    <w:rsid w:val="009823F0"/>
  </w:style>
  <w:style w:type="character" w:customStyle="1" w:styleId="b4gxfc">
    <w:name w:val="b4gxfc"/>
    <w:basedOn w:val="DefaultParagraphFont"/>
    <w:rsid w:val="009823F0"/>
  </w:style>
  <w:style w:type="character" w:customStyle="1" w:styleId="jlqj4b">
    <w:name w:val="jlqj4b"/>
    <w:basedOn w:val="DefaultParagraphFont"/>
    <w:rsid w:val="009823F0"/>
  </w:style>
  <w:style w:type="paragraph" w:customStyle="1" w:styleId="paragraph">
    <w:name w:val="paragraph"/>
    <w:basedOn w:val="Normal"/>
    <w:rsid w:val="009823F0"/>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9823F0"/>
  </w:style>
  <w:style w:type="character" w:customStyle="1" w:styleId="eop">
    <w:name w:val="eop"/>
    <w:basedOn w:val="DefaultParagraphFont"/>
    <w:rsid w:val="009823F0"/>
  </w:style>
  <w:style w:type="character" w:customStyle="1" w:styleId="hgkelc">
    <w:name w:val="hgkelc"/>
    <w:basedOn w:val="DefaultParagraphFont"/>
    <w:rsid w:val="009823F0"/>
  </w:style>
  <w:style w:type="character" w:customStyle="1" w:styleId="y2iqfc">
    <w:name w:val="y2iqfc"/>
    <w:basedOn w:val="DefaultParagraphFont"/>
    <w:rsid w:val="009823F0"/>
  </w:style>
  <w:style w:type="paragraph" w:customStyle="1" w:styleId="Bodytext211">
    <w:name w:val="Body text|211"/>
    <w:basedOn w:val="Normal"/>
    <w:link w:val="Bodytext2"/>
    <w:qFormat/>
    <w:rsid w:val="009823F0"/>
    <w:pPr>
      <w:widowControl w:val="0"/>
      <w:shd w:val="clear" w:color="auto" w:fill="FFFFFF"/>
      <w:spacing w:before="400" w:after="100" w:line="244" w:lineRule="exact"/>
      <w:ind w:hanging="380"/>
    </w:pPr>
    <w:rPr>
      <w:rFonts w:ascii="Calibri" w:eastAsia="Calibri" w:hAnsi="Calibri" w:cs="Calibri"/>
      <w:color w:val="000000"/>
      <w:kern w:val="0"/>
      <w:sz w:val="20"/>
      <w:szCs w:val="20"/>
    </w:rPr>
  </w:style>
  <w:style w:type="character" w:customStyle="1" w:styleId="Bodytext2">
    <w:name w:val="Body text|2_"/>
    <w:basedOn w:val="DefaultParagraphFont"/>
    <w:link w:val="Bodytext211"/>
    <w:rsid w:val="009823F0"/>
    <w:rPr>
      <w:rFonts w:ascii="Calibri" w:eastAsia="Calibri" w:hAnsi="Calibri" w:cs="Calibri"/>
      <w:color w:val="000000"/>
      <w:kern w:val="0"/>
      <w:sz w:val="20"/>
      <w:szCs w:val="20"/>
      <w:shd w:val="clear" w:color="auto" w:fill="FFFFFF"/>
    </w:rPr>
  </w:style>
  <w:style w:type="character" w:customStyle="1" w:styleId="Bodytext2Italic">
    <w:name w:val="Body text|2 + Italic"/>
    <w:basedOn w:val="Bodytext2"/>
    <w:semiHidden/>
    <w:unhideWhenUsed/>
    <w:rsid w:val="009823F0"/>
    <w:rPr>
      <w:rFonts w:ascii="Calibri" w:eastAsia="Calibri" w:hAnsi="Calibri" w:cs="Calibri"/>
      <w:i/>
      <w:iCs/>
      <w:color w:val="000000"/>
      <w:kern w:val="0"/>
      <w:position w:val="0"/>
      <w:sz w:val="20"/>
      <w:szCs w:val="20"/>
      <w:shd w:val="clear" w:color="auto" w:fill="FFFFFF"/>
    </w:rPr>
  </w:style>
  <w:style w:type="character" w:customStyle="1" w:styleId="Bodytext20">
    <w:name w:val="Body text|20"/>
    <w:basedOn w:val="Bodytext2"/>
    <w:semiHidden/>
    <w:unhideWhenUsed/>
    <w:rsid w:val="009823F0"/>
    <w:rPr>
      <w:rFonts w:ascii="Calibri" w:eastAsia="Calibri" w:hAnsi="Calibri" w:cs="Calibri"/>
      <w:color w:val="000000"/>
      <w:kern w:val="0"/>
      <w:position w:val="0"/>
      <w:sz w:val="20"/>
      <w:szCs w:val="20"/>
      <w:u w:val="single"/>
      <w:shd w:val="clear" w:color="auto" w:fill="FFFFFF"/>
    </w:rPr>
  </w:style>
  <w:style w:type="character" w:customStyle="1" w:styleId="Footnote1">
    <w:name w:val="Footnote|1_"/>
    <w:basedOn w:val="DefaultParagraphFont"/>
    <w:link w:val="Footnote11"/>
    <w:rsid w:val="009823F0"/>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9823F0"/>
    <w:rPr>
      <w:rFonts w:ascii="Calibri" w:eastAsia="Calibri" w:hAnsi="Calibri" w:cs="Calibri"/>
      <w:color w:val="0563C1"/>
      <w:position w:val="0"/>
      <w:sz w:val="15"/>
      <w:szCs w:val="15"/>
      <w:u w:val="single"/>
      <w:shd w:val="clear" w:color="auto" w:fill="FFFFFF"/>
    </w:rPr>
  </w:style>
  <w:style w:type="paragraph" w:customStyle="1" w:styleId="Footnote11">
    <w:name w:val="Footnote|11"/>
    <w:basedOn w:val="Normal"/>
    <w:link w:val="Footnote1"/>
    <w:qFormat/>
    <w:rsid w:val="009823F0"/>
    <w:pPr>
      <w:widowControl w:val="0"/>
      <w:shd w:val="clear" w:color="auto" w:fill="FFFFFF"/>
      <w:spacing w:after="0" w:line="197" w:lineRule="exact"/>
      <w:jc w:val="both"/>
    </w:pPr>
    <w:rPr>
      <w:rFonts w:ascii="Calibri" w:eastAsia="Calibri" w:hAnsi="Calibri" w:cs="Calibri"/>
      <w:sz w:val="15"/>
      <w:szCs w:val="15"/>
    </w:rPr>
  </w:style>
  <w:style w:type="character" w:customStyle="1" w:styleId="Footnote3">
    <w:name w:val="Footnote|3_"/>
    <w:basedOn w:val="DefaultParagraphFont"/>
    <w:link w:val="Footnote30"/>
    <w:rsid w:val="009823F0"/>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9823F0"/>
    <w:rPr>
      <w:rFonts w:ascii="Calibri" w:eastAsia="Calibri" w:hAnsi="Calibri" w:cs="Calibri"/>
      <w:i/>
      <w:iCs/>
      <w:color w:val="000000"/>
      <w:position w:val="0"/>
      <w:sz w:val="15"/>
      <w:szCs w:val="15"/>
      <w:shd w:val="clear" w:color="auto" w:fill="FFFFFF"/>
    </w:rPr>
  </w:style>
  <w:style w:type="paragraph" w:customStyle="1" w:styleId="Footnote30">
    <w:name w:val="Footnote|3"/>
    <w:basedOn w:val="Normal"/>
    <w:link w:val="Footnote3"/>
    <w:rsid w:val="009823F0"/>
    <w:pPr>
      <w:widowControl w:val="0"/>
      <w:shd w:val="clear" w:color="auto" w:fill="FFFFFF"/>
      <w:spacing w:after="0" w:line="192" w:lineRule="exact"/>
      <w:jc w:val="both"/>
    </w:pPr>
    <w:rPr>
      <w:rFonts w:ascii="Calibri" w:eastAsia="Calibri" w:hAnsi="Calibri" w:cs="Calibri"/>
      <w:i/>
      <w:iCs/>
      <w:sz w:val="15"/>
      <w:szCs w:val="15"/>
    </w:rPr>
  </w:style>
  <w:style w:type="paragraph" w:styleId="NormalWeb">
    <w:name w:val="Normal (Web)"/>
    <w:basedOn w:val="Normal"/>
    <w:uiPriority w:val="99"/>
    <w:unhideWhenUsed/>
    <w:rsid w:val="009823F0"/>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ListNumber">
    <w:name w:val="List Number"/>
    <w:basedOn w:val="Normal"/>
    <w:uiPriority w:val="99"/>
    <w:semiHidden/>
    <w:unhideWhenUsed/>
    <w:rsid w:val="009823F0"/>
    <w:pPr>
      <w:numPr>
        <w:numId w:val="18"/>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character" w:customStyle="1" w:styleId="viiyi">
    <w:name w:val="viiyi"/>
    <w:basedOn w:val="DefaultParagraphFont"/>
    <w:rsid w:val="009823F0"/>
  </w:style>
  <w:style w:type="character" w:customStyle="1" w:styleId="Mention1">
    <w:name w:val="Mention1"/>
    <w:basedOn w:val="DefaultParagraphFont"/>
    <w:uiPriority w:val="99"/>
    <w:unhideWhenUsed/>
    <w:rsid w:val="009823F0"/>
    <w:rPr>
      <w:color w:val="2B579A"/>
      <w:shd w:val="clear" w:color="auto" w:fill="E6E6E6"/>
    </w:rPr>
  </w:style>
  <w:style w:type="character" w:customStyle="1" w:styleId="Mention2">
    <w:name w:val="Mention2"/>
    <w:basedOn w:val="DefaultParagraphFont"/>
    <w:uiPriority w:val="99"/>
    <w:unhideWhenUsed/>
    <w:rsid w:val="009823F0"/>
    <w:rPr>
      <w:color w:val="2B579A"/>
      <w:shd w:val="clear" w:color="auto" w:fill="E6E6E6"/>
    </w:rPr>
  </w:style>
  <w:style w:type="character" w:customStyle="1" w:styleId="Mention3">
    <w:name w:val="Mention3"/>
    <w:basedOn w:val="DefaultParagraphFont"/>
    <w:uiPriority w:val="99"/>
    <w:unhideWhenUsed/>
    <w:rsid w:val="009823F0"/>
    <w:rPr>
      <w:color w:val="2B579A"/>
      <w:shd w:val="clear" w:color="auto" w:fill="E6E6E6"/>
    </w:rPr>
  </w:style>
  <w:style w:type="character" w:customStyle="1" w:styleId="UnresolvedMention1">
    <w:name w:val="Unresolved Mention1"/>
    <w:basedOn w:val="DefaultParagraphFont"/>
    <w:uiPriority w:val="99"/>
    <w:unhideWhenUsed/>
    <w:rsid w:val="009823F0"/>
    <w:rPr>
      <w:color w:val="605E5C"/>
      <w:shd w:val="clear" w:color="auto" w:fill="E1DFDD"/>
    </w:rPr>
  </w:style>
  <w:style w:type="character" w:customStyle="1" w:styleId="Mention4">
    <w:name w:val="Mention4"/>
    <w:basedOn w:val="DefaultParagraphFont"/>
    <w:uiPriority w:val="99"/>
    <w:unhideWhenUsed/>
    <w:rsid w:val="009823F0"/>
    <w:rPr>
      <w:color w:val="2B579A"/>
      <w:shd w:val="clear" w:color="auto" w:fill="E1DFDD"/>
    </w:rPr>
  </w:style>
  <w:style w:type="character" w:customStyle="1" w:styleId="Mention5">
    <w:name w:val="Mention5"/>
    <w:basedOn w:val="DefaultParagraphFont"/>
    <w:uiPriority w:val="99"/>
    <w:unhideWhenUsed/>
    <w:rsid w:val="009823F0"/>
    <w:rPr>
      <w:color w:val="2B579A"/>
      <w:shd w:val="clear" w:color="auto" w:fill="E6E6E6"/>
    </w:rPr>
  </w:style>
  <w:style w:type="character" w:customStyle="1" w:styleId="UnresolvedMention2">
    <w:name w:val="Unresolved Mention2"/>
    <w:basedOn w:val="DefaultParagraphFont"/>
    <w:uiPriority w:val="99"/>
    <w:semiHidden/>
    <w:unhideWhenUsed/>
    <w:rsid w:val="009823F0"/>
    <w:rPr>
      <w:color w:val="605E5C"/>
      <w:shd w:val="clear" w:color="auto" w:fill="E1DFDD"/>
    </w:rPr>
  </w:style>
  <w:style w:type="character" w:customStyle="1" w:styleId="Mention6">
    <w:name w:val="Mention6"/>
    <w:basedOn w:val="DefaultParagraphFont"/>
    <w:uiPriority w:val="99"/>
    <w:unhideWhenUsed/>
    <w:rsid w:val="009823F0"/>
    <w:rPr>
      <w:color w:val="2B579A"/>
      <w:shd w:val="clear" w:color="auto" w:fill="E1DFDD"/>
    </w:rPr>
  </w:style>
  <w:style w:type="character" w:customStyle="1" w:styleId="UnresolvedMention3">
    <w:name w:val="Unresolved Mention3"/>
    <w:basedOn w:val="DefaultParagraphFont"/>
    <w:uiPriority w:val="99"/>
    <w:semiHidden/>
    <w:unhideWhenUsed/>
    <w:rsid w:val="009823F0"/>
    <w:rPr>
      <w:color w:val="605E5C"/>
      <w:shd w:val="clear" w:color="auto" w:fill="E1DFDD"/>
    </w:rPr>
  </w:style>
  <w:style w:type="character" w:customStyle="1" w:styleId="UnresolvedMention">
    <w:name w:val="Unresolved Mention"/>
    <w:basedOn w:val="DefaultParagraphFont"/>
    <w:uiPriority w:val="99"/>
    <w:semiHidden/>
    <w:unhideWhenUsed/>
    <w:rsid w:val="009823F0"/>
    <w:rPr>
      <w:color w:val="605E5C"/>
      <w:shd w:val="clear" w:color="auto" w:fill="E1DFDD"/>
    </w:rPr>
  </w:style>
  <w:style w:type="character" w:customStyle="1" w:styleId="Mention">
    <w:name w:val="Mention"/>
    <w:basedOn w:val="DefaultParagraphFont"/>
    <w:uiPriority w:val="99"/>
    <w:unhideWhenUsed/>
    <w:rsid w:val="009823F0"/>
    <w:rPr>
      <w:color w:val="2B579A"/>
      <w:shd w:val="clear" w:color="auto" w:fill="E1DFDD"/>
    </w:rPr>
  </w:style>
  <w:style w:type="character" w:styleId="FollowedHyperlink">
    <w:name w:val="FollowedHyperlink"/>
    <w:basedOn w:val="DefaultParagraphFont"/>
    <w:uiPriority w:val="99"/>
    <w:semiHidden/>
    <w:unhideWhenUsed/>
    <w:rsid w:val="009823F0"/>
    <w:rPr>
      <w:color w:val="96607D" w:themeColor="followedHyperlink"/>
      <w:u w:val="single"/>
    </w:rPr>
  </w:style>
  <w:style w:type="paragraph" w:customStyle="1" w:styleId="LegalNumPar">
    <w:name w:val="LegalNumPar"/>
    <w:basedOn w:val="Normal"/>
    <w:rsid w:val="00C82A63"/>
    <w:pPr>
      <w:numPr>
        <w:numId w:val="23"/>
      </w:numPr>
      <w:spacing w:line="360" w:lineRule="auto"/>
    </w:pPr>
    <w:rPr>
      <w:sz w:val="24"/>
    </w:rPr>
  </w:style>
  <w:style w:type="paragraph" w:customStyle="1" w:styleId="LegalNumPar2">
    <w:name w:val="LegalNumPar2"/>
    <w:basedOn w:val="Normal"/>
    <w:rsid w:val="00C82A63"/>
    <w:pPr>
      <w:numPr>
        <w:ilvl w:val="1"/>
        <w:numId w:val="23"/>
      </w:numPr>
      <w:spacing w:line="360" w:lineRule="auto"/>
    </w:pPr>
    <w:rPr>
      <w:sz w:val="24"/>
    </w:rPr>
  </w:style>
  <w:style w:type="paragraph" w:customStyle="1" w:styleId="LegalNumPar3">
    <w:name w:val="LegalNumPar3"/>
    <w:basedOn w:val="Normal"/>
    <w:rsid w:val="00C82A63"/>
    <w:pPr>
      <w:numPr>
        <w:ilvl w:val="2"/>
        <w:numId w:val="23"/>
      </w:numPr>
      <w:spacing w:line="360" w:lineRule="auto"/>
    </w:pPr>
    <w:rPr>
      <w:sz w:val="24"/>
    </w:rPr>
  </w:style>
  <w:style w:type="paragraph" w:customStyle="1" w:styleId="P68B1DB1-Normal1">
    <w:name w:val="P68B1DB1-Normal1"/>
    <w:basedOn w:val="Normal"/>
    <w:rPr>
      <w:rFonts w:ascii="Times New Roman" w:hAnsi="Times New Roman" w:cs="Times New Roman"/>
      <w:b/>
      <w:sz w:val="24"/>
      <w:szCs w:val="24"/>
      <w:u w:val="single"/>
    </w:rPr>
  </w:style>
  <w:style w:type="paragraph" w:customStyle="1" w:styleId="P68B1DB1-Normal2">
    <w:name w:val="P68B1DB1-Normal2"/>
    <w:basedOn w:val="Normal"/>
    <w:rPr>
      <w:rFonts w:ascii="Times New Roman" w:hAnsi="Times New Roman" w:cs="Times New Roman"/>
      <w:b/>
      <w:sz w:val="24"/>
    </w:rPr>
  </w:style>
  <w:style w:type="paragraph" w:customStyle="1" w:styleId="P68B1DB1-Normal3">
    <w:name w:val="P68B1DB1-Normal3"/>
    <w:basedOn w:val="Normal"/>
    <w:rPr>
      <w:rFonts w:ascii="Times New Roman" w:eastAsiaTheme="majorEastAsia" w:hAnsi="Times New Roman" w:cs="Times New Roman"/>
      <w:b/>
      <w:sz w:val="24"/>
    </w:rPr>
  </w:style>
  <w:style w:type="paragraph" w:customStyle="1" w:styleId="P68B1DB1-Normal4">
    <w:name w:val="P68B1DB1-Normal4"/>
    <w:basedOn w:val="Normal"/>
    <w:rPr>
      <w:rFonts w:ascii="Times New Roman" w:hAnsi="Times New Roman" w:cs="Times New Roman"/>
      <w:sz w:val="24"/>
      <w:szCs w:val="24"/>
    </w:rPr>
  </w:style>
  <w:style w:type="paragraph" w:customStyle="1" w:styleId="P68B1DB1-Normal5">
    <w:name w:val="P68B1DB1-Normal5"/>
    <w:basedOn w:val="Normal"/>
    <w:rPr>
      <w:rFonts w:ascii="Times New Roman" w:hAnsi="Times New Roman" w:cs="Times New Roman"/>
      <w:sz w:val="24"/>
    </w:rPr>
  </w:style>
  <w:style w:type="paragraph" w:customStyle="1" w:styleId="P68B1DB1-Normal6">
    <w:name w:val="P68B1DB1-Normal6"/>
    <w:basedOn w:val="Normal"/>
    <w:rPr>
      <w:rFonts w:ascii="Times New Roman" w:hAnsi="Times New Roman" w:cs="Times New Roman"/>
      <w:b/>
      <w:sz w:val="24"/>
      <w:u w:val="single"/>
    </w:rPr>
  </w:style>
  <w:style w:type="paragraph" w:customStyle="1" w:styleId="P68B1DB1-Normal7">
    <w:name w:val="P68B1DB1-Normal7"/>
    <w:basedOn w:val="Normal"/>
    <w:rPr>
      <w:rFonts w:ascii="Times New Roman" w:hAnsi="Times New Roman" w:cs="Times New Roman"/>
      <w:sz w:val="24"/>
      <w:u w:val="single"/>
    </w:rPr>
  </w:style>
  <w:style w:type="paragraph" w:customStyle="1" w:styleId="P68B1DB1-Normal8">
    <w:name w:val="P68B1DB1-Normal8"/>
    <w:basedOn w:val="Normal"/>
    <w:rPr>
      <w:rFonts w:ascii="Times New Roman" w:eastAsia="Times New Roman" w:hAnsi="Times New Roman" w:cs="Times New Roman"/>
      <w:b/>
      <w:sz w:val="20"/>
      <w:szCs w:val="20"/>
    </w:rPr>
  </w:style>
  <w:style w:type="paragraph" w:customStyle="1" w:styleId="P68B1DB1-Normal9">
    <w:name w:val="P68B1DB1-Normal9"/>
    <w:basedOn w:val="Normal"/>
    <w:rPr>
      <w:rFonts w:ascii="Times New Roman" w:eastAsia="Times New Roman" w:hAnsi="Times New Roman" w:cs="Times New Roman"/>
      <w:color w:val="006100"/>
      <w:sz w:val="20"/>
      <w:szCs w:val="20"/>
    </w:rPr>
  </w:style>
  <w:style w:type="paragraph" w:customStyle="1" w:styleId="P68B1DB1-Normal10">
    <w:name w:val="P68B1DB1-Normal10"/>
    <w:basedOn w:val="Normal"/>
    <w:rPr>
      <w:rFonts w:ascii="Times New Roman" w:hAnsi="Times New Roman" w:cs="Times New Roman"/>
      <w:sz w:val="24"/>
      <w:szCs w:val="24"/>
      <w:u w:val="single"/>
    </w:rPr>
  </w:style>
  <w:style w:type="paragraph" w:customStyle="1" w:styleId="P68B1DB1-Normal11">
    <w:name w:val="P68B1DB1-Normal11"/>
    <w:basedOn w:val="Normal"/>
    <w:rPr>
      <w:rFonts w:ascii="Times New Roman" w:hAnsi="Times New Roman" w:cs="Times New Roman"/>
      <w:color w:val="000000" w:themeColor="text1"/>
      <w:sz w:val="24"/>
    </w:rPr>
  </w:style>
  <w:style w:type="paragraph" w:customStyle="1" w:styleId="P68B1DB1-Normal12">
    <w:name w:val="P68B1DB1-Normal12"/>
    <w:basedOn w:val="Normal"/>
    <w:rPr>
      <w:sz w:val="24"/>
    </w:rPr>
  </w:style>
  <w:style w:type="paragraph" w:customStyle="1" w:styleId="P68B1DB1-Normal13">
    <w:name w:val="P68B1DB1-Normal13"/>
    <w:basedOn w:val="Normal"/>
    <w:rPr>
      <w:rFonts w:ascii="Times New Roman" w:hAnsi="Times New Roman" w:cs="Times New Roman"/>
      <w:u w:val="single"/>
    </w:rPr>
  </w:style>
  <w:style w:type="paragraph" w:customStyle="1" w:styleId="P68B1DB1-Normal14">
    <w:name w:val="P68B1DB1-Normal14"/>
    <w:basedOn w:val="Normal"/>
    <w:rPr>
      <w:rFonts w:ascii="Times New Roman" w:eastAsia="Times New Roman" w:hAnsi="Times New Roman" w:cs="Times New Roman"/>
      <w:sz w:val="24"/>
      <w:szCs w:val="24"/>
    </w:rPr>
  </w:style>
  <w:style w:type="paragraph" w:customStyle="1" w:styleId="P68B1DB1-Normal15">
    <w:name w:val="P68B1DB1-Normal15"/>
    <w:basedOn w:val="Normal"/>
    <w:rPr>
      <w:rFonts w:ascii="Times New Roman" w:eastAsia="Times New Roman" w:hAnsi="Times New Roman" w:cs="Times New Roman"/>
      <w:sz w:val="24"/>
    </w:rPr>
  </w:style>
  <w:style w:type="paragraph" w:customStyle="1" w:styleId="P68B1DB1-Normal16">
    <w:name w:val="P68B1DB1-Normal16"/>
    <w:basedOn w:val="Normal"/>
    <w:rPr>
      <w:rFonts w:ascii="Times New Roman" w:eastAsia="Times New Roman" w:hAnsi="Times New Roman" w:cs="Times New Roman"/>
    </w:rPr>
  </w:style>
  <w:style w:type="paragraph" w:customStyle="1" w:styleId="P68B1DB1-Normal17">
    <w:name w:val="P68B1DB1-Normal17"/>
    <w:basedOn w:val="Normal"/>
    <w:rPr>
      <w:rFonts w:ascii="Times New Roman" w:hAnsi="Times New Roman" w:cs="Times New Roman"/>
      <w:b/>
      <w:sz w:val="24"/>
      <w:szCs w:val="24"/>
    </w:rPr>
  </w:style>
  <w:style w:type="paragraph" w:customStyle="1" w:styleId="P68B1DB1-Normal18">
    <w:name w:val="P68B1DB1-Normal18"/>
    <w:basedOn w:val="Normal"/>
    <w:rPr>
      <w:rFonts w:ascii="Times New Roman" w:hAnsi="Times New Roman" w:cs="Times New Roman"/>
      <w:color w:val="000000" w:themeColor="text1"/>
      <w:sz w:val="24"/>
      <w:szCs w:val="24"/>
    </w:rPr>
  </w:style>
  <w:style w:type="paragraph" w:customStyle="1" w:styleId="P68B1DB1-Normal19">
    <w:name w:val="P68B1DB1-Normal19"/>
    <w:basedOn w:val="Normal"/>
    <w:rPr>
      <w:rFonts w:ascii="Times New Roman" w:eastAsia="Times New Roman" w:hAnsi="Times New Roman" w:cs="Times New Roman"/>
      <w:sz w:val="20"/>
      <w:szCs w:val="20"/>
    </w:rPr>
  </w:style>
  <w:style w:type="paragraph" w:customStyle="1" w:styleId="P68B1DB1-ListParagraph20">
    <w:name w:val="P68B1DB1-ListParagraph20"/>
    <w:basedOn w:val="ListParagraph"/>
    <w:rPr>
      <w:rFonts w:ascii="Times New Roman" w:hAnsi="Times New Roman" w:cs="Times New Roman"/>
      <w:sz w:val="24"/>
      <w:szCs w:val="24"/>
    </w:rPr>
  </w:style>
  <w:style w:type="paragraph" w:customStyle="1" w:styleId="P68B1DB1-Normal21">
    <w:name w:val="P68B1DB1-Normal21"/>
    <w:basedOn w:val="Normal"/>
    <w:rPr>
      <w:rFonts w:ascii="Times New Roman" w:hAnsi="Times New Roman" w:cs="Times New Roman"/>
      <w:color w:val="000000" w:themeColor="text1"/>
      <w:sz w:val="24"/>
      <w:szCs w:val="24"/>
      <w:u w:val="single"/>
    </w:rPr>
  </w:style>
  <w:style w:type="paragraph" w:customStyle="1" w:styleId="P68B1DB1-Normal22">
    <w:name w:val="P68B1DB1-Normal22"/>
    <w:basedOn w:val="Normal"/>
    <w:rPr>
      <w:rFonts w:ascii="Times New Roman" w:eastAsia="Calibri" w:hAnsi="Times New Roman" w:cs="Times New Roman"/>
      <w:color w:val="000000" w:themeColor="text1"/>
      <w:sz w:val="24"/>
      <w:szCs w:val="24"/>
    </w:rPr>
  </w:style>
  <w:style w:type="paragraph" w:customStyle="1" w:styleId="P68B1DB1-Normal23">
    <w:name w:val="P68B1DB1-Normal23"/>
    <w:basedOn w:val="Normal"/>
    <w:rPr>
      <w:rFonts w:ascii="Times New Roman" w:eastAsia="Times New Roman" w:hAnsi="Times New Roman" w:cs="Times New Roman"/>
      <w:color w:val="000000" w:themeColor="text1"/>
      <w:sz w:val="24"/>
      <w:szCs w:val="24"/>
    </w:rPr>
  </w:style>
  <w:style w:type="paragraph" w:customStyle="1" w:styleId="P68B1DB1-Normal24">
    <w:name w:val="P68B1DB1-Normal24"/>
    <w:basedOn w:val="Normal"/>
    <w:rPr>
      <w:rFonts w:ascii="Times New Roman" w:eastAsiaTheme="majorEastAsia" w:hAnsi="Times New Roman" w:cs="Times New Roman"/>
      <w:b/>
      <w:sz w:val="24"/>
      <w:szCs w:val="24"/>
    </w:rPr>
  </w:style>
  <w:style w:type="paragraph" w:customStyle="1" w:styleId="P68B1DB1-NumPar125">
    <w:name w:val="P68B1DB1-NumPar125"/>
    <w:basedOn w:val="NumPar1"/>
    <w:rPr>
      <w:b/>
    </w:rPr>
  </w:style>
  <w:style w:type="paragraph" w:customStyle="1" w:styleId="P68B1DB1-Normal26">
    <w:name w:val="P68B1DB1-Normal26"/>
    <w:basedOn w:val="Normal"/>
    <w:rPr>
      <w:rFonts w:ascii="Times New Roman" w:eastAsia="Times New Roman" w:hAnsi="Times New Roman" w:cs="Times New Roman"/>
      <w:b/>
    </w:rPr>
  </w:style>
  <w:style w:type="paragraph" w:customStyle="1" w:styleId="P68B1DB1-Normal27">
    <w:name w:val="P68B1DB1-Normal27"/>
    <w:basedOn w:val="Normal"/>
    <w:rPr>
      <w:rFonts w:ascii="Times New Roman" w:hAnsi="Times New Roman" w:cs="Times New Roman"/>
      <w:color w:val="006100"/>
      <w:sz w:val="20"/>
      <w:szCs w:val="20"/>
    </w:rPr>
  </w:style>
  <w:style w:type="paragraph" w:customStyle="1" w:styleId="P68B1DB1-Normal28">
    <w:name w:val="P68B1DB1-Normal28"/>
    <w:basedOn w:val="Normal"/>
    <w:rPr>
      <w:rFonts w:ascii="Times New Roman" w:eastAsia="Times New Roman" w:hAnsi="Times New Roman" w:cs="Times New Roman"/>
      <w:b/>
      <w:color w:val="006100"/>
      <w:sz w:val="20"/>
      <w:szCs w:val="20"/>
    </w:rPr>
  </w:style>
  <w:style w:type="paragraph" w:customStyle="1" w:styleId="P68B1DB1-NumPar129">
    <w:name w:val="P68B1DB1-NumPar129"/>
    <w:basedOn w:val="NumPar1"/>
    <w:rPr>
      <w:b/>
      <w:u w:val="single"/>
    </w:rPr>
  </w:style>
  <w:style w:type="paragraph" w:customStyle="1" w:styleId="P68B1DB1-Footer30">
    <w:name w:val="P68B1DB1-Footer30"/>
    <w:basedOn w:val="Footer"/>
    <w:rPr>
      <w:rFonts w:ascii="Times New Roman" w:hAnsi="Times New Roman" w:cs="Times New Roman"/>
    </w:rPr>
  </w:style>
  <w:style w:type="paragraph" w:customStyle="1" w:styleId="P68B1DB1-Footer31">
    <w:name w:val="P68B1DB1-Footer31"/>
    <w:basedOn w:val="Footer"/>
    <w:rPr>
      <w:rFonts w:ascii="Times New Roman" w:hAnsi="Times New Roman" w:cs="Times New Roman"/>
      <w:caps/>
    </w:rPr>
  </w:style>
  <w:style w:type="paragraph" w:customStyle="1" w:styleId="P68B1DB1-Footer32">
    <w:name w:val="P68B1DB1-Footer32"/>
    <w:basedOn w:val="Foote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117" Type="http://schemas.openxmlformats.org/officeDocument/2006/relationships/header" Target="header56.xml"/><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footer" Target="footer20.xml"/><Relationship Id="rId63" Type="http://schemas.openxmlformats.org/officeDocument/2006/relationships/header" Target="header29.xml"/><Relationship Id="rId68" Type="http://schemas.openxmlformats.org/officeDocument/2006/relationships/header" Target="header31.xml"/><Relationship Id="rId84" Type="http://schemas.openxmlformats.org/officeDocument/2006/relationships/header" Target="header39.xml"/><Relationship Id="rId89" Type="http://schemas.openxmlformats.org/officeDocument/2006/relationships/footer" Target="footer41.xml"/><Relationship Id="rId112" Type="http://schemas.openxmlformats.org/officeDocument/2006/relationships/footer" Target="footer52.xml"/><Relationship Id="rId133" Type="http://schemas.openxmlformats.org/officeDocument/2006/relationships/footer" Target="footer63.xml"/><Relationship Id="rId138" Type="http://schemas.openxmlformats.org/officeDocument/2006/relationships/header" Target="header66.xml"/><Relationship Id="rId154" Type="http://schemas.openxmlformats.org/officeDocument/2006/relationships/footer" Target="footer73.xml"/><Relationship Id="rId159" Type="http://schemas.openxmlformats.org/officeDocument/2006/relationships/header" Target="header77.xml"/><Relationship Id="rId16" Type="http://schemas.openxmlformats.org/officeDocument/2006/relationships/footer" Target="footer4.xml"/><Relationship Id="rId107" Type="http://schemas.openxmlformats.org/officeDocument/2006/relationships/footer" Target="footer50.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5.xml"/><Relationship Id="rId53" Type="http://schemas.openxmlformats.org/officeDocument/2006/relationships/footer" Target="footer23.xml"/><Relationship Id="rId58" Type="http://schemas.openxmlformats.org/officeDocument/2006/relationships/footer" Target="footer25.xml"/><Relationship Id="rId74" Type="http://schemas.openxmlformats.org/officeDocument/2006/relationships/header" Target="header34.xml"/><Relationship Id="rId79" Type="http://schemas.openxmlformats.org/officeDocument/2006/relationships/footer" Target="footer36.xml"/><Relationship Id="rId102" Type="http://schemas.openxmlformats.org/officeDocument/2006/relationships/header" Target="header48.xml"/><Relationship Id="rId123" Type="http://schemas.openxmlformats.org/officeDocument/2006/relationships/header" Target="header59.xml"/><Relationship Id="rId128" Type="http://schemas.openxmlformats.org/officeDocument/2006/relationships/header" Target="header61.xml"/><Relationship Id="rId144" Type="http://schemas.openxmlformats.org/officeDocument/2006/relationships/header" Target="header69.xml"/><Relationship Id="rId149" Type="http://schemas.openxmlformats.org/officeDocument/2006/relationships/footer" Target="footer71.xml"/><Relationship Id="rId5" Type="http://schemas.openxmlformats.org/officeDocument/2006/relationships/footnotes" Target="footnotes.xml"/><Relationship Id="rId90" Type="http://schemas.openxmlformats.org/officeDocument/2006/relationships/header" Target="header42.xml"/><Relationship Id="rId95" Type="http://schemas.openxmlformats.org/officeDocument/2006/relationships/footer" Target="footer44.xml"/><Relationship Id="rId160" Type="http://schemas.openxmlformats.org/officeDocument/2006/relationships/footer" Target="footer76.xml"/><Relationship Id="rId165" Type="http://schemas.openxmlformats.org/officeDocument/2006/relationships/theme" Target="theme/theme1.xml"/><Relationship Id="rId22" Type="http://schemas.openxmlformats.org/officeDocument/2006/relationships/footer" Target="footer7.xml"/><Relationship Id="rId27" Type="http://schemas.openxmlformats.org/officeDocument/2006/relationships/header" Target="header11.xml"/><Relationship Id="rId43" Type="http://schemas.openxmlformats.org/officeDocument/2006/relationships/footer" Target="footer18.xml"/><Relationship Id="rId48" Type="http://schemas.openxmlformats.org/officeDocument/2006/relationships/header" Target="header21.xml"/><Relationship Id="rId64" Type="http://schemas.openxmlformats.org/officeDocument/2006/relationships/footer" Target="footer28.xml"/><Relationship Id="rId69" Type="http://schemas.openxmlformats.org/officeDocument/2006/relationships/header" Target="header32.xml"/><Relationship Id="rId113" Type="http://schemas.openxmlformats.org/officeDocument/2006/relationships/footer" Target="footer53.xml"/><Relationship Id="rId118" Type="http://schemas.openxmlformats.org/officeDocument/2006/relationships/footer" Target="footer55.xml"/><Relationship Id="rId134" Type="http://schemas.openxmlformats.org/officeDocument/2006/relationships/header" Target="header64.xml"/><Relationship Id="rId139" Type="http://schemas.openxmlformats.org/officeDocument/2006/relationships/footer" Target="footer66.xml"/><Relationship Id="rId80" Type="http://schemas.openxmlformats.org/officeDocument/2006/relationships/header" Target="header37.xml"/><Relationship Id="rId85" Type="http://schemas.openxmlformats.org/officeDocument/2006/relationships/footer" Target="footer39.xml"/><Relationship Id="rId150" Type="http://schemas.openxmlformats.org/officeDocument/2006/relationships/header" Target="header72.xml"/><Relationship Id="rId155" Type="http://schemas.openxmlformats.org/officeDocument/2006/relationships/footer" Target="footer74.xml"/><Relationship Id="rId12" Type="http://schemas.openxmlformats.org/officeDocument/2006/relationships/header" Target="header3.xml"/><Relationship Id="rId17" Type="http://schemas.openxmlformats.org/officeDocument/2006/relationships/footer" Target="footer5.xml"/><Relationship Id="rId33" Type="http://schemas.openxmlformats.org/officeDocument/2006/relationships/header" Target="header14.xml"/><Relationship Id="rId38" Type="http://schemas.openxmlformats.org/officeDocument/2006/relationships/header" Target="header16.xml"/><Relationship Id="rId59" Type="http://schemas.openxmlformats.org/officeDocument/2006/relationships/footer" Target="footer26.xml"/><Relationship Id="rId103" Type="http://schemas.openxmlformats.org/officeDocument/2006/relationships/footer" Target="footer48.xml"/><Relationship Id="rId108" Type="http://schemas.openxmlformats.org/officeDocument/2006/relationships/header" Target="header51.xml"/><Relationship Id="rId124" Type="http://schemas.openxmlformats.org/officeDocument/2006/relationships/footer" Target="footer58.xml"/><Relationship Id="rId129" Type="http://schemas.openxmlformats.org/officeDocument/2006/relationships/header" Target="header62.xml"/><Relationship Id="rId54" Type="http://schemas.openxmlformats.org/officeDocument/2006/relationships/header" Target="header24.xml"/><Relationship Id="rId70" Type="http://schemas.openxmlformats.org/officeDocument/2006/relationships/footer" Target="footer31.xml"/><Relationship Id="rId75" Type="http://schemas.openxmlformats.org/officeDocument/2006/relationships/header" Target="header35.xml"/><Relationship Id="rId91" Type="http://schemas.openxmlformats.org/officeDocument/2006/relationships/footer" Target="footer42.xml"/><Relationship Id="rId96" Type="http://schemas.openxmlformats.org/officeDocument/2006/relationships/header" Target="header45.xml"/><Relationship Id="rId140" Type="http://schemas.openxmlformats.org/officeDocument/2006/relationships/header" Target="header67.xml"/><Relationship Id="rId145" Type="http://schemas.openxmlformats.org/officeDocument/2006/relationships/footer" Target="footer69.xml"/><Relationship Id="rId161" Type="http://schemas.openxmlformats.org/officeDocument/2006/relationships/footer" Target="footer7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header" Target="header26.xml"/><Relationship Id="rId106" Type="http://schemas.openxmlformats.org/officeDocument/2006/relationships/footer" Target="footer49.xml"/><Relationship Id="rId114" Type="http://schemas.openxmlformats.org/officeDocument/2006/relationships/header" Target="header54.xml"/><Relationship Id="rId119" Type="http://schemas.openxmlformats.org/officeDocument/2006/relationships/footer" Target="footer56.xml"/><Relationship Id="rId127" Type="http://schemas.openxmlformats.org/officeDocument/2006/relationships/footer" Target="footer60.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footer" Target="footer22.xml"/><Relationship Id="rId60" Type="http://schemas.openxmlformats.org/officeDocument/2006/relationships/header" Target="header27.xml"/><Relationship Id="rId65" Type="http://schemas.openxmlformats.org/officeDocument/2006/relationships/footer" Target="footer29.xml"/><Relationship Id="rId73" Type="http://schemas.openxmlformats.org/officeDocument/2006/relationships/footer" Target="footer33.xml"/><Relationship Id="rId78" Type="http://schemas.openxmlformats.org/officeDocument/2006/relationships/header" Target="header36.xml"/><Relationship Id="rId81" Type="http://schemas.openxmlformats.org/officeDocument/2006/relationships/header" Target="header38.xml"/><Relationship Id="rId86" Type="http://schemas.openxmlformats.org/officeDocument/2006/relationships/header" Target="header40.xml"/><Relationship Id="rId94" Type="http://schemas.openxmlformats.org/officeDocument/2006/relationships/footer" Target="footer43.xml"/><Relationship Id="rId99" Type="http://schemas.openxmlformats.org/officeDocument/2006/relationships/header" Target="header47.xml"/><Relationship Id="rId101" Type="http://schemas.openxmlformats.org/officeDocument/2006/relationships/footer" Target="footer47.xml"/><Relationship Id="rId122" Type="http://schemas.openxmlformats.org/officeDocument/2006/relationships/header" Target="header58.xml"/><Relationship Id="rId130" Type="http://schemas.openxmlformats.org/officeDocument/2006/relationships/footer" Target="footer61.xml"/><Relationship Id="rId135" Type="http://schemas.openxmlformats.org/officeDocument/2006/relationships/header" Target="header65.xml"/><Relationship Id="rId143" Type="http://schemas.openxmlformats.org/officeDocument/2006/relationships/footer" Target="footer68.xml"/><Relationship Id="rId148" Type="http://schemas.openxmlformats.org/officeDocument/2006/relationships/footer" Target="footer70.xml"/><Relationship Id="rId151" Type="http://schemas.openxmlformats.org/officeDocument/2006/relationships/footer" Target="footer72.xml"/><Relationship Id="rId156" Type="http://schemas.openxmlformats.org/officeDocument/2006/relationships/header" Target="header75.xm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109" Type="http://schemas.openxmlformats.org/officeDocument/2006/relationships/footer" Target="footer51.xml"/><Relationship Id="rId34" Type="http://schemas.openxmlformats.org/officeDocument/2006/relationships/footer" Target="footer13.xml"/><Relationship Id="rId50" Type="http://schemas.openxmlformats.org/officeDocument/2006/relationships/header" Target="header22.xml"/><Relationship Id="rId55" Type="http://schemas.openxmlformats.org/officeDocument/2006/relationships/footer" Target="footer24.xml"/><Relationship Id="rId76" Type="http://schemas.openxmlformats.org/officeDocument/2006/relationships/footer" Target="footer34.xml"/><Relationship Id="rId97" Type="http://schemas.openxmlformats.org/officeDocument/2006/relationships/footer" Target="footer45.xml"/><Relationship Id="rId104" Type="http://schemas.openxmlformats.org/officeDocument/2006/relationships/header" Target="header49.xml"/><Relationship Id="rId120" Type="http://schemas.openxmlformats.org/officeDocument/2006/relationships/header" Target="header57.xml"/><Relationship Id="rId125" Type="http://schemas.openxmlformats.org/officeDocument/2006/relationships/footer" Target="footer59.xml"/><Relationship Id="rId141" Type="http://schemas.openxmlformats.org/officeDocument/2006/relationships/header" Target="header68.xml"/><Relationship Id="rId146" Type="http://schemas.openxmlformats.org/officeDocument/2006/relationships/header" Target="header70.xml"/><Relationship Id="rId7" Type="http://schemas.openxmlformats.org/officeDocument/2006/relationships/image" Target="media/image1.emf"/><Relationship Id="rId71" Type="http://schemas.openxmlformats.org/officeDocument/2006/relationships/footer" Target="footer32.xml"/><Relationship Id="rId92" Type="http://schemas.openxmlformats.org/officeDocument/2006/relationships/header" Target="header43.xml"/><Relationship Id="rId162" Type="http://schemas.openxmlformats.org/officeDocument/2006/relationships/header" Target="header78.xml"/><Relationship Id="rId2" Type="http://schemas.openxmlformats.org/officeDocument/2006/relationships/styles" Target="styles.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20.xml"/><Relationship Id="rId66" Type="http://schemas.openxmlformats.org/officeDocument/2006/relationships/header" Target="header30.xml"/><Relationship Id="rId87" Type="http://schemas.openxmlformats.org/officeDocument/2006/relationships/header" Target="header41.xml"/><Relationship Id="rId110" Type="http://schemas.openxmlformats.org/officeDocument/2006/relationships/header" Target="header52.xml"/><Relationship Id="rId115" Type="http://schemas.openxmlformats.org/officeDocument/2006/relationships/footer" Target="footer54.xml"/><Relationship Id="rId131" Type="http://schemas.openxmlformats.org/officeDocument/2006/relationships/footer" Target="footer62.xml"/><Relationship Id="rId136" Type="http://schemas.openxmlformats.org/officeDocument/2006/relationships/footer" Target="footer64.xml"/><Relationship Id="rId157" Type="http://schemas.openxmlformats.org/officeDocument/2006/relationships/footer" Target="footer75.xml"/><Relationship Id="rId61" Type="http://schemas.openxmlformats.org/officeDocument/2006/relationships/footer" Target="footer27.xml"/><Relationship Id="rId82" Type="http://schemas.openxmlformats.org/officeDocument/2006/relationships/footer" Target="footer37.xml"/><Relationship Id="rId152" Type="http://schemas.openxmlformats.org/officeDocument/2006/relationships/header" Target="header73.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4.xml"/><Relationship Id="rId56" Type="http://schemas.openxmlformats.org/officeDocument/2006/relationships/header" Target="header25.xml"/><Relationship Id="rId77" Type="http://schemas.openxmlformats.org/officeDocument/2006/relationships/footer" Target="footer35.xml"/><Relationship Id="rId100" Type="http://schemas.openxmlformats.org/officeDocument/2006/relationships/footer" Target="footer46.xml"/><Relationship Id="rId105" Type="http://schemas.openxmlformats.org/officeDocument/2006/relationships/header" Target="header50.xml"/><Relationship Id="rId126" Type="http://schemas.openxmlformats.org/officeDocument/2006/relationships/header" Target="header60.xml"/><Relationship Id="rId147" Type="http://schemas.openxmlformats.org/officeDocument/2006/relationships/header" Target="header71.xml"/><Relationship Id="rId8" Type="http://schemas.openxmlformats.org/officeDocument/2006/relationships/header" Target="header1.xml"/><Relationship Id="rId51" Type="http://schemas.openxmlformats.org/officeDocument/2006/relationships/header" Target="header23.xml"/><Relationship Id="rId72" Type="http://schemas.openxmlformats.org/officeDocument/2006/relationships/header" Target="header33.xml"/><Relationship Id="rId93" Type="http://schemas.openxmlformats.org/officeDocument/2006/relationships/header" Target="header44.xml"/><Relationship Id="rId98" Type="http://schemas.openxmlformats.org/officeDocument/2006/relationships/header" Target="header46.xml"/><Relationship Id="rId121" Type="http://schemas.openxmlformats.org/officeDocument/2006/relationships/footer" Target="footer57.xml"/><Relationship Id="rId142" Type="http://schemas.openxmlformats.org/officeDocument/2006/relationships/footer" Target="footer67.xml"/><Relationship Id="rId163" Type="http://schemas.openxmlformats.org/officeDocument/2006/relationships/footer" Target="footer78.xml"/><Relationship Id="rId3" Type="http://schemas.openxmlformats.org/officeDocument/2006/relationships/settings" Target="settings.xml"/><Relationship Id="rId25" Type="http://schemas.openxmlformats.org/officeDocument/2006/relationships/footer" Target="footer9.xml"/><Relationship Id="rId46" Type="http://schemas.openxmlformats.org/officeDocument/2006/relationships/footer" Target="footer19.xml"/><Relationship Id="rId67" Type="http://schemas.openxmlformats.org/officeDocument/2006/relationships/footer" Target="footer30.xml"/><Relationship Id="rId116" Type="http://schemas.openxmlformats.org/officeDocument/2006/relationships/header" Target="header55.xml"/><Relationship Id="rId137" Type="http://schemas.openxmlformats.org/officeDocument/2006/relationships/footer" Target="footer65.xml"/><Relationship Id="rId158" Type="http://schemas.openxmlformats.org/officeDocument/2006/relationships/header" Target="header76.xml"/><Relationship Id="rId20" Type="http://schemas.openxmlformats.org/officeDocument/2006/relationships/header" Target="header7.xml"/><Relationship Id="rId41" Type="http://schemas.openxmlformats.org/officeDocument/2006/relationships/footer" Target="footer17.xml"/><Relationship Id="rId62" Type="http://schemas.openxmlformats.org/officeDocument/2006/relationships/header" Target="header28.xml"/><Relationship Id="rId83" Type="http://schemas.openxmlformats.org/officeDocument/2006/relationships/footer" Target="footer38.xml"/><Relationship Id="rId88" Type="http://schemas.openxmlformats.org/officeDocument/2006/relationships/footer" Target="footer40.xml"/><Relationship Id="rId111" Type="http://schemas.openxmlformats.org/officeDocument/2006/relationships/header" Target="header53.xml"/><Relationship Id="rId132" Type="http://schemas.openxmlformats.org/officeDocument/2006/relationships/header" Target="header63.xml"/><Relationship Id="rId153" Type="http://schemas.openxmlformats.org/officeDocument/2006/relationships/header" Target="header7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6</Pages>
  <Words>11425</Words>
  <Characters>65129</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2026-06-11T10:21:00Z</dcterms:created>
  <dcterms:modified xsi:type="dcterms:W3CDTF">2026-06-25T12:06:00Z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2026-06-11T10:24:38Z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42288c32-22af-4e19-bef7-18b15cfb0d01</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