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01C19" w14:textId="0800F263" w:rsidR="009823F0" w:rsidRPr="00C82A63" w:rsidRDefault="00CB50F7" w:rsidP="00CB50F7">
      <w:pPr>
        <w:pStyle w:val="Pagedecouverture"/>
        <w:rPr>
          <w:noProof/>
        </w:rPr>
      </w:pPr>
      <w:bookmarkStart w:id="0" w:name="LW_BM_COVERPAGE"/>
      <w:r>
        <w:rPr>
          <w:noProof/>
        </w:rPr>
        <w:pict w14:anchorId="557CBF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32D79A-7F38-4C79-92D9-7CEDB61D1B4A" style="width:455.25pt;height:372.75pt">
            <v:imagedata r:id="rId7" o:title=""/>
          </v:shape>
        </w:pict>
      </w:r>
    </w:p>
    <w:bookmarkEnd w:id="0"/>
    <w:p w14:paraId="23C63492" w14:textId="77777777" w:rsidR="009823F0" w:rsidRPr="00C82A63" w:rsidRDefault="009823F0" w:rsidP="009823F0">
      <w:pPr>
        <w:rPr>
          <w:rFonts w:ascii="Times New Roman" w:hAnsi="Times New Roman" w:cs="Times New Roman"/>
          <w:noProof/>
        </w:rPr>
        <w:sectPr w:rsidR="009823F0" w:rsidRPr="00C82A63" w:rsidSect="00CB50F7">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D866B4F" w14:textId="77777777" w:rsidR="009823F0" w:rsidRPr="00C82A63" w:rsidRDefault="009823F0" w:rsidP="009823F0">
      <w:pPr>
        <w:spacing w:before="120" w:after="120" w:line="240" w:lineRule="auto"/>
        <w:jc w:val="center"/>
        <w:rPr>
          <w:rFonts w:ascii="Times New Roman" w:hAnsi="Times New Roman" w:cs="Times New Roman"/>
          <w:b/>
          <w:bCs/>
          <w:noProof/>
          <w:sz w:val="24"/>
          <w:szCs w:val="24"/>
          <w:u w:val="single"/>
          <w:lang w:val="en-IE"/>
        </w:rPr>
      </w:pPr>
      <w:bookmarkStart w:id="1" w:name="_GoBack"/>
      <w:bookmarkEnd w:id="1"/>
      <w:r w:rsidRPr="00C82A63">
        <w:rPr>
          <w:rFonts w:ascii="Times New Roman" w:hAnsi="Times New Roman" w:cs="Times New Roman"/>
          <w:b/>
          <w:bCs/>
          <w:noProof/>
          <w:sz w:val="24"/>
          <w:szCs w:val="24"/>
          <w:u w:val="single"/>
          <w:lang w:val="en-IE"/>
        </w:rPr>
        <w:lastRenderedPageBreak/>
        <w:t xml:space="preserve">ANNEX </w:t>
      </w:r>
    </w:p>
    <w:p w14:paraId="48CF6521"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57677C01"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SECTION 1: REFORMS AND INVESTMENTS UNDER THE RECOVERY AND RESILIENCE PLAN</w:t>
      </w:r>
    </w:p>
    <w:p w14:paraId="380D041C"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132CD983" w14:textId="5EC9AB1D" w:rsidR="009823F0" w:rsidRDefault="009823F0" w:rsidP="009E6941">
      <w:pPr>
        <w:numPr>
          <w:ilvl w:val="6"/>
          <w:numId w:val="0"/>
        </w:numPr>
        <w:spacing w:before="120" w:after="120" w:line="240" w:lineRule="auto"/>
        <w:ind w:left="567" w:hanging="567"/>
        <w:jc w:val="both"/>
        <w:rPr>
          <w:rFonts w:ascii="Times New Roman" w:eastAsiaTheme="majorEastAsia" w:hAnsi="Times New Roman" w:cs="Times New Roman"/>
          <w:b/>
          <w:bCs/>
          <w:noProof/>
          <w:sz w:val="24"/>
          <w:lang w:val="en-IE"/>
        </w:rPr>
      </w:pPr>
      <w:r w:rsidRPr="00C82A63">
        <w:rPr>
          <w:rFonts w:ascii="Times New Roman" w:eastAsiaTheme="majorEastAsia" w:hAnsi="Times New Roman" w:cs="Times New Roman"/>
          <w:b/>
          <w:bCs/>
          <w:noProof/>
          <w:sz w:val="24"/>
          <w:lang w:val="en-IE"/>
        </w:rPr>
        <w:t>Description of Reforms and Investments</w:t>
      </w:r>
    </w:p>
    <w:p w14:paraId="60B60F86" w14:textId="77777777" w:rsidR="009E6941" w:rsidRPr="009E6941" w:rsidRDefault="009E6941" w:rsidP="009E6941">
      <w:pPr>
        <w:numPr>
          <w:ilvl w:val="6"/>
          <w:numId w:val="0"/>
        </w:numPr>
        <w:spacing w:before="120" w:after="120" w:line="240" w:lineRule="auto"/>
        <w:ind w:left="567" w:hanging="567"/>
        <w:jc w:val="both"/>
        <w:rPr>
          <w:rFonts w:ascii="Times New Roman" w:hAnsi="Times New Roman" w:cs="Times New Roman"/>
          <w:noProof/>
          <w:sz w:val="24"/>
          <w:lang w:val="en-IE"/>
        </w:rPr>
      </w:pPr>
    </w:p>
    <w:p w14:paraId="3AA142B8"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 xml:space="preserve">A. COMPONENT 1A: Skilling, Upskilling and Reskilling </w:t>
      </w:r>
    </w:p>
    <w:p w14:paraId="5789554C" w14:textId="48B53558"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 xml:space="preserve">The component Skilling, Reskilling and Upskilling of Luxembourg’s </w:t>
      </w:r>
      <w:r w:rsidRPr="00C82A63">
        <w:rPr>
          <w:rFonts w:ascii="Times New Roman" w:hAnsi="Times New Roman" w:cs="Times New Roman"/>
          <w:noProof/>
          <w:color w:val="000000" w:themeColor="text1"/>
          <w:sz w:val="24"/>
          <w:szCs w:val="24"/>
          <w:lang w:val="en-IE"/>
        </w:rPr>
        <w:t>recovery and resilience plan</w:t>
      </w:r>
      <w:r w:rsidRPr="00C82A63">
        <w:rPr>
          <w:rFonts w:ascii="Times New Roman" w:hAnsi="Times New Roman" w:cs="Times New Roman"/>
          <w:noProof/>
          <w:sz w:val="24"/>
          <w:szCs w:val="24"/>
          <w:lang w:val="en-IE"/>
        </w:rPr>
        <w:t xml:space="preserve"> is a response at the same time to the crisis-induced increase in the level of unemployment,</w:t>
      </w:r>
      <w:r w:rsidR="00A17CDD">
        <w:rPr>
          <w:rFonts w:ascii="Times New Roman" w:hAnsi="Times New Roman" w:cs="Times New Roman"/>
          <w:noProof/>
          <w:sz w:val="24"/>
          <w:szCs w:val="24"/>
          <w:lang w:val="en-IE"/>
        </w:rPr>
        <w:t xml:space="preserve"> </w:t>
      </w:r>
      <w:r w:rsidRPr="00C82A63">
        <w:rPr>
          <w:rFonts w:ascii="Times New Roman" w:hAnsi="Times New Roman" w:cs="Times New Roman"/>
          <w:noProof/>
          <w:sz w:val="24"/>
          <w:szCs w:val="24"/>
          <w:lang w:val="en-IE"/>
        </w:rPr>
        <w:t xml:space="preserve">the long-standing challenge of the skills shortages on the labour market, and increasingly widespread recourse to teleworking, entailing organisational changes and a stronger demand mainly for digital skills. A training programme, the FutureSkills programme, provides skills to jobseekers, with a dedicated target for jobseekers aged 45 years and over. A complementary reform shall deliver a training action plan laying down paths for vocational trainings (“Skillsbridges”) designed to provide skills identified as the most needed for the future. </w:t>
      </w:r>
    </w:p>
    <w:p w14:paraId="4A9A3740"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The component contributes to addressing </w:t>
      </w:r>
      <w:r w:rsidRPr="00C82A63">
        <w:rPr>
          <w:rFonts w:ascii="Times New Roman" w:hAnsi="Times New Roman" w:cs="Times New Roman"/>
          <w:noProof/>
          <w:color w:val="000000" w:themeColor="text1"/>
          <w:sz w:val="24"/>
          <w:lang w:val="en-IE"/>
        </w:rPr>
        <w:t xml:space="preserve">Country-Specific Recommendation </w:t>
      </w:r>
      <w:r w:rsidRPr="00C82A63">
        <w:rPr>
          <w:rFonts w:ascii="Times New Roman" w:hAnsi="Times New Roman" w:cs="Times New Roman"/>
          <w:noProof/>
          <w:sz w:val="24"/>
          <w:lang w:val="en-IE"/>
        </w:rPr>
        <w:t xml:space="preserve">1 of 2019 to enhance employability of older workers, </w:t>
      </w:r>
      <w:r w:rsidRPr="00C82A63">
        <w:rPr>
          <w:rFonts w:ascii="Times New Roman" w:hAnsi="Times New Roman" w:cs="Times New Roman"/>
          <w:noProof/>
          <w:color w:val="000000" w:themeColor="text1"/>
          <w:sz w:val="24"/>
          <w:lang w:val="en-IE"/>
        </w:rPr>
        <w:t xml:space="preserve">Country-Specific Recommendation </w:t>
      </w:r>
      <w:r w:rsidRPr="00C82A63">
        <w:rPr>
          <w:rFonts w:ascii="Times New Roman" w:hAnsi="Times New Roman" w:cs="Times New Roman"/>
          <w:noProof/>
          <w:sz w:val="24"/>
          <w:lang w:val="en-IE"/>
        </w:rPr>
        <w:t xml:space="preserve">3 of 2019 to stimulate skills development, and </w:t>
      </w:r>
      <w:r w:rsidRPr="00C82A63">
        <w:rPr>
          <w:rFonts w:ascii="Times New Roman" w:hAnsi="Times New Roman" w:cs="Times New Roman"/>
          <w:noProof/>
          <w:color w:val="000000" w:themeColor="text1"/>
          <w:sz w:val="24"/>
          <w:lang w:val="en-IE"/>
        </w:rPr>
        <w:t xml:space="preserve">Country-Specific Recommendation </w:t>
      </w:r>
      <w:r w:rsidRPr="00C82A63">
        <w:rPr>
          <w:rFonts w:ascii="Times New Roman" w:hAnsi="Times New Roman" w:cs="Times New Roman"/>
          <w:noProof/>
          <w:sz w:val="24"/>
          <w:lang w:val="en-IE"/>
        </w:rPr>
        <w:t xml:space="preserve">2 of 2020 to mitigate the employment impact of the crisis, with special consideration for people in a difficult labour market position. </w:t>
      </w:r>
    </w:p>
    <w:p w14:paraId="194668A5"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D2945FA"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736E5EF6" w14:textId="77777777" w:rsidR="009823F0" w:rsidRPr="00C82A63" w:rsidRDefault="009823F0" w:rsidP="009823F0">
      <w:pPr>
        <w:spacing w:before="120" w:after="120" w:line="240" w:lineRule="auto"/>
        <w:jc w:val="both"/>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A.1. </w:t>
      </w:r>
      <w:r w:rsidRPr="00C82A63">
        <w:rPr>
          <w:rFonts w:ascii="Times New Roman" w:hAnsi="Times New Roman" w:cs="Times New Roman"/>
          <w:b/>
          <w:bCs/>
          <w:noProof/>
          <w:sz w:val="24"/>
          <w:u w:val="single"/>
          <w:lang w:val="en-IE"/>
        </w:rPr>
        <w:tab/>
        <w:t>Description of the reforms and investments for non-repayable financial support</w:t>
      </w:r>
    </w:p>
    <w:p w14:paraId="6C3DE6B8"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Reform: Skillsdësch</w:t>
      </w:r>
    </w:p>
    <w:p w14:paraId="1DC91BA7"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 xml:space="preserve">Under a broader initiative aimed at developing a skills strategy, and promoting continued and vocational training, a collaborative procedure entailing round-table debates on skills led by all stakeholders (“Skillsdësch”) has been conducted to analyse the demand for skills, and to identify the most promising job profiles. The resulting action plan shall define dedicated </w:t>
      </w:r>
      <w:r w:rsidRPr="00C82A63">
        <w:rPr>
          <w:rFonts w:ascii="Times New Roman" w:hAnsi="Times New Roman" w:cs="Times New Roman"/>
          <w:noProof/>
          <w:color w:val="000000" w:themeColor="text1"/>
          <w:sz w:val="24"/>
          <w:szCs w:val="24"/>
          <w:lang w:val="en-IE"/>
        </w:rPr>
        <w:t>training paths called “skillsbridges” helping workers and job seekers to enhance their employability during the green and digital transition. The vocational trainings thus conceived shall be launched in the second quarter 2022.</w:t>
      </w:r>
    </w:p>
    <w:p w14:paraId="4736A46B"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p>
    <w:p w14:paraId="164E730B"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Investment 1: FutureSkills</w:t>
      </w:r>
    </w:p>
    <w:p w14:paraId="5AA01C20"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In the same context, the FutureSkills programme provides sought-after soft, digital, and managerial skills to selected and motivated job seekers so as to facilitate their short-term re-integration on the labour market and mobility. The programme sets a dedicated target for job seekers aged 45 year and more to help reduce the widespread early retirements and to improve skills. Contents generated by the programme shall be put at the disposal of a larger population of job seekers over a longer horizon.</w:t>
      </w:r>
    </w:p>
    <w:p w14:paraId="4B63DB21"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sectPr w:rsidR="009823F0" w:rsidRPr="00C82A63" w:rsidSect="009823F0">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50DA6338" w14:textId="77777777" w:rsidR="009823F0" w:rsidRPr="00C82A63" w:rsidRDefault="009823F0" w:rsidP="00751FB1">
      <w:pPr>
        <w:spacing w:before="120" w:after="120" w:line="240" w:lineRule="auto"/>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A.2.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615" w:type="dxa"/>
        <w:jc w:val="center"/>
        <w:tblLook w:val="04A0" w:firstRow="1" w:lastRow="0" w:firstColumn="1" w:lastColumn="0" w:noHBand="0" w:noVBand="1"/>
      </w:tblPr>
      <w:tblGrid>
        <w:gridCol w:w="1241"/>
        <w:gridCol w:w="1287"/>
        <w:gridCol w:w="1123"/>
        <w:gridCol w:w="1575"/>
        <w:gridCol w:w="1877"/>
        <w:gridCol w:w="1087"/>
        <w:gridCol w:w="954"/>
        <w:gridCol w:w="741"/>
        <w:gridCol w:w="916"/>
        <w:gridCol w:w="711"/>
        <w:gridCol w:w="4103"/>
      </w:tblGrid>
      <w:tr w:rsidR="00C82A63" w:rsidRPr="00443C86" w14:paraId="38F00370" w14:textId="77777777" w:rsidTr="00C82A63">
        <w:trPr>
          <w:trHeight w:val="927"/>
          <w:tblHeader/>
          <w:jc w:val="center"/>
        </w:trPr>
        <w:tc>
          <w:tcPr>
            <w:tcW w:w="1242"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51D3A33"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28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D4EB515"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123"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F85B873" w14:textId="5CC5D4AE"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 /Target</w:t>
            </w:r>
          </w:p>
        </w:tc>
        <w:tc>
          <w:tcPr>
            <w:tcW w:w="1575" w:type="dxa"/>
            <w:vMerge w:val="restart"/>
            <w:tcBorders>
              <w:top w:val="single" w:sz="4" w:space="0" w:color="auto"/>
              <w:left w:val="nil"/>
              <w:bottom w:val="single" w:sz="4" w:space="0" w:color="000000" w:themeColor="text1"/>
              <w:right w:val="single" w:sz="4" w:space="0" w:color="auto"/>
            </w:tcBorders>
            <w:shd w:val="clear" w:color="auto" w:fill="BDD7EE"/>
            <w:vAlign w:val="center"/>
            <w:hideMark/>
          </w:tcPr>
          <w:p w14:paraId="0801FB1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877"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F0B00C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782" w:type="dxa"/>
            <w:gridSpan w:val="3"/>
            <w:tcBorders>
              <w:top w:val="single" w:sz="4" w:space="0" w:color="auto"/>
              <w:left w:val="nil"/>
              <w:bottom w:val="single" w:sz="4" w:space="0" w:color="auto"/>
              <w:right w:val="single" w:sz="4" w:space="0" w:color="auto"/>
            </w:tcBorders>
            <w:shd w:val="clear" w:color="auto" w:fill="BDD7EE"/>
            <w:vAlign w:val="center"/>
            <w:hideMark/>
          </w:tcPr>
          <w:p w14:paraId="742A383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1626" w:type="dxa"/>
            <w:gridSpan w:val="2"/>
            <w:tcBorders>
              <w:top w:val="single" w:sz="4" w:space="0" w:color="auto"/>
              <w:left w:val="nil"/>
              <w:bottom w:val="single" w:sz="4" w:space="0" w:color="auto"/>
              <w:right w:val="single" w:sz="4" w:space="0" w:color="auto"/>
            </w:tcBorders>
            <w:shd w:val="clear" w:color="auto" w:fill="BDD7EE"/>
            <w:vAlign w:val="center"/>
            <w:hideMark/>
          </w:tcPr>
          <w:p w14:paraId="12BCB43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Indicative timeline for completion </w:t>
            </w:r>
          </w:p>
        </w:tc>
        <w:tc>
          <w:tcPr>
            <w:tcW w:w="41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594D1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C82A63" w:rsidRPr="00C82A63" w14:paraId="375A4EDB" w14:textId="77777777" w:rsidTr="00C82A63">
        <w:trPr>
          <w:trHeight w:val="1013"/>
          <w:tblHeader/>
          <w:jc w:val="center"/>
        </w:trPr>
        <w:tc>
          <w:tcPr>
            <w:tcW w:w="1242" w:type="dxa"/>
            <w:vMerge/>
            <w:tcBorders>
              <w:top w:val="single" w:sz="4" w:space="0" w:color="auto"/>
              <w:left w:val="single" w:sz="4" w:space="0" w:color="auto"/>
              <w:bottom w:val="single" w:sz="4" w:space="0" w:color="000000"/>
              <w:right w:val="single" w:sz="4" w:space="0" w:color="auto"/>
            </w:tcBorders>
            <w:vAlign w:val="center"/>
            <w:hideMark/>
          </w:tcPr>
          <w:p w14:paraId="6AC0B8A0" w14:textId="77777777" w:rsidR="009823F0" w:rsidRPr="00C82A63" w:rsidRDefault="009823F0" w:rsidP="00CF6BC5">
            <w:pPr>
              <w:spacing w:after="0" w:line="240" w:lineRule="auto"/>
              <w:rPr>
                <w:rFonts w:ascii="Times New Roman" w:eastAsia="Times New Roman" w:hAnsi="Times New Roman" w:cs="Times New Roman"/>
                <w:b/>
                <w:bCs/>
                <w:noProof/>
                <w:sz w:val="20"/>
                <w:szCs w:val="20"/>
                <w:lang w:val="en-IE" w:eastAsia="en-GB"/>
              </w:rPr>
            </w:pPr>
          </w:p>
        </w:tc>
        <w:tc>
          <w:tcPr>
            <w:tcW w:w="1287" w:type="dxa"/>
            <w:vMerge/>
            <w:tcBorders>
              <w:top w:val="single" w:sz="4" w:space="0" w:color="auto"/>
              <w:left w:val="single" w:sz="4" w:space="0" w:color="auto"/>
              <w:bottom w:val="single" w:sz="4" w:space="0" w:color="000000"/>
              <w:right w:val="single" w:sz="4" w:space="0" w:color="auto"/>
            </w:tcBorders>
            <w:vAlign w:val="center"/>
            <w:hideMark/>
          </w:tcPr>
          <w:p w14:paraId="7E77C343" w14:textId="77777777" w:rsidR="009823F0" w:rsidRPr="00C82A63" w:rsidRDefault="009823F0" w:rsidP="00CF6BC5">
            <w:pPr>
              <w:spacing w:after="0" w:line="240" w:lineRule="auto"/>
              <w:rPr>
                <w:rFonts w:ascii="Times New Roman" w:eastAsia="Times New Roman" w:hAnsi="Times New Roman" w:cs="Times New Roman"/>
                <w:b/>
                <w:bCs/>
                <w:noProof/>
                <w:sz w:val="20"/>
                <w:szCs w:val="20"/>
                <w:lang w:val="en-IE" w:eastAsia="en-GB"/>
              </w:rPr>
            </w:pPr>
          </w:p>
        </w:tc>
        <w:tc>
          <w:tcPr>
            <w:tcW w:w="1123" w:type="dxa"/>
            <w:vMerge/>
            <w:tcBorders>
              <w:top w:val="single" w:sz="4" w:space="0" w:color="auto"/>
              <w:left w:val="single" w:sz="4" w:space="0" w:color="auto"/>
              <w:bottom w:val="single" w:sz="4" w:space="0" w:color="000000"/>
              <w:right w:val="single" w:sz="4" w:space="0" w:color="auto"/>
            </w:tcBorders>
            <w:vAlign w:val="center"/>
            <w:hideMark/>
          </w:tcPr>
          <w:p w14:paraId="538AEC2E" w14:textId="77777777" w:rsidR="009823F0" w:rsidRPr="00C82A63" w:rsidRDefault="009823F0" w:rsidP="00CF6BC5">
            <w:pPr>
              <w:spacing w:after="0" w:line="240" w:lineRule="auto"/>
              <w:rPr>
                <w:rFonts w:ascii="Times New Roman" w:eastAsia="Times New Roman" w:hAnsi="Times New Roman" w:cs="Times New Roman"/>
                <w:b/>
                <w:bCs/>
                <w:noProof/>
                <w:sz w:val="20"/>
                <w:szCs w:val="20"/>
                <w:lang w:val="en-IE" w:eastAsia="en-GB"/>
              </w:rPr>
            </w:pPr>
          </w:p>
        </w:tc>
        <w:tc>
          <w:tcPr>
            <w:tcW w:w="1575" w:type="dxa"/>
            <w:vMerge/>
            <w:tcBorders>
              <w:top w:val="single" w:sz="4" w:space="0" w:color="auto"/>
              <w:left w:val="nil"/>
              <w:bottom w:val="single" w:sz="4" w:space="0" w:color="000000"/>
              <w:right w:val="single" w:sz="4" w:space="0" w:color="auto"/>
            </w:tcBorders>
            <w:vAlign w:val="center"/>
            <w:hideMark/>
          </w:tcPr>
          <w:p w14:paraId="139390E2" w14:textId="77777777" w:rsidR="009823F0" w:rsidRPr="00C82A63" w:rsidRDefault="009823F0" w:rsidP="00CF6BC5">
            <w:pPr>
              <w:spacing w:after="0" w:line="240" w:lineRule="auto"/>
              <w:rPr>
                <w:rFonts w:ascii="Times New Roman" w:eastAsia="Times New Roman" w:hAnsi="Times New Roman" w:cs="Times New Roman"/>
                <w:b/>
                <w:bCs/>
                <w:noProof/>
                <w:sz w:val="20"/>
                <w:szCs w:val="20"/>
                <w:lang w:val="en-IE" w:eastAsia="en-GB"/>
              </w:rPr>
            </w:pPr>
          </w:p>
        </w:tc>
        <w:tc>
          <w:tcPr>
            <w:tcW w:w="1877" w:type="dxa"/>
            <w:vMerge/>
            <w:tcBorders>
              <w:top w:val="single" w:sz="4" w:space="0" w:color="auto"/>
              <w:left w:val="single" w:sz="4" w:space="0" w:color="auto"/>
              <w:bottom w:val="single" w:sz="4" w:space="0" w:color="000000"/>
              <w:right w:val="single" w:sz="4" w:space="0" w:color="auto"/>
            </w:tcBorders>
            <w:vAlign w:val="center"/>
            <w:hideMark/>
          </w:tcPr>
          <w:p w14:paraId="1F29DE5C" w14:textId="77777777" w:rsidR="009823F0" w:rsidRPr="00C82A63" w:rsidRDefault="009823F0" w:rsidP="00CF6BC5">
            <w:pPr>
              <w:spacing w:after="0" w:line="240" w:lineRule="auto"/>
              <w:rPr>
                <w:rFonts w:ascii="Times New Roman" w:eastAsia="Times New Roman" w:hAnsi="Times New Roman" w:cs="Times New Roman"/>
                <w:b/>
                <w:bCs/>
                <w:noProof/>
                <w:sz w:val="20"/>
                <w:szCs w:val="20"/>
                <w:lang w:val="en-IE" w:eastAsia="en-GB"/>
              </w:rPr>
            </w:pPr>
          </w:p>
        </w:tc>
        <w:tc>
          <w:tcPr>
            <w:tcW w:w="1087" w:type="dxa"/>
            <w:tcBorders>
              <w:top w:val="nil"/>
              <w:left w:val="nil"/>
              <w:bottom w:val="single" w:sz="4" w:space="0" w:color="auto"/>
              <w:right w:val="single" w:sz="4" w:space="0" w:color="auto"/>
            </w:tcBorders>
            <w:shd w:val="clear" w:color="auto" w:fill="BDD7EE"/>
            <w:vAlign w:val="center"/>
            <w:hideMark/>
          </w:tcPr>
          <w:p w14:paraId="2444220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54" w:type="dxa"/>
            <w:tcBorders>
              <w:top w:val="nil"/>
              <w:left w:val="nil"/>
              <w:bottom w:val="single" w:sz="4" w:space="0" w:color="auto"/>
              <w:right w:val="single" w:sz="4" w:space="0" w:color="auto"/>
            </w:tcBorders>
            <w:shd w:val="clear" w:color="auto" w:fill="BDD7EE"/>
            <w:vAlign w:val="center"/>
            <w:hideMark/>
          </w:tcPr>
          <w:p w14:paraId="64D924C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Baseline </w:t>
            </w:r>
          </w:p>
        </w:tc>
        <w:tc>
          <w:tcPr>
            <w:tcW w:w="741" w:type="dxa"/>
            <w:tcBorders>
              <w:top w:val="nil"/>
              <w:left w:val="nil"/>
              <w:bottom w:val="single" w:sz="4" w:space="0" w:color="auto"/>
              <w:right w:val="single" w:sz="4" w:space="0" w:color="auto"/>
            </w:tcBorders>
            <w:shd w:val="clear" w:color="auto" w:fill="BDD7EE"/>
            <w:vAlign w:val="center"/>
            <w:hideMark/>
          </w:tcPr>
          <w:p w14:paraId="7964CAC5"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Goal </w:t>
            </w:r>
          </w:p>
        </w:tc>
        <w:tc>
          <w:tcPr>
            <w:tcW w:w="915" w:type="dxa"/>
            <w:tcBorders>
              <w:top w:val="nil"/>
              <w:left w:val="nil"/>
              <w:bottom w:val="single" w:sz="4" w:space="0" w:color="auto"/>
              <w:right w:val="single" w:sz="4" w:space="0" w:color="auto"/>
            </w:tcBorders>
            <w:shd w:val="clear" w:color="auto" w:fill="BDD7EE"/>
            <w:vAlign w:val="center"/>
            <w:hideMark/>
          </w:tcPr>
          <w:p w14:paraId="2AC3D7A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711" w:type="dxa"/>
            <w:tcBorders>
              <w:top w:val="nil"/>
              <w:left w:val="nil"/>
              <w:bottom w:val="single" w:sz="4" w:space="0" w:color="auto"/>
              <w:right w:val="single" w:sz="4" w:space="0" w:color="auto"/>
            </w:tcBorders>
            <w:shd w:val="clear" w:color="auto" w:fill="BDD7EE"/>
            <w:vAlign w:val="center"/>
            <w:hideMark/>
          </w:tcPr>
          <w:p w14:paraId="36353E0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4103" w:type="dxa"/>
            <w:vMerge/>
            <w:tcBorders>
              <w:top w:val="single" w:sz="4" w:space="0" w:color="auto"/>
              <w:left w:val="single" w:sz="4" w:space="0" w:color="auto"/>
              <w:bottom w:val="single" w:sz="4" w:space="0" w:color="auto"/>
              <w:right w:val="single" w:sz="4" w:space="0" w:color="auto"/>
            </w:tcBorders>
            <w:vAlign w:val="center"/>
            <w:hideMark/>
          </w:tcPr>
          <w:p w14:paraId="339A090F" w14:textId="77777777" w:rsidR="009823F0" w:rsidRPr="00C82A63" w:rsidRDefault="009823F0" w:rsidP="00CF6BC5">
            <w:pPr>
              <w:spacing w:after="0" w:line="240" w:lineRule="auto"/>
              <w:rPr>
                <w:rFonts w:ascii="Times New Roman" w:eastAsia="Times New Roman" w:hAnsi="Times New Roman" w:cs="Times New Roman"/>
                <w:b/>
                <w:bCs/>
                <w:noProof/>
                <w:sz w:val="20"/>
                <w:szCs w:val="20"/>
                <w:lang w:eastAsia="en-GB"/>
              </w:rPr>
            </w:pPr>
          </w:p>
        </w:tc>
      </w:tr>
      <w:tr w:rsidR="00C82A63" w:rsidRPr="00443C86" w14:paraId="0BACDF9E" w14:textId="77777777" w:rsidTr="00C82A63">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1E8FE93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1A-1</w:t>
            </w:r>
          </w:p>
        </w:tc>
        <w:tc>
          <w:tcPr>
            <w:tcW w:w="1287" w:type="dxa"/>
            <w:tcBorders>
              <w:top w:val="nil"/>
              <w:left w:val="nil"/>
              <w:bottom w:val="single" w:sz="4" w:space="0" w:color="auto"/>
              <w:right w:val="single" w:sz="4" w:space="0" w:color="auto"/>
            </w:tcBorders>
            <w:shd w:val="clear" w:color="auto" w:fill="C6EFCE"/>
            <w:noWrap/>
          </w:tcPr>
          <w:p w14:paraId="11F2018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Reform 1 - Skillsdësch</w:t>
            </w:r>
          </w:p>
        </w:tc>
        <w:tc>
          <w:tcPr>
            <w:tcW w:w="1123" w:type="dxa"/>
            <w:tcBorders>
              <w:top w:val="nil"/>
              <w:left w:val="nil"/>
              <w:bottom w:val="single" w:sz="4" w:space="0" w:color="auto"/>
              <w:right w:val="single" w:sz="4" w:space="0" w:color="auto"/>
            </w:tcBorders>
            <w:shd w:val="clear" w:color="auto" w:fill="C6EFCE"/>
            <w:noWrap/>
          </w:tcPr>
          <w:p w14:paraId="0C30594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575" w:type="dxa"/>
            <w:tcBorders>
              <w:top w:val="nil"/>
              <w:left w:val="nil"/>
              <w:bottom w:val="single" w:sz="4" w:space="0" w:color="auto"/>
              <w:right w:val="single" w:sz="4" w:space="0" w:color="auto"/>
            </w:tcBorders>
            <w:shd w:val="clear" w:color="auto" w:fill="C6EFCE"/>
            <w:noWrap/>
          </w:tcPr>
          <w:p w14:paraId="35DDC11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Launch of </w:t>
            </w:r>
            <w:r w:rsidRPr="00C82A63">
              <w:rPr>
                <w:rFonts w:ascii="Times New Roman" w:eastAsia="Times New Roman" w:hAnsi="Times New Roman" w:cs="Times New Roman"/>
                <w:noProof/>
                <w:color w:val="006100"/>
                <w:sz w:val="20"/>
                <w:szCs w:val="20"/>
                <w:lang w:val="en-IE" w:eastAsia="en-GB"/>
              </w:rPr>
              <w:t>“Skillsdësch”</w:t>
            </w:r>
          </w:p>
        </w:tc>
        <w:tc>
          <w:tcPr>
            <w:tcW w:w="1877" w:type="dxa"/>
            <w:tcBorders>
              <w:top w:val="nil"/>
              <w:left w:val="nil"/>
              <w:bottom w:val="single" w:sz="4" w:space="0" w:color="auto"/>
              <w:right w:val="single" w:sz="4" w:space="0" w:color="auto"/>
            </w:tcBorders>
            <w:shd w:val="clear" w:color="auto" w:fill="C6EFCE"/>
            <w:noWrap/>
          </w:tcPr>
          <w:p w14:paraId="1745C0C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Official launch of the “Skillsdësch” process during the meeting of the Tripartite Coordination Committee </w:t>
            </w:r>
          </w:p>
        </w:tc>
        <w:tc>
          <w:tcPr>
            <w:tcW w:w="1087" w:type="dxa"/>
            <w:tcBorders>
              <w:top w:val="nil"/>
              <w:left w:val="nil"/>
              <w:bottom w:val="single" w:sz="4" w:space="0" w:color="auto"/>
              <w:right w:val="single" w:sz="4" w:space="0" w:color="auto"/>
            </w:tcBorders>
            <w:shd w:val="clear" w:color="auto" w:fill="C6EFCE"/>
            <w:noWrap/>
          </w:tcPr>
          <w:p w14:paraId="6A01BDA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954" w:type="dxa"/>
            <w:tcBorders>
              <w:top w:val="nil"/>
              <w:left w:val="nil"/>
              <w:bottom w:val="single" w:sz="4" w:space="0" w:color="auto"/>
              <w:right w:val="single" w:sz="4" w:space="0" w:color="auto"/>
            </w:tcBorders>
            <w:shd w:val="clear" w:color="auto" w:fill="C6EFCE"/>
            <w:noWrap/>
          </w:tcPr>
          <w:p w14:paraId="5FD5995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741" w:type="dxa"/>
            <w:tcBorders>
              <w:top w:val="nil"/>
              <w:left w:val="nil"/>
              <w:bottom w:val="single" w:sz="4" w:space="0" w:color="auto"/>
              <w:right w:val="single" w:sz="4" w:space="0" w:color="auto"/>
            </w:tcBorders>
            <w:shd w:val="clear" w:color="auto" w:fill="C6EFCE"/>
            <w:noWrap/>
          </w:tcPr>
          <w:p w14:paraId="2067969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915" w:type="dxa"/>
            <w:tcBorders>
              <w:top w:val="nil"/>
              <w:left w:val="nil"/>
              <w:bottom w:val="single" w:sz="4" w:space="0" w:color="auto"/>
              <w:right w:val="single" w:sz="4" w:space="0" w:color="auto"/>
            </w:tcBorders>
            <w:shd w:val="clear" w:color="auto" w:fill="C6EFCE"/>
            <w:noWrap/>
          </w:tcPr>
          <w:p w14:paraId="4109C4E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Q3</w:t>
            </w:r>
          </w:p>
        </w:tc>
        <w:tc>
          <w:tcPr>
            <w:tcW w:w="711" w:type="dxa"/>
            <w:tcBorders>
              <w:top w:val="nil"/>
              <w:left w:val="nil"/>
              <w:bottom w:val="single" w:sz="4" w:space="0" w:color="auto"/>
              <w:right w:val="single" w:sz="4" w:space="0" w:color="auto"/>
            </w:tcBorders>
            <w:shd w:val="clear" w:color="auto" w:fill="C6EFCE"/>
            <w:noWrap/>
          </w:tcPr>
          <w:p w14:paraId="2ED295E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2020</w:t>
            </w:r>
          </w:p>
        </w:tc>
        <w:tc>
          <w:tcPr>
            <w:tcW w:w="4103" w:type="dxa"/>
            <w:tcBorders>
              <w:top w:val="nil"/>
              <w:left w:val="nil"/>
              <w:bottom w:val="single" w:sz="4" w:space="0" w:color="auto"/>
              <w:right w:val="single" w:sz="4" w:space="0" w:color="auto"/>
            </w:tcBorders>
            <w:shd w:val="clear" w:color="auto" w:fill="C6EFCE"/>
            <w:noWrap/>
          </w:tcPr>
          <w:p w14:paraId="5FCE62B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Launch by the Tripartite Coordination Committee of the collaborative round-table process (“Skillsdësch”) to analyse the demand for skills, and to identify the most promising job profiles</w:t>
            </w:r>
          </w:p>
        </w:tc>
      </w:tr>
      <w:tr w:rsidR="00C82A63" w:rsidRPr="00443C86" w14:paraId="25DCE79C" w14:textId="77777777" w:rsidTr="00C82A63">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020B768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1A-2</w:t>
            </w:r>
          </w:p>
        </w:tc>
        <w:tc>
          <w:tcPr>
            <w:tcW w:w="1287" w:type="dxa"/>
            <w:tcBorders>
              <w:top w:val="nil"/>
              <w:left w:val="nil"/>
              <w:bottom w:val="single" w:sz="4" w:space="0" w:color="auto"/>
              <w:right w:val="single" w:sz="4" w:space="0" w:color="auto"/>
            </w:tcBorders>
            <w:shd w:val="clear" w:color="auto" w:fill="C6EFCE"/>
            <w:noWrap/>
          </w:tcPr>
          <w:p w14:paraId="0CCF19D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Reform 1 - Skillsdësch</w:t>
            </w:r>
          </w:p>
        </w:tc>
        <w:tc>
          <w:tcPr>
            <w:tcW w:w="1123" w:type="dxa"/>
            <w:tcBorders>
              <w:top w:val="nil"/>
              <w:left w:val="nil"/>
              <w:bottom w:val="single" w:sz="4" w:space="0" w:color="auto"/>
              <w:right w:val="single" w:sz="4" w:space="0" w:color="auto"/>
            </w:tcBorders>
            <w:shd w:val="clear" w:color="auto" w:fill="C6EFCE"/>
            <w:noWrap/>
          </w:tcPr>
          <w:p w14:paraId="001F568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575" w:type="dxa"/>
            <w:tcBorders>
              <w:top w:val="nil"/>
              <w:left w:val="nil"/>
              <w:bottom w:val="single" w:sz="4" w:space="0" w:color="auto"/>
              <w:right w:val="single" w:sz="4" w:space="0" w:color="auto"/>
            </w:tcBorders>
            <w:shd w:val="clear" w:color="auto" w:fill="C6EFCE"/>
            <w:noWrap/>
          </w:tcPr>
          <w:p w14:paraId="4D47487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Launch of the vocational trainings («skillsbridges»)</w:t>
            </w:r>
          </w:p>
        </w:tc>
        <w:tc>
          <w:tcPr>
            <w:tcW w:w="1877" w:type="dxa"/>
            <w:tcBorders>
              <w:top w:val="nil"/>
              <w:left w:val="nil"/>
              <w:bottom w:val="single" w:sz="4" w:space="0" w:color="auto"/>
              <w:right w:val="single" w:sz="4" w:space="0" w:color="auto"/>
            </w:tcBorders>
            <w:shd w:val="clear" w:color="auto" w:fill="C6EFCE"/>
            <w:noWrap/>
          </w:tcPr>
          <w:p w14:paraId="42B38FC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Official launch of training by opening registrations for interested participants</w:t>
            </w:r>
          </w:p>
        </w:tc>
        <w:tc>
          <w:tcPr>
            <w:tcW w:w="1087" w:type="dxa"/>
            <w:tcBorders>
              <w:top w:val="nil"/>
              <w:left w:val="nil"/>
              <w:bottom w:val="single" w:sz="4" w:space="0" w:color="auto"/>
              <w:right w:val="single" w:sz="4" w:space="0" w:color="auto"/>
            </w:tcBorders>
            <w:shd w:val="clear" w:color="auto" w:fill="C6EFCE"/>
            <w:noWrap/>
          </w:tcPr>
          <w:p w14:paraId="7D9F3CA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954" w:type="dxa"/>
            <w:tcBorders>
              <w:top w:val="nil"/>
              <w:left w:val="nil"/>
              <w:bottom w:val="single" w:sz="4" w:space="0" w:color="auto"/>
              <w:right w:val="single" w:sz="4" w:space="0" w:color="auto"/>
            </w:tcBorders>
            <w:shd w:val="clear" w:color="auto" w:fill="C6EFCE"/>
            <w:noWrap/>
          </w:tcPr>
          <w:p w14:paraId="60E796F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741" w:type="dxa"/>
            <w:tcBorders>
              <w:top w:val="nil"/>
              <w:left w:val="nil"/>
              <w:bottom w:val="single" w:sz="4" w:space="0" w:color="auto"/>
              <w:right w:val="single" w:sz="4" w:space="0" w:color="auto"/>
            </w:tcBorders>
            <w:shd w:val="clear" w:color="auto" w:fill="C6EFCE"/>
            <w:noWrap/>
          </w:tcPr>
          <w:p w14:paraId="2F97143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915" w:type="dxa"/>
            <w:tcBorders>
              <w:top w:val="nil"/>
              <w:left w:val="nil"/>
              <w:bottom w:val="single" w:sz="4" w:space="0" w:color="auto"/>
              <w:right w:val="single" w:sz="4" w:space="0" w:color="auto"/>
            </w:tcBorders>
            <w:shd w:val="clear" w:color="auto" w:fill="C6EFCE"/>
            <w:noWrap/>
          </w:tcPr>
          <w:p w14:paraId="51F03CD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Q2</w:t>
            </w:r>
          </w:p>
        </w:tc>
        <w:tc>
          <w:tcPr>
            <w:tcW w:w="711" w:type="dxa"/>
            <w:tcBorders>
              <w:top w:val="nil"/>
              <w:left w:val="nil"/>
              <w:bottom w:val="single" w:sz="4" w:space="0" w:color="auto"/>
              <w:right w:val="single" w:sz="4" w:space="0" w:color="auto"/>
            </w:tcBorders>
            <w:shd w:val="clear" w:color="auto" w:fill="C6EFCE"/>
            <w:noWrap/>
          </w:tcPr>
          <w:p w14:paraId="085A749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2022</w:t>
            </w:r>
          </w:p>
        </w:tc>
        <w:tc>
          <w:tcPr>
            <w:tcW w:w="4103" w:type="dxa"/>
            <w:tcBorders>
              <w:top w:val="nil"/>
              <w:left w:val="nil"/>
              <w:bottom w:val="single" w:sz="4" w:space="0" w:color="auto"/>
              <w:right w:val="single" w:sz="4" w:space="0" w:color="auto"/>
            </w:tcBorders>
            <w:shd w:val="clear" w:color="auto" w:fill="C6EFCE"/>
            <w:noWrap/>
          </w:tcPr>
          <w:p w14:paraId="1137D46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Vocational trainings designed under the Skillsdësch process are officially launched by opening them for registration by interested participants </w:t>
            </w:r>
          </w:p>
        </w:tc>
      </w:tr>
      <w:tr w:rsidR="00C82A63" w:rsidRPr="00443C86" w14:paraId="3C5A214F" w14:textId="77777777" w:rsidTr="00C82A63">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26AE243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1A-</w:t>
            </w:r>
            <w:r w:rsidRPr="00C82A63">
              <w:rPr>
                <w:rFonts w:ascii="Times New Roman" w:eastAsia="Times New Roman" w:hAnsi="Times New Roman" w:cs="Times New Roman"/>
                <w:noProof/>
                <w:color w:val="006100"/>
                <w:sz w:val="20"/>
                <w:szCs w:val="20"/>
                <w:lang w:eastAsia="en-GB"/>
              </w:rPr>
              <w:t>3</w:t>
            </w:r>
          </w:p>
        </w:tc>
        <w:tc>
          <w:tcPr>
            <w:tcW w:w="1287" w:type="dxa"/>
            <w:tcBorders>
              <w:top w:val="nil"/>
              <w:left w:val="nil"/>
              <w:bottom w:val="single" w:sz="4" w:space="0" w:color="auto"/>
              <w:right w:val="single" w:sz="4" w:space="0" w:color="auto"/>
            </w:tcBorders>
            <w:shd w:val="clear" w:color="auto" w:fill="C6EFCE"/>
            <w:noWrap/>
          </w:tcPr>
          <w:p w14:paraId="01B1067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1 - FutureSkills</w:t>
            </w:r>
          </w:p>
        </w:tc>
        <w:tc>
          <w:tcPr>
            <w:tcW w:w="1123" w:type="dxa"/>
            <w:tcBorders>
              <w:top w:val="nil"/>
              <w:left w:val="nil"/>
              <w:bottom w:val="single" w:sz="4" w:space="0" w:color="auto"/>
              <w:right w:val="single" w:sz="4" w:space="0" w:color="auto"/>
            </w:tcBorders>
            <w:shd w:val="clear" w:color="auto" w:fill="C6EFCE"/>
            <w:noWrap/>
          </w:tcPr>
          <w:p w14:paraId="7F51AF9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575" w:type="dxa"/>
            <w:tcBorders>
              <w:top w:val="nil"/>
              <w:left w:val="nil"/>
              <w:bottom w:val="single" w:sz="4" w:space="0" w:color="auto"/>
              <w:right w:val="single" w:sz="4" w:space="0" w:color="auto"/>
            </w:tcBorders>
            <w:shd w:val="clear" w:color="auto" w:fill="C6EFCE"/>
            <w:noWrap/>
          </w:tcPr>
          <w:p w14:paraId="7BC9FBB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 xml:space="preserve">Agreement by partners on the “operational phase” </w:t>
            </w:r>
          </w:p>
        </w:tc>
        <w:tc>
          <w:tcPr>
            <w:tcW w:w="1877" w:type="dxa"/>
            <w:tcBorders>
              <w:top w:val="nil"/>
              <w:left w:val="nil"/>
              <w:bottom w:val="single" w:sz="4" w:space="0" w:color="auto"/>
              <w:right w:val="single" w:sz="4" w:space="0" w:color="auto"/>
            </w:tcBorders>
            <w:shd w:val="clear" w:color="auto" w:fill="C6EFCE"/>
            <w:noWrap/>
          </w:tcPr>
          <w:p w14:paraId="0ECA6D6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Signing of agreement</w:t>
            </w:r>
          </w:p>
        </w:tc>
        <w:tc>
          <w:tcPr>
            <w:tcW w:w="1087" w:type="dxa"/>
            <w:tcBorders>
              <w:top w:val="nil"/>
              <w:left w:val="nil"/>
              <w:bottom w:val="single" w:sz="4" w:space="0" w:color="auto"/>
              <w:right w:val="single" w:sz="4" w:space="0" w:color="auto"/>
            </w:tcBorders>
            <w:shd w:val="clear" w:color="auto" w:fill="C6EFCE"/>
            <w:noWrap/>
          </w:tcPr>
          <w:p w14:paraId="06D2EA4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954" w:type="dxa"/>
            <w:tcBorders>
              <w:top w:val="nil"/>
              <w:left w:val="nil"/>
              <w:bottom w:val="single" w:sz="4" w:space="0" w:color="auto"/>
              <w:right w:val="single" w:sz="4" w:space="0" w:color="auto"/>
            </w:tcBorders>
            <w:shd w:val="clear" w:color="auto" w:fill="C6EFCE"/>
            <w:noWrap/>
          </w:tcPr>
          <w:p w14:paraId="64713BB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741" w:type="dxa"/>
            <w:tcBorders>
              <w:top w:val="nil"/>
              <w:left w:val="nil"/>
              <w:bottom w:val="single" w:sz="4" w:space="0" w:color="auto"/>
              <w:right w:val="single" w:sz="4" w:space="0" w:color="auto"/>
            </w:tcBorders>
            <w:shd w:val="clear" w:color="auto" w:fill="C6EFCE"/>
            <w:noWrap/>
          </w:tcPr>
          <w:p w14:paraId="670CCA9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915" w:type="dxa"/>
            <w:tcBorders>
              <w:top w:val="nil"/>
              <w:left w:val="nil"/>
              <w:bottom w:val="single" w:sz="4" w:space="0" w:color="auto"/>
              <w:right w:val="single" w:sz="4" w:space="0" w:color="auto"/>
            </w:tcBorders>
            <w:shd w:val="clear" w:color="auto" w:fill="C6EFCE"/>
            <w:noWrap/>
          </w:tcPr>
          <w:p w14:paraId="70C537B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Q1</w:t>
            </w:r>
          </w:p>
        </w:tc>
        <w:tc>
          <w:tcPr>
            <w:tcW w:w="711" w:type="dxa"/>
            <w:tcBorders>
              <w:top w:val="nil"/>
              <w:left w:val="nil"/>
              <w:bottom w:val="single" w:sz="4" w:space="0" w:color="auto"/>
              <w:right w:val="single" w:sz="4" w:space="0" w:color="auto"/>
            </w:tcBorders>
            <w:shd w:val="clear" w:color="auto" w:fill="C6EFCE"/>
            <w:noWrap/>
          </w:tcPr>
          <w:p w14:paraId="58F7ED3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103" w:type="dxa"/>
            <w:tcBorders>
              <w:top w:val="nil"/>
              <w:left w:val="nil"/>
              <w:bottom w:val="single" w:sz="4" w:space="0" w:color="auto"/>
              <w:right w:val="single" w:sz="4" w:space="0" w:color="auto"/>
            </w:tcBorders>
            <w:shd w:val="clear" w:color="auto" w:fill="C6EFCE"/>
            <w:noWrap/>
          </w:tcPr>
          <w:p w14:paraId="3A53CFD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Signing by the programme partners (Ministry of Labour, Employment, and Social and Solidary Economy, Chamber of Commerce, House of Training, and Chamber of Employees) of the agreement on the “operational phase” of the “FutureSkills” programme</w:t>
            </w:r>
          </w:p>
        </w:tc>
      </w:tr>
      <w:tr w:rsidR="00C82A63" w:rsidRPr="00443C86" w14:paraId="21397F30" w14:textId="77777777" w:rsidTr="00C82A63">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68BCAD3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1A-</w:t>
            </w:r>
            <w:r w:rsidRPr="00C82A63">
              <w:rPr>
                <w:rFonts w:ascii="Times New Roman" w:eastAsia="Times New Roman" w:hAnsi="Times New Roman" w:cs="Times New Roman"/>
                <w:noProof/>
                <w:color w:val="006100"/>
                <w:sz w:val="20"/>
                <w:szCs w:val="20"/>
                <w:lang w:eastAsia="en-GB"/>
              </w:rPr>
              <w:t>4</w:t>
            </w:r>
          </w:p>
        </w:tc>
        <w:tc>
          <w:tcPr>
            <w:tcW w:w="1287" w:type="dxa"/>
            <w:tcBorders>
              <w:top w:val="nil"/>
              <w:left w:val="nil"/>
              <w:bottom w:val="single" w:sz="4" w:space="0" w:color="auto"/>
              <w:right w:val="single" w:sz="4" w:space="0" w:color="auto"/>
            </w:tcBorders>
            <w:shd w:val="clear" w:color="auto" w:fill="C6EFCE"/>
            <w:noWrap/>
          </w:tcPr>
          <w:p w14:paraId="294ED95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1- FutureSkills</w:t>
            </w:r>
          </w:p>
        </w:tc>
        <w:tc>
          <w:tcPr>
            <w:tcW w:w="1123" w:type="dxa"/>
            <w:tcBorders>
              <w:top w:val="nil"/>
              <w:left w:val="nil"/>
              <w:bottom w:val="single" w:sz="4" w:space="0" w:color="auto"/>
              <w:right w:val="single" w:sz="4" w:space="0" w:color="auto"/>
            </w:tcBorders>
            <w:shd w:val="clear" w:color="auto" w:fill="C6EFCE"/>
            <w:noWrap/>
          </w:tcPr>
          <w:p w14:paraId="3CFD2E7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Target</w:t>
            </w:r>
          </w:p>
        </w:tc>
        <w:tc>
          <w:tcPr>
            <w:tcW w:w="1575" w:type="dxa"/>
            <w:tcBorders>
              <w:top w:val="nil"/>
              <w:left w:val="nil"/>
              <w:bottom w:val="single" w:sz="4" w:space="0" w:color="auto"/>
              <w:right w:val="single" w:sz="4" w:space="0" w:color="auto"/>
            </w:tcBorders>
            <w:shd w:val="clear" w:color="auto" w:fill="C6EFCE"/>
            <w:noWrap/>
          </w:tcPr>
          <w:p w14:paraId="57ED24E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Participants of FutureSkills aged more than 45 years</w:t>
            </w:r>
          </w:p>
        </w:tc>
        <w:tc>
          <w:tcPr>
            <w:tcW w:w="1877" w:type="dxa"/>
            <w:tcBorders>
              <w:top w:val="nil"/>
              <w:left w:val="nil"/>
              <w:bottom w:val="single" w:sz="4" w:space="0" w:color="auto"/>
              <w:right w:val="single" w:sz="4" w:space="0" w:color="auto"/>
            </w:tcBorders>
            <w:shd w:val="clear" w:color="auto" w:fill="C6EFCE"/>
            <w:noWrap/>
          </w:tcPr>
          <w:p w14:paraId="3FACEA2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1087" w:type="dxa"/>
            <w:tcBorders>
              <w:top w:val="nil"/>
              <w:left w:val="nil"/>
              <w:bottom w:val="single" w:sz="4" w:space="0" w:color="auto"/>
              <w:right w:val="single" w:sz="4" w:space="0" w:color="auto"/>
            </w:tcBorders>
            <w:shd w:val="clear" w:color="auto" w:fill="C6EFCE"/>
            <w:noWrap/>
          </w:tcPr>
          <w:p w14:paraId="679F1A1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Number of persons</w:t>
            </w:r>
          </w:p>
        </w:tc>
        <w:tc>
          <w:tcPr>
            <w:tcW w:w="954" w:type="dxa"/>
            <w:tcBorders>
              <w:top w:val="nil"/>
              <w:left w:val="nil"/>
              <w:bottom w:val="single" w:sz="4" w:space="0" w:color="auto"/>
              <w:right w:val="single" w:sz="4" w:space="0" w:color="auto"/>
            </w:tcBorders>
            <w:shd w:val="clear" w:color="auto" w:fill="C6EFCE"/>
            <w:noWrap/>
          </w:tcPr>
          <w:p w14:paraId="5DB94C0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0</w:t>
            </w:r>
          </w:p>
        </w:tc>
        <w:tc>
          <w:tcPr>
            <w:tcW w:w="741" w:type="dxa"/>
            <w:tcBorders>
              <w:top w:val="nil"/>
              <w:left w:val="nil"/>
              <w:bottom w:val="single" w:sz="4" w:space="0" w:color="auto"/>
              <w:right w:val="single" w:sz="4" w:space="0" w:color="auto"/>
            </w:tcBorders>
            <w:shd w:val="clear" w:color="auto" w:fill="C6EFCE"/>
            <w:noWrap/>
          </w:tcPr>
          <w:p w14:paraId="28A6C10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150</w:t>
            </w:r>
          </w:p>
        </w:tc>
        <w:tc>
          <w:tcPr>
            <w:tcW w:w="915" w:type="dxa"/>
            <w:tcBorders>
              <w:top w:val="nil"/>
              <w:left w:val="nil"/>
              <w:bottom w:val="single" w:sz="4" w:space="0" w:color="auto"/>
              <w:right w:val="single" w:sz="4" w:space="0" w:color="auto"/>
            </w:tcBorders>
            <w:shd w:val="clear" w:color="auto" w:fill="C6EFCE"/>
            <w:noWrap/>
          </w:tcPr>
          <w:p w14:paraId="2047CF2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711" w:type="dxa"/>
            <w:tcBorders>
              <w:top w:val="nil"/>
              <w:left w:val="nil"/>
              <w:bottom w:val="single" w:sz="4" w:space="0" w:color="auto"/>
              <w:right w:val="single" w:sz="4" w:space="0" w:color="auto"/>
            </w:tcBorders>
            <w:shd w:val="clear" w:color="auto" w:fill="C6EFCE"/>
            <w:noWrap/>
          </w:tcPr>
          <w:p w14:paraId="7DE3126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103" w:type="dxa"/>
            <w:tcBorders>
              <w:top w:val="nil"/>
              <w:left w:val="nil"/>
              <w:bottom w:val="single" w:sz="4" w:space="0" w:color="auto"/>
              <w:right w:val="single" w:sz="4" w:space="0" w:color="auto"/>
            </w:tcBorders>
            <w:shd w:val="clear" w:color="auto" w:fill="C6EFCE"/>
            <w:noWrap/>
          </w:tcPr>
          <w:p w14:paraId="0B46410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 xml:space="preserve">150 job seekers aged more than 45 years (30% of the total of 500 participants) have participated in the “FutureSkills” training </w:t>
            </w:r>
          </w:p>
        </w:tc>
      </w:tr>
      <w:tr w:rsidR="00C82A63" w:rsidRPr="00443C86" w14:paraId="27E01A3C" w14:textId="77777777" w:rsidTr="00C82A63">
        <w:trPr>
          <w:trHeight w:val="309"/>
          <w:tblHeader/>
          <w:jc w:val="center"/>
        </w:trPr>
        <w:tc>
          <w:tcPr>
            <w:tcW w:w="1242" w:type="dxa"/>
            <w:tcBorders>
              <w:top w:val="nil"/>
              <w:left w:val="single" w:sz="4" w:space="0" w:color="auto"/>
              <w:bottom w:val="single" w:sz="4" w:space="0" w:color="auto"/>
              <w:right w:val="single" w:sz="4" w:space="0" w:color="auto"/>
            </w:tcBorders>
            <w:shd w:val="clear" w:color="auto" w:fill="C6EFCE"/>
            <w:noWrap/>
          </w:tcPr>
          <w:p w14:paraId="35D11F8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1A-</w:t>
            </w:r>
            <w:r w:rsidRPr="00C82A63">
              <w:rPr>
                <w:rFonts w:ascii="Times New Roman" w:eastAsia="Times New Roman" w:hAnsi="Times New Roman" w:cs="Times New Roman"/>
                <w:noProof/>
                <w:color w:val="006100"/>
                <w:sz w:val="20"/>
                <w:szCs w:val="20"/>
                <w:lang w:val="en-US" w:eastAsia="en-GB"/>
              </w:rPr>
              <w:t>5</w:t>
            </w:r>
          </w:p>
        </w:tc>
        <w:tc>
          <w:tcPr>
            <w:tcW w:w="1287" w:type="dxa"/>
            <w:tcBorders>
              <w:top w:val="nil"/>
              <w:left w:val="nil"/>
              <w:bottom w:val="single" w:sz="4" w:space="0" w:color="auto"/>
              <w:right w:val="single" w:sz="4" w:space="0" w:color="auto"/>
            </w:tcBorders>
            <w:shd w:val="clear" w:color="auto" w:fill="C6EFCE"/>
            <w:noWrap/>
          </w:tcPr>
          <w:p w14:paraId="32B2E4F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1 - FutureSkills</w:t>
            </w:r>
          </w:p>
        </w:tc>
        <w:tc>
          <w:tcPr>
            <w:tcW w:w="1123" w:type="dxa"/>
            <w:tcBorders>
              <w:top w:val="nil"/>
              <w:left w:val="nil"/>
              <w:bottom w:val="single" w:sz="4" w:space="0" w:color="auto"/>
              <w:right w:val="single" w:sz="4" w:space="0" w:color="auto"/>
            </w:tcBorders>
            <w:shd w:val="clear" w:color="auto" w:fill="C6EFCE"/>
            <w:noWrap/>
          </w:tcPr>
          <w:p w14:paraId="1405D12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Target</w:t>
            </w:r>
          </w:p>
        </w:tc>
        <w:tc>
          <w:tcPr>
            <w:tcW w:w="1575" w:type="dxa"/>
            <w:tcBorders>
              <w:top w:val="nil"/>
              <w:left w:val="nil"/>
              <w:bottom w:val="single" w:sz="4" w:space="0" w:color="auto"/>
              <w:right w:val="single" w:sz="4" w:space="0" w:color="auto"/>
            </w:tcBorders>
            <w:shd w:val="clear" w:color="auto" w:fill="C6EFCE"/>
            <w:noWrap/>
          </w:tcPr>
          <w:p w14:paraId="3E35E30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Participants of FutureSkills</w:t>
            </w:r>
          </w:p>
        </w:tc>
        <w:tc>
          <w:tcPr>
            <w:tcW w:w="1877" w:type="dxa"/>
            <w:tcBorders>
              <w:top w:val="nil"/>
              <w:left w:val="nil"/>
              <w:bottom w:val="single" w:sz="4" w:space="0" w:color="auto"/>
              <w:right w:val="single" w:sz="4" w:space="0" w:color="auto"/>
            </w:tcBorders>
            <w:shd w:val="clear" w:color="auto" w:fill="C6EFCE"/>
            <w:noWrap/>
          </w:tcPr>
          <w:p w14:paraId="3453EBF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087" w:type="dxa"/>
            <w:tcBorders>
              <w:top w:val="nil"/>
              <w:left w:val="nil"/>
              <w:bottom w:val="single" w:sz="4" w:space="0" w:color="auto"/>
              <w:right w:val="single" w:sz="4" w:space="0" w:color="auto"/>
            </w:tcBorders>
            <w:shd w:val="clear" w:color="auto" w:fill="C6EFCE"/>
            <w:noWrap/>
          </w:tcPr>
          <w:p w14:paraId="1290742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Number of persons</w:t>
            </w:r>
          </w:p>
        </w:tc>
        <w:tc>
          <w:tcPr>
            <w:tcW w:w="954" w:type="dxa"/>
            <w:tcBorders>
              <w:top w:val="nil"/>
              <w:left w:val="nil"/>
              <w:bottom w:val="single" w:sz="4" w:space="0" w:color="auto"/>
              <w:right w:val="single" w:sz="4" w:space="0" w:color="auto"/>
            </w:tcBorders>
            <w:shd w:val="clear" w:color="auto" w:fill="C6EFCE"/>
            <w:noWrap/>
          </w:tcPr>
          <w:p w14:paraId="4AC55EC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150</w:t>
            </w:r>
          </w:p>
        </w:tc>
        <w:tc>
          <w:tcPr>
            <w:tcW w:w="741" w:type="dxa"/>
            <w:tcBorders>
              <w:top w:val="nil"/>
              <w:left w:val="nil"/>
              <w:bottom w:val="single" w:sz="4" w:space="0" w:color="auto"/>
              <w:right w:val="single" w:sz="4" w:space="0" w:color="auto"/>
            </w:tcBorders>
            <w:shd w:val="clear" w:color="auto" w:fill="C6EFCE"/>
            <w:noWrap/>
          </w:tcPr>
          <w:p w14:paraId="10D0D06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440</w:t>
            </w:r>
          </w:p>
        </w:tc>
        <w:tc>
          <w:tcPr>
            <w:tcW w:w="915" w:type="dxa"/>
            <w:tcBorders>
              <w:top w:val="nil"/>
              <w:left w:val="nil"/>
              <w:bottom w:val="single" w:sz="4" w:space="0" w:color="auto"/>
              <w:right w:val="single" w:sz="4" w:space="0" w:color="auto"/>
            </w:tcBorders>
            <w:shd w:val="clear" w:color="auto" w:fill="C6EFCE"/>
            <w:noWrap/>
          </w:tcPr>
          <w:p w14:paraId="35D6F0E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711" w:type="dxa"/>
            <w:tcBorders>
              <w:top w:val="nil"/>
              <w:left w:val="nil"/>
              <w:bottom w:val="single" w:sz="4" w:space="0" w:color="auto"/>
              <w:right w:val="single" w:sz="4" w:space="0" w:color="auto"/>
            </w:tcBorders>
            <w:shd w:val="clear" w:color="auto" w:fill="C6EFCE"/>
            <w:noWrap/>
          </w:tcPr>
          <w:p w14:paraId="11E4BBB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103" w:type="dxa"/>
            <w:tcBorders>
              <w:top w:val="nil"/>
              <w:left w:val="nil"/>
              <w:bottom w:val="single" w:sz="4" w:space="0" w:color="auto"/>
              <w:right w:val="single" w:sz="4" w:space="0" w:color="auto"/>
            </w:tcBorders>
            <w:shd w:val="clear" w:color="auto" w:fill="C6EFCE"/>
            <w:noWrap/>
          </w:tcPr>
          <w:p w14:paraId="1CE56854" w14:textId="3AAF3540" w:rsidR="009823F0" w:rsidRPr="00C82A63" w:rsidRDefault="009823F0" w:rsidP="00C82A63">
            <w:pPr>
              <w:spacing w:after="0" w:line="240" w:lineRule="auto"/>
              <w:rPr>
                <w:rFonts w:ascii="Times New Roman" w:eastAsia="Times New Roman" w:hAnsi="Times New Roman" w:cs="Times New Roman"/>
                <w:strike/>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A total of 440 job seekers have participated in the “FutureSkills”</w:t>
            </w:r>
            <w:r w:rsidR="00A17CDD">
              <w:rPr>
                <w:rFonts w:ascii="Times New Roman" w:eastAsia="Times New Roman" w:hAnsi="Times New Roman" w:cs="Times New Roman"/>
                <w:noProof/>
                <w:color w:val="006100"/>
                <w:sz w:val="20"/>
                <w:szCs w:val="20"/>
                <w:lang w:val="en-US" w:eastAsia="en-GB"/>
              </w:rPr>
              <w:t xml:space="preserve"> </w:t>
            </w:r>
            <w:r w:rsidRPr="00C82A63">
              <w:rPr>
                <w:rFonts w:ascii="Times New Roman" w:eastAsia="Times New Roman" w:hAnsi="Times New Roman" w:cs="Times New Roman"/>
                <w:noProof/>
                <w:color w:val="006100"/>
                <w:sz w:val="20"/>
                <w:szCs w:val="20"/>
                <w:lang w:val="en-US" w:eastAsia="en-GB"/>
              </w:rPr>
              <w:t xml:space="preserve">training </w:t>
            </w:r>
          </w:p>
        </w:tc>
      </w:tr>
    </w:tbl>
    <w:p w14:paraId="7856F3B1" w14:textId="77777777" w:rsidR="009823F0" w:rsidRDefault="009823F0" w:rsidP="009823F0">
      <w:pPr>
        <w:spacing w:before="120" w:after="120" w:line="240" w:lineRule="auto"/>
        <w:jc w:val="both"/>
        <w:rPr>
          <w:rFonts w:ascii="Times New Roman" w:eastAsia="Times New Roman" w:hAnsi="Times New Roman" w:cs="Times New Roman"/>
          <w:noProof/>
          <w:color w:val="006100"/>
          <w:sz w:val="20"/>
          <w:szCs w:val="20"/>
          <w:lang w:val="en-IE" w:eastAsia="en-GB"/>
        </w:rPr>
      </w:pPr>
    </w:p>
    <w:p w14:paraId="6DA76654" w14:textId="77777777" w:rsidR="00C82A63" w:rsidRPr="00C82A63" w:rsidRDefault="00C82A63" w:rsidP="00C82A63">
      <w:pPr>
        <w:rPr>
          <w:rFonts w:ascii="Times New Roman" w:hAnsi="Times New Roman" w:cs="Times New Roman"/>
          <w:noProof/>
          <w:sz w:val="24"/>
          <w:lang w:val="en-IE"/>
        </w:rPr>
      </w:pPr>
    </w:p>
    <w:p w14:paraId="05D456DB" w14:textId="77777777" w:rsidR="00C82A63" w:rsidRPr="00C82A63" w:rsidRDefault="00C82A63" w:rsidP="00C82A63">
      <w:pPr>
        <w:jc w:val="center"/>
        <w:rPr>
          <w:rFonts w:ascii="Times New Roman" w:hAnsi="Times New Roman" w:cs="Times New Roman"/>
          <w:noProof/>
          <w:sz w:val="24"/>
          <w:lang w:val="en-IE"/>
        </w:rPr>
      </w:pPr>
    </w:p>
    <w:p w14:paraId="3F4E4DA3" w14:textId="77777777" w:rsidR="00C82A63" w:rsidRDefault="00C82A63" w:rsidP="00C82A63">
      <w:pPr>
        <w:rPr>
          <w:rFonts w:ascii="Times New Roman" w:eastAsia="Times New Roman" w:hAnsi="Times New Roman" w:cs="Times New Roman"/>
          <w:noProof/>
          <w:color w:val="006100"/>
          <w:sz w:val="20"/>
          <w:szCs w:val="20"/>
          <w:lang w:val="en-IE" w:eastAsia="en-GB"/>
        </w:rPr>
      </w:pPr>
    </w:p>
    <w:p w14:paraId="5B5B40B8" w14:textId="77777777" w:rsidR="00C82A63" w:rsidRPr="00C82A63" w:rsidRDefault="00C82A63" w:rsidP="00C82A63">
      <w:pPr>
        <w:rPr>
          <w:rFonts w:ascii="Times New Roman" w:hAnsi="Times New Roman" w:cs="Times New Roman"/>
          <w:noProof/>
          <w:sz w:val="24"/>
          <w:lang w:val="en-IE"/>
        </w:rPr>
        <w:sectPr w:rsidR="00C82A63" w:rsidRPr="00C82A63" w:rsidSect="009823F0">
          <w:headerReference w:type="even" r:id="rId20"/>
          <w:headerReference w:type="default" r:id="rId21"/>
          <w:footerReference w:type="even" r:id="rId22"/>
          <w:footerReference w:type="default" r:id="rId23"/>
          <w:headerReference w:type="first" r:id="rId24"/>
          <w:footerReference w:type="first" r:id="rId25"/>
          <w:pgSz w:w="16839" w:h="11907" w:orient="landscape"/>
          <w:pgMar w:top="720" w:right="720" w:bottom="720" w:left="720" w:header="709" w:footer="709" w:gutter="0"/>
          <w:cols w:space="720"/>
          <w:docGrid w:linePitch="360"/>
        </w:sectPr>
      </w:pPr>
    </w:p>
    <w:p w14:paraId="56CEB347"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 xml:space="preserve">B. COMPONENT 1B: Reinforcement of resilience of health system </w:t>
      </w:r>
    </w:p>
    <w:p w14:paraId="52C07BDD"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This component of Luxembourg’s </w:t>
      </w:r>
      <w:r w:rsidRPr="00C82A63">
        <w:rPr>
          <w:rFonts w:ascii="Times New Roman" w:hAnsi="Times New Roman" w:cs="Times New Roman"/>
          <w:noProof/>
          <w:color w:val="000000" w:themeColor="text1"/>
          <w:sz w:val="24"/>
          <w:lang w:val="en-IE"/>
        </w:rPr>
        <w:t xml:space="preserve">recovery and resilience plan </w:t>
      </w:r>
      <w:r w:rsidRPr="00C82A63">
        <w:rPr>
          <w:rFonts w:ascii="Times New Roman" w:hAnsi="Times New Roman" w:cs="Times New Roman"/>
          <w:noProof/>
          <w:sz w:val="24"/>
          <w:lang w:val="en-IE"/>
        </w:rPr>
        <w:t xml:space="preserve">includes two reforms and two investments aimed at addressing some of the structural problems of the health sector in Luxembourg: the lack of health professionals and the need to increase the efficiency of the health system, notably through its digitalisation. The first reform addresses the governance of the health system and outlines the consultation process with stakeholders and the working programme method to address a number of pre-identified challenges. The objective of the second reform is to redefine and broaden the competences of the different professionals. The investments shall contribute to the digitalisation in the health sector with (i) the implementation of a digital register of health professionals for a better management and anticipation of the healthcare coverage, and the healthcare professionals needed, and (ii) the development of solutions for telemedicine. </w:t>
      </w:r>
    </w:p>
    <w:p w14:paraId="3D5CBBA8"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This component is a response to the </w:t>
      </w:r>
      <w:r w:rsidRPr="00C82A63">
        <w:rPr>
          <w:rFonts w:ascii="Times New Roman" w:hAnsi="Times New Roman" w:cs="Times New Roman"/>
          <w:noProof/>
          <w:color w:val="000000" w:themeColor="text1"/>
          <w:sz w:val="24"/>
          <w:lang w:val="en-IE"/>
        </w:rPr>
        <w:t>Country-Specific Recommendation</w:t>
      </w:r>
      <w:r w:rsidRPr="00C82A63">
        <w:rPr>
          <w:rFonts w:ascii="Times New Roman" w:hAnsi="Times New Roman" w:cs="Times New Roman"/>
          <w:noProof/>
          <w:sz w:val="24"/>
          <w:lang w:val="en-IE"/>
        </w:rPr>
        <w:t xml:space="preserve"> of 2020 to improve the resilience of the health system, consisting on ensuring appropriate mobilisation of available health workers, by improving the governance of the system, and e-Health.</w:t>
      </w:r>
    </w:p>
    <w:p w14:paraId="2997E4DD"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333BB0A" w14:textId="77777777" w:rsidR="009823F0" w:rsidRPr="00C82A63" w:rsidRDefault="009823F0" w:rsidP="009823F0">
      <w:pPr>
        <w:spacing w:before="120" w:after="120" w:line="240" w:lineRule="auto"/>
        <w:ind w:left="850"/>
        <w:jc w:val="both"/>
        <w:rPr>
          <w:rFonts w:ascii="Times New Roman" w:hAnsi="Times New Roman" w:cs="Times New Roman"/>
          <w:noProof/>
          <w:sz w:val="24"/>
          <w:lang w:val="en-IE"/>
        </w:rPr>
      </w:pPr>
    </w:p>
    <w:p w14:paraId="329B56C9" w14:textId="77777777" w:rsidR="009823F0" w:rsidRPr="00C82A63" w:rsidRDefault="009823F0" w:rsidP="009823F0">
      <w:pPr>
        <w:spacing w:before="120" w:after="120" w:line="240" w:lineRule="auto"/>
        <w:jc w:val="both"/>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B.1. </w:t>
      </w:r>
      <w:r w:rsidRPr="00C82A63">
        <w:rPr>
          <w:rFonts w:ascii="Times New Roman" w:hAnsi="Times New Roman" w:cs="Times New Roman"/>
          <w:b/>
          <w:bCs/>
          <w:noProof/>
          <w:sz w:val="24"/>
          <w:u w:val="single"/>
          <w:lang w:val="en-IE"/>
        </w:rPr>
        <w:tab/>
        <w:t>Description of the reforms and investments for non-repayable financial support</w:t>
      </w:r>
    </w:p>
    <w:p w14:paraId="0C5D22EE"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Reform 1: Gesondheetsdësch</w:t>
      </w:r>
    </w:p>
    <w:p w14:paraId="6C11C9FE"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lang w:val="en-IE"/>
        </w:rPr>
        <w:t xml:space="preserve">Luxembourg has launched a consultation process ("Gesondheetsdësch") among the ministries, health insurance managers, doctors and health professional representatives to modernise the governance of the health sector and respond to a number of pre-identified challenges in six thematic work areas. The reforms and investments presented in Luxembourg’s </w:t>
      </w:r>
      <w:r w:rsidRPr="00C82A63">
        <w:rPr>
          <w:rFonts w:ascii="Times New Roman" w:hAnsi="Times New Roman" w:cs="Times New Roman"/>
          <w:noProof/>
          <w:color w:val="000000" w:themeColor="text1"/>
          <w:sz w:val="24"/>
          <w:lang w:val="en-IE"/>
        </w:rPr>
        <w:t>recovery and resilience plan</w:t>
      </w:r>
      <w:r w:rsidRPr="00C82A63">
        <w:rPr>
          <w:rFonts w:ascii="Times New Roman" w:hAnsi="Times New Roman" w:cs="Times New Roman"/>
          <w:noProof/>
          <w:sz w:val="24"/>
          <w:lang w:val="en-IE"/>
        </w:rPr>
        <w:t xml:space="preserve"> - reforming the competences of health professionals, creating a digital register of health professionals and developing telemedicine solutions, are based on the outcomes of this consultation. The other work streams of this process cover also very important areas related to resilience of the health system (especially enhancing primary care, integrated care, health promotion, sustainable financing of healthcare), but do not translate into commitments in the plan, except for the publication of a work programme for the implementation of the results of the Gesondheetsdësch process.</w:t>
      </w:r>
    </w:p>
    <w:p w14:paraId="017F04B2"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p>
    <w:p w14:paraId="00E3D80A"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Reform 2: Reform of regulation of competences of healthcare professionals</w:t>
      </w:r>
    </w:p>
    <w:p w14:paraId="3FE3B407"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eastAsia="Calibri" w:hAnsi="Times New Roman" w:cs="Times New Roman"/>
          <w:noProof/>
          <w:sz w:val="24"/>
          <w:szCs w:val="24"/>
          <w:lang w:val="en-IE"/>
        </w:rPr>
        <w:t>Th</w:t>
      </w:r>
      <w:r w:rsidRPr="00C82A63">
        <w:rPr>
          <w:rFonts w:ascii="Times New Roman" w:hAnsi="Times New Roman" w:cs="Times New Roman"/>
          <w:noProof/>
          <w:sz w:val="24"/>
          <w:szCs w:val="24"/>
          <w:lang w:val="en-IE"/>
        </w:rPr>
        <w:t xml:space="preserve">e objective of this reform is to </w:t>
      </w:r>
      <w:r w:rsidRPr="00C82A63">
        <w:rPr>
          <w:rFonts w:ascii="Times New Roman" w:eastAsia="Calibri" w:hAnsi="Times New Roman" w:cs="Times New Roman"/>
          <w:noProof/>
          <w:sz w:val="24"/>
          <w:szCs w:val="24"/>
          <w:lang w:val="en-IE"/>
        </w:rPr>
        <w:t xml:space="preserve">respond to the healthcare workforce shortage challenges. </w:t>
      </w:r>
      <w:r w:rsidRPr="00C82A63">
        <w:rPr>
          <w:rFonts w:ascii="Times New Roman" w:hAnsi="Times New Roman" w:cs="Times New Roman"/>
          <w:noProof/>
          <w:sz w:val="24"/>
          <w:szCs w:val="24"/>
          <w:lang w:val="en-IE"/>
        </w:rPr>
        <w:t>It consists of revising</w:t>
      </w:r>
      <w:r w:rsidRPr="00C82A63">
        <w:rPr>
          <w:rFonts w:ascii="Times New Roman" w:eastAsia="Calibri" w:hAnsi="Times New Roman" w:cs="Times New Roman"/>
          <w:noProof/>
          <w:sz w:val="24"/>
          <w:szCs w:val="24"/>
          <w:lang w:val="en-IE"/>
        </w:rPr>
        <w:t xml:space="preserve"> the responsibilities of healthcare professions and introducing new measures within hospital structures.</w:t>
      </w:r>
    </w:p>
    <w:p w14:paraId="1D7E3EF5"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p>
    <w:p w14:paraId="0F41F009"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Investment 1: Single digital register of healthcare professionals</w:t>
      </w:r>
    </w:p>
    <w:p w14:paraId="6BC26EF2" w14:textId="77777777" w:rsidR="00C82A63"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The purpose of this investment is to set up a single digital register for health professions, collecting administrative and professional data, in order to manage data on health professionals in Luxembourg (the number of doctors, their specialities, areas of expertise, their age distribution, their territorial distribution…), forecast needed professions and skills (short to medium-term demographic projections by speciality and geographic areas) and mobilise staff during crises. </w:t>
      </w:r>
    </w:p>
    <w:p w14:paraId="6FA23121" w14:textId="59F11874"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This tool shall also allow the management of professional licences and shall respond to the legal obligation to keep professional data up to date. The project shall be completed by 31</w:t>
      </w:r>
      <w:r w:rsidR="00751FB1">
        <w:rPr>
          <w:rFonts w:ascii="Times New Roman" w:hAnsi="Times New Roman" w:cs="Times New Roman"/>
          <w:noProof/>
          <w:sz w:val="24"/>
          <w:lang w:val="en-IE"/>
        </w:rPr>
        <w:t> </w:t>
      </w:r>
      <w:r w:rsidRPr="00C82A63">
        <w:rPr>
          <w:rFonts w:ascii="Times New Roman" w:hAnsi="Times New Roman" w:cs="Times New Roman"/>
          <w:noProof/>
          <w:sz w:val="24"/>
          <w:lang w:val="en-IE"/>
        </w:rPr>
        <w:t>March</w:t>
      </w:r>
      <w:r w:rsidR="00751FB1">
        <w:rPr>
          <w:rFonts w:ascii="Times New Roman" w:hAnsi="Times New Roman" w:cs="Times New Roman"/>
          <w:noProof/>
          <w:sz w:val="24"/>
          <w:lang w:val="en-IE"/>
        </w:rPr>
        <w:t> </w:t>
      </w:r>
      <w:r w:rsidRPr="00C82A63">
        <w:rPr>
          <w:rFonts w:ascii="Times New Roman" w:hAnsi="Times New Roman" w:cs="Times New Roman"/>
          <w:noProof/>
          <w:sz w:val="24"/>
          <w:lang w:val="en-IE"/>
        </w:rPr>
        <w:t>2023.</w:t>
      </w:r>
    </w:p>
    <w:p w14:paraId="3C43B11B" w14:textId="77777777" w:rsidR="009823F0" w:rsidRPr="00C82A63" w:rsidRDefault="009823F0" w:rsidP="009823F0">
      <w:pPr>
        <w:contextualSpacing/>
        <w:rPr>
          <w:rFonts w:ascii="Times New Roman" w:hAnsi="Times New Roman" w:cs="Times New Roman"/>
          <w:noProof/>
          <w:u w:val="single"/>
          <w:lang w:val="en-US"/>
        </w:rPr>
      </w:pPr>
    </w:p>
    <w:p w14:paraId="0BEE24DD"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lang w:val="en-IE"/>
        </w:rPr>
      </w:pPr>
      <w:r w:rsidRPr="00C82A63">
        <w:rPr>
          <w:rFonts w:ascii="Times New Roman" w:hAnsi="Times New Roman" w:cs="Times New Roman"/>
          <w:noProof/>
          <w:sz w:val="24"/>
          <w:szCs w:val="24"/>
          <w:u w:val="single"/>
          <w:lang w:val="en-IE"/>
        </w:rPr>
        <w:t>Investment 2: Telemedicine solution for remote medical follow-up of patients</w:t>
      </w:r>
    </w:p>
    <w:p w14:paraId="4A08F3C6" w14:textId="77777777" w:rsidR="009823F0" w:rsidRPr="00C82A63" w:rsidRDefault="009823F0" w:rsidP="00C82A63">
      <w:pPr>
        <w:spacing w:before="120" w:after="120" w:line="240" w:lineRule="auto"/>
        <w:rPr>
          <w:rFonts w:ascii="Times New Roman" w:hAnsi="Times New Roman" w:cs="Times New Roman"/>
          <w:noProof/>
          <w:sz w:val="24"/>
          <w:szCs w:val="24"/>
          <w:lang w:val="en-IE"/>
        </w:rPr>
        <w:sectPr w:rsidR="009823F0" w:rsidRPr="00C82A63" w:rsidSect="009823F0">
          <w:headerReference w:type="even" r:id="rId26"/>
          <w:headerReference w:type="default" r:id="rId27"/>
          <w:footerReference w:type="even" r:id="rId28"/>
          <w:footerReference w:type="default" r:id="rId29"/>
          <w:headerReference w:type="first" r:id="rId30"/>
          <w:footerReference w:type="first" r:id="rId31"/>
          <w:pgSz w:w="11907" w:h="16839"/>
          <w:pgMar w:top="1134" w:right="1417" w:bottom="1134" w:left="1417" w:header="709" w:footer="709" w:gutter="0"/>
          <w:cols w:space="720"/>
          <w:docGrid w:linePitch="360"/>
        </w:sectPr>
      </w:pPr>
      <w:r w:rsidRPr="00C82A63">
        <w:rPr>
          <w:rFonts w:ascii="Times New Roman" w:hAnsi="Times New Roman" w:cs="Times New Roman"/>
          <w:noProof/>
          <w:sz w:val="24"/>
          <w:szCs w:val="24"/>
          <w:lang w:val="en-IE"/>
        </w:rPr>
        <w:t>This investment is directed towards the development of remote medical monitoring (telemedicine). It consists of a system of teleconsultations for remote monitoring between medical professionals and patients.</w:t>
      </w:r>
    </w:p>
    <w:p w14:paraId="547CC354" w14:textId="77777777" w:rsidR="009823F0" w:rsidRPr="00C82A63" w:rsidRDefault="009823F0" w:rsidP="00751FB1">
      <w:pPr>
        <w:spacing w:before="120" w:after="120" w:line="240" w:lineRule="auto"/>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B.2.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61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134"/>
        <w:gridCol w:w="1814"/>
        <w:gridCol w:w="1276"/>
        <w:gridCol w:w="1162"/>
        <w:gridCol w:w="993"/>
        <w:gridCol w:w="708"/>
        <w:gridCol w:w="993"/>
        <w:gridCol w:w="850"/>
        <w:gridCol w:w="4374"/>
        <w:gridCol w:w="6"/>
      </w:tblGrid>
      <w:tr w:rsidR="009823F0" w:rsidRPr="00443C86" w14:paraId="07C0EE3E" w14:textId="77777777" w:rsidTr="00150784">
        <w:trPr>
          <w:gridAfter w:val="1"/>
          <w:wAfter w:w="6" w:type="dxa"/>
          <w:trHeight w:val="927"/>
          <w:tblHeader/>
        </w:trPr>
        <w:tc>
          <w:tcPr>
            <w:tcW w:w="1135" w:type="dxa"/>
            <w:vMerge w:val="restart"/>
            <w:shd w:val="clear" w:color="auto" w:fill="BDD7EE"/>
            <w:vAlign w:val="center"/>
            <w:hideMark/>
          </w:tcPr>
          <w:p w14:paraId="515E4388" w14:textId="77777777" w:rsidR="009823F0" w:rsidRPr="00751FB1"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751FB1">
              <w:rPr>
                <w:rFonts w:ascii="Times New Roman" w:eastAsia="Times New Roman" w:hAnsi="Times New Roman" w:cs="Times New Roman"/>
                <w:b/>
                <w:bCs/>
                <w:noProof/>
                <w:sz w:val="20"/>
                <w:szCs w:val="20"/>
                <w:lang w:eastAsia="en-GB"/>
              </w:rPr>
              <w:t>Sequential Number</w:t>
            </w:r>
          </w:p>
        </w:tc>
        <w:tc>
          <w:tcPr>
            <w:tcW w:w="1701" w:type="dxa"/>
            <w:vMerge w:val="restart"/>
            <w:shd w:val="clear" w:color="auto" w:fill="BDD7EE"/>
            <w:vAlign w:val="center"/>
            <w:hideMark/>
          </w:tcPr>
          <w:p w14:paraId="2851A654"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134" w:type="dxa"/>
            <w:vMerge w:val="restart"/>
            <w:shd w:val="clear" w:color="auto" w:fill="BDD7EE"/>
            <w:vAlign w:val="center"/>
            <w:hideMark/>
          </w:tcPr>
          <w:p w14:paraId="5F66A9E6" w14:textId="797A78C1"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814" w:type="dxa"/>
            <w:vMerge w:val="restart"/>
            <w:shd w:val="clear" w:color="auto" w:fill="BDD7EE"/>
            <w:vAlign w:val="center"/>
            <w:hideMark/>
          </w:tcPr>
          <w:p w14:paraId="0090BE0A"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276" w:type="dxa"/>
            <w:vMerge w:val="restart"/>
            <w:shd w:val="clear" w:color="auto" w:fill="BDD7EE"/>
            <w:vAlign w:val="center"/>
            <w:hideMark/>
          </w:tcPr>
          <w:p w14:paraId="4BD7452C"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863" w:type="dxa"/>
            <w:gridSpan w:val="3"/>
            <w:shd w:val="clear" w:color="auto" w:fill="BDD7EE"/>
            <w:vAlign w:val="center"/>
            <w:hideMark/>
          </w:tcPr>
          <w:p w14:paraId="1C858407" w14:textId="77777777"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1843" w:type="dxa"/>
            <w:gridSpan w:val="2"/>
            <w:shd w:val="clear" w:color="auto" w:fill="BDD7EE"/>
            <w:vAlign w:val="center"/>
            <w:hideMark/>
          </w:tcPr>
          <w:p w14:paraId="4926B3B8" w14:textId="2ECA7C4E"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Indicative timeline for completion</w:t>
            </w:r>
          </w:p>
        </w:tc>
        <w:tc>
          <w:tcPr>
            <w:tcW w:w="4374" w:type="dxa"/>
            <w:vMerge w:val="restart"/>
            <w:shd w:val="clear" w:color="auto" w:fill="BDD7EE"/>
            <w:vAlign w:val="center"/>
            <w:hideMark/>
          </w:tcPr>
          <w:p w14:paraId="6CC97601" w14:textId="77777777" w:rsidR="009823F0" w:rsidRPr="00C82A63" w:rsidRDefault="009823F0" w:rsidP="00751FB1">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6EBAB1CD" w14:textId="77777777" w:rsidTr="00150784">
        <w:trPr>
          <w:gridAfter w:val="1"/>
          <w:wAfter w:w="6" w:type="dxa"/>
          <w:trHeight w:val="1013"/>
          <w:tblHeader/>
        </w:trPr>
        <w:tc>
          <w:tcPr>
            <w:tcW w:w="1135" w:type="dxa"/>
            <w:vMerge/>
            <w:vAlign w:val="center"/>
            <w:hideMark/>
          </w:tcPr>
          <w:p w14:paraId="0F8066F7" w14:textId="77777777" w:rsidR="009823F0" w:rsidRPr="00751FB1" w:rsidRDefault="009823F0" w:rsidP="00751FB1">
            <w:pPr>
              <w:spacing w:after="0" w:line="240" w:lineRule="auto"/>
              <w:jc w:val="center"/>
              <w:rPr>
                <w:rFonts w:ascii="Times New Roman" w:eastAsia="Times New Roman" w:hAnsi="Times New Roman" w:cs="Times New Roman"/>
                <w:b/>
                <w:noProof/>
                <w:sz w:val="20"/>
                <w:szCs w:val="20"/>
                <w:lang w:val="en-IE" w:eastAsia="en-GB"/>
              </w:rPr>
            </w:pPr>
          </w:p>
        </w:tc>
        <w:tc>
          <w:tcPr>
            <w:tcW w:w="1701" w:type="dxa"/>
            <w:vMerge/>
            <w:vAlign w:val="center"/>
            <w:hideMark/>
          </w:tcPr>
          <w:p w14:paraId="4BFACC2D"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34" w:type="dxa"/>
            <w:vMerge/>
            <w:vAlign w:val="center"/>
            <w:hideMark/>
          </w:tcPr>
          <w:p w14:paraId="6F77A7E5" w14:textId="77777777" w:rsidR="009823F0" w:rsidRPr="00C82A63" w:rsidRDefault="009823F0" w:rsidP="00751FB1">
            <w:pPr>
              <w:spacing w:after="0" w:line="240" w:lineRule="auto"/>
              <w:jc w:val="center"/>
              <w:rPr>
                <w:rFonts w:ascii="Times New Roman" w:eastAsia="Times New Roman" w:hAnsi="Times New Roman" w:cs="Times New Roman"/>
                <w:b/>
                <w:noProof/>
                <w:sz w:val="20"/>
                <w:szCs w:val="20"/>
                <w:lang w:val="en-IE" w:eastAsia="en-GB"/>
              </w:rPr>
            </w:pPr>
          </w:p>
        </w:tc>
        <w:tc>
          <w:tcPr>
            <w:tcW w:w="1814" w:type="dxa"/>
            <w:vMerge/>
            <w:vAlign w:val="center"/>
            <w:hideMark/>
          </w:tcPr>
          <w:p w14:paraId="5C70FC51"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276" w:type="dxa"/>
            <w:vMerge/>
            <w:vAlign w:val="center"/>
            <w:hideMark/>
          </w:tcPr>
          <w:p w14:paraId="758CA0A4"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62" w:type="dxa"/>
            <w:shd w:val="clear" w:color="auto" w:fill="BDD7EE"/>
            <w:vAlign w:val="center"/>
            <w:hideMark/>
          </w:tcPr>
          <w:p w14:paraId="2EFB9F07" w14:textId="77777777"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93" w:type="dxa"/>
            <w:shd w:val="clear" w:color="auto" w:fill="BDD7EE"/>
            <w:vAlign w:val="center"/>
            <w:hideMark/>
          </w:tcPr>
          <w:p w14:paraId="0610954E" w14:textId="2EF7CBAA"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Baseline</w:t>
            </w:r>
          </w:p>
        </w:tc>
        <w:tc>
          <w:tcPr>
            <w:tcW w:w="708" w:type="dxa"/>
            <w:shd w:val="clear" w:color="auto" w:fill="BDD7EE"/>
            <w:vAlign w:val="center"/>
            <w:hideMark/>
          </w:tcPr>
          <w:p w14:paraId="453C88EF" w14:textId="734CF825"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Goal</w:t>
            </w:r>
          </w:p>
        </w:tc>
        <w:tc>
          <w:tcPr>
            <w:tcW w:w="993" w:type="dxa"/>
            <w:shd w:val="clear" w:color="auto" w:fill="BDD7EE"/>
            <w:vAlign w:val="center"/>
            <w:hideMark/>
          </w:tcPr>
          <w:p w14:paraId="3E5E0A1F" w14:textId="77777777"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850" w:type="dxa"/>
            <w:shd w:val="clear" w:color="auto" w:fill="BDD7EE"/>
            <w:vAlign w:val="center"/>
            <w:hideMark/>
          </w:tcPr>
          <w:p w14:paraId="38B7242C" w14:textId="77777777" w:rsidR="009823F0" w:rsidRPr="00C82A63" w:rsidRDefault="009823F0" w:rsidP="00751FB1">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4374" w:type="dxa"/>
            <w:vMerge/>
            <w:vAlign w:val="center"/>
            <w:hideMark/>
          </w:tcPr>
          <w:p w14:paraId="64F38ED0" w14:textId="77777777" w:rsidR="009823F0" w:rsidRPr="00C82A63" w:rsidRDefault="009823F0" w:rsidP="00751FB1">
            <w:pPr>
              <w:spacing w:after="0" w:line="240" w:lineRule="auto"/>
              <w:jc w:val="both"/>
              <w:rPr>
                <w:rFonts w:ascii="Times New Roman" w:eastAsia="Times New Roman" w:hAnsi="Times New Roman" w:cs="Times New Roman"/>
                <w:b/>
                <w:noProof/>
                <w:sz w:val="20"/>
                <w:szCs w:val="20"/>
                <w:lang w:eastAsia="en-GB"/>
              </w:rPr>
            </w:pPr>
          </w:p>
        </w:tc>
      </w:tr>
      <w:tr w:rsidR="009823F0" w:rsidRPr="00C82A63" w14:paraId="7EED0C5C" w14:textId="77777777" w:rsidTr="00751FB1">
        <w:trPr>
          <w:trHeight w:val="680"/>
        </w:trPr>
        <w:tc>
          <w:tcPr>
            <w:tcW w:w="1135" w:type="dxa"/>
            <w:shd w:val="clear" w:color="auto" w:fill="C6EFCE"/>
            <w:noWrap/>
          </w:tcPr>
          <w:p w14:paraId="0B44096D" w14:textId="77777777" w:rsidR="009823F0" w:rsidRPr="00751FB1" w:rsidRDefault="009823F0" w:rsidP="00751FB1">
            <w:pPr>
              <w:spacing w:after="0" w:line="240" w:lineRule="auto"/>
              <w:jc w:val="center"/>
              <w:rPr>
                <w:rFonts w:ascii="Times New Roman" w:eastAsia="Times New Roman" w:hAnsi="Times New Roman" w:cs="Times New Roman"/>
                <w:noProof/>
                <w:color w:val="006100"/>
                <w:sz w:val="20"/>
                <w:szCs w:val="20"/>
                <w:lang w:val="fr-FR" w:eastAsia="en-GB"/>
              </w:rPr>
            </w:pPr>
            <w:r w:rsidRPr="00751FB1">
              <w:rPr>
                <w:rFonts w:ascii="Times New Roman" w:eastAsia="Times New Roman" w:hAnsi="Times New Roman" w:cs="Times New Roman"/>
                <w:noProof/>
                <w:color w:val="006100"/>
                <w:sz w:val="20"/>
                <w:szCs w:val="20"/>
                <w:lang w:val="fr-FR" w:eastAsia="en-GB"/>
              </w:rPr>
              <w:t>1B-1</w:t>
            </w:r>
          </w:p>
        </w:tc>
        <w:tc>
          <w:tcPr>
            <w:tcW w:w="1701" w:type="dxa"/>
            <w:shd w:val="clear" w:color="auto" w:fill="C6EFCE"/>
            <w:noWrap/>
          </w:tcPr>
          <w:p w14:paraId="4C2A492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Reform 1 –</w:t>
            </w:r>
          </w:p>
          <w:p w14:paraId="0D44491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Strengthening health system resilience - Gesondheetsdësch</w:t>
            </w:r>
          </w:p>
        </w:tc>
        <w:tc>
          <w:tcPr>
            <w:tcW w:w="1134" w:type="dxa"/>
            <w:shd w:val="clear" w:color="auto" w:fill="C6EFCE"/>
            <w:noWrap/>
          </w:tcPr>
          <w:p w14:paraId="0FB59403"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Milestone</w:t>
            </w:r>
          </w:p>
        </w:tc>
        <w:tc>
          <w:tcPr>
            <w:tcW w:w="1814" w:type="dxa"/>
            <w:shd w:val="clear" w:color="auto" w:fill="C6EFCE"/>
            <w:noWrap/>
          </w:tcPr>
          <w:p w14:paraId="32B02ADB" w14:textId="411968F5" w:rsidR="009823F0" w:rsidRPr="00751FB1"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Kick-off and preparatory phase of the Gesondheetsdësch’ process</w:t>
            </w:r>
            <w:r w:rsidR="00751FB1">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with the aim to address the six thematic priorities.</w:t>
            </w:r>
            <w:r w:rsidR="00A17CDD">
              <w:rPr>
                <w:rFonts w:ascii="Times New Roman" w:eastAsia="Times New Roman" w:hAnsi="Times New Roman" w:cs="Times New Roman"/>
                <w:noProof/>
                <w:color w:val="006100"/>
                <w:sz w:val="20"/>
                <w:szCs w:val="20"/>
                <w:lang w:val="en-IE" w:eastAsia="en-GB"/>
              </w:rPr>
              <w:t xml:space="preserve"> </w:t>
            </w:r>
          </w:p>
        </w:tc>
        <w:tc>
          <w:tcPr>
            <w:tcW w:w="1276" w:type="dxa"/>
            <w:shd w:val="clear" w:color="auto" w:fill="C6EFCE"/>
            <w:noWrap/>
          </w:tcPr>
          <w:p w14:paraId="2B68F0C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Start of the consultation process </w:t>
            </w:r>
          </w:p>
        </w:tc>
        <w:tc>
          <w:tcPr>
            <w:tcW w:w="1162" w:type="dxa"/>
            <w:shd w:val="clear" w:color="auto" w:fill="C6EFCE"/>
            <w:noWrap/>
          </w:tcPr>
          <w:p w14:paraId="73E98DE7"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61F5DD0A"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708" w:type="dxa"/>
            <w:shd w:val="clear" w:color="auto" w:fill="C6EFCE"/>
            <w:noWrap/>
          </w:tcPr>
          <w:p w14:paraId="302DA7DE"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628DC451" w14:textId="290F7C0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Q3</w:t>
            </w:r>
          </w:p>
        </w:tc>
        <w:tc>
          <w:tcPr>
            <w:tcW w:w="850" w:type="dxa"/>
            <w:shd w:val="clear" w:color="auto" w:fill="C6EFCE"/>
            <w:noWrap/>
          </w:tcPr>
          <w:p w14:paraId="73B13B01"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2020</w:t>
            </w:r>
          </w:p>
        </w:tc>
        <w:tc>
          <w:tcPr>
            <w:tcW w:w="4380" w:type="dxa"/>
            <w:gridSpan w:val="2"/>
            <w:shd w:val="clear" w:color="auto" w:fill="C6EFCE"/>
            <w:noWrap/>
          </w:tcPr>
          <w:p w14:paraId="12D1350E" w14:textId="1BECE7C5"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First kick-off meeting and launch of the preparatory phase of Gesondheetsdësch process with the aim to address the six thematic priorities (1. Better complementarity between </w:t>
            </w:r>
            <w:r w:rsidRPr="00C82A63">
              <w:rPr>
                <w:rFonts w:ascii="Times New Roman" w:eastAsia="Times New Roman" w:hAnsi="Times New Roman" w:cs="Times New Roman"/>
                <w:noProof/>
                <w:color w:val="006100"/>
                <w:sz w:val="20"/>
                <w:szCs w:val="20"/>
                <w:lang w:val="en-US" w:eastAsia="en-GB"/>
              </w:rPr>
              <w:t>inpatient and outpatient</w:t>
            </w:r>
            <w:r w:rsidRPr="00C82A63">
              <w:rPr>
                <w:rFonts w:ascii="Times New Roman" w:eastAsia="Times New Roman" w:hAnsi="Times New Roman" w:cs="Times New Roman"/>
                <w:noProof/>
                <w:color w:val="006100"/>
                <w:sz w:val="20"/>
                <w:szCs w:val="20"/>
                <w:lang w:val="en-IE" w:eastAsia="en-GB"/>
              </w:rPr>
              <w:t xml:space="preserve"> sectors; 2. Improving relations between patients and care providers; 3. Demography of medical and nursing staff: levers to prevent a shortage; 4. Prevention in the health sector; 5. </w:t>
            </w:r>
            <w:r w:rsidRPr="00C82A63">
              <w:rPr>
                <w:rFonts w:ascii="Times New Roman" w:eastAsia="Times New Roman" w:hAnsi="Times New Roman" w:cs="Times New Roman"/>
                <w:noProof/>
                <w:color w:val="006100"/>
                <w:sz w:val="20"/>
                <w:szCs w:val="20"/>
                <w:lang w:val="en-US" w:eastAsia="en-GB"/>
              </w:rPr>
              <w:t>Use of new technologies in health care</w:t>
            </w:r>
            <w:r w:rsidRPr="00C82A63">
              <w:rPr>
                <w:rFonts w:ascii="Times New Roman" w:eastAsia="Times New Roman" w:hAnsi="Times New Roman" w:cs="Times New Roman"/>
                <w:noProof/>
                <w:color w:val="006100"/>
                <w:sz w:val="20"/>
                <w:szCs w:val="20"/>
                <w:lang w:val="en-IE" w:eastAsia="en-GB"/>
              </w:rPr>
              <w:t xml:space="preserve">; 6. </w:t>
            </w:r>
            <w:r w:rsidRPr="00C82A63">
              <w:rPr>
                <w:rFonts w:ascii="Times New Roman" w:eastAsia="Times New Roman" w:hAnsi="Times New Roman" w:cs="Times New Roman"/>
                <w:noProof/>
                <w:color w:val="006100"/>
                <w:sz w:val="20"/>
                <w:szCs w:val="20"/>
                <w:lang w:val="en-US" w:eastAsia="en-GB"/>
              </w:rPr>
              <w:t>Financing the health system: financial sustainability of the system</w:t>
            </w:r>
            <w:r w:rsidRPr="00C82A63">
              <w:rPr>
                <w:rFonts w:ascii="Times New Roman" w:eastAsia="Times New Roman" w:hAnsi="Times New Roman" w:cs="Times New Roman"/>
                <w:noProof/>
                <w:color w:val="006100"/>
                <w:sz w:val="20"/>
                <w:szCs w:val="20"/>
                <w:lang w:val="en-IE" w:eastAsia="en-GB"/>
              </w:rPr>
              <w:t xml:space="preserve">. </w:t>
            </w:r>
          </w:p>
        </w:tc>
      </w:tr>
      <w:tr w:rsidR="009823F0" w:rsidRPr="00443C86" w14:paraId="532DD550" w14:textId="77777777" w:rsidTr="00751FB1">
        <w:trPr>
          <w:trHeight w:val="309"/>
        </w:trPr>
        <w:tc>
          <w:tcPr>
            <w:tcW w:w="1135" w:type="dxa"/>
            <w:shd w:val="clear" w:color="auto" w:fill="C6EFCE"/>
            <w:noWrap/>
          </w:tcPr>
          <w:p w14:paraId="6700210D" w14:textId="77777777" w:rsidR="009823F0" w:rsidRPr="00751FB1" w:rsidRDefault="009823F0" w:rsidP="00751FB1">
            <w:pPr>
              <w:spacing w:after="0" w:line="240" w:lineRule="auto"/>
              <w:jc w:val="center"/>
              <w:rPr>
                <w:rFonts w:ascii="Times New Roman" w:eastAsia="Times New Roman" w:hAnsi="Times New Roman" w:cs="Times New Roman"/>
                <w:noProof/>
                <w:color w:val="006100"/>
                <w:sz w:val="20"/>
                <w:szCs w:val="20"/>
                <w:lang w:val="fr-FR" w:eastAsia="en-GB"/>
              </w:rPr>
            </w:pPr>
            <w:r w:rsidRPr="00751FB1">
              <w:rPr>
                <w:rFonts w:ascii="Times New Roman" w:eastAsia="Times New Roman" w:hAnsi="Times New Roman" w:cs="Times New Roman"/>
                <w:noProof/>
                <w:color w:val="006100"/>
                <w:sz w:val="20"/>
                <w:szCs w:val="20"/>
                <w:lang w:val="fr-FR" w:eastAsia="en-GB"/>
              </w:rPr>
              <w:t>1B-</w:t>
            </w:r>
            <w:r w:rsidRPr="00751FB1">
              <w:rPr>
                <w:rFonts w:ascii="Times New Roman" w:eastAsia="Times New Roman" w:hAnsi="Times New Roman" w:cs="Times New Roman"/>
                <w:noProof/>
                <w:color w:val="006100"/>
                <w:sz w:val="20"/>
                <w:szCs w:val="20"/>
                <w:lang w:val="en-IE" w:eastAsia="en-GB"/>
              </w:rPr>
              <w:t>2</w:t>
            </w:r>
          </w:p>
        </w:tc>
        <w:tc>
          <w:tcPr>
            <w:tcW w:w="1701" w:type="dxa"/>
            <w:shd w:val="clear" w:color="auto" w:fill="C6EFCE"/>
            <w:noWrap/>
          </w:tcPr>
          <w:p w14:paraId="0B00E4D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Reform 1 –</w:t>
            </w:r>
          </w:p>
          <w:p w14:paraId="3C57BBE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Strengthening health system resilience - Gesondheetsdësch</w:t>
            </w:r>
          </w:p>
        </w:tc>
        <w:tc>
          <w:tcPr>
            <w:tcW w:w="1134" w:type="dxa"/>
            <w:shd w:val="clear" w:color="auto" w:fill="C6EFCE"/>
            <w:noWrap/>
          </w:tcPr>
          <w:p w14:paraId="0CD0AF24"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Milestone</w:t>
            </w:r>
          </w:p>
        </w:tc>
        <w:tc>
          <w:tcPr>
            <w:tcW w:w="1814" w:type="dxa"/>
            <w:shd w:val="clear" w:color="auto" w:fill="C6EFCE"/>
            <w:noWrap/>
          </w:tcPr>
          <w:p w14:paraId="117E063B" w14:textId="09594AA5" w:rsidR="009823F0" w:rsidRPr="00C82A63" w:rsidRDefault="009823F0" w:rsidP="00443C86">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Work programme </w:t>
            </w:r>
          </w:p>
        </w:tc>
        <w:tc>
          <w:tcPr>
            <w:tcW w:w="1276" w:type="dxa"/>
            <w:shd w:val="clear" w:color="auto" w:fill="C6EFCE"/>
            <w:noWrap/>
          </w:tcPr>
          <w:p w14:paraId="79CC3522" w14:textId="75435A3C" w:rsidR="009823F0" w:rsidRPr="00C82A63" w:rsidRDefault="009823F0" w:rsidP="00751FB1">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Publication of the work programme </w:t>
            </w:r>
          </w:p>
        </w:tc>
        <w:tc>
          <w:tcPr>
            <w:tcW w:w="1162" w:type="dxa"/>
            <w:shd w:val="clear" w:color="auto" w:fill="C6EFCE"/>
            <w:noWrap/>
          </w:tcPr>
          <w:p w14:paraId="2A1F44A7"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0C997258"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708" w:type="dxa"/>
            <w:shd w:val="clear" w:color="auto" w:fill="C6EFCE"/>
            <w:noWrap/>
          </w:tcPr>
          <w:p w14:paraId="75C44BDE"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069F82CE" w14:textId="5215F228"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Q4</w:t>
            </w:r>
          </w:p>
        </w:tc>
        <w:tc>
          <w:tcPr>
            <w:tcW w:w="850" w:type="dxa"/>
            <w:shd w:val="clear" w:color="auto" w:fill="C6EFCE"/>
            <w:noWrap/>
          </w:tcPr>
          <w:p w14:paraId="3069D5C1"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2021</w:t>
            </w:r>
          </w:p>
        </w:tc>
        <w:tc>
          <w:tcPr>
            <w:tcW w:w="4380" w:type="dxa"/>
            <w:gridSpan w:val="2"/>
            <w:shd w:val="clear" w:color="auto" w:fill="C6EFCE"/>
            <w:noWrap/>
          </w:tcPr>
          <w:p w14:paraId="673A1A70" w14:textId="77777777" w:rsidR="009823F0"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Publication of the work programme to guide the implementation of the "Gesondheetsdësch" programme, with the aim of establishing a structural framework to accommodate policy discussions on the health system. This work programme shall be developed by the six Gesondheetsdësch working groups:</w:t>
            </w:r>
          </w:p>
          <w:p w14:paraId="334CDCE6" w14:textId="77777777" w:rsidR="00465190" w:rsidRPr="00465190" w:rsidRDefault="00465190" w:rsidP="00751FB1">
            <w:pPr>
              <w:spacing w:after="0" w:line="240" w:lineRule="auto"/>
              <w:jc w:val="both"/>
              <w:rPr>
                <w:rFonts w:ascii="Times New Roman" w:eastAsia="Times New Roman" w:hAnsi="Times New Roman" w:cs="Times New Roman"/>
                <w:noProof/>
                <w:color w:val="006100"/>
                <w:sz w:val="16"/>
                <w:szCs w:val="16"/>
                <w:lang w:val="en-US" w:eastAsia="en-GB"/>
              </w:rPr>
            </w:pPr>
          </w:p>
          <w:p w14:paraId="355C32B6"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WG1: Better complementarity between inpatient and outpatient sectors</w:t>
            </w:r>
          </w:p>
          <w:p w14:paraId="2D124C81" w14:textId="77777777" w:rsidR="009823F0" w:rsidRPr="00465190" w:rsidRDefault="009823F0" w:rsidP="00751FB1">
            <w:pPr>
              <w:spacing w:after="0" w:line="240" w:lineRule="auto"/>
              <w:jc w:val="both"/>
              <w:rPr>
                <w:rFonts w:ascii="Times New Roman" w:eastAsia="Times New Roman" w:hAnsi="Times New Roman" w:cs="Times New Roman"/>
                <w:noProof/>
                <w:color w:val="006100"/>
                <w:sz w:val="16"/>
                <w:szCs w:val="16"/>
                <w:lang w:val="en-US" w:eastAsia="en-GB"/>
              </w:rPr>
            </w:pPr>
          </w:p>
          <w:p w14:paraId="320DC948"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WG2: Improving relations between patients and care providers</w:t>
            </w:r>
          </w:p>
          <w:p w14:paraId="55EF8F85" w14:textId="77777777" w:rsidR="009823F0" w:rsidRPr="00465190" w:rsidRDefault="009823F0" w:rsidP="00751FB1">
            <w:pPr>
              <w:spacing w:after="0" w:line="240" w:lineRule="auto"/>
              <w:jc w:val="both"/>
              <w:rPr>
                <w:rFonts w:ascii="Times New Roman" w:eastAsia="Times New Roman" w:hAnsi="Times New Roman" w:cs="Times New Roman"/>
                <w:noProof/>
                <w:color w:val="006100"/>
                <w:sz w:val="16"/>
                <w:szCs w:val="16"/>
                <w:lang w:val="en-US" w:eastAsia="en-GB"/>
              </w:rPr>
            </w:pPr>
          </w:p>
          <w:p w14:paraId="6261BC47"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WG3: Demography of medical and nursing staff: levers to prevent a shortage</w:t>
            </w:r>
          </w:p>
          <w:p w14:paraId="5A80DD43" w14:textId="77777777" w:rsidR="009823F0" w:rsidRPr="00465190" w:rsidRDefault="009823F0" w:rsidP="00751FB1">
            <w:pPr>
              <w:spacing w:after="0" w:line="240" w:lineRule="auto"/>
              <w:jc w:val="both"/>
              <w:rPr>
                <w:rFonts w:ascii="Times New Roman" w:eastAsia="Times New Roman" w:hAnsi="Times New Roman" w:cs="Times New Roman"/>
                <w:noProof/>
                <w:color w:val="006100"/>
                <w:sz w:val="16"/>
                <w:szCs w:val="16"/>
                <w:lang w:val="en-US" w:eastAsia="en-GB"/>
              </w:rPr>
            </w:pPr>
          </w:p>
          <w:p w14:paraId="1CB53BA4"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WG4: Prevention in the health sector: towards a paradigm shift</w:t>
            </w:r>
          </w:p>
          <w:p w14:paraId="6FBDD66C" w14:textId="77777777" w:rsidR="009823F0" w:rsidRPr="00465190" w:rsidRDefault="009823F0" w:rsidP="00751FB1">
            <w:pPr>
              <w:spacing w:after="0" w:line="240" w:lineRule="auto"/>
              <w:jc w:val="both"/>
              <w:rPr>
                <w:rFonts w:ascii="Times New Roman" w:eastAsia="Times New Roman" w:hAnsi="Times New Roman" w:cs="Times New Roman"/>
                <w:noProof/>
                <w:color w:val="006100"/>
                <w:sz w:val="16"/>
                <w:szCs w:val="16"/>
                <w:lang w:val="en-US" w:eastAsia="en-GB"/>
              </w:rPr>
            </w:pPr>
          </w:p>
          <w:p w14:paraId="60D7D0E3"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WG5: Use of new technologies in health care</w:t>
            </w:r>
          </w:p>
          <w:p w14:paraId="527584C8" w14:textId="77777777" w:rsidR="009823F0" w:rsidRPr="00465190" w:rsidRDefault="009823F0" w:rsidP="00751FB1">
            <w:pPr>
              <w:spacing w:after="0" w:line="240" w:lineRule="auto"/>
              <w:jc w:val="both"/>
              <w:rPr>
                <w:rFonts w:ascii="Times New Roman" w:eastAsia="Times New Roman" w:hAnsi="Times New Roman" w:cs="Times New Roman"/>
                <w:noProof/>
                <w:color w:val="006100"/>
                <w:sz w:val="16"/>
                <w:szCs w:val="16"/>
                <w:lang w:val="en-US" w:eastAsia="en-GB"/>
              </w:rPr>
            </w:pPr>
          </w:p>
          <w:p w14:paraId="0173D137"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WG6: Financing the health system: financial sustainability of the system</w:t>
            </w:r>
          </w:p>
        </w:tc>
      </w:tr>
      <w:tr w:rsidR="009823F0" w:rsidRPr="00443C86" w14:paraId="1CC81991" w14:textId="77777777" w:rsidTr="00751FB1">
        <w:trPr>
          <w:trHeight w:val="309"/>
        </w:trPr>
        <w:tc>
          <w:tcPr>
            <w:tcW w:w="1135" w:type="dxa"/>
            <w:shd w:val="clear" w:color="auto" w:fill="C6EFCE"/>
            <w:noWrap/>
          </w:tcPr>
          <w:p w14:paraId="205D4FF5" w14:textId="77777777" w:rsidR="009823F0" w:rsidRPr="00751FB1" w:rsidRDefault="009823F0" w:rsidP="00751FB1">
            <w:pPr>
              <w:spacing w:after="0" w:line="240" w:lineRule="auto"/>
              <w:jc w:val="center"/>
              <w:rPr>
                <w:rFonts w:ascii="Times New Roman" w:eastAsia="Times New Roman" w:hAnsi="Times New Roman" w:cs="Times New Roman"/>
                <w:noProof/>
                <w:color w:val="006100"/>
                <w:sz w:val="20"/>
                <w:szCs w:val="20"/>
                <w:lang w:val="en-IE" w:eastAsia="en-GB"/>
              </w:rPr>
            </w:pPr>
            <w:r w:rsidRPr="00751FB1">
              <w:rPr>
                <w:rFonts w:ascii="Times New Roman" w:eastAsia="Times New Roman" w:hAnsi="Times New Roman" w:cs="Times New Roman"/>
                <w:noProof/>
                <w:color w:val="006100"/>
                <w:sz w:val="20"/>
                <w:szCs w:val="20"/>
                <w:lang w:val="fr-FR" w:eastAsia="en-GB"/>
              </w:rPr>
              <w:t>1B-</w:t>
            </w:r>
            <w:r w:rsidRPr="00751FB1">
              <w:rPr>
                <w:rFonts w:ascii="Times New Roman" w:eastAsia="Times New Roman" w:hAnsi="Times New Roman" w:cs="Times New Roman"/>
                <w:noProof/>
                <w:color w:val="006100"/>
                <w:sz w:val="20"/>
                <w:szCs w:val="20"/>
                <w:lang w:eastAsia="en-GB"/>
              </w:rPr>
              <w:t>4</w:t>
            </w:r>
          </w:p>
        </w:tc>
        <w:tc>
          <w:tcPr>
            <w:tcW w:w="1701" w:type="dxa"/>
            <w:shd w:val="clear" w:color="auto" w:fill="C6EFCE"/>
            <w:noWrap/>
          </w:tcPr>
          <w:p w14:paraId="36D12C8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Reform 2 – </w:t>
            </w:r>
          </w:p>
          <w:p w14:paraId="11A68F5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Strengthening Health System Resilience - Reforming the remits of health professionals</w:t>
            </w:r>
          </w:p>
        </w:tc>
        <w:tc>
          <w:tcPr>
            <w:tcW w:w="1134" w:type="dxa"/>
            <w:shd w:val="clear" w:color="auto" w:fill="C6EFCE"/>
            <w:noWrap/>
          </w:tcPr>
          <w:p w14:paraId="3DD6A579"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Milestone</w:t>
            </w:r>
          </w:p>
        </w:tc>
        <w:tc>
          <w:tcPr>
            <w:tcW w:w="1814" w:type="dxa"/>
            <w:shd w:val="clear" w:color="auto" w:fill="C6EFCE"/>
            <w:noWrap/>
          </w:tcPr>
          <w:p w14:paraId="2D12F649" w14:textId="5B449F8D" w:rsidR="009823F0" w:rsidRPr="00C82A63" w:rsidRDefault="009823F0" w:rsidP="00A437B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Revising healthcare professions and introducing new measures within hospital structures</w:t>
            </w:r>
          </w:p>
        </w:tc>
        <w:tc>
          <w:tcPr>
            <w:tcW w:w="1276" w:type="dxa"/>
            <w:shd w:val="clear" w:color="auto" w:fill="C6EFCE"/>
            <w:noWrap/>
          </w:tcPr>
          <w:p w14:paraId="4B7F1C1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Entry into force of legal acts</w:t>
            </w:r>
          </w:p>
        </w:tc>
        <w:tc>
          <w:tcPr>
            <w:tcW w:w="1162" w:type="dxa"/>
            <w:shd w:val="clear" w:color="auto" w:fill="C6EFCE"/>
            <w:noWrap/>
          </w:tcPr>
          <w:p w14:paraId="6664B84D"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40FF530A"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708" w:type="dxa"/>
            <w:shd w:val="clear" w:color="auto" w:fill="C6EFCE"/>
            <w:noWrap/>
          </w:tcPr>
          <w:p w14:paraId="1E218425"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06D74D4C"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Q3</w:t>
            </w:r>
          </w:p>
        </w:tc>
        <w:tc>
          <w:tcPr>
            <w:tcW w:w="850" w:type="dxa"/>
            <w:shd w:val="clear" w:color="auto" w:fill="C6EFCE"/>
            <w:noWrap/>
          </w:tcPr>
          <w:p w14:paraId="0CBD0586"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2025</w:t>
            </w:r>
          </w:p>
        </w:tc>
        <w:tc>
          <w:tcPr>
            <w:tcW w:w="4380" w:type="dxa"/>
            <w:gridSpan w:val="2"/>
            <w:shd w:val="clear" w:color="auto" w:fill="C6EFCE"/>
            <w:noWrap/>
          </w:tcPr>
          <w:p w14:paraId="4A899FE6"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Entry into force of amending legal acts on 1) the practice and upgrading of health professions and 2) on hospitals and hospital planning; on the practice of the profession of doctor, dental practitioner and veterinary surgeon; and the Social Security Code.</w:t>
            </w:r>
          </w:p>
        </w:tc>
      </w:tr>
      <w:tr w:rsidR="009823F0" w:rsidRPr="00443C86" w14:paraId="633DD9A3" w14:textId="77777777" w:rsidTr="00751FB1">
        <w:trPr>
          <w:trHeight w:val="309"/>
        </w:trPr>
        <w:tc>
          <w:tcPr>
            <w:tcW w:w="1135" w:type="dxa"/>
            <w:shd w:val="clear" w:color="auto" w:fill="C6EFCE"/>
            <w:noWrap/>
          </w:tcPr>
          <w:p w14:paraId="43898F71" w14:textId="77777777" w:rsidR="009823F0" w:rsidRPr="00751FB1" w:rsidRDefault="009823F0" w:rsidP="00751FB1">
            <w:pPr>
              <w:spacing w:after="0" w:line="240" w:lineRule="auto"/>
              <w:jc w:val="center"/>
              <w:rPr>
                <w:rFonts w:ascii="Times New Roman" w:eastAsia="Times New Roman" w:hAnsi="Times New Roman" w:cs="Times New Roman"/>
                <w:noProof/>
                <w:color w:val="006100"/>
                <w:sz w:val="20"/>
                <w:szCs w:val="20"/>
                <w:lang w:val="en-IE" w:eastAsia="en-GB"/>
              </w:rPr>
            </w:pPr>
            <w:r w:rsidRPr="00751FB1">
              <w:rPr>
                <w:rFonts w:ascii="Times New Roman" w:eastAsia="Times New Roman" w:hAnsi="Times New Roman" w:cs="Times New Roman"/>
                <w:noProof/>
                <w:color w:val="006100"/>
                <w:sz w:val="20"/>
                <w:szCs w:val="20"/>
                <w:lang w:val="fr-FR" w:eastAsia="en-GB"/>
              </w:rPr>
              <w:t>1B-</w:t>
            </w:r>
            <w:r w:rsidRPr="00751FB1">
              <w:rPr>
                <w:rFonts w:ascii="Times New Roman" w:eastAsia="Times New Roman" w:hAnsi="Times New Roman" w:cs="Times New Roman"/>
                <w:noProof/>
                <w:color w:val="006100"/>
                <w:sz w:val="20"/>
                <w:szCs w:val="20"/>
                <w:lang w:val="en-US" w:eastAsia="en-GB"/>
              </w:rPr>
              <w:t>5</w:t>
            </w:r>
          </w:p>
        </w:tc>
        <w:tc>
          <w:tcPr>
            <w:tcW w:w="1701" w:type="dxa"/>
            <w:shd w:val="clear" w:color="auto" w:fill="C6EFCE"/>
            <w:noWrap/>
          </w:tcPr>
          <w:p w14:paraId="0F50ABA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Reform 2 – </w:t>
            </w:r>
          </w:p>
          <w:p w14:paraId="24D5279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Strengthening Health System Resilience - Reforming the remits of health professionals</w:t>
            </w:r>
          </w:p>
        </w:tc>
        <w:tc>
          <w:tcPr>
            <w:tcW w:w="1134" w:type="dxa"/>
            <w:shd w:val="clear" w:color="auto" w:fill="C6EFCE"/>
            <w:noWrap/>
          </w:tcPr>
          <w:p w14:paraId="205BA49E"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Milestone</w:t>
            </w:r>
          </w:p>
        </w:tc>
        <w:tc>
          <w:tcPr>
            <w:tcW w:w="1814" w:type="dxa"/>
            <w:shd w:val="clear" w:color="auto" w:fill="C6EFCE"/>
            <w:noWrap/>
          </w:tcPr>
          <w:p w14:paraId="76C70B0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Responsibilities of general care nurses</w:t>
            </w:r>
          </w:p>
        </w:tc>
        <w:tc>
          <w:tcPr>
            <w:tcW w:w="1276" w:type="dxa"/>
            <w:shd w:val="clear" w:color="auto" w:fill="C6EFCE"/>
            <w:noWrap/>
          </w:tcPr>
          <w:p w14:paraId="4CFFE0C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Entry into force of legal act </w:t>
            </w:r>
          </w:p>
        </w:tc>
        <w:tc>
          <w:tcPr>
            <w:tcW w:w="1162" w:type="dxa"/>
            <w:shd w:val="clear" w:color="auto" w:fill="C6EFCE"/>
            <w:noWrap/>
          </w:tcPr>
          <w:p w14:paraId="0F5EA08A"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3C417FBC"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708" w:type="dxa"/>
            <w:shd w:val="clear" w:color="auto" w:fill="C6EFCE"/>
            <w:noWrap/>
          </w:tcPr>
          <w:p w14:paraId="37CE3294"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7C772517"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Q3</w:t>
            </w:r>
          </w:p>
        </w:tc>
        <w:tc>
          <w:tcPr>
            <w:tcW w:w="850" w:type="dxa"/>
            <w:shd w:val="clear" w:color="auto" w:fill="C6EFCE"/>
            <w:noWrap/>
          </w:tcPr>
          <w:p w14:paraId="01D6CE95"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2026</w:t>
            </w:r>
          </w:p>
        </w:tc>
        <w:tc>
          <w:tcPr>
            <w:tcW w:w="4380" w:type="dxa"/>
            <w:gridSpan w:val="2"/>
            <w:shd w:val="clear" w:color="auto" w:fill="C6EFCE"/>
            <w:noWrap/>
          </w:tcPr>
          <w:p w14:paraId="28BFDAE9"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legal act defining responsibilities of general care nurses</w:t>
            </w:r>
          </w:p>
        </w:tc>
      </w:tr>
      <w:tr w:rsidR="009823F0" w:rsidRPr="00443C86" w14:paraId="7792DC6D" w14:textId="77777777" w:rsidTr="00751FB1">
        <w:trPr>
          <w:trHeight w:val="309"/>
        </w:trPr>
        <w:tc>
          <w:tcPr>
            <w:tcW w:w="1135" w:type="dxa"/>
            <w:shd w:val="clear" w:color="auto" w:fill="C6EFCE"/>
            <w:noWrap/>
          </w:tcPr>
          <w:p w14:paraId="56D32D83" w14:textId="77777777" w:rsidR="009823F0" w:rsidRPr="00751FB1" w:rsidRDefault="009823F0" w:rsidP="00751FB1">
            <w:pPr>
              <w:spacing w:after="0" w:line="240" w:lineRule="auto"/>
              <w:jc w:val="center"/>
              <w:rPr>
                <w:rFonts w:ascii="Times New Roman" w:eastAsia="Times New Roman" w:hAnsi="Times New Roman" w:cs="Times New Roman"/>
                <w:noProof/>
                <w:color w:val="006100"/>
                <w:sz w:val="20"/>
                <w:szCs w:val="20"/>
                <w:lang w:val="en-IE" w:eastAsia="en-GB"/>
              </w:rPr>
            </w:pPr>
            <w:r w:rsidRPr="00751FB1">
              <w:rPr>
                <w:rFonts w:ascii="Times New Roman" w:eastAsia="Times New Roman" w:hAnsi="Times New Roman" w:cs="Times New Roman"/>
                <w:noProof/>
                <w:color w:val="006100"/>
                <w:sz w:val="20"/>
                <w:szCs w:val="20"/>
                <w:lang w:val="fr-FR" w:eastAsia="en-GB"/>
              </w:rPr>
              <w:t>1B-</w:t>
            </w:r>
            <w:r w:rsidRPr="00751FB1">
              <w:rPr>
                <w:rFonts w:ascii="Times New Roman" w:eastAsia="Times New Roman" w:hAnsi="Times New Roman" w:cs="Times New Roman"/>
                <w:noProof/>
                <w:color w:val="006100"/>
                <w:sz w:val="20"/>
                <w:szCs w:val="20"/>
                <w:lang w:val="en-US" w:eastAsia="en-GB"/>
              </w:rPr>
              <w:t>6</w:t>
            </w:r>
          </w:p>
        </w:tc>
        <w:tc>
          <w:tcPr>
            <w:tcW w:w="1701" w:type="dxa"/>
            <w:shd w:val="clear" w:color="auto" w:fill="C6EFCE"/>
            <w:noWrap/>
          </w:tcPr>
          <w:p w14:paraId="7E85D89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1-</w:t>
            </w:r>
          </w:p>
          <w:p w14:paraId="6FD44A6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Strengthening Health System Resilience - Single Digital Register of Health Professions</w:t>
            </w:r>
          </w:p>
        </w:tc>
        <w:tc>
          <w:tcPr>
            <w:tcW w:w="1134" w:type="dxa"/>
            <w:shd w:val="clear" w:color="auto" w:fill="C6EFCE"/>
            <w:noWrap/>
          </w:tcPr>
          <w:p w14:paraId="3E36B745"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Target</w:t>
            </w:r>
          </w:p>
        </w:tc>
        <w:tc>
          <w:tcPr>
            <w:tcW w:w="1814" w:type="dxa"/>
            <w:shd w:val="clear" w:color="auto" w:fill="C6EFCE"/>
            <w:noWrap/>
          </w:tcPr>
          <w:p w14:paraId="634413E5" w14:textId="5E162D9E" w:rsidR="009823F0" w:rsidRPr="00C82A63" w:rsidRDefault="009823F0" w:rsidP="00A437B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Making available the new digital register</w:t>
            </w:r>
          </w:p>
        </w:tc>
        <w:tc>
          <w:tcPr>
            <w:tcW w:w="1276" w:type="dxa"/>
            <w:shd w:val="clear" w:color="auto" w:fill="C6EFCE"/>
            <w:noWrap/>
          </w:tcPr>
          <w:p w14:paraId="45BC2E9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p>
        </w:tc>
        <w:tc>
          <w:tcPr>
            <w:tcW w:w="1162" w:type="dxa"/>
            <w:shd w:val="clear" w:color="auto" w:fill="C6EFCE"/>
            <w:noWrap/>
          </w:tcPr>
          <w:p w14:paraId="5F53BD4E"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Number of persons</w:t>
            </w:r>
          </w:p>
          <w:p w14:paraId="2A923580"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461B3303"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0</w:t>
            </w:r>
          </w:p>
        </w:tc>
        <w:tc>
          <w:tcPr>
            <w:tcW w:w="708" w:type="dxa"/>
            <w:shd w:val="clear" w:color="auto" w:fill="C6EFCE"/>
            <w:noWrap/>
          </w:tcPr>
          <w:p w14:paraId="1C80C6D2"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5 000</w:t>
            </w:r>
          </w:p>
        </w:tc>
        <w:tc>
          <w:tcPr>
            <w:tcW w:w="993" w:type="dxa"/>
            <w:shd w:val="clear" w:color="auto" w:fill="C6EFCE"/>
            <w:noWrap/>
          </w:tcPr>
          <w:p w14:paraId="135819C5"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Q4</w:t>
            </w:r>
          </w:p>
        </w:tc>
        <w:tc>
          <w:tcPr>
            <w:tcW w:w="850" w:type="dxa"/>
            <w:shd w:val="clear" w:color="auto" w:fill="C6EFCE"/>
            <w:noWrap/>
          </w:tcPr>
          <w:p w14:paraId="35E145E0"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2022</w:t>
            </w:r>
          </w:p>
        </w:tc>
        <w:tc>
          <w:tcPr>
            <w:tcW w:w="4380" w:type="dxa"/>
            <w:gridSpan w:val="2"/>
            <w:shd w:val="clear" w:color="auto" w:fill="C6EFCE"/>
            <w:noWrap/>
          </w:tcPr>
          <w:p w14:paraId="1E427BC4"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The single digital register of health professions, which collects relevant administrative and professional information allowing for a better management of health professionals, is operational and has 5 000 registered professionals</w:t>
            </w:r>
          </w:p>
        </w:tc>
      </w:tr>
      <w:tr w:rsidR="009823F0" w:rsidRPr="00443C86" w14:paraId="63D3FB9E" w14:textId="77777777" w:rsidTr="00751FB1">
        <w:trPr>
          <w:trHeight w:val="309"/>
        </w:trPr>
        <w:tc>
          <w:tcPr>
            <w:tcW w:w="1135" w:type="dxa"/>
            <w:shd w:val="clear" w:color="auto" w:fill="C6EFCE"/>
            <w:noWrap/>
          </w:tcPr>
          <w:p w14:paraId="581F33B6" w14:textId="77777777" w:rsidR="009823F0" w:rsidRPr="00751FB1" w:rsidRDefault="009823F0" w:rsidP="00751FB1">
            <w:pPr>
              <w:spacing w:after="0" w:line="240" w:lineRule="auto"/>
              <w:jc w:val="center"/>
              <w:rPr>
                <w:rFonts w:ascii="Times New Roman" w:eastAsia="Times New Roman" w:hAnsi="Times New Roman" w:cs="Times New Roman"/>
                <w:noProof/>
                <w:color w:val="006100"/>
                <w:sz w:val="20"/>
                <w:szCs w:val="20"/>
                <w:lang w:val="en-IE" w:eastAsia="en-GB"/>
              </w:rPr>
            </w:pPr>
            <w:r w:rsidRPr="00751FB1">
              <w:rPr>
                <w:rFonts w:ascii="Times New Roman" w:eastAsia="Times New Roman" w:hAnsi="Times New Roman" w:cs="Times New Roman"/>
                <w:noProof/>
                <w:color w:val="006100"/>
                <w:sz w:val="20"/>
                <w:szCs w:val="20"/>
                <w:lang w:val="fr-FR" w:eastAsia="en-GB"/>
              </w:rPr>
              <w:t>1B-</w:t>
            </w:r>
            <w:r w:rsidRPr="00751FB1">
              <w:rPr>
                <w:rFonts w:ascii="Times New Roman" w:eastAsia="Times New Roman" w:hAnsi="Times New Roman" w:cs="Times New Roman"/>
                <w:noProof/>
                <w:color w:val="006100"/>
                <w:sz w:val="20"/>
                <w:szCs w:val="20"/>
                <w:lang w:val="en-US" w:eastAsia="en-GB"/>
              </w:rPr>
              <w:t>7</w:t>
            </w:r>
          </w:p>
        </w:tc>
        <w:tc>
          <w:tcPr>
            <w:tcW w:w="1701" w:type="dxa"/>
            <w:shd w:val="clear" w:color="auto" w:fill="C6EFCE"/>
            <w:noWrap/>
          </w:tcPr>
          <w:p w14:paraId="400FBF8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2-</w:t>
            </w:r>
          </w:p>
          <w:p w14:paraId="3733AC42" w14:textId="7A60FF68"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Strengthening health system resilience</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-Telemedicine solution for remote medical follow-up of patients</w:t>
            </w:r>
          </w:p>
        </w:tc>
        <w:tc>
          <w:tcPr>
            <w:tcW w:w="1134" w:type="dxa"/>
            <w:shd w:val="clear" w:color="auto" w:fill="C6EFCE"/>
            <w:noWrap/>
          </w:tcPr>
          <w:p w14:paraId="22A0A8E5" w14:textId="14212102"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Milestone</w:t>
            </w:r>
          </w:p>
        </w:tc>
        <w:tc>
          <w:tcPr>
            <w:tcW w:w="1814" w:type="dxa"/>
            <w:shd w:val="clear" w:color="auto" w:fill="C6EFCE"/>
            <w:noWrap/>
          </w:tcPr>
          <w:p w14:paraId="50E098D5" w14:textId="3A095C27" w:rsidR="009823F0" w:rsidRPr="00C82A63" w:rsidRDefault="009823F0" w:rsidP="00A437B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“Maela” </w:t>
            </w:r>
          </w:p>
        </w:tc>
        <w:tc>
          <w:tcPr>
            <w:tcW w:w="1276" w:type="dxa"/>
            <w:shd w:val="clear" w:color="auto" w:fill="C6EFCE"/>
            <w:noWrap/>
          </w:tcPr>
          <w:p w14:paraId="53540948" w14:textId="261B0D80"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The remote-monitoring solution “Maela”</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 xml:space="preserve">allowing remote medical </w:t>
            </w:r>
            <w:r w:rsidRPr="00C82A63">
              <w:rPr>
                <w:rFonts w:ascii="Times New Roman" w:eastAsia="Times New Roman" w:hAnsi="Times New Roman" w:cs="Times New Roman"/>
                <w:noProof/>
                <w:color w:val="006100"/>
                <w:sz w:val="20"/>
                <w:szCs w:val="20"/>
                <w:lang w:val="en-US" w:eastAsia="en-GB"/>
              </w:rPr>
              <w:t xml:space="preserve">monitoring between health professionals (including doctors and nurses) </w:t>
            </w:r>
            <w:r w:rsidRPr="00C82A63">
              <w:rPr>
                <w:rFonts w:ascii="Times New Roman" w:eastAsia="Times New Roman" w:hAnsi="Times New Roman" w:cs="Times New Roman"/>
                <w:noProof/>
                <w:color w:val="006100"/>
                <w:sz w:val="20"/>
                <w:szCs w:val="20"/>
                <w:lang w:val="en-IE" w:eastAsia="en-GB"/>
              </w:rPr>
              <w:t xml:space="preserve">and patients is operational </w:t>
            </w:r>
          </w:p>
        </w:tc>
        <w:tc>
          <w:tcPr>
            <w:tcW w:w="1162" w:type="dxa"/>
            <w:shd w:val="clear" w:color="auto" w:fill="C6EFCE"/>
            <w:noWrap/>
          </w:tcPr>
          <w:p w14:paraId="59F4EA31"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23C94E3E"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708" w:type="dxa"/>
            <w:shd w:val="clear" w:color="auto" w:fill="C6EFCE"/>
            <w:noWrap/>
          </w:tcPr>
          <w:p w14:paraId="7CCB5E56"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20EF03D4"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Q1</w:t>
            </w:r>
          </w:p>
        </w:tc>
        <w:tc>
          <w:tcPr>
            <w:tcW w:w="850" w:type="dxa"/>
            <w:shd w:val="clear" w:color="auto" w:fill="C6EFCE"/>
            <w:noWrap/>
          </w:tcPr>
          <w:p w14:paraId="0C7295CA"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2021</w:t>
            </w:r>
          </w:p>
        </w:tc>
        <w:tc>
          <w:tcPr>
            <w:tcW w:w="4380" w:type="dxa"/>
            <w:gridSpan w:val="2"/>
            <w:shd w:val="clear" w:color="auto" w:fill="C6EFCE"/>
            <w:noWrap/>
          </w:tcPr>
          <w:p w14:paraId="22E91B96"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The remote-monitoring solution “Maela” allowing remote medical monitoring between health professionals (including doctors and nurses) and patients shall be operational with 3</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000 remote monitoring protocols carried out between 23/03/2020 and 07/02/2021.</w:t>
            </w:r>
          </w:p>
        </w:tc>
      </w:tr>
      <w:tr w:rsidR="009823F0" w:rsidRPr="00443C86" w14:paraId="6D924C5A" w14:textId="77777777" w:rsidTr="00751FB1">
        <w:trPr>
          <w:trHeight w:val="309"/>
        </w:trPr>
        <w:tc>
          <w:tcPr>
            <w:tcW w:w="1135" w:type="dxa"/>
            <w:shd w:val="clear" w:color="auto" w:fill="C6EFCE"/>
            <w:noWrap/>
          </w:tcPr>
          <w:p w14:paraId="5668CA18" w14:textId="77777777" w:rsidR="009823F0" w:rsidRPr="00751FB1" w:rsidRDefault="009823F0" w:rsidP="00751FB1">
            <w:pPr>
              <w:spacing w:after="0" w:line="240" w:lineRule="auto"/>
              <w:jc w:val="center"/>
              <w:rPr>
                <w:rFonts w:ascii="Times New Roman" w:eastAsia="Times New Roman" w:hAnsi="Times New Roman" w:cs="Times New Roman"/>
                <w:noProof/>
                <w:color w:val="006100"/>
                <w:sz w:val="20"/>
                <w:szCs w:val="20"/>
                <w:lang w:val="en-IE" w:eastAsia="en-GB"/>
              </w:rPr>
            </w:pPr>
            <w:r w:rsidRPr="00751FB1">
              <w:rPr>
                <w:rFonts w:ascii="Times New Roman" w:eastAsia="Times New Roman" w:hAnsi="Times New Roman" w:cs="Times New Roman"/>
                <w:noProof/>
                <w:color w:val="006100"/>
                <w:sz w:val="20"/>
                <w:szCs w:val="20"/>
                <w:lang w:val="fr-FR" w:eastAsia="en-GB"/>
              </w:rPr>
              <w:t>1B-</w:t>
            </w:r>
            <w:r w:rsidRPr="00751FB1">
              <w:rPr>
                <w:rFonts w:ascii="Times New Roman" w:eastAsia="Times New Roman" w:hAnsi="Times New Roman" w:cs="Times New Roman"/>
                <w:noProof/>
                <w:color w:val="006100"/>
                <w:sz w:val="20"/>
                <w:szCs w:val="20"/>
                <w:lang w:val="en-US" w:eastAsia="en-GB"/>
              </w:rPr>
              <w:t>8</w:t>
            </w:r>
          </w:p>
        </w:tc>
        <w:tc>
          <w:tcPr>
            <w:tcW w:w="1701" w:type="dxa"/>
            <w:shd w:val="clear" w:color="auto" w:fill="C6EFCE"/>
            <w:noWrap/>
          </w:tcPr>
          <w:p w14:paraId="0D1DD19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2 -</w:t>
            </w:r>
          </w:p>
          <w:p w14:paraId="4BFD48C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Strengthening health system resilience - Telemedicine solution for remote medical follow-up of patients</w:t>
            </w:r>
          </w:p>
        </w:tc>
        <w:tc>
          <w:tcPr>
            <w:tcW w:w="1134" w:type="dxa"/>
            <w:shd w:val="clear" w:color="auto" w:fill="C6EFCE"/>
            <w:noWrap/>
          </w:tcPr>
          <w:p w14:paraId="4EDE7886"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Milestone</w:t>
            </w:r>
          </w:p>
        </w:tc>
        <w:tc>
          <w:tcPr>
            <w:tcW w:w="1814" w:type="dxa"/>
            <w:shd w:val="clear" w:color="auto" w:fill="C6EFCE"/>
            <w:noWrap/>
          </w:tcPr>
          <w:p w14:paraId="624A4D22" w14:textId="3F7B2212" w:rsidR="009823F0" w:rsidRPr="00C82A63" w:rsidRDefault="009823F0" w:rsidP="00A437B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An integrated solution </w:t>
            </w:r>
          </w:p>
        </w:tc>
        <w:tc>
          <w:tcPr>
            <w:tcW w:w="1276" w:type="dxa"/>
            <w:shd w:val="clear" w:color="auto" w:fill="C6EFCE"/>
            <w:noWrap/>
          </w:tcPr>
          <w:p w14:paraId="577DF408" w14:textId="4AA99BF9"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The</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internally developed solution is online and accessible</w:t>
            </w:r>
          </w:p>
        </w:tc>
        <w:tc>
          <w:tcPr>
            <w:tcW w:w="1162" w:type="dxa"/>
            <w:shd w:val="clear" w:color="auto" w:fill="C6EFCE"/>
            <w:noWrap/>
          </w:tcPr>
          <w:p w14:paraId="1607B937"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41593272"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708" w:type="dxa"/>
            <w:shd w:val="clear" w:color="auto" w:fill="C6EFCE"/>
            <w:noWrap/>
          </w:tcPr>
          <w:p w14:paraId="15F1137D"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shd w:val="clear" w:color="auto" w:fill="C6EFCE"/>
            <w:noWrap/>
          </w:tcPr>
          <w:p w14:paraId="5C854E3E"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Q2</w:t>
            </w:r>
          </w:p>
        </w:tc>
        <w:tc>
          <w:tcPr>
            <w:tcW w:w="850" w:type="dxa"/>
            <w:shd w:val="clear" w:color="auto" w:fill="C6EFCE"/>
            <w:noWrap/>
          </w:tcPr>
          <w:p w14:paraId="01178455" w14:textId="77777777" w:rsidR="009823F0" w:rsidRPr="00C82A63" w:rsidRDefault="009823F0" w:rsidP="00751FB1">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2023</w:t>
            </w:r>
          </w:p>
        </w:tc>
        <w:tc>
          <w:tcPr>
            <w:tcW w:w="4380" w:type="dxa"/>
            <w:gridSpan w:val="2"/>
            <w:shd w:val="clear" w:color="auto" w:fill="C6EFCE"/>
            <w:noWrap/>
          </w:tcPr>
          <w:p w14:paraId="7E3C6241" w14:textId="77777777" w:rsidR="009823F0" w:rsidRPr="00C82A63" w:rsidRDefault="009823F0" w:rsidP="00751FB1">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 xml:space="preserve">The new internally developed monitoring solution allowing the creation and management of patient medical files of asylum seekers and people under international protection is online and accessible. </w:t>
            </w:r>
          </w:p>
        </w:tc>
      </w:tr>
    </w:tbl>
    <w:p w14:paraId="59A9DEB1" w14:textId="77777777" w:rsidR="009823F0" w:rsidRPr="00C82A63" w:rsidRDefault="009823F0" w:rsidP="009823F0">
      <w:pPr>
        <w:spacing w:before="120" w:after="120" w:line="240" w:lineRule="auto"/>
        <w:jc w:val="both"/>
        <w:rPr>
          <w:rFonts w:ascii="Times New Roman" w:hAnsi="Times New Roman" w:cs="Times New Roman"/>
          <w:b/>
          <w:bCs/>
          <w:noProof/>
          <w:sz w:val="24"/>
          <w:u w:val="single"/>
          <w:lang w:val="en-IE"/>
        </w:rPr>
      </w:pPr>
    </w:p>
    <w:p w14:paraId="64D108FC"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32"/>
          <w:headerReference w:type="default" r:id="rId33"/>
          <w:footerReference w:type="even" r:id="rId34"/>
          <w:footerReference w:type="default" r:id="rId35"/>
          <w:headerReference w:type="first" r:id="rId36"/>
          <w:footerReference w:type="first" r:id="rId37"/>
          <w:pgSz w:w="16839" w:h="11907" w:orient="landscape"/>
          <w:pgMar w:top="720" w:right="720" w:bottom="720" w:left="720" w:header="709" w:footer="709" w:gutter="0"/>
          <w:cols w:space="720"/>
          <w:docGrid w:linePitch="360"/>
        </w:sectPr>
      </w:pPr>
    </w:p>
    <w:p w14:paraId="76CAAAFB"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C. COMPONENT 1C – Increase of supply of affordable and sustainable public housing</w:t>
      </w:r>
    </w:p>
    <w:p w14:paraId="580E6202" w14:textId="77777777" w:rsidR="009823F0" w:rsidRPr="00C82A63" w:rsidRDefault="009823F0" w:rsidP="009823F0">
      <w:pPr>
        <w:spacing w:before="120" w:after="0" w:line="240" w:lineRule="auto"/>
        <w:jc w:val="both"/>
        <w:rPr>
          <w:rFonts w:ascii="Times New Roman" w:hAnsi="Times New Roman" w:cs="Times New Roman"/>
          <w:noProof/>
          <w:color w:val="000000" w:themeColor="text1"/>
          <w:sz w:val="24"/>
          <w:lang w:val="en-IE"/>
        </w:rPr>
      </w:pPr>
      <w:r w:rsidRPr="00C82A63">
        <w:rPr>
          <w:rFonts w:ascii="Times New Roman" w:hAnsi="Times New Roman" w:cs="Times New Roman"/>
          <w:noProof/>
          <w:color w:val="000000" w:themeColor="text1"/>
          <w:sz w:val="24"/>
          <w:lang w:val="en-IE"/>
        </w:rPr>
        <w:t xml:space="preserve">The objective of this component </w:t>
      </w:r>
      <w:r w:rsidRPr="00C82A63">
        <w:rPr>
          <w:rFonts w:ascii="Times New Roman" w:hAnsi="Times New Roman" w:cs="Times New Roman"/>
          <w:noProof/>
          <w:color w:val="000000"/>
          <w:sz w:val="24"/>
          <w:lang w:val="en-IE"/>
        </w:rPr>
        <w:t xml:space="preserve">of Luxembourg’s recovery and resilience plan </w:t>
      </w:r>
      <w:r w:rsidRPr="00C82A63">
        <w:rPr>
          <w:rFonts w:ascii="Times New Roman" w:hAnsi="Times New Roman" w:cs="Times New Roman"/>
          <w:noProof/>
          <w:color w:val="000000" w:themeColor="text1"/>
          <w:sz w:val="24"/>
          <w:lang w:val="en-IE"/>
        </w:rPr>
        <w:t xml:space="preserve">is to develop housing and increase the supply of affordable and sustainable housing in Luxembourg. </w:t>
      </w:r>
    </w:p>
    <w:p w14:paraId="3AD2C643" w14:textId="77777777" w:rsidR="009823F0" w:rsidRPr="00C82A63" w:rsidRDefault="009823F0" w:rsidP="009823F0">
      <w:pPr>
        <w:spacing w:before="120" w:after="0" w:line="240" w:lineRule="auto"/>
        <w:jc w:val="both"/>
        <w:rPr>
          <w:rFonts w:ascii="Times New Roman" w:hAnsi="Times New Roman" w:cs="Times New Roman"/>
          <w:noProof/>
          <w:color w:val="000000" w:themeColor="text1"/>
          <w:sz w:val="24"/>
          <w:lang w:val="en-IE"/>
        </w:rPr>
      </w:pPr>
      <w:r w:rsidRPr="00C82A63">
        <w:rPr>
          <w:rFonts w:ascii="Times New Roman" w:hAnsi="Times New Roman" w:cs="Times New Roman"/>
          <w:noProof/>
          <w:color w:val="000000" w:themeColor="text1"/>
          <w:sz w:val="24"/>
          <w:lang w:val="en-IE"/>
        </w:rPr>
        <w:t xml:space="preserve">As part of this component, the ‘Housing Pact 2.0’ reform puts in place a new reference framework for governmental support to municipalities for the creation of new housing projects, through the construction of new buildings or the renovation of the existing building stock. </w:t>
      </w:r>
    </w:p>
    <w:p w14:paraId="430CC285" w14:textId="77777777" w:rsidR="009823F0" w:rsidRPr="00C82A63" w:rsidRDefault="009823F0" w:rsidP="009823F0">
      <w:pPr>
        <w:spacing w:before="120" w:after="0" w:line="240" w:lineRule="auto"/>
        <w:jc w:val="both"/>
        <w:rPr>
          <w:rFonts w:ascii="Times New Roman" w:eastAsia="Times New Roman" w:hAnsi="Times New Roman" w:cs="Times New Roman"/>
          <w:noProof/>
          <w:sz w:val="24"/>
          <w:lang w:val="en-IE"/>
        </w:rPr>
      </w:pPr>
      <w:r w:rsidRPr="00C82A63">
        <w:rPr>
          <w:rFonts w:ascii="Times New Roman" w:hAnsi="Times New Roman" w:cs="Times New Roman"/>
          <w:noProof/>
          <w:color w:val="000000" w:themeColor="text1"/>
          <w:sz w:val="24"/>
          <w:lang w:val="en-IE"/>
        </w:rPr>
        <w:t>Through the Housing Pact 2.0 measure, this component contributes to addressing the Country-Specific Recommendation addressed to Luxembourg to ‘foster economic policy</w:t>
      </w:r>
      <w:r w:rsidRPr="00C82A63">
        <w:rPr>
          <w:rFonts w:ascii="Times New Roman" w:eastAsia="Times New Roman" w:hAnsi="Times New Roman" w:cs="Times New Roman"/>
          <w:noProof/>
          <w:sz w:val="24"/>
          <w:lang w:val="en-IE"/>
        </w:rPr>
        <w:t xml:space="preserve"> related to investment on (…) increasing housing supply, including by increasing incentives and lifting barriers to build’ (</w:t>
      </w:r>
      <w:r w:rsidRPr="00C82A63">
        <w:rPr>
          <w:rFonts w:ascii="Times New Roman" w:hAnsi="Times New Roman" w:cs="Times New Roman"/>
          <w:noProof/>
          <w:color w:val="000000" w:themeColor="text1"/>
          <w:sz w:val="24"/>
          <w:lang w:val="en-IE"/>
        </w:rPr>
        <w:t>Country-Specific Recommendation</w:t>
      </w:r>
      <w:r w:rsidRPr="00C82A63">
        <w:rPr>
          <w:rFonts w:ascii="Times New Roman" w:eastAsia="Times New Roman" w:hAnsi="Times New Roman" w:cs="Times New Roman"/>
          <w:noProof/>
          <w:sz w:val="24"/>
          <w:lang w:val="en-IE"/>
        </w:rPr>
        <w:t xml:space="preserve"> 3 2019). </w:t>
      </w:r>
    </w:p>
    <w:p w14:paraId="5B8F3B69"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0E715D8" w14:textId="77777777" w:rsidR="009823F0" w:rsidRPr="00C82A63" w:rsidRDefault="009823F0" w:rsidP="009823F0">
      <w:pPr>
        <w:spacing w:before="120" w:after="0" w:line="240" w:lineRule="auto"/>
        <w:jc w:val="both"/>
        <w:rPr>
          <w:rFonts w:ascii="Times New Roman" w:eastAsia="Times New Roman" w:hAnsi="Times New Roman" w:cs="Times New Roman"/>
          <w:noProof/>
          <w:sz w:val="24"/>
          <w:lang w:val="en-IE"/>
        </w:rPr>
      </w:pPr>
    </w:p>
    <w:p w14:paraId="5C3DCC1E" w14:textId="77777777" w:rsidR="009823F0" w:rsidRPr="00C82A63" w:rsidRDefault="009823F0" w:rsidP="009823F0">
      <w:pPr>
        <w:spacing w:before="120" w:after="120" w:line="240" w:lineRule="auto"/>
        <w:jc w:val="both"/>
        <w:rPr>
          <w:rFonts w:ascii="Times New Roman" w:hAnsi="Times New Roman" w:cs="Times New Roman"/>
          <w:b/>
          <w:bCs/>
          <w:noProof/>
          <w:sz w:val="24"/>
          <w:szCs w:val="24"/>
          <w:u w:val="single"/>
          <w:lang w:val="en-IE"/>
        </w:rPr>
      </w:pPr>
      <w:r w:rsidRPr="00C82A63">
        <w:rPr>
          <w:rFonts w:ascii="Times New Roman" w:hAnsi="Times New Roman" w:cs="Times New Roman"/>
          <w:b/>
          <w:bCs/>
          <w:noProof/>
          <w:sz w:val="24"/>
          <w:szCs w:val="24"/>
          <w:u w:val="single"/>
          <w:lang w:val="en-IE"/>
        </w:rPr>
        <w:t xml:space="preserve">C.1. </w:t>
      </w:r>
      <w:r w:rsidRPr="00C82A63">
        <w:rPr>
          <w:rFonts w:ascii="Times New Roman" w:hAnsi="Times New Roman" w:cs="Times New Roman"/>
          <w:noProof/>
          <w:u w:val="single"/>
          <w:lang w:val="en-IE"/>
        </w:rPr>
        <w:tab/>
      </w:r>
      <w:r w:rsidRPr="00C82A63">
        <w:rPr>
          <w:rFonts w:ascii="Times New Roman" w:hAnsi="Times New Roman" w:cs="Times New Roman"/>
          <w:b/>
          <w:bCs/>
          <w:noProof/>
          <w:sz w:val="24"/>
          <w:szCs w:val="24"/>
          <w:u w:val="single"/>
          <w:lang w:val="en-IE"/>
        </w:rPr>
        <w:t>Description of the reforms and investments for non-repayable financial support</w:t>
      </w:r>
    </w:p>
    <w:p w14:paraId="49CC9422"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lang w:val="en-IE"/>
        </w:rPr>
      </w:pPr>
      <w:r w:rsidRPr="00C82A63">
        <w:rPr>
          <w:rFonts w:ascii="Times New Roman" w:hAnsi="Times New Roman" w:cs="Times New Roman"/>
          <w:noProof/>
          <w:sz w:val="24"/>
          <w:szCs w:val="24"/>
          <w:u w:val="single"/>
          <w:lang w:val="en-IE"/>
        </w:rPr>
        <w:t>Reform: Housing Pact 2.0</w:t>
      </w:r>
    </w:p>
    <w:p w14:paraId="485BB225"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 xml:space="preserve">In Luxembourg, a high degree of private property concentration and little incentives to release land for development limit the ability of public authorities to tackle the chronic under-supply of housing, which continues driving up prices in the face of the strong population growth. Meanwhile, household indebtedness continues to increase and amounts to 170% of GNI in 2018 (most of which is mortgage debt and is unevenly distributed, making the poorer households relatively more vulnerable). </w:t>
      </w:r>
    </w:p>
    <w:p w14:paraId="00CE0E76"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hAnsi="Times New Roman" w:cs="Times New Roman"/>
          <w:noProof/>
          <w:sz w:val="24"/>
          <w:szCs w:val="24"/>
          <w:lang w:val="en-IE"/>
        </w:rPr>
        <w:t>Against this backdrop, this reform shall put in place a ‘Housing Pact 2.0’, as a reference framework to encourage municipalities to mobilise land for construction, and dwellings for renovation, in order to increase social housing in view of the lack of affordable housing, and to encourage the construction of schools and nurseries to cope with the growing population. This scheme builds on the lessons learned from the ‘</w:t>
      </w:r>
      <w:r w:rsidRPr="00C82A63">
        <w:rPr>
          <w:rFonts w:ascii="Times New Roman" w:eastAsia="Times New Roman" w:hAnsi="Times New Roman" w:cs="Times New Roman"/>
          <w:noProof/>
          <w:sz w:val="24"/>
          <w:szCs w:val="24"/>
          <w:lang w:val="en-IE"/>
        </w:rPr>
        <w:t xml:space="preserve">Housing Pact 1.0’, which has been in force since 2008. </w:t>
      </w:r>
    </w:p>
    <w:p w14:paraId="7C0D703F"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 xml:space="preserve">Under the Housing Pact 2.0, each municipality may engage by signing an ‘initial convention’ with the State, which allows the municipality to be assisted by a ‘housing counsellor’. If it does so, the municipality shall then set up and adopt its own municipal strategy for housing development (‘Programme d’action local logement’ or PAL). Municipalities shall then sign an ‘implementation convention’ with the State, which entails an obligation for the municipality to implement the development projects detailed in the PAL, with financial support from the State on the basis of the affordable housing units placed on the rental market in the previous year. </w:t>
      </w:r>
    </w:p>
    <w:p w14:paraId="2A98279C"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Housing Pact 2.0 shall take into account the development priorities set out in the sectoral plans and the new national Master Programme for Spatial Planning (PDAT), and to the extent the number of signing municipalities allows, contribute to a coherent land use development at the national level, with a view to sustainably increase the housing supply. The reform aims to place on the market at least 1</w:t>
      </w:r>
      <w:r w:rsidRPr="00C82A63">
        <w:rPr>
          <w:rFonts w:ascii="Times New Roman" w:eastAsia="Times New Roman" w:hAnsi="Times New Roman" w:cs="Times New Roman"/>
          <w:noProof/>
          <w:color w:val="006100"/>
          <w:sz w:val="20"/>
          <w:szCs w:val="20"/>
          <w:lang w:val="en-IE" w:eastAsia="en-GB"/>
        </w:rPr>
        <w:t> </w:t>
      </w:r>
      <w:r w:rsidRPr="00C82A63">
        <w:rPr>
          <w:rFonts w:ascii="Times New Roman" w:hAnsi="Times New Roman" w:cs="Times New Roman"/>
          <w:noProof/>
          <w:sz w:val="24"/>
          <w:szCs w:val="24"/>
          <w:lang w:val="en-IE"/>
        </w:rPr>
        <w:t xml:space="preserve">200 housing units by 2025. </w:t>
      </w:r>
    </w:p>
    <w:p w14:paraId="47924D62" w14:textId="77777777" w:rsidR="00C82A63" w:rsidRDefault="00C82A63">
      <w:pPr>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br w:type="page"/>
      </w:r>
    </w:p>
    <w:p w14:paraId="2A346151" w14:textId="677D28C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eastAsia="Times New Roman" w:hAnsi="Times New Roman" w:cs="Times New Roman"/>
          <w:noProof/>
          <w:sz w:val="24"/>
          <w:szCs w:val="24"/>
          <w:lang w:val="en-IE"/>
        </w:rPr>
        <w:t xml:space="preserve">While most municipalities had signed an agreement under the Housing Pact 1.0, this has not resulted in a noticeable increase in the supply of social housing. </w:t>
      </w:r>
      <w:r w:rsidRPr="00C82A63">
        <w:rPr>
          <w:rFonts w:ascii="Times New Roman" w:hAnsi="Times New Roman" w:cs="Times New Roman"/>
          <w:noProof/>
          <w:sz w:val="24"/>
          <w:szCs w:val="24"/>
          <w:lang w:val="en-IE"/>
        </w:rPr>
        <w:t>Compared to its predecessor, the Housing Pact 2.0 shall provide that the financial envelope available for State transfers to municipalities is calculated on the basis of the number of affordable housing units in their territory placed on the rental market during the previous year (either through construction or acquisition and renovation), and no longer on the basis of population growth. In addition, the financial contributions granted to municipalities shall be paid on the basis of the implementation of projects approved under the Housing Pact 2.0 and aimed at achieving its objectives. A closer cooperation between the State and municipalities is a key objective of the reform, aimed at strengthening the public sector capacity to increase meaningfully the public residential stock and scale up the practice of affordable and sustainable rental housing. In this sense, the draft Housing Pact 2.0 provides that between 10% and 30% of each development project shall be dedicated to affordable housing placed on the rental market. The reform offers the opportunity to meaningfully address the trend of house prices inflation, which is also considered one of the main barriers to investment and growth.</w:t>
      </w:r>
    </w:p>
    <w:p w14:paraId="36862B81"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38"/>
          <w:headerReference w:type="default" r:id="rId39"/>
          <w:footerReference w:type="even" r:id="rId40"/>
          <w:footerReference w:type="default" r:id="rId41"/>
          <w:headerReference w:type="first" r:id="rId42"/>
          <w:footerReference w:type="first" r:id="rId43"/>
          <w:pgSz w:w="11907" w:h="16839"/>
          <w:pgMar w:top="1134" w:right="1417" w:bottom="1134" w:left="1417" w:header="709" w:footer="709" w:gutter="0"/>
          <w:cols w:space="720"/>
          <w:docGrid w:linePitch="360"/>
        </w:sectPr>
      </w:pPr>
    </w:p>
    <w:p w14:paraId="543FCDDA" w14:textId="77777777" w:rsidR="009823F0" w:rsidRPr="00C82A63" w:rsidRDefault="009823F0" w:rsidP="00A437B5">
      <w:pPr>
        <w:spacing w:before="120" w:after="120" w:line="240" w:lineRule="auto"/>
        <w:ind w:firstLine="720"/>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C.2.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744" w:type="dxa"/>
        <w:tblInd w:w="113" w:type="dxa"/>
        <w:tblLayout w:type="fixed"/>
        <w:tblLook w:val="04A0" w:firstRow="1" w:lastRow="0" w:firstColumn="1" w:lastColumn="0" w:noHBand="0" w:noVBand="1"/>
      </w:tblPr>
      <w:tblGrid>
        <w:gridCol w:w="1271"/>
        <w:gridCol w:w="9"/>
        <w:gridCol w:w="1381"/>
        <w:gridCol w:w="6"/>
        <w:gridCol w:w="1155"/>
        <w:gridCol w:w="6"/>
        <w:gridCol w:w="1624"/>
        <w:gridCol w:w="6"/>
        <w:gridCol w:w="1200"/>
        <w:gridCol w:w="1162"/>
        <w:gridCol w:w="993"/>
        <w:gridCol w:w="708"/>
        <w:gridCol w:w="993"/>
        <w:gridCol w:w="850"/>
        <w:gridCol w:w="4374"/>
        <w:gridCol w:w="6"/>
      </w:tblGrid>
      <w:tr w:rsidR="009823F0" w:rsidRPr="00443C86" w14:paraId="3DA8C455" w14:textId="77777777" w:rsidTr="00CF6BC5">
        <w:trPr>
          <w:gridAfter w:val="1"/>
          <w:wAfter w:w="6" w:type="dxa"/>
          <w:trHeight w:val="927"/>
        </w:trPr>
        <w:tc>
          <w:tcPr>
            <w:tcW w:w="127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C903CE"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39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A3C6F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161"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158085" w14:textId="10D692DC"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630" w:type="dxa"/>
            <w:gridSpan w:val="2"/>
            <w:vMerge w:val="restart"/>
            <w:tcBorders>
              <w:top w:val="single" w:sz="4" w:space="0" w:color="auto"/>
              <w:left w:val="nil"/>
              <w:bottom w:val="single" w:sz="4" w:space="0" w:color="auto"/>
              <w:right w:val="single" w:sz="4" w:space="0" w:color="auto"/>
            </w:tcBorders>
            <w:shd w:val="clear" w:color="auto" w:fill="BDD7EE"/>
            <w:vAlign w:val="center"/>
            <w:hideMark/>
          </w:tcPr>
          <w:p w14:paraId="11F0598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206"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A7DA33"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863" w:type="dxa"/>
            <w:gridSpan w:val="3"/>
            <w:tcBorders>
              <w:top w:val="single" w:sz="4" w:space="0" w:color="auto"/>
              <w:left w:val="nil"/>
              <w:bottom w:val="single" w:sz="4" w:space="0" w:color="auto"/>
              <w:right w:val="single" w:sz="4" w:space="0" w:color="auto"/>
            </w:tcBorders>
            <w:shd w:val="clear" w:color="auto" w:fill="BDD7EE"/>
            <w:vAlign w:val="center"/>
            <w:hideMark/>
          </w:tcPr>
          <w:p w14:paraId="5E6AB2EA"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3E5E936C" w14:textId="6F54C6C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Indicative timeline for completion</w:t>
            </w:r>
          </w:p>
        </w:tc>
        <w:tc>
          <w:tcPr>
            <w:tcW w:w="437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A7CF6"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117AB118" w14:textId="77777777" w:rsidTr="00CF6BC5">
        <w:trPr>
          <w:gridAfter w:val="1"/>
          <w:wAfter w:w="6" w:type="dxa"/>
          <w:trHeight w:val="1013"/>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E80B7FD" w14:textId="77777777" w:rsidR="009823F0" w:rsidRPr="00C82A63" w:rsidRDefault="009823F0" w:rsidP="00A437B5">
            <w:pPr>
              <w:spacing w:after="0" w:line="240" w:lineRule="auto"/>
              <w:jc w:val="center"/>
              <w:rPr>
                <w:rFonts w:ascii="Times New Roman" w:eastAsia="Times New Roman" w:hAnsi="Times New Roman" w:cs="Times New Roman"/>
                <w:b/>
                <w:noProof/>
                <w:sz w:val="20"/>
                <w:szCs w:val="20"/>
                <w:lang w:val="en-IE" w:eastAsia="en-GB"/>
              </w:rPr>
            </w:pP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7B1F26D8"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61" w:type="dxa"/>
            <w:gridSpan w:val="2"/>
            <w:vMerge/>
            <w:tcBorders>
              <w:top w:val="single" w:sz="4" w:space="0" w:color="auto"/>
              <w:left w:val="single" w:sz="4" w:space="0" w:color="auto"/>
              <w:bottom w:val="single" w:sz="4" w:space="0" w:color="auto"/>
              <w:right w:val="single" w:sz="4" w:space="0" w:color="auto"/>
            </w:tcBorders>
            <w:vAlign w:val="center"/>
            <w:hideMark/>
          </w:tcPr>
          <w:p w14:paraId="752226AD"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630" w:type="dxa"/>
            <w:gridSpan w:val="2"/>
            <w:vMerge/>
            <w:tcBorders>
              <w:top w:val="single" w:sz="4" w:space="0" w:color="auto"/>
              <w:left w:val="single" w:sz="4" w:space="0" w:color="auto"/>
              <w:bottom w:val="single" w:sz="4" w:space="0" w:color="auto"/>
              <w:right w:val="single" w:sz="4" w:space="0" w:color="auto"/>
            </w:tcBorders>
            <w:vAlign w:val="center"/>
            <w:hideMark/>
          </w:tcPr>
          <w:p w14:paraId="3A329E94"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206" w:type="dxa"/>
            <w:gridSpan w:val="2"/>
            <w:vMerge/>
            <w:tcBorders>
              <w:top w:val="single" w:sz="4" w:space="0" w:color="auto"/>
              <w:left w:val="single" w:sz="4" w:space="0" w:color="auto"/>
              <w:bottom w:val="single" w:sz="4" w:space="0" w:color="auto"/>
              <w:right w:val="single" w:sz="4" w:space="0" w:color="auto"/>
            </w:tcBorders>
            <w:vAlign w:val="center"/>
            <w:hideMark/>
          </w:tcPr>
          <w:p w14:paraId="42FA649D"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6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F2B481"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0367B1" w14:textId="5EC5DF4C"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Baseline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ADDF4B" w14:textId="681456DA"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Goal</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5C32F5"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1BE4BB"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4374" w:type="dxa"/>
            <w:vMerge/>
            <w:tcBorders>
              <w:top w:val="single" w:sz="4" w:space="0" w:color="auto"/>
              <w:left w:val="single" w:sz="4" w:space="0" w:color="auto"/>
              <w:bottom w:val="single" w:sz="4" w:space="0" w:color="auto"/>
              <w:right w:val="single" w:sz="4" w:space="0" w:color="auto"/>
            </w:tcBorders>
            <w:vAlign w:val="center"/>
            <w:hideMark/>
          </w:tcPr>
          <w:p w14:paraId="732299FF" w14:textId="77777777" w:rsidR="009823F0" w:rsidRPr="00C82A63" w:rsidRDefault="009823F0" w:rsidP="00A437B5">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5AC79B2C" w14:textId="77777777" w:rsidTr="00CF6BC5">
        <w:trPr>
          <w:trHeight w:val="309"/>
        </w:trPr>
        <w:tc>
          <w:tcPr>
            <w:tcW w:w="1280" w:type="dxa"/>
            <w:gridSpan w:val="2"/>
            <w:tcBorders>
              <w:top w:val="nil"/>
              <w:left w:val="single" w:sz="4" w:space="0" w:color="auto"/>
              <w:bottom w:val="single" w:sz="4" w:space="0" w:color="auto"/>
              <w:right w:val="single" w:sz="4" w:space="0" w:color="auto"/>
            </w:tcBorders>
            <w:shd w:val="clear" w:color="auto" w:fill="C6EFCE"/>
            <w:noWrap/>
          </w:tcPr>
          <w:p w14:paraId="2AE89719"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1C-1</w:t>
            </w:r>
          </w:p>
        </w:tc>
        <w:tc>
          <w:tcPr>
            <w:tcW w:w="1387" w:type="dxa"/>
            <w:gridSpan w:val="2"/>
            <w:tcBorders>
              <w:top w:val="nil"/>
              <w:left w:val="nil"/>
              <w:bottom w:val="single" w:sz="4" w:space="0" w:color="auto"/>
              <w:right w:val="single" w:sz="4" w:space="0" w:color="auto"/>
            </w:tcBorders>
            <w:shd w:val="clear" w:color="auto" w:fill="C6EFCE"/>
            <w:noWrap/>
          </w:tcPr>
          <w:p w14:paraId="37F9687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Reform – Housing Pact 2.0</w:t>
            </w:r>
          </w:p>
        </w:tc>
        <w:tc>
          <w:tcPr>
            <w:tcW w:w="1161" w:type="dxa"/>
            <w:gridSpan w:val="2"/>
            <w:tcBorders>
              <w:top w:val="nil"/>
              <w:left w:val="nil"/>
              <w:bottom w:val="single" w:sz="4" w:space="0" w:color="auto"/>
              <w:right w:val="single" w:sz="4" w:space="0" w:color="auto"/>
            </w:tcBorders>
            <w:shd w:val="clear" w:color="auto" w:fill="C6EFCE"/>
            <w:noWrap/>
          </w:tcPr>
          <w:p w14:paraId="76292A3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Milestone</w:t>
            </w:r>
          </w:p>
        </w:tc>
        <w:tc>
          <w:tcPr>
            <w:tcW w:w="1630"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84F02F" w14:textId="41915782" w:rsidR="009823F0" w:rsidRPr="00C82A63" w:rsidRDefault="009823F0" w:rsidP="00443C86">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Entry into force of the Housing Pact 2.0 Law</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4DFF2EE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Entry into force</w:t>
            </w:r>
          </w:p>
        </w:tc>
        <w:tc>
          <w:tcPr>
            <w:tcW w:w="1162" w:type="dxa"/>
            <w:tcBorders>
              <w:top w:val="single" w:sz="4" w:space="0" w:color="auto"/>
              <w:left w:val="single" w:sz="4" w:space="0" w:color="auto"/>
              <w:bottom w:val="single" w:sz="4" w:space="0" w:color="auto"/>
              <w:right w:val="single" w:sz="4" w:space="0" w:color="auto"/>
            </w:tcBorders>
            <w:shd w:val="clear" w:color="auto" w:fill="C6EFCE"/>
            <w:noWrap/>
          </w:tcPr>
          <w:p w14:paraId="51B799F4"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t>
            </w:r>
          </w:p>
        </w:tc>
        <w:tc>
          <w:tcPr>
            <w:tcW w:w="993" w:type="dxa"/>
            <w:tcBorders>
              <w:top w:val="single" w:sz="4" w:space="0" w:color="auto"/>
              <w:left w:val="nil"/>
              <w:bottom w:val="single" w:sz="4" w:space="0" w:color="auto"/>
              <w:right w:val="single" w:sz="4" w:space="0" w:color="auto"/>
            </w:tcBorders>
            <w:shd w:val="clear" w:color="auto" w:fill="C6EFCE"/>
            <w:noWrap/>
          </w:tcPr>
          <w:p w14:paraId="0B9A0268"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t>
            </w:r>
          </w:p>
        </w:tc>
        <w:tc>
          <w:tcPr>
            <w:tcW w:w="708" w:type="dxa"/>
            <w:tcBorders>
              <w:top w:val="single" w:sz="4" w:space="0" w:color="auto"/>
              <w:left w:val="nil"/>
              <w:bottom w:val="single" w:sz="4" w:space="0" w:color="auto"/>
              <w:right w:val="single" w:sz="4" w:space="0" w:color="auto"/>
            </w:tcBorders>
            <w:shd w:val="clear" w:color="auto" w:fill="C6EFCE"/>
            <w:noWrap/>
          </w:tcPr>
          <w:p w14:paraId="2E5AFE50"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3DB152E"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Q3</w:t>
            </w:r>
          </w:p>
        </w:tc>
        <w:tc>
          <w:tcPr>
            <w:tcW w:w="850" w:type="dxa"/>
            <w:tcBorders>
              <w:top w:val="single" w:sz="4" w:space="0" w:color="auto"/>
              <w:left w:val="nil"/>
              <w:bottom w:val="single" w:sz="4" w:space="0" w:color="auto"/>
              <w:right w:val="single" w:sz="4" w:space="0" w:color="auto"/>
            </w:tcBorders>
            <w:shd w:val="clear" w:color="auto" w:fill="C6EFCE"/>
            <w:noWrap/>
          </w:tcPr>
          <w:p w14:paraId="36C888E9"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2021</w:t>
            </w:r>
          </w:p>
        </w:tc>
        <w:tc>
          <w:tcPr>
            <w:tcW w:w="4380" w:type="dxa"/>
            <w:gridSpan w:val="2"/>
            <w:tcBorders>
              <w:top w:val="nil"/>
              <w:left w:val="nil"/>
              <w:bottom w:val="single" w:sz="4" w:space="0" w:color="auto"/>
              <w:right w:val="single" w:sz="4" w:space="0" w:color="auto"/>
            </w:tcBorders>
            <w:shd w:val="clear" w:color="auto" w:fill="C6EFCE"/>
            <w:noWrap/>
            <w:vAlign w:val="bottom"/>
          </w:tcPr>
          <w:p w14:paraId="1ABCDF1A" w14:textId="52AF8271"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2.0 Housing Pact Law, with the aim of increasing the supply of affordable and sustainable housing at municipal level. The aim of the Housing Pact is to draw up implementing agreements with the municipalities enabling the implementation of a “Local Housing Action Programme”.</w:t>
            </w:r>
          </w:p>
        </w:tc>
      </w:tr>
      <w:tr w:rsidR="009823F0" w:rsidRPr="00443C86" w14:paraId="77935616" w14:textId="77777777" w:rsidTr="00CF6BC5">
        <w:trPr>
          <w:trHeight w:val="309"/>
        </w:trPr>
        <w:tc>
          <w:tcPr>
            <w:tcW w:w="1280" w:type="dxa"/>
            <w:gridSpan w:val="2"/>
            <w:tcBorders>
              <w:top w:val="nil"/>
              <w:left w:val="single" w:sz="4" w:space="0" w:color="auto"/>
              <w:bottom w:val="single" w:sz="4" w:space="0" w:color="auto"/>
              <w:right w:val="single" w:sz="4" w:space="0" w:color="auto"/>
            </w:tcBorders>
            <w:shd w:val="clear" w:color="auto" w:fill="C6EFCE"/>
            <w:noWrap/>
          </w:tcPr>
          <w:p w14:paraId="3698BFB3"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1C-3</w:t>
            </w:r>
          </w:p>
        </w:tc>
        <w:tc>
          <w:tcPr>
            <w:tcW w:w="1387" w:type="dxa"/>
            <w:gridSpan w:val="2"/>
            <w:tcBorders>
              <w:top w:val="nil"/>
              <w:left w:val="nil"/>
              <w:bottom w:val="single" w:sz="4" w:space="0" w:color="auto"/>
              <w:right w:val="single" w:sz="4" w:space="0" w:color="auto"/>
            </w:tcBorders>
            <w:shd w:val="clear" w:color="auto" w:fill="C6EFCE"/>
            <w:noWrap/>
          </w:tcPr>
          <w:p w14:paraId="1CFF124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Reform – Housing Pact 2.0</w:t>
            </w:r>
          </w:p>
        </w:tc>
        <w:tc>
          <w:tcPr>
            <w:tcW w:w="1161" w:type="dxa"/>
            <w:gridSpan w:val="2"/>
            <w:tcBorders>
              <w:top w:val="nil"/>
              <w:left w:val="nil"/>
              <w:bottom w:val="single" w:sz="4" w:space="0" w:color="auto"/>
              <w:right w:val="single" w:sz="4" w:space="0" w:color="auto"/>
            </w:tcBorders>
            <w:shd w:val="clear" w:color="auto" w:fill="C6EFCE"/>
            <w:noWrap/>
          </w:tcPr>
          <w:p w14:paraId="006C853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Target</w:t>
            </w:r>
          </w:p>
        </w:tc>
        <w:tc>
          <w:tcPr>
            <w:tcW w:w="1630" w:type="dxa"/>
            <w:gridSpan w:val="2"/>
            <w:tcBorders>
              <w:top w:val="nil"/>
              <w:left w:val="single" w:sz="4" w:space="0" w:color="auto"/>
              <w:bottom w:val="single" w:sz="4" w:space="0" w:color="auto"/>
              <w:right w:val="single" w:sz="4" w:space="0" w:color="auto"/>
            </w:tcBorders>
            <w:shd w:val="clear" w:color="auto" w:fill="C6EFCE"/>
            <w:noWrap/>
          </w:tcPr>
          <w:p w14:paraId="5E3E24A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Percentage of municipalities signing an implementation agreement</w:t>
            </w:r>
          </w:p>
        </w:tc>
        <w:tc>
          <w:tcPr>
            <w:tcW w:w="1200" w:type="dxa"/>
            <w:tcBorders>
              <w:top w:val="nil"/>
              <w:left w:val="single" w:sz="4" w:space="0" w:color="auto"/>
              <w:bottom w:val="single" w:sz="4" w:space="0" w:color="auto"/>
              <w:right w:val="single" w:sz="4" w:space="0" w:color="auto"/>
            </w:tcBorders>
            <w:shd w:val="clear" w:color="auto" w:fill="C6EFCE"/>
            <w:noWrap/>
          </w:tcPr>
          <w:p w14:paraId="1112016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t>
            </w:r>
          </w:p>
        </w:tc>
        <w:tc>
          <w:tcPr>
            <w:tcW w:w="1162" w:type="dxa"/>
            <w:tcBorders>
              <w:top w:val="single" w:sz="4" w:space="0" w:color="auto"/>
              <w:left w:val="single" w:sz="4" w:space="0" w:color="auto"/>
              <w:bottom w:val="single" w:sz="4" w:space="0" w:color="auto"/>
              <w:right w:val="single" w:sz="4" w:space="0" w:color="auto"/>
            </w:tcBorders>
            <w:shd w:val="clear" w:color="auto" w:fill="C6EFCE"/>
            <w:noWrap/>
          </w:tcPr>
          <w:p w14:paraId="7ACD8C35"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Percentage</w:t>
            </w:r>
          </w:p>
        </w:tc>
        <w:tc>
          <w:tcPr>
            <w:tcW w:w="993" w:type="dxa"/>
            <w:tcBorders>
              <w:top w:val="single" w:sz="4" w:space="0" w:color="auto"/>
              <w:left w:val="nil"/>
              <w:bottom w:val="single" w:sz="4" w:space="0" w:color="auto"/>
              <w:right w:val="single" w:sz="4" w:space="0" w:color="auto"/>
            </w:tcBorders>
            <w:shd w:val="clear" w:color="auto" w:fill="C6EFCE"/>
            <w:noWrap/>
          </w:tcPr>
          <w:p w14:paraId="3A88D6BF"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0</w:t>
            </w:r>
          </w:p>
        </w:tc>
        <w:tc>
          <w:tcPr>
            <w:tcW w:w="708" w:type="dxa"/>
            <w:tcBorders>
              <w:top w:val="nil"/>
              <w:left w:val="nil"/>
              <w:bottom w:val="single" w:sz="4" w:space="0" w:color="auto"/>
              <w:right w:val="single" w:sz="4" w:space="0" w:color="auto"/>
            </w:tcBorders>
            <w:shd w:val="clear" w:color="auto" w:fill="C6EFCE"/>
            <w:noWrap/>
          </w:tcPr>
          <w:p w14:paraId="2EA34337"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50</w:t>
            </w:r>
          </w:p>
        </w:tc>
        <w:tc>
          <w:tcPr>
            <w:tcW w:w="993" w:type="dxa"/>
            <w:tcBorders>
              <w:top w:val="nil"/>
              <w:left w:val="single" w:sz="4" w:space="0" w:color="auto"/>
              <w:bottom w:val="single" w:sz="4" w:space="0" w:color="auto"/>
              <w:right w:val="single" w:sz="4" w:space="0" w:color="auto"/>
            </w:tcBorders>
            <w:shd w:val="clear" w:color="auto" w:fill="C6EFCE"/>
            <w:noWrap/>
          </w:tcPr>
          <w:p w14:paraId="4856690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Q4</w:t>
            </w:r>
          </w:p>
        </w:tc>
        <w:tc>
          <w:tcPr>
            <w:tcW w:w="850" w:type="dxa"/>
            <w:tcBorders>
              <w:top w:val="nil"/>
              <w:left w:val="nil"/>
              <w:bottom w:val="single" w:sz="4" w:space="0" w:color="auto"/>
              <w:right w:val="single" w:sz="4" w:space="0" w:color="auto"/>
            </w:tcBorders>
            <w:shd w:val="clear" w:color="auto" w:fill="C6EFCE"/>
            <w:noWrap/>
          </w:tcPr>
          <w:p w14:paraId="3608E9EC"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2022</w:t>
            </w:r>
          </w:p>
        </w:tc>
        <w:tc>
          <w:tcPr>
            <w:tcW w:w="4380" w:type="dxa"/>
            <w:gridSpan w:val="2"/>
            <w:tcBorders>
              <w:top w:val="nil"/>
              <w:left w:val="nil"/>
              <w:bottom w:val="single" w:sz="4" w:space="0" w:color="auto"/>
              <w:right w:val="single" w:sz="4" w:space="0" w:color="auto"/>
            </w:tcBorders>
            <w:shd w:val="clear" w:color="auto" w:fill="C6EFCE"/>
            <w:noWrap/>
          </w:tcPr>
          <w:p w14:paraId="0F02C02E"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Signature of the implementation agreement with at least 50% of the municipalities in Luxembourg. This agreement specifies among others the modalities for paying the financial support the municipality is entitled to. </w:t>
            </w:r>
          </w:p>
        </w:tc>
      </w:tr>
    </w:tbl>
    <w:p w14:paraId="6DE76E6C" w14:textId="77777777" w:rsidR="009823F0" w:rsidRDefault="009823F0" w:rsidP="009823F0">
      <w:pPr>
        <w:spacing w:before="120" w:after="120" w:line="240" w:lineRule="auto"/>
        <w:jc w:val="both"/>
        <w:rPr>
          <w:rFonts w:ascii="Times New Roman" w:eastAsia="Times New Roman" w:hAnsi="Times New Roman" w:cs="Times New Roman"/>
          <w:noProof/>
          <w:color w:val="006100"/>
          <w:sz w:val="20"/>
          <w:szCs w:val="20"/>
          <w:lang w:val="en-US" w:eastAsia="en-GB"/>
        </w:rPr>
      </w:pPr>
    </w:p>
    <w:p w14:paraId="4B42E467" w14:textId="77777777" w:rsidR="00A17CDD" w:rsidRPr="00A17CDD" w:rsidRDefault="00A17CDD" w:rsidP="00A17CDD">
      <w:pPr>
        <w:jc w:val="center"/>
        <w:rPr>
          <w:rFonts w:ascii="Times New Roman" w:eastAsia="Times New Roman" w:hAnsi="Times New Roman" w:cs="Times New Roman"/>
          <w:noProof/>
          <w:sz w:val="20"/>
          <w:szCs w:val="20"/>
          <w:lang w:val="en-US" w:eastAsia="en-GB"/>
        </w:rPr>
      </w:pPr>
    </w:p>
    <w:p w14:paraId="3C4591A0" w14:textId="77777777" w:rsidR="00A17CDD" w:rsidRPr="00A17CDD" w:rsidRDefault="00A17CDD" w:rsidP="00A17CDD">
      <w:pPr>
        <w:rPr>
          <w:rFonts w:ascii="Times New Roman" w:hAnsi="Times New Roman" w:cs="Times New Roman"/>
          <w:noProof/>
          <w:sz w:val="24"/>
          <w:lang w:val="en-IE"/>
        </w:rPr>
      </w:pPr>
    </w:p>
    <w:p w14:paraId="0E76CBC4" w14:textId="77777777" w:rsidR="00A17CDD" w:rsidRPr="00A17CDD" w:rsidRDefault="00A17CDD" w:rsidP="00A17CDD">
      <w:pPr>
        <w:rPr>
          <w:rFonts w:ascii="Times New Roman" w:hAnsi="Times New Roman" w:cs="Times New Roman"/>
          <w:noProof/>
          <w:sz w:val="24"/>
          <w:lang w:val="en-IE"/>
        </w:rPr>
      </w:pPr>
    </w:p>
    <w:p w14:paraId="6A5A7EBA" w14:textId="77777777" w:rsidR="00A17CDD" w:rsidRPr="00A17CDD" w:rsidRDefault="00A17CDD" w:rsidP="00A17CDD">
      <w:pPr>
        <w:rPr>
          <w:rFonts w:ascii="Times New Roman" w:hAnsi="Times New Roman" w:cs="Times New Roman"/>
          <w:noProof/>
          <w:sz w:val="24"/>
          <w:lang w:val="en-IE"/>
        </w:rPr>
        <w:sectPr w:rsidR="00A17CDD" w:rsidRPr="00A17CDD" w:rsidSect="009823F0">
          <w:headerReference w:type="even" r:id="rId44"/>
          <w:headerReference w:type="default" r:id="rId45"/>
          <w:footerReference w:type="even" r:id="rId46"/>
          <w:footerReference w:type="default" r:id="rId47"/>
          <w:headerReference w:type="first" r:id="rId48"/>
          <w:footerReference w:type="first" r:id="rId49"/>
          <w:pgSz w:w="16839" w:h="11907" w:orient="landscape"/>
          <w:pgMar w:top="720" w:right="720" w:bottom="720" w:left="720" w:header="709" w:footer="709" w:gutter="0"/>
          <w:cols w:space="720"/>
          <w:docGrid w:linePitch="360"/>
        </w:sectPr>
      </w:pPr>
    </w:p>
    <w:p w14:paraId="2CBCA5C6"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 xml:space="preserve">D. COMPONENT 2A: Decarbonisation of transport </w:t>
      </w:r>
    </w:p>
    <w:p w14:paraId="5C306E9A" w14:textId="77777777" w:rsidR="009823F0" w:rsidRPr="00C82A63" w:rsidRDefault="009823F0" w:rsidP="009823F0">
      <w:pPr>
        <w:spacing w:before="120" w:after="0" w:line="240" w:lineRule="auto"/>
        <w:jc w:val="both"/>
        <w:rPr>
          <w:rFonts w:ascii="Times New Roman" w:hAnsi="Times New Roman" w:cs="Times New Roman"/>
          <w:noProof/>
          <w:sz w:val="24"/>
          <w:lang w:val="en-IE"/>
        </w:rPr>
      </w:pPr>
      <w:r w:rsidRPr="00C82A63">
        <w:rPr>
          <w:rFonts w:ascii="Times New Roman" w:eastAsia="Times New Roman" w:hAnsi="Times New Roman" w:cs="Times New Roman"/>
          <w:noProof/>
          <w:sz w:val="24"/>
          <w:lang w:val="en-IE"/>
        </w:rPr>
        <w:t xml:space="preserve">This component </w:t>
      </w:r>
      <w:r w:rsidRPr="00C82A63">
        <w:rPr>
          <w:rFonts w:ascii="Times New Roman" w:hAnsi="Times New Roman" w:cs="Times New Roman"/>
          <w:noProof/>
          <w:color w:val="000000"/>
          <w:sz w:val="24"/>
          <w:lang w:val="en-IE"/>
        </w:rPr>
        <w:t xml:space="preserve">of Luxembourg’s recovery and resilience plan </w:t>
      </w:r>
      <w:r w:rsidRPr="00C82A63">
        <w:rPr>
          <w:rFonts w:ascii="Times New Roman" w:eastAsia="Times New Roman" w:hAnsi="Times New Roman" w:cs="Times New Roman"/>
          <w:noProof/>
          <w:sz w:val="24"/>
          <w:lang w:val="en-IE"/>
        </w:rPr>
        <w:t>aims to contribute to the decarbonisation of the road transport sector (which accounted</w:t>
      </w:r>
      <w:r w:rsidRPr="00C82A63">
        <w:rPr>
          <w:rFonts w:ascii="Times New Roman" w:hAnsi="Times New Roman" w:cs="Times New Roman"/>
          <w:noProof/>
          <w:sz w:val="24"/>
          <w:lang w:val="en-IE"/>
        </w:rPr>
        <w:t xml:space="preserve"> for 50% of Luxembourg’s emissions in 2018, more than double of the EU average of 21%</w:t>
      </w:r>
      <w:r w:rsidRPr="00C82A63">
        <w:rPr>
          <w:rFonts w:ascii="Times New Roman" w:hAnsi="Times New Roman" w:cs="Times New Roman"/>
          <w:noProof/>
          <w:sz w:val="24"/>
          <w:vertAlign w:val="superscript"/>
        </w:rPr>
        <w:footnoteReference w:id="1"/>
      </w:r>
      <w:r w:rsidRPr="00C82A63">
        <w:rPr>
          <w:rFonts w:ascii="Times New Roman" w:hAnsi="Times New Roman" w:cs="Times New Roman"/>
          <w:noProof/>
          <w:sz w:val="24"/>
          <w:lang w:val="en-IE"/>
        </w:rPr>
        <w:t xml:space="preserve">, in part due to transit transport), in particular by fostering an increased electrification of mobility. </w:t>
      </w:r>
    </w:p>
    <w:p w14:paraId="490FE356" w14:textId="77777777" w:rsidR="009823F0" w:rsidRPr="00C82A63" w:rsidRDefault="009823F0" w:rsidP="009823F0">
      <w:pPr>
        <w:spacing w:before="120" w:after="0" w:line="240" w:lineRule="auto"/>
        <w:jc w:val="both"/>
        <w:rPr>
          <w:rFonts w:ascii="Times New Roman" w:eastAsia="Times New Roman" w:hAnsi="Times New Roman" w:cs="Times New Roman"/>
          <w:noProof/>
          <w:sz w:val="24"/>
          <w:lang w:val="en-IE"/>
        </w:rPr>
      </w:pPr>
      <w:r w:rsidRPr="00C82A63">
        <w:rPr>
          <w:rFonts w:ascii="Times New Roman" w:eastAsia="Times New Roman" w:hAnsi="Times New Roman" w:cs="Times New Roman"/>
          <w:noProof/>
          <w:sz w:val="24"/>
          <w:lang w:val="en-IE"/>
        </w:rPr>
        <w:t xml:space="preserve">It consists of a reform to promote the purchase of zero- or low-emission vehicles from procuring authorities and entities, and an investment to further deploy a network of charging points for electric vehicles across the country. </w:t>
      </w:r>
    </w:p>
    <w:p w14:paraId="01912879" w14:textId="77777777" w:rsidR="009823F0" w:rsidRPr="00C82A63" w:rsidRDefault="009823F0" w:rsidP="009823F0">
      <w:pPr>
        <w:spacing w:before="120" w:after="0" w:line="240" w:lineRule="auto"/>
        <w:jc w:val="both"/>
        <w:rPr>
          <w:rFonts w:ascii="Times New Roman" w:eastAsia="Times New Roman" w:hAnsi="Times New Roman" w:cs="Times New Roman"/>
          <w:noProof/>
          <w:sz w:val="24"/>
          <w:lang w:val="en-IE"/>
        </w:rPr>
      </w:pPr>
      <w:r w:rsidRPr="00C82A63">
        <w:rPr>
          <w:rFonts w:ascii="Times New Roman" w:eastAsia="Times New Roman" w:hAnsi="Times New Roman" w:cs="Times New Roman"/>
          <w:noProof/>
          <w:sz w:val="24"/>
          <w:lang w:val="en-IE"/>
        </w:rPr>
        <w:t xml:space="preserve">This component contributes to addressing the </w:t>
      </w:r>
      <w:r w:rsidRPr="00C82A63">
        <w:rPr>
          <w:rFonts w:ascii="Times New Roman" w:hAnsi="Times New Roman" w:cs="Times New Roman"/>
          <w:noProof/>
          <w:color w:val="000000" w:themeColor="text1"/>
          <w:sz w:val="24"/>
          <w:lang w:val="en-IE"/>
        </w:rPr>
        <w:t xml:space="preserve">Country-Specific Recommendation addressed to Luxembourg (Country-Specific Recommendation </w:t>
      </w:r>
      <w:r w:rsidRPr="00C82A63">
        <w:rPr>
          <w:rFonts w:ascii="Times New Roman" w:eastAsia="Times New Roman" w:hAnsi="Times New Roman" w:cs="Times New Roman"/>
          <w:noProof/>
          <w:sz w:val="24"/>
          <w:lang w:val="en-IE"/>
        </w:rPr>
        <w:t xml:space="preserve">3 2019 and </w:t>
      </w:r>
      <w:r w:rsidRPr="00C82A63">
        <w:rPr>
          <w:rFonts w:ascii="Times New Roman" w:hAnsi="Times New Roman" w:cs="Times New Roman"/>
          <w:noProof/>
          <w:color w:val="000000" w:themeColor="text1"/>
          <w:sz w:val="24"/>
          <w:lang w:val="en-IE"/>
        </w:rPr>
        <w:t xml:space="preserve">Country-Specific Recommendation </w:t>
      </w:r>
      <w:r w:rsidRPr="00C82A63">
        <w:rPr>
          <w:rFonts w:ascii="Times New Roman" w:eastAsia="Times New Roman" w:hAnsi="Times New Roman" w:cs="Times New Roman"/>
          <w:noProof/>
          <w:sz w:val="24"/>
          <w:lang w:val="en-IE"/>
        </w:rPr>
        <w:t>3 2020) to ‘focus investment on the green (…) transition, in particular on sustainable transport’.</w:t>
      </w:r>
    </w:p>
    <w:p w14:paraId="38CA4F59"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452D550"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38CE240C" w14:textId="77777777" w:rsidR="009823F0" w:rsidRPr="00A437B5" w:rsidRDefault="009823F0" w:rsidP="009823F0">
      <w:pPr>
        <w:spacing w:before="120" w:after="120" w:line="240" w:lineRule="auto"/>
        <w:jc w:val="both"/>
        <w:rPr>
          <w:rFonts w:ascii="Times New Roman" w:hAnsi="Times New Roman" w:cs="Times New Roman"/>
          <w:b/>
          <w:bCs/>
          <w:noProof/>
          <w:sz w:val="24"/>
          <w:szCs w:val="24"/>
          <w:u w:val="single"/>
          <w:lang w:val="en-IE"/>
        </w:rPr>
      </w:pPr>
      <w:r w:rsidRPr="00A437B5">
        <w:rPr>
          <w:rFonts w:ascii="Times New Roman" w:hAnsi="Times New Roman" w:cs="Times New Roman"/>
          <w:b/>
          <w:bCs/>
          <w:noProof/>
          <w:sz w:val="24"/>
          <w:szCs w:val="24"/>
          <w:u w:val="single"/>
          <w:lang w:val="en-IE"/>
        </w:rPr>
        <w:t xml:space="preserve">D.1. </w:t>
      </w:r>
      <w:r w:rsidRPr="00A437B5">
        <w:rPr>
          <w:rFonts w:ascii="Times New Roman" w:hAnsi="Times New Roman" w:cs="Times New Roman"/>
          <w:b/>
          <w:bCs/>
          <w:noProof/>
          <w:sz w:val="24"/>
          <w:szCs w:val="24"/>
          <w:u w:val="single"/>
          <w:lang w:val="en-IE"/>
        </w:rPr>
        <w:tab/>
        <w:t>Description of the reforms and investments for non-repayable financial support</w:t>
      </w:r>
    </w:p>
    <w:p w14:paraId="5749ACDC" w14:textId="77777777" w:rsidR="009823F0" w:rsidRPr="00A437B5" w:rsidRDefault="009823F0" w:rsidP="009823F0">
      <w:pPr>
        <w:spacing w:before="120" w:after="120" w:line="240" w:lineRule="auto"/>
        <w:jc w:val="both"/>
        <w:rPr>
          <w:rFonts w:ascii="Times New Roman" w:hAnsi="Times New Roman" w:cs="Times New Roman"/>
          <w:noProof/>
          <w:sz w:val="24"/>
          <w:szCs w:val="24"/>
          <w:u w:val="single"/>
          <w:lang w:val="en-IE"/>
        </w:rPr>
      </w:pPr>
      <w:r w:rsidRPr="00A437B5">
        <w:rPr>
          <w:rFonts w:ascii="Times New Roman" w:hAnsi="Times New Roman" w:cs="Times New Roman"/>
          <w:noProof/>
          <w:sz w:val="24"/>
          <w:szCs w:val="24"/>
          <w:u w:val="single"/>
          <w:lang w:val="en-IE"/>
        </w:rPr>
        <w:t>Reform: Electrification of the fleet of contracting authorities and entities, and of public transport</w:t>
      </w:r>
    </w:p>
    <w:p w14:paraId="40795F38" w14:textId="77777777" w:rsidR="009823F0" w:rsidRPr="00A437B5" w:rsidRDefault="009823F0" w:rsidP="009823F0">
      <w:pPr>
        <w:spacing w:before="120" w:after="0" w:line="240" w:lineRule="auto"/>
        <w:jc w:val="both"/>
        <w:rPr>
          <w:rFonts w:ascii="Times New Roman" w:eastAsia="Times New Roman" w:hAnsi="Times New Roman" w:cs="Times New Roman"/>
          <w:noProof/>
          <w:sz w:val="24"/>
          <w:szCs w:val="24"/>
          <w:lang w:val="en-IE"/>
        </w:rPr>
      </w:pPr>
      <w:r w:rsidRPr="00A437B5">
        <w:rPr>
          <w:rFonts w:ascii="Times New Roman" w:eastAsia="Times New Roman" w:hAnsi="Times New Roman" w:cs="Times New Roman"/>
          <w:noProof/>
          <w:sz w:val="24"/>
          <w:szCs w:val="24"/>
          <w:lang w:val="en-IE"/>
        </w:rPr>
        <w:t>The Clean Vehicles Directive</w:t>
      </w:r>
      <w:r w:rsidRPr="00A437B5">
        <w:rPr>
          <w:rFonts w:ascii="Times New Roman" w:eastAsia="Times New Roman" w:hAnsi="Times New Roman" w:cs="Times New Roman"/>
          <w:noProof/>
          <w:sz w:val="24"/>
          <w:szCs w:val="24"/>
          <w:vertAlign w:val="superscript"/>
        </w:rPr>
        <w:footnoteReference w:id="2"/>
      </w:r>
      <w:r w:rsidRPr="00A437B5">
        <w:rPr>
          <w:rFonts w:ascii="Times New Roman" w:eastAsia="Times New Roman" w:hAnsi="Times New Roman" w:cs="Times New Roman"/>
          <w:noProof/>
          <w:sz w:val="24"/>
          <w:szCs w:val="24"/>
          <w:lang w:val="en-IE"/>
        </w:rPr>
        <w:t xml:space="preserve"> provides that Member States must ensure that the procurement of light-duty and heavy-duty vehicles by contracting authorities and contracting entities comply with minimum national procurement targets for clean vehicles, over reference periods of five years (at least</w:t>
      </w:r>
      <w:r w:rsidRPr="00A437B5">
        <w:rPr>
          <w:rFonts w:ascii="Times New Roman" w:hAnsi="Times New Roman" w:cs="Times New Roman"/>
          <w:noProof/>
          <w:sz w:val="24"/>
          <w:szCs w:val="24"/>
          <w:lang w:val="en-IE"/>
        </w:rPr>
        <w:t xml:space="preserve"> 38,5% of light-duty vehicles, 45% of clean buses and 10% of heavy-duty vehicles over 2021-2025)</w:t>
      </w:r>
      <w:r w:rsidRPr="00A437B5">
        <w:rPr>
          <w:rFonts w:ascii="Times New Roman" w:eastAsia="Times New Roman" w:hAnsi="Times New Roman" w:cs="Times New Roman"/>
          <w:noProof/>
          <w:sz w:val="24"/>
          <w:szCs w:val="24"/>
          <w:lang w:val="en-IE"/>
        </w:rPr>
        <w:t xml:space="preserve">. </w:t>
      </w:r>
    </w:p>
    <w:p w14:paraId="0B46C562" w14:textId="77777777" w:rsidR="009823F0" w:rsidRPr="00C82A63" w:rsidRDefault="009823F0" w:rsidP="009823F0">
      <w:pPr>
        <w:spacing w:before="120" w:after="0" w:line="240" w:lineRule="auto"/>
        <w:jc w:val="both"/>
        <w:rPr>
          <w:rFonts w:ascii="Times New Roman" w:eastAsia="Times New Roman" w:hAnsi="Times New Roman" w:cs="Times New Roman"/>
          <w:noProof/>
          <w:sz w:val="24"/>
          <w:lang w:val="en-IE"/>
        </w:rPr>
      </w:pPr>
      <w:r w:rsidRPr="00C82A63">
        <w:rPr>
          <w:rFonts w:ascii="Times New Roman" w:eastAsia="Times New Roman" w:hAnsi="Times New Roman" w:cs="Times New Roman"/>
          <w:noProof/>
          <w:sz w:val="24"/>
          <w:lang w:val="en-IE"/>
        </w:rPr>
        <w:t xml:space="preserve">This reform consists of going beyond that obligation by requiring, not only that the minimum targets must be achieved as a national average for all vehicles procured, but must also be achieved by each contracting authority and contracting entity individually. </w:t>
      </w:r>
    </w:p>
    <w:p w14:paraId="350EF281" w14:textId="77777777" w:rsidR="009823F0" w:rsidRPr="00C82A63" w:rsidRDefault="009823F0" w:rsidP="009823F0">
      <w:pPr>
        <w:spacing w:before="120" w:after="0" w:line="240" w:lineRule="auto"/>
        <w:jc w:val="both"/>
        <w:rPr>
          <w:rFonts w:ascii="Times New Roman" w:eastAsia="Times New Roman" w:hAnsi="Times New Roman" w:cs="Times New Roman"/>
          <w:noProof/>
          <w:sz w:val="24"/>
          <w:lang w:val="en-IE"/>
        </w:rPr>
      </w:pPr>
      <w:r w:rsidRPr="00C82A63">
        <w:rPr>
          <w:rFonts w:ascii="Times New Roman" w:eastAsia="Times New Roman" w:hAnsi="Times New Roman" w:cs="Times New Roman"/>
          <w:noProof/>
          <w:sz w:val="24"/>
          <w:lang w:val="en-IE"/>
        </w:rPr>
        <w:t>In addition, the Luxembourg State as a contracting authority has set higher internal objectives for itself, and plans to fully electrify the fleet of buses operated by the public transport operator RGTR by 2030.</w:t>
      </w:r>
    </w:p>
    <w:p w14:paraId="197A17A8" w14:textId="77777777" w:rsidR="009823F0" w:rsidRPr="00C82A63" w:rsidRDefault="009823F0" w:rsidP="009823F0">
      <w:pPr>
        <w:spacing w:before="120" w:after="0" w:line="240" w:lineRule="auto"/>
        <w:jc w:val="both"/>
        <w:rPr>
          <w:rFonts w:ascii="Times New Roman" w:eastAsia="Times New Roman" w:hAnsi="Times New Roman" w:cs="Times New Roman"/>
          <w:noProof/>
          <w:sz w:val="24"/>
          <w:lang w:val="en-IE"/>
        </w:rPr>
      </w:pPr>
    </w:p>
    <w:p w14:paraId="7BEA44DF"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Investment: Support scheme for charging points</w:t>
      </w:r>
    </w:p>
    <w:p w14:paraId="65610BBB" w14:textId="14B4B750" w:rsidR="009823F0" w:rsidRPr="00C82A63" w:rsidRDefault="009823F0" w:rsidP="009823F0">
      <w:pPr>
        <w:spacing w:before="120" w:after="0" w:line="240" w:lineRule="auto"/>
        <w:jc w:val="both"/>
        <w:rPr>
          <w:rFonts w:ascii="Times New Roman" w:eastAsia="Times New Roman" w:hAnsi="Times New Roman" w:cs="Times New Roman"/>
          <w:noProof/>
          <w:sz w:val="24"/>
          <w:szCs w:val="24"/>
          <w:lang w:val="en-IE"/>
        </w:rPr>
      </w:pPr>
      <w:r w:rsidRPr="00C82A63">
        <w:rPr>
          <w:rFonts w:ascii="Times New Roman" w:eastAsia="Times New Roman" w:hAnsi="Times New Roman" w:cs="Times New Roman"/>
          <w:noProof/>
          <w:sz w:val="24"/>
          <w:szCs w:val="24"/>
          <w:lang w:val="en-IE"/>
        </w:rPr>
        <w:t>This investment aims to enhance the network of charging points for electric vehicles across Luxembourg. This investment consists in the adoption of a support scheme for</w:t>
      </w:r>
      <w:r w:rsidR="00A17CDD">
        <w:rPr>
          <w:rFonts w:ascii="Times New Roman" w:eastAsia="Times New Roman" w:hAnsi="Times New Roman" w:cs="Times New Roman"/>
          <w:noProof/>
          <w:sz w:val="24"/>
          <w:szCs w:val="24"/>
          <w:lang w:val="en-IE"/>
        </w:rPr>
        <w:t xml:space="preserve"> </w:t>
      </w:r>
      <w:r w:rsidRPr="00C82A63">
        <w:rPr>
          <w:rFonts w:ascii="Times New Roman" w:eastAsia="Times New Roman" w:hAnsi="Times New Roman" w:cs="Times New Roman"/>
          <w:noProof/>
          <w:sz w:val="24"/>
          <w:szCs w:val="24"/>
          <w:lang w:val="en-IE"/>
        </w:rPr>
        <w:t>charging points, which may include but is not limited to public, semi-private or private charging points.</w:t>
      </w:r>
      <w:r w:rsidR="00A17CDD">
        <w:rPr>
          <w:rFonts w:ascii="Times New Roman" w:eastAsia="Times New Roman" w:hAnsi="Times New Roman" w:cs="Times New Roman"/>
          <w:noProof/>
          <w:sz w:val="24"/>
          <w:szCs w:val="24"/>
          <w:lang w:val="en-IE"/>
        </w:rPr>
        <w:t xml:space="preserve"> </w:t>
      </w:r>
    </w:p>
    <w:p w14:paraId="570BF45A" w14:textId="77777777" w:rsidR="009823F0" w:rsidRPr="00C82A63" w:rsidRDefault="009823F0" w:rsidP="009823F0">
      <w:pPr>
        <w:spacing w:before="120" w:after="0" w:line="240" w:lineRule="auto"/>
        <w:jc w:val="both"/>
        <w:rPr>
          <w:rFonts w:ascii="Times New Roman" w:eastAsia="Times New Roman" w:hAnsi="Times New Roman" w:cs="Times New Roman"/>
          <w:noProof/>
          <w:sz w:val="24"/>
          <w:szCs w:val="24"/>
          <w:lang w:val="en-IE"/>
        </w:rPr>
      </w:pPr>
    </w:p>
    <w:p w14:paraId="00A9FE5C" w14:textId="77777777" w:rsidR="009823F0" w:rsidRPr="00C82A63" w:rsidRDefault="009823F0" w:rsidP="009823F0">
      <w:pPr>
        <w:spacing w:before="120" w:after="0" w:line="240" w:lineRule="auto"/>
        <w:jc w:val="both"/>
        <w:rPr>
          <w:rFonts w:ascii="Times New Roman" w:eastAsia="Calibri" w:hAnsi="Times New Roman" w:cs="Times New Roman"/>
          <w:noProof/>
          <w:color w:val="000000" w:themeColor="text1"/>
          <w:sz w:val="20"/>
          <w:szCs w:val="20"/>
          <w:lang w:val="en" w:eastAsia="fr-FR" w:bidi="fr-FR"/>
        </w:rPr>
        <w:sectPr w:rsidR="009823F0" w:rsidRPr="00C82A63" w:rsidSect="009823F0">
          <w:headerReference w:type="even" r:id="rId50"/>
          <w:headerReference w:type="default" r:id="rId51"/>
          <w:footerReference w:type="even" r:id="rId52"/>
          <w:footerReference w:type="default" r:id="rId53"/>
          <w:headerReference w:type="first" r:id="rId54"/>
          <w:footerReference w:type="first" r:id="rId55"/>
          <w:pgSz w:w="11907" w:h="16839"/>
          <w:pgMar w:top="1134" w:right="1417" w:bottom="1134" w:left="1417" w:header="709" w:footer="709" w:gutter="0"/>
          <w:cols w:space="720"/>
          <w:docGrid w:linePitch="360"/>
        </w:sectPr>
      </w:pPr>
    </w:p>
    <w:p w14:paraId="148FC4D9" w14:textId="77777777" w:rsidR="009823F0" w:rsidRPr="00C82A63" w:rsidRDefault="009823F0" w:rsidP="00A437B5">
      <w:pPr>
        <w:spacing w:before="120" w:after="120" w:line="240" w:lineRule="auto"/>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D.2.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18"/>
        <w:gridCol w:w="1134"/>
        <w:gridCol w:w="1276"/>
        <w:gridCol w:w="1275"/>
        <w:gridCol w:w="993"/>
        <w:gridCol w:w="992"/>
        <w:gridCol w:w="709"/>
        <w:gridCol w:w="992"/>
        <w:gridCol w:w="992"/>
        <w:gridCol w:w="4592"/>
      </w:tblGrid>
      <w:tr w:rsidR="009823F0" w:rsidRPr="00443C86" w14:paraId="7A2E631D" w14:textId="77777777" w:rsidTr="00C82A63">
        <w:trPr>
          <w:trHeight w:val="927"/>
          <w:tblHeader/>
          <w:jc w:val="center"/>
        </w:trPr>
        <w:tc>
          <w:tcPr>
            <w:tcW w:w="1129" w:type="dxa"/>
            <w:vMerge w:val="restart"/>
            <w:shd w:val="clear" w:color="auto" w:fill="BDD7EE"/>
            <w:vAlign w:val="center"/>
            <w:hideMark/>
          </w:tcPr>
          <w:p w14:paraId="6A7F7FDD"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418" w:type="dxa"/>
            <w:vMerge w:val="restart"/>
            <w:shd w:val="clear" w:color="auto" w:fill="BDD7EE"/>
            <w:vAlign w:val="center"/>
            <w:hideMark/>
          </w:tcPr>
          <w:p w14:paraId="38592E1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134" w:type="dxa"/>
            <w:vMerge w:val="restart"/>
            <w:shd w:val="clear" w:color="auto" w:fill="BDD7EE"/>
            <w:vAlign w:val="center"/>
            <w:hideMark/>
          </w:tcPr>
          <w:p w14:paraId="504B1B8D" w14:textId="712E7AF3"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276" w:type="dxa"/>
            <w:vMerge w:val="restart"/>
            <w:shd w:val="clear" w:color="auto" w:fill="BDD7EE"/>
            <w:vAlign w:val="center"/>
            <w:hideMark/>
          </w:tcPr>
          <w:p w14:paraId="6C6CC43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275" w:type="dxa"/>
            <w:vMerge w:val="restart"/>
            <w:shd w:val="clear" w:color="auto" w:fill="BDD7EE"/>
            <w:vAlign w:val="center"/>
            <w:hideMark/>
          </w:tcPr>
          <w:p w14:paraId="23B06393"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694" w:type="dxa"/>
            <w:gridSpan w:val="3"/>
            <w:shd w:val="clear" w:color="auto" w:fill="BDD7EE"/>
            <w:vAlign w:val="center"/>
            <w:hideMark/>
          </w:tcPr>
          <w:p w14:paraId="40E8BFF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1984" w:type="dxa"/>
            <w:gridSpan w:val="2"/>
            <w:shd w:val="clear" w:color="auto" w:fill="BDD7EE"/>
            <w:vAlign w:val="center"/>
            <w:hideMark/>
          </w:tcPr>
          <w:p w14:paraId="3C193E1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Indicative timeline for completion </w:t>
            </w:r>
          </w:p>
        </w:tc>
        <w:tc>
          <w:tcPr>
            <w:tcW w:w="4592" w:type="dxa"/>
            <w:vMerge w:val="restart"/>
            <w:shd w:val="clear" w:color="auto" w:fill="BDD7EE"/>
            <w:vAlign w:val="center"/>
            <w:hideMark/>
          </w:tcPr>
          <w:p w14:paraId="2F7016FB"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7270806C" w14:textId="77777777" w:rsidTr="00C82A63">
        <w:trPr>
          <w:trHeight w:val="1013"/>
          <w:jc w:val="center"/>
        </w:trPr>
        <w:tc>
          <w:tcPr>
            <w:tcW w:w="1129" w:type="dxa"/>
            <w:vMerge/>
            <w:vAlign w:val="center"/>
            <w:hideMark/>
          </w:tcPr>
          <w:p w14:paraId="609D37C2"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418" w:type="dxa"/>
            <w:vMerge/>
            <w:vAlign w:val="center"/>
            <w:hideMark/>
          </w:tcPr>
          <w:p w14:paraId="0A7100CB"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34" w:type="dxa"/>
            <w:vMerge/>
            <w:vAlign w:val="center"/>
            <w:hideMark/>
          </w:tcPr>
          <w:p w14:paraId="2C383421"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276" w:type="dxa"/>
            <w:vMerge/>
            <w:vAlign w:val="center"/>
            <w:hideMark/>
          </w:tcPr>
          <w:p w14:paraId="03349B4D"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275" w:type="dxa"/>
            <w:vMerge/>
            <w:vAlign w:val="center"/>
            <w:hideMark/>
          </w:tcPr>
          <w:p w14:paraId="14368D20"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993" w:type="dxa"/>
            <w:shd w:val="clear" w:color="auto" w:fill="BDD7EE"/>
            <w:vAlign w:val="center"/>
            <w:hideMark/>
          </w:tcPr>
          <w:p w14:paraId="0BD0C84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92" w:type="dxa"/>
            <w:shd w:val="clear" w:color="auto" w:fill="BDD7EE"/>
            <w:vAlign w:val="center"/>
            <w:hideMark/>
          </w:tcPr>
          <w:p w14:paraId="63A08A2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Baseline </w:t>
            </w:r>
          </w:p>
        </w:tc>
        <w:tc>
          <w:tcPr>
            <w:tcW w:w="709" w:type="dxa"/>
            <w:shd w:val="clear" w:color="auto" w:fill="BDD7EE"/>
            <w:vAlign w:val="center"/>
            <w:hideMark/>
          </w:tcPr>
          <w:p w14:paraId="20E21BF8"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Goal </w:t>
            </w:r>
          </w:p>
        </w:tc>
        <w:tc>
          <w:tcPr>
            <w:tcW w:w="992" w:type="dxa"/>
            <w:shd w:val="clear" w:color="auto" w:fill="BDD7EE"/>
            <w:vAlign w:val="center"/>
            <w:hideMark/>
          </w:tcPr>
          <w:p w14:paraId="1D57CC5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992" w:type="dxa"/>
            <w:shd w:val="clear" w:color="auto" w:fill="BDD7EE"/>
            <w:vAlign w:val="center"/>
            <w:hideMark/>
          </w:tcPr>
          <w:p w14:paraId="4C46F7E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4592" w:type="dxa"/>
            <w:vMerge/>
            <w:vAlign w:val="center"/>
            <w:hideMark/>
          </w:tcPr>
          <w:p w14:paraId="59A03726" w14:textId="77777777" w:rsidR="009823F0" w:rsidRPr="00C82A63" w:rsidRDefault="009823F0" w:rsidP="00A437B5">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09E4D498" w14:textId="77777777" w:rsidTr="00C82A63">
        <w:trPr>
          <w:trHeight w:val="309"/>
          <w:jc w:val="center"/>
        </w:trPr>
        <w:tc>
          <w:tcPr>
            <w:tcW w:w="1129" w:type="dxa"/>
            <w:shd w:val="clear" w:color="auto" w:fill="C6EFCE"/>
            <w:noWrap/>
          </w:tcPr>
          <w:p w14:paraId="60FBA458"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2A-1</w:t>
            </w:r>
          </w:p>
        </w:tc>
        <w:tc>
          <w:tcPr>
            <w:tcW w:w="1418" w:type="dxa"/>
            <w:shd w:val="clear" w:color="auto" w:fill="C6EFCE"/>
            <w:noWrap/>
          </w:tcPr>
          <w:p w14:paraId="30DCC09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Reform: Electrification of the fleet of contracting authorities and entities, and of public transport</w:t>
            </w:r>
          </w:p>
        </w:tc>
        <w:tc>
          <w:tcPr>
            <w:tcW w:w="1134" w:type="dxa"/>
            <w:shd w:val="clear" w:color="auto" w:fill="C6EFCE"/>
            <w:noWrap/>
          </w:tcPr>
          <w:p w14:paraId="1FD4A3D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276" w:type="dxa"/>
            <w:shd w:val="clear" w:color="auto" w:fill="C6EFCE"/>
            <w:noWrap/>
          </w:tcPr>
          <w:p w14:paraId="3B9F34A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Grand-Ducal Regulation on the procurement of clean vehicles </w:t>
            </w:r>
          </w:p>
        </w:tc>
        <w:tc>
          <w:tcPr>
            <w:tcW w:w="1275" w:type="dxa"/>
            <w:shd w:val="clear" w:color="auto" w:fill="C6EFCE"/>
            <w:noWrap/>
          </w:tcPr>
          <w:p w14:paraId="65B466B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eastAsia="en-GB"/>
              </w:rPr>
              <w:t>Entry into force</w:t>
            </w:r>
          </w:p>
        </w:tc>
        <w:tc>
          <w:tcPr>
            <w:tcW w:w="993" w:type="dxa"/>
            <w:shd w:val="clear" w:color="auto" w:fill="C6EFCE"/>
            <w:noWrap/>
          </w:tcPr>
          <w:p w14:paraId="54D5C8E8"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w:t>
            </w:r>
          </w:p>
        </w:tc>
        <w:tc>
          <w:tcPr>
            <w:tcW w:w="992" w:type="dxa"/>
            <w:shd w:val="clear" w:color="auto" w:fill="C6EFCE"/>
            <w:noWrap/>
          </w:tcPr>
          <w:p w14:paraId="2889563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w:t>
            </w:r>
          </w:p>
        </w:tc>
        <w:tc>
          <w:tcPr>
            <w:tcW w:w="709" w:type="dxa"/>
            <w:shd w:val="clear" w:color="auto" w:fill="C6EFCE"/>
            <w:noWrap/>
          </w:tcPr>
          <w:p w14:paraId="37BDE921"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w:t>
            </w:r>
          </w:p>
        </w:tc>
        <w:tc>
          <w:tcPr>
            <w:tcW w:w="992" w:type="dxa"/>
            <w:shd w:val="clear" w:color="auto" w:fill="C6EFCE"/>
            <w:noWrap/>
          </w:tcPr>
          <w:p w14:paraId="0BA56CB6"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Q3</w:t>
            </w:r>
          </w:p>
        </w:tc>
        <w:tc>
          <w:tcPr>
            <w:tcW w:w="992" w:type="dxa"/>
            <w:shd w:val="clear" w:color="auto" w:fill="C6EFCE"/>
            <w:noWrap/>
          </w:tcPr>
          <w:p w14:paraId="64482DC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592" w:type="dxa"/>
            <w:shd w:val="clear" w:color="auto" w:fill="C6EFCE"/>
            <w:noWrap/>
          </w:tcPr>
          <w:p w14:paraId="4011E757"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Grand-Ducal Regulation defining the minimum percentages of clean vehicles (light vehicles, buses, heavy-duty vehicles) among vehicles procured by public contracts to be achieved by each contracting authority and contracting entity over the period 2021-2025</w:t>
            </w:r>
          </w:p>
        </w:tc>
      </w:tr>
      <w:tr w:rsidR="009823F0" w:rsidRPr="00443C86" w14:paraId="37CDB876" w14:textId="77777777" w:rsidTr="00C82A63">
        <w:trPr>
          <w:trHeight w:val="309"/>
          <w:jc w:val="center"/>
        </w:trPr>
        <w:tc>
          <w:tcPr>
            <w:tcW w:w="1129" w:type="dxa"/>
            <w:shd w:val="clear" w:color="auto" w:fill="C6EFCE"/>
            <w:noWrap/>
          </w:tcPr>
          <w:p w14:paraId="2ABC727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2A-2</w:t>
            </w:r>
          </w:p>
        </w:tc>
        <w:tc>
          <w:tcPr>
            <w:tcW w:w="1418" w:type="dxa"/>
            <w:shd w:val="clear" w:color="auto" w:fill="C6EFCE"/>
            <w:noWrap/>
          </w:tcPr>
          <w:p w14:paraId="1A80B96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Support scheme for charging points</w:t>
            </w:r>
          </w:p>
        </w:tc>
        <w:tc>
          <w:tcPr>
            <w:tcW w:w="1134" w:type="dxa"/>
            <w:shd w:val="clear" w:color="auto" w:fill="C6EFCE"/>
            <w:noWrap/>
          </w:tcPr>
          <w:p w14:paraId="5756047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276" w:type="dxa"/>
            <w:shd w:val="clear" w:color="auto" w:fill="C6EFCE"/>
            <w:noWrap/>
          </w:tcPr>
          <w:p w14:paraId="19F5B40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Law on the support scheme for charging points</w:t>
            </w:r>
          </w:p>
        </w:tc>
        <w:tc>
          <w:tcPr>
            <w:tcW w:w="1275" w:type="dxa"/>
            <w:shd w:val="clear" w:color="auto" w:fill="C6EFCE"/>
            <w:noWrap/>
          </w:tcPr>
          <w:p w14:paraId="02083AE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en-IE" w:eastAsia="en-GB"/>
              </w:rPr>
              <w:t>Entry into force</w:t>
            </w:r>
          </w:p>
        </w:tc>
        <w:tc>
          <w:tcPr>
            <w:tcW w:w="993" w:type="dxa"/>
            <w:shd w:val="clear" w:color="auto" w:fill="C6EFCE"/>
            <w:noWrap/>
          </w:tcPr>
          <w:p w14:paraId="10C75E0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w:t>
            </w:r>
          </w:p>
        </w:tc>
        <w:tc>
          <w:tcPr>
            <w:tcW w:w="992" w:type="dxa"/>
            <w:shd w:val="clear" w:color="auto" w:fill="C6EFCE"/>
            <w:noWrap/>
          </w:tcPr>
          <w:p w14:paraId="4B6FAE7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w:t>
            </w:r>
          </w:p>
        </w:tc>
        <w:tc>
          <w:tcPr>
            <w:tcW w:w="709" w:type="dxa"/>
            <w:shd w:val="clear" w:color="auto" w:fill="C6EFCE"/>
            <w:noWrap/>
          </w:tcPr>
          <w:p w14:paraId="16847C8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w:t>
            </w:r>
          </w:p>
        </w:tc>
        <w:tc>
          <w:tcPr>
            <w:tcW w:w="992" w:type="dxa"/>
            <w:shd w:val="clear" w:color="auto" w:fill="C6EFCE"/>
            <w:noWrap/>
          </w:tcPr>
          <w:p w14:paraId="73AAC99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Q1</w:t>
            </w:r>
          </w:p>
        </w:tc>
        <w:tc>
          <w:tcPr>
            <w:tcW w:w="992" w:type="dxa"/>
            <w:shd w:val="clear" w:color="auto" w:fill="C6EFCE"/>
            <w:noWrap/>
          </w:tcPr>
          <w:p w14:paraId="7A05AC87"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2022</w:t>
            </w:r>
          </w:p>
        </w:tc>
        <w:tc>
          <w:tcPr>
            <w:tcW w:w="4592" w:type="dxa"/>
            <w:shd w:val="clear" w:color="auto" w:fill="C6EFCE"/>
            <w:noWrap/>
          </w:tcPr>
          <w:p w14:paraId="46B8BA3E"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law putting in place a support scheme for charging infrastructure for electric vehicles. The support scheme shall be made available for companies, and shall support charging points accessible to the public or not.</w:t>
            </w:r>
          </w:p>
        </w:tc>
      </w:tr>
      <w:tr w:rsidR="009823F0" w:rsidRPr="00443C86" w14:paraId="458EBD32" w14:textId="77777777" w:rsidTr="00C82A63">
        <w:trPr>
          <w:trHeight w:val="309"/>
          <w:jc w:val="center"/>
        </w:trPr>
        <w:tc>
          <w:tcPr>
            <w:tcW w:w="1129" w:type="dxa"/>
            <w:shd w:val="clear" w:color="auto" w:fill="C6EFCE"/>
            <w:noWrap/>
          </w:tcPr>
          <w:p w14:paraId="6A2A5BD5"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2A-</w:t>
            </w:r>
            <w:r w:rsidRPr="00C82A63">
              <w:rPr>
                <w:rFonts w:ascii="Times New Roman" w:eastAsia="Times New Roman" w:hAnsi="Times New Roman" w:cs="Times New Roman"/>
                <w:noProof/>
                <w:color w:val="006100"/>
                <w:sz w:val="20"/>
                <w:szCs w:val="20"/>
                <w:lang w:val="en-IE" w:eastAsia="en-GB"/>
              </w:rPr>
              <w:t>4</w:t>
            </w:r>
          </w:p>
        </w:tc>
        <w:tc>
          <w:tcPr>
            <w:tcW w:w="1418" w:type="dxa"/>
            <w:shd w:val="clear" w:color="auto" w:fill="C6EFCE"/>
            <w:noWrap/>
          </w:tcPr>
          <w:p w14:paraId="7611F9D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Support scheme for charging points</w:t>
            </w:r>
          </w:p>
        </w:tc>
        <w:tc>
          <w:tcPr>
            <w:tcW w:w="1134" w:type="dxa"/>
            <w:shd w:val="clear" w:color="auto" w:fill="C6EFCE"/>
            <w:noWrap/>
          </w:tcPr>
          <w:p w14:paraId="2AAA3918"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Target</w:t>
            </w:r>
          </w:p>
        </w:tc>
        <w:tc>
          <w:tcPr>
            <w:tcW w:w="1276" w:type="dxa"/>
            <w:shd w:val="clear" w:color="auto" w:fill="C6EFCE"/>
            <w:noWrap/>
          </w:tcPr>
          <w:p w14:paraId="5F5D29F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Number of installed charging points </w:t>
            </w:r>
          </w:p>
        </w:tc>
        <w:tc>
          <w:tcPr>
            <w:tcW w:w="1275" w:type="dxa"/>
            <w:shd w:val="clear" w:color="auto" w:fill="C6EFCE"/>
            <w:noWrap/>
          </w:tcPr>
          <w:p w14:paraId="141F667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w:t>
            </w:r>
          </w:p>
        </w:tc>
        <w:tc>
          <w:tcPr>
            <w:tcW w:w="993" w:type="dxa"/>
            <w:shd w:val="clear" w:color="auto" w:fill="C6EFCE"/>
            <w:noWrap/>
          </w:tcPr>
          <w:p w14:paraId="13AB6BA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eastAsia="en-GB"/>
              </w:rPr>
              <w:t>Supply metric</w:t>
            </w:r>
          </w:p>
        </w:tc>
        <w:tc>
          <w:tcPr>
            <w:tcW w:w="992" w:type="dxa"/>
            <w:shd w:val="clear" w:color="auto" w:fill="C6EFCE"/>
            <w:noWrap/>
          </w:tcPr>
          <w:p w14:paraId="324DBFE2"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eastAsia="en-GB"/>
              </w:rPr>
              <w:t>0</w:t>
            </w:r>
          </w:p>
        </w:tc>
        <w:tc>
          <w:tcPr>
            <w:tcW w:w="709" w:type="dxa"/>
            <w:shd w:val="clear" w:color="auto" w:fill="C6EFCE"/>
            <w:noWrap/>
          </w:tcPr>
          <w:p w14:paraId="6BC70F40"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eastAsia="en-GB"/>
              </w:rPr>
              <w:t>2</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eastAsia="en-GB"/>
              </w:rPr>
              <w:t>986</w:t>
            </w:r>
          </w:p>
        </w:tc>
        <w:tc>
          <w:tcPr>
            <w:tcW w:w="992" w:type="dxa"/>
            <w:shd w:val="clear" w:color="auto" w:fill="C6EFCE"/>
            <w:noWrap/>
          </w:tcPr>
          <w:p w14:paraId="4EA0F566"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992" w:type="dxa"/>
            <w:shd w:val="clear" w:color="auto" w:fill="C6EFCE"/>
            <w:noWrap/>
          </w:tcPr>
          <w:p w14:paraId="0FF31A4E"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2025</w:t>
            </w:r>
          </w:p>
        </w:tc>
        <w:tc>
          <w:tcPr>
            <w:tcW w:w="4592" w:type="dxa"/>
            <w:shd w:val="clear" w:color="auto" w:fill="C6EFCE"/>
            <w:noWrap/>
          </w:tcPr>
          <w:p w14:paraId="7C44EA6A"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Number of charging points installed (expressed in terms of supply metric).</w:t>
            </w:r>
          </w:p>
          <w:p w14:paraId="7AE1DAAB"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The ‘supply metric’ shall be calculated according to the methodology defined in Transport &amp; Environment (2020) report ‘Recharge EU: how many charge points shall Europe and its Member States need in the 2020s', however also applying the same weight for non-public charging stations as for semi-public charging stations.</w:t>
            </w:r>
          </w:p>
        </w:tc>
      </w:tr>
    </w:tbl>
    <w:p w14:paraId="0FFCF05F"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56"/>
          <w:headerReference w:type="default" r:id="rId57"/>
          <w:footerReference w:type="even" r:id="rId58"/>
          <w:footerReference w:type="default" r:id="rId59"/>
          <w:headerReference w:type="first" r:id="rId60"/>
          <w:footerReference w:type="first" r:id="rId61"/>
          <w:pgSz w:w="16839" w:h="11907" w:orient="landscape"/>
          <w:pgMar w:top="1417" w:right="1134" w:bottom="1417" w:left="1134" w:header="709" w:footer="709" w:gutter="0"/>
          <w:cols w:space="720"/>
          <w:docGrid w:linePitch="360"/>
        </w:sectPr>
      </w:pPr>
    </w:p>
    <w:p w14:paraId="50E73FEE"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 xml:space="preserve">E. COMPONENT 2B: Protection of environment and biodiversity </w:t>
      </w:r>
    </w:p>
    <w:p w14:paraId="528C7BAE"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lang w:val="en-IE"/>
        </w:rPr>
      </w:pPr>
      <w:r w:rsidRPr="00C82A63">
        <w:rPr>
          <w:rFonts w:ascii="Times New Roman" w:hAnsi="Times New Roman" w:cs="Times New Roman"/>
          <w:noProof/>
          <w:sz w:val="24"/>
          <w:lang w:val="en-IE"/>
        </w:rPr>
        <w:t xml:space="preserve">This component </w:t>
      </w:r>
      <w:r w:rsidRPr="00C82A63">
        <w:rPr>
          <w:rFonts w:ascii="Times New Roman" w:hAnsi="Times New Roman" w:cs="Times New Roman"/>
          <w:noProof/>
          <w:color w:val="000000"/>
          <w:sz w:val="24"/>
          <w:lang w:val="en-IE"/>
        </w:rPr>
        <w:t xml:space="preserve">of Luxembourg’s recovery and resilience plan </w:t>
      </w:r>
      <w:r w:rsidRPr="00C82A63">
        <w:rPr>
          <w:rFonts w:ascii="Times New Roman" w:hAnsi="Times New Roman" w:cs="Times New Roman"/>
          <w:noProof/>
          <w:sz w:val="24"/>
          <w:lang w:val="en-IE"/>
        </w:rPr>
        <w:t>aims to foster biodiversity and ecosystem protection and conservation in Luxembourg, as a way</w:t>
      </w:r>
      <w:r w:rsidRPr="00C82A63">
        <w:rPr>
          <w:rFonts w:ascii="Times New Roman" w:eastAsia="Times New Roman" w:hAnsi="Times New Roman" w:cs="Times New Roman"/>
          <w:noProof/>
          <w:sz w:val="24"/>
          <w:lang w:val="en-IE"/>
        </w:rPr>
        <w:t xml:space="preserve"> to strengthen resilience, in particular having in mind the links between human health and ecosystems health. The objectives include restoration of habitats, increasing ecologic continuity, and the resilience and restoration of ecosystems, as well as sustained awareness raising and knowledge sharing.</w:t>
      </w:r>
    </w:p>
    <w:p w14:paraId="7271A377"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lang w:val="en-IE"/>
        </w:rPr>
      </w:pPr>
      <w:r w:rsidRPr="00C82A63">
        <w:rPr>
          <w:rFonts w:ascii="Times New Roman" w:eastAsia="Times New Roman" w:hAnsi="Times New Roman" w:cs="Times New Roman"/>
          <w:noProof/>
          <w:sz w:val="24"/>
          <w:lang w:val="en-IE"/>
        </w:rPr>
        <w:t>The component consists in one measure, which comprises some elements of reform and some elements of investments, to support municipalities’ efforts in natural environment and biodiversity conservation actions.</w:t>
      </w:r>
      <w:r w:rsidRPr="00C82A63">
        <w:rPr>
          <w:rFonts w:ascii="Times New Roman" w:hAnsi="Times New Roman" w:cs="Times New Roman"/>
          <w:noProof/>
          <w:color w:val="000000"/>
          <w:sz w:val="24"/>
          <w:lang w:val="en-IE"/>
        </w:rPr>
        <w:t xml:space="preserve"> The measure proposes an action plan that prepares municipalities to address the challenges of biodiversity decline and ecosystem degradation.</w:t>
      </w:r>
    </w:p>
    <w:p w14:paraId="0C990398"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lang w:val="en-IE"/>
        </w:rPr>
      </w:pPr>
      <w:r w:rsidRPr="00C82A63">
        <w:rPr>
          <w:rFonts w:ascii="Times New Roman" w:eastAsia="Times New Roman" w:hAnsi="Times New Roman" w:cs="Times New Roman"/>
          <w:noProof/>
          <w:sz w:val="24"/>
          <w:lang w:val="en-IE"/>
        </w:rPr>
        <w:t xml:space="preserve">While Country-Specific Recommendations addressed to Luxembourg do not refer to natural environment and biodiversity as a specific challenge for the country, this component generally contributes to the </w:t>
      </w:r>
      <w:r w:rsidRPr="00C82A63">
        <w:rPr>
          <w:rFonts w:ascii="Times New Roman" w:hAnsi="Times New Roman" w:cs="Times New Roman"/>
          <w:noProof/>
          <w:color w:val="000000" w:themeColor="text1"/>
          <w:sz w:val="24"/>
          <w:lang w:val="en-IE"/>
        </w:rPr>
        <w:t>Country-Specific Recommendation</w:t>
      </w:r>
      <w:r w:rsidRPr="00C82A63">
        <w:rPr>
          <w:rFonts w:ascii="Times New Roman" w:eastAsia="Times New Roman" w:hAnsi="Times New Roman" w:cs="Times New Roman"/>
          <w:noProof/>
          <w:sz w:val="24"/>
          <w:lang w:val="en-IE"/>
        </w:rPr>
        <w:t xml:space="preserve"> 3 2020 of ‘focusing investment on the green (…) transition’.</w:t>
      </w:r>
    </w:p>
    <w:p w14:paraId="652B9F54"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58C53CC"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0377A3BD" w14:textId="77777777" w:rsidR="009823F0" w:rsidRPr="00C82A63" w:rsidRDefault="009823F0" w:rsidP="009823F0">
      <w:pPr>
        <w:spacing w:before="120" w:after="120" w:line="240" w:lineRule="auto"/>
        <w:jc w:val="both"/>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E.1. </w:t>
      </w:r>
      <w:r w:rsidRPr="00C82A63">
        <w:rPr>
          <w:rFonts w:ascii="Times New Roman" w:hAnsi="Times New Roman" w:cs="Times New Roman"/>
          <w:b/>
          <w:bCs/>
          <w:noProof/>
          <w:sz w:val="24"/>
          <w:u w:val="single"/>
          <w:lang w:val="en-IE"/>
        </w:rPr>
        <w:tab/>
        <w:t>Description of the reforms and investments for non-repayable financial support</w:t>
      </w:r>
    </w:p>
    <w:p w14:paraId="1FD128FC"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 xml:space="preserve">Reform and investment: </w:t>
      </w:r>
      <w:r w:rsidRPr="00C82A63">
        <w:rPr>
          <w:rFonts w:ascii="Times New Roman" w:hAnsi="Times New Roman" w:cs="Times New Roman"/>
          <w:i/>
          <w:iCs/>
          <w:noProof/>
          <w:sz w:val="24"/>
          <w:u w:val="single"/>
          <w:lang w:val="en-IE"/>
        </w:rPr>
        <w:t>‘Naturpakt’</w:t>
      </w:r>
    </w:p>
    <w:p w14:paraId="361DFC2D"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eastAsia="Times New Roman" w:hAnsi="Times New Roman" w:cs="Times New Roman"/>
          <w:noProof/>
          <w:sz w:val="24"/>
          <w:lang w:val="en-IE"/>
        </w:rPr>
        <w:t xml:space="preserve">The measure aims to encourage municipalities to engage in natural environment and biodiversity protection actions. </w:t>
      </w:r>
      <w:r w:rsidRPr="00C82A63">
        <w:rPr>
          <w:rFonts w:ascii="Times New Roman" w:eastAsia="Times New Roman" w:hAnsi="Times New Roman" w:cs="Times New Roman"/>
          <w:noProof/>
          <w:sz w:val="24"/>
          <w:szCs w:val="24"/>
          <w:lang w:val="en-IE"/>
        </w:rPr>
        <w:t xml:space="preserve">The measure consists in supporting municipalities signing a </w:t>
      </w:r>
      <w:r w:rsidRPr="00C82A63">
        <w:rPr>
          <w:rFonts w:ascii="Times New Roman" w:eastAsia="Times New Roman" w:hAnsi="Times New Roman" w:cs="Times New Roman"/>
          <w:i/>
          <w:iCs/>
          <w:noProof/>
          <w:sz w:val="24"/>
          <w:szCs w:val="24"/>
          <w:lang w:val="en-IE"/>
        </w:rPr>
        <w:t>‘Naturpakt’</w:t>
      </w:r>
      <w:r w:rsidRPr="00C82A63">
        <w:rPr>
          <w:rFonts w:ascii="Times New Roman" w:eastAsia="Times New Roman" w:hAnsi="Times New Roman" w:cs="Times New Roman"/>
          <w:noProof/>
          <w:sz w:val="24"/>
          <w:szCs w:val="24"/>
          <w:lang w:val="en-IE"/>
        </w:rPr>
        <w:t xml:space="preserve"> contract with the State and achieving certification for their performance. </w:t>
      </w:r>
    </w:p>
    <w:p w14:paraId="37601FC4"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sectPr w:rsidR="009823F0" w:rsidRPr="00C82A63" w:rsidSect="009823F0">
          <w:headerReference w:type="even" r:id="rId62"/>
          <w:headerReference w:type="default" r:id="rId63"/>
          <w:footerReference w:type="even" r:id="rId64"/>
          <w:footerReference w:type="default" r:id="rId65"/>
          <w:headerReference w:type="first" r:id="rId66"/>
          <w:footerReference w:type="first" r:id="rId67"/>
          <w:pgSz w:w="11907" w:h="16839"/>
          <w:pgMar w:top="1134" w:right="1417" w:bottom="1134" w:left="1417" w:header="709" w:footer="709" w:gutter="0"/>
          <w:cols w:space="720"/>
          <w:docGrid w:linePitch="360"/>
        </w:sectPr>
      </w:pPr>
    </w:p>
    <w:p w14:paraId="7DAF7EBC" w14:textId="77777777" w:rsidR="009823F0" w:rsidRPr="00C82A63" w:rsidRDefault="009823F0" w:rsidP="00A437B5">
      <w:pPr>
        <w:spacing w:before="120" w:after="120" w:line="240" w:lineRule="auto"/>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E.2.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502" w:type="dxa"/>
        <w:jc w:val="center"/>
        <w:tblLayout w:type="fixed"/>
        <w:tblLook w:val="04A0" w:firstRow="1" w:lastRow="0" w:firstColumn="1" w:lastColumn="0" w:noHBand="0" w:noVBand="1"/>
      </w:tblPr>
      <w:tblGrid>
        <w:gridCol w:w="1129"/>
        <w:gridCol w:w="1305"/>
        <w:gridCol w:w="1134"/>
        <w:gridCol w:w="1417"/>
        <w:gridCol w:w="1279"/>
        <w:gridCol w:w="1244"/>
        <w:gridCol w:w="709"/>
        <w:gridCol w:w="710"/>
        <w:gridCol w:w="991"/>
        <w:gridCol w:w="10"/>
        <w:gridCol w:w="699"/>
        <w:gridCol w:w="4875"/>
      </w:tblGrid>
      <w:tr w:rsidR="009823F0" w:rsidRPr="00443C86" w14:paraId="2F358902" w14:textId="77777777" w:rsidTr="00CF6BC5">
        <w:trPr>
          <w:trHeight w:val="927"/>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9DFF03"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3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4CF4B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46DC" w14:textId="057717C1"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417" w:type="dxa"/>
            <w:vMerge w:val="restart"/>
            <w:tcBorders>
              <w:top w:val="single" w:sz="4" w:space="0" w:color="auto"/>
              <w:left w:val="nil"/>
              <w:bottom w:val="single" w:sz="4" w:space="0" w:color="auto"/>
              <w:right w:val="single" w:sz="4" w:space="0" w:color="auto"/>
            </w:tcBorders>
            <w:shd w:val="clear" w:color="auto" w:fill="BDD7EE"/>
            <w:vAlign w:val="center"/>
            <w:hideMark/>
          </w:tcPr>
          <w:p w14:paraId="318C1DB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2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5DE83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663" w:type="dxa"/>
            <w:gridSpan w:val="3"/>
            <w:tcBorders>
              <w:top w:val="single" w:sz="4" w:space="0" w:color="auto"/>
              <w:left w:val="nil"/>
              <w:bottom w:val="single" w:sz="4" w:space="0" w:color="auto"/>
              <w:right w:val="single" w:sz="4" w:space="0" w:color="auto"/>
            </w:tcBorders>
            <w:shd w:val="clear" w:color="auto" w:fill="BDD7EE"/>
            <w:vAlign w:val="center"/>
            <w:hideMark/>
          </w:tcPr>
          <w:p w14:paraId="18A2C99F"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1700" w:type="dxa"/>
            <w:gridSpan w:val="3"/>
            <w:tcBorders>
              <w:top w:val="single" w:sz="4" w:space="0" w:color="auto"/>
              <w:left w:val="nil"/>
              <w:bottom w:val="single" w:sz="4" w:space="0" w:color="auto"/>
              <w:right w:val="single" w:sz="4" w:space="0" w:color="auto"/>
            </w:tcBorders>
            <w:shd w:val="clear" w:color="auto" w:fill="BDD7EE"/>
            <w:vAlign w:val="center"/>
            <w:hideMark/>
          </w:tcPr>
          <w:p w14:paraId="381D965B" w14:textId="1F2FBC1B"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Indicative timeline for completion</w:t>
            </w:r>
          </w:p>
        </w:tc>
        <w:tc>
          <w:tcPr>
            <w:tcW w:w="48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DE05F"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430B1D0B" w14:textId="77777777" w:rsidTr="00CF6BC5">
        <w:trPr>
          <w:trHeight w:val="10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3D5EC2B" w14:textId="77777777" w:rsidR="009823F0" w:rsidRPr="00C82A63" w:rsidRDefault="009823F0" w:rsidP="00A437B5">
            <w:pPr>
              <w:spacing w:after="0" w:line="240" w:lineRule="auto"/>
              <w:jc w:val="center"/>
              <w:rPr>
                <w:rFonts w:ascii="Times New Roman" w:eastAsia="Times New Roman" w:hAnsi="Times New Roman" w:cs="Times New Roman"/>
                <w:b/>
                <w:noProof/>
                <w:sz w:val="20"/>
                <w:szCs w:val="20"/>
                <w:lang w:val="en-IE" w:eastAsia="en-GB"/>
              </w:rPr>
            </w:pPr>
          </w:p>
        </w:tc>
        <w:tc>
          <w:tcPr>
            <w:tcW w:w="1305" w:type="dxa"/>
            <w:vMerge/>
            <w:tcBorders>
              <w:top w:val="single" w:sz="4" w:space="0" w:color="auto"/>
              <w:left w:val="single" w:sz="4" w:space="0" w:color="auto"/>
              <w:bottom w:val="single" w:sz="4" w:space="0" w:color="auto"/>
              <w:right w:val="single" w:sz="4" w:space="0" w:color="auto"/>
            </w:tcBorders>
            <w:vAlign w:val="center"/>
            <w:hideMark/>
          </w:tcPr>
          <w:p w14:paraId="30D1EA50"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016DDDA"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8499F0F"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14:paraId="0B67B209"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24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25AB27"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3BB12" w14:textId="05502D28"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Baseline</w:t>
            </w:r>
          </w:p>
        </w:tc>
        <w:tc>
          <w:tcPr>
            <w:tcW w:w="71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CC893D" w14:textId="6FE106BC"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Goal</w:t>
            </w:r>
          </w:p>
        </w:tc>
        <w:tc>
          <w:tcPr>
            <w:tcW w:w="99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B9D1FC"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70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1B98EE2" w14:textId="77777777" w:rsidR="009823F0" w:rsidRPr="00C82A63" w:rsidRDefault="009823F0" w:rsidP="00A437B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4875" w:type="dxa"/>
            <w:vMerge/>
            <w:tcBorders>
              <w:top w:val="single" w:sz="4" w:space="0" w:color="auto"/>
              <w:left w:val="single" w:sz="4" w:space="0" w:color="auto"/>
              <w:bottom w:val="single" w:sz="4" w:space="0" w:color="auto"/>
              <w:right w:val="single" w:sz="4" w:space="0" w:color="auto"/>
            </w:tcBorders>
            <w:vAlign w:val="center"/>
            <w:hideMark/>
          </w:tcPr>
          <w:p w14:paraId="16AB41E1" w14:textId="77777777" w:rsidR="009823F0" w:rsidRPr="00C82A63" w:rsidRDefault="009823F0" w:rsidP="00A437B5">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5BE19A05" w14:textId="77777777" w:rsidTr="00CF6BC5">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6613B4"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2B-1</w:t>
            </w:r>
          </w:p>
        </w:tc>
        <w:tc>
          <w:tcPr>
            <w:tcW w:w="1305" w:type="dxa"/>
            <w:tcBorders>
              <w:top w:val="single" w:sz="4" w:space="0" w:color="auto"/>
              <w:left w:val="nil"/>
              <w:bottom w:val="single" w:sz="4" w:space="0" w:color="auto"/>
              <w:right w:val="single" w:sz="4" w:space="0" w:color="auto"/>
            </w:tcBorders>
            <w:shd w:val="clear" w:color="auto" w:fill="C6EFCE"/>
            <w:noWrap/>
          </w:tcPr>
          <w:p w14:paraId="130E98A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 xml:space="preserve">Reform and investment: </w:t>
            </w:r>
            <w:r w:rsidRPr="00C82A63">
              <w:rPr>
                <w:rFonts w:ascii="Times New Roman" w:eastAsia="Times New Roman" w:hAnsi="Times New Roman" w:cs="Times New Roman"/>
                <w:i/>
                <w:iCs/>
                <w:noProof/>
                <w:color w:val="006100"/>
                <w:sz w:val="20"/>
                <w:szCs w:val="20"/>
                <w:lang w:val="fr-FR" w:eastAsia="en-GB"/>
              </w:rPr>
              <w:t>‘Naturpakt’</w:t>
            </w:r>
          </w:p>
        </w:tc>
        <w:tc>
          <w:tcPr>
            <w:tcW w:w="1134" w:type="dxa"/>
            <w:tcBorders>
              <w:top w:val="single" w:sz="4" w:space="0" w:color="auto"/>
              <w:left w:val="nil"/>
              <w:bottom w:val="single" w:sz="4" w:space="0" w:color="auto"/>
              <w:right w:val="single" w:sz="4" w:space="0" w:color="auto"/>
            </w:tcBorders>
            <w:shd w:val="clear" w:color="auto" w:fill="C6EFCE"/>
            <w:noWrap/>
          </w:tcPr>
          <w:p w14:paraId="3203750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417" w:type="dxa"/>
            <w:tcBorders>
              <w:top w:val="single" w:sz="4" w:space="0" w:color="auto"/>
              <w:left w:val="nil"/>
              <w:bottom w:val="single" w:sz="4" w:space="0" w:color="auto"/>
              <w:right w:val="single" w:sz="4" w:space="0" w:color="auto"/>
            </w:tcBorders>
            <w:shd w:val="clear" w:color="auto" w:fill="C6EFCE"/>
            <w:noWrap/>
          </w:tcPr>
          <w:p w14:paraId="49AE052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Finalisation of the catalogue of measures</w:t>
            </w:r>
          </w:p>
        </w:tc>
        <w:tc>
          <w:tcPr>
            <w:tcW w:w="1279" w:type="dxa"/>
            <w:tcBorders>
              <w:top w:val="single" w:sz="4" w:space="0" w:color="auto"/>
              <w:left w:val="nil"/>
              <w:bottom w:val="single" w:sz="4" w:space="0" w:color="auto"/>
              <w:right w:val="single" w:sz="4" w:space="0" w:color="auto"/>
            </w:tcBorders>
            <w:shd w:val="clear" w:color="auto" w:fill="C6EFCE"/>
            <w:noWrap/>
          </w:tcPr>
          <w:p w14:paraId="34099BEA" w14:textId="77777777" w:rsidR="009823F0" w:rsidRPr="00C82A63" w:rsidRDefault="009823F0" w:rsidP="00CF6BC5">
            <w:pPr>
              <w:spacing w:after="0" w:line="240" w:lineRule="auto"/>
              <w:jc w:val="both"/>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eastAsia="en-GB"/>
              </w:rPr>
              <w:t>Publication</w:t>
            </w:r>
          </w:p>
        </w:tc>
        <w:tc>
          <w:tcPr>
            <w:tcW w:w="1244" w:type="dxa"/>
            <w:tcBorders>
              <w:top w:val="single" w:sz="4" w:space="0" w:color="auto"/>
              <w:left w:val="nil"/>
              <w:bottom w:val="single" w:sz="4" w:space="0" w:color="auto"/>
              <w:right w:val="single" w:sz="4" w:space="0" w:color="auto"/>
            </w:tcBorders>
            <w:shd w:val="clear" w:color="auto" w:fill="C6EFCE"/>
            <w:noWrap/>
          </w:tcPr>
          <w:p w14:paraId="6FAF308E"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w:t>
            </w:r>
          </w:p>
        </w:tc>
        <w:tc>
          <w:tcPr>
            <w:tcW w:w="709" w:type="dxa"/>
            <w:tcBorders>
              <w:top w:val="single" w:sz="4" w:space="0" w:color="auto"/>
              <w:left w:val="nil"/>
              <w:bottom w:val="single" w:sz="4" w:space="0" w:color="auto"/>
              <w:right w:val="single" w:sz="4" w:space="0" w:color="auto"/>
            </w:tcBorders>
            <w:shd w:val="clear" w:color="auto" w:fill="C6EFCE"/>
            <w:noWrap/>
          </w:tcPr>
          <w:p w14:paraId="2EE69B8B"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w:t>
            </w:r>
          </w:p>
        </w:tc>
        <w:tc>
          <w:tcPr>
            <w:tcW w:w="710" w:type="dxa"/>
            <w:tcBorders>
              <w:top w:val="single" w:sz="4" w:space="0" w:color="auto"/>
              <w:left w:val="nil"/>
              <w:bottom w:val="single" w:sz="4" w:space="0" w:color="auto"/>
              <w:right w:val="single" w:sz="4" w:space="0" w:color="auto"/>
            </w:tcBorders>
            <w:shd w:val="clear" w:color="auto" w:fill="C6EFCE"/>
            <w:noWrap/>
          </w:tcPr>
          <w:p w14:paraId="5FE9E2F5"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w:t>
            </w:r>
          </w:p>
        </w:tc>
        <w:tc>
          <w:tcPr>
            <w:tcW w:w="1001" w:type="dxa"/>
            <w:gridSpan w:val="2"/>
            <w:tcBorders>
              <w:top w:val="single" w:sz="4" w:space="0" w:color="auto"/>
              <w:left w:val="nil"/>
              <w:bottom w:val="single" w:sz="4" w:space="0" w:color="auto"/>
              <w:right w:val="single" w:sz="4" w:space="0" w:color="auto"/>
            </w:tcBorders>
            <w:shd w:val="clear" w:color="auto" w:fill="C6EFCE"/>
            <w:noWrap/>
          </w:tcPr>
          <w:p w14:paraId="2AB4CB70"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Q3</w:t>
            </w:r>
          </w:p>
        </w:tc>
        <w:tc>
          <w:tcPr>
            <w:tcW w:w="699" w:type="dxa"/>
            <w:tcBorders>
              <w:top w:val="single" w:sz="4" w:space="0" w:color="auto"/>
              <w:left w:val="nil"/>
              <w:bottom w:val="single" w:sz="4" w:space="0" w:color="auto"/>
              <w:right w:val="single" w:sz="4" w:space="0" w:color="auto"/>
            </w:tcBorders>
            <w:shd w:val="clear" w:color="auto" w:fill="C6EFCE"/>
            <w:noWrap/>
          </w:tcPr>
          <w:p w14:paraId="74ED59E2"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875" w:type="dxa"/>
            <w:tcBorders>
              <w:top w:val="single" w:sz="4" w:space="0" w:color="auto"/>
              <w:left w:val="nil"/>
              <w:bottom w:val="single" w:sz="4" w:space="0" w:color="auto"/>
              <w:right w:val="single" w:sz="4" w:space="0" w:color="auto"/>
            </w:tcBorders>
            <w:shd w:val="clear" w:color="auto" w:fill="C6EFCE"/>
            <w:noWrap/>
          </w:tcPr>
          <w:p w14:paraId="509E16E8"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Publication of the adopted catalogue of measures relating natural environment and biodiversity policies in the context of the </w:t>
            </w:r>
            <w:r w:rsidRPr="00C82A63">
              <w:rPr>
                <w:rFonts w:ascii="Times New Roman" w:eastAsia="Times New Roman" w:hAnsi="Times New Roman" w:cs="Times New Roman"/>
                <w:i/>
                <w:iCs/>
                <w:noProof/>
                <w:color w:val="006100"/>
                <w:sz w:val="20"/>
                <w:szCs w:val="20"/>
                <w:lang w:val="en-IE" w:eastAsia="en-GB"/>
              </w:rPr>
              <w:t>‘Naturpakt’</w:t>
            </w:r>
            <w:r w:rsidRPr="00C82A63">
              <w:rPr>
                <w:rFonts w:ascii="Times New Roman" w:eastAsia="Times New Roman" w:hAnsi="Times New Roman" w:cs="Times New Roman"/>
                <w:noProof/>
                <w:color w:val="006100"/>
                <w:sz w:val="20"/>
                <w:szCs w:val="20"/>
                <w:lang w:val="en-IE" w:eastAsia="en-GB"/>
              </w:rPr>
              <w:t>, that is in line with the DNSH principle.</w:t>
            </w:r>
          </w:p>
        </w:tc>
      </w:tr>
      <w:tr w:rsidR="009823F0" w:rsidRPr="00443C86" w14:paraId="7CAA9001" w14:textId="77777777" w:rsidTr="00CF6BC5">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tcPr>
          <w:p w14:paraId="78DEA68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2B-2</w:t>
            </w:r>
          </w:p>
        </w:tc>
        <w:tc>
          <w:tcPr>
            <w:tcW w:w="1305" w:type="dxa"/>
            <w:tcBorders>
              <w:top w:val="nil"/>
              <w:left w:val="nil"/>
              <w:bottom w:val="single" w:sz="4" w:space="0" w:color="auto"/>
              <w:right w:val="single" w:sz="4" w:space="0" w:color="auto"/>
            </w:tcBorders>
            <w:shd w:val="clear" w:color="auto" w:fill="C6EFCE"/>
            <w:noWrap/>
          </w:tcPr>
          <w:p w14:paraId="10A86F4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 xml:space="preserve">Reform and investment: </w:t>
            </w:r>
            <w:r w:rsidRPr="00C82A63">
              <w:rPr>
                <w:rFonts w:ascii="Times New Roman" w:eastAsia="Times New Roman" w:hAnsi="Times New Roman" w:cs="Times New Roman"/>
                <w:i/>
                <w:iCs/>
                <w:noProof/>
                <w:color w:val="006100"/>
                <w:sz w:val="20"/>
                <w:szCs w:val="20"/>
                <w:lang w:val="fr-FR" w:eastAsia="en-GB"/>
              </w:rPr>
              <w:t>‘Naturpakt’</w:t>
            </w:r>
          </w:p>
        </w:tc>
        <w:tc>
          <w:tcPr>
            <w:tcW w:w="1134" w:type="dxa"/>
            <w:tcBorders>
              <w:top w:val="nil"/>
              <w:left w:val="nil"/>
              <w:bottom w:val="single" w:sz="4" w:space="0" w:color="auto"/>
              <w:right w:val="single" w:sz="4" w:space="0" w:color="auto"/>
            </w:tcBorders>
            <w:shd w:val="clear" w:color="auto" w:fill="C6EFCE"/>
            <w:noWrap/>
          </w:tcPr>
          <w:p w14:paraId="28C1BA9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417" w:type="dxa"/>
            <w:tcBorders>
              <w:top w:val="nil"/>
              <w:left w:val="nil"/>
              <w:bottom w:val="single" w:sz="4" w:space="0" w:color="auto"/>
              <w:right w:val="single" w:sz="4" w:space="0" w:color="auto"/>
            </w:tcBorders>
            <w:shd w:val="clear" w:color="auto" w:fill="C6EFCE"/>
            <w:noWrap/>
          </w:tcPr>
          <w:p w14:paraId="2B208E8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i/>
                <w:iCs/>
                <w:noProof/>
                <w:color w:val="006100"/>
                <w:sz w:val="20"/>
                <w:szCs w:val="20"/>
                <w:lang w:val="fr-FR" w:eastAsia="en-GB"/>
              </w:rPr>
              <w:t>‘Naturpakt’</w:t>
            </w:r>
            <w:r w:rsidRPr="00C82A63">
              <w:rPr>
                <w:rFonts w:ascii="Times New Roman" w:eastAsia="Times New Roman" w:hAnsi="Times New Roman" w:cs="Times New Roman"/>
                <w:noProof/>
                <w:color w:val="006100"/>
                <w:sz w:val="20"/>
                <w:szCs w:val="20"/>
                <w:lang w:val="fr-FR" w:eastAsia="en-GB"/>
              </w:rPr>
              <w:t xml:space="preserve"> Law </w:t>
            </w:r>
          </w:p>
        </w:tc>
        <w:tc>
          <w:tcPr>
            <w:tcW w:w="1279" w:type="dxa"/>
            <w:tcBorders>
              <w:top w:val="nil"/>
              <w:left w:val="nil"/>
              <w:bottom w:val="single" w:sz="4" w:space="0" w:color="auto"/>
              <w:right w:val="single" w:sz="4" w:space="0" w:color="auto"/>
            </w:tcBorders>
            <w:shd w:val="clear" w:color="auto" w:fill="C6EFCE"/>
            <w:noWrap/>
          </w:tcPr>
          <w:p w14:paraId="1B095A3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en-IE" w:eastAsia="en-GB"/>
              </w:rPr>
              <w:t>Entry into force</w:t>
            </w:r>
          </w:p>
        </w:tc>
        <w:tc>
          <w:tcPr>
            <w:tcW w:w="1244" w:type="dxa"/>
            <w:tcBorders>
              <w:top w:val="nil"/>
              <w:left w:val="nil"/>
              <w:bottom w:val="single" w:sz="4" w:space="0" w:color="auto"/>
              <w:right w:val="single" w:sz="4" w:space="0" w:color="auto"/>
            </w:tcBorders>
            <w:shd w:val="clear" w:color="auto" w:fill="C6EFCE"/>
            <w:noWrap/>
          </w:tcPr>
          <w:p w14:paraId="50D6C326"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w:t>
            </w:r>
          </w:p>
        </w:tc>
        <w:tc>
          <w:tcPr>
            <w:tcW w:w="709" w:type="dxa"/>
            <w:tcBorders>
              <w:top w:val="nil"/>
              <w:left w:val="nil"/>
              <w:bottom w:val="single" w:sz="4" w:space="0" w:color="auto"/>
              <w:right w:val="single" w:sz="4" w:space="0" w:color="auto"/>
            </w:tcBorders>
            <w:shd w:val="clear" w:color="auto" w:fill="C6EFCE"/>
            <w:noWrap/>
          </w:tcPr>
          <w:p w14:paraId="5A097A78"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w:t>
            </w:r>
          </w:p>
        </w:tc>
        <w:tc>
          <w:tcPr>
            <w:tcW w:w="710" w:type="dxa"/>
            <w:tcBorders>
              <w:top w:val="nil"/>
              <w:left w:val="nil"/>
              <w:bottom w:val="single" w:sz="4" w:space="0" w:color="auto"/>
              <w:right w:val="single" w:sz="4" w:space="0" w:color="auto"/>
            </w:tcBorders>
            <w:shd w:val="clear" w:color="auto" w:fill="C6EFCE"/>
            <w:noWrap/>
          </w:tcPr>
          <w:p w14:paraId="38AC3C7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w:t>
            </w:r>
          </w:p>
        </w:tc>
        <w:tc>
          <w:tcPr>
            <w:tcW w:w="1001" w:type="dxa"/>
            <w:gridSpan w:val="2"/>
            <w:tcBorders>
              <w:top w:val="nil"/>
              <w:left w:val="nil"/>
              <w:bottom w:val="single" w:sz="4" w:space="0" w:color="auto"/>
              <w:right w:val="single" w:sz="4" w:space="0" w:color="auto"/>
            </w:tcBorders>
            <w:shd w:val="clear" w:color="auto" w:fill="C6EFCE"/>
            <w:noWrap/>
          </w:tcPr>
          <w:p w14:paraId="42995AA8"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699" w:type="dxa"/>
            <w:tcBorders>
              <w:top w:val="nil"/>
              <w:left w:val="nil"/>
              <w:bottom w:val="single" w:sz="4" w:space="0" w:color="auto"/>
              <w:right w:val="single" w:sz="4" w:space="0" w:color="auto"/>
            </w:tcBorders>
            <w:shd w:val="clear" w:color="auto" w:fill="C6EFCE"/>
            <w:noWrap/>
          </w:tcPr>
          <w:p w14:paraId="1037B14E"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875" w:type="dxa"/>
            <w:tcBorders>
              <w:top w:val="nil"/>
              <w:left w:val="nil"/>
              <w:bottom w:val="single" w:sz="4" w:space="0" w:color="auto"/>
              <w:right w:val="single" w:sz="4" w:space="0" w:color="auto"/>
            </w:tcBorders>
            <w:shd w:val="clear" w:color="auto" w:fill="C6EFCE"/>
            <w:noWrap/>
          </w:tcPr>
          <w:p w14:paraId="4399C1BF"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Entry into force of the Law establishing a </w:t>
            </w:r>
            <w:r w:rsidRPr="00C82A63">
              <w:rPr>
                <w:rFonts w:ascii="Times New Roman" w:eastAsia="Times New Roman" w:hAnsi="Times New Roman" w:cs="Times New Roman"/>
                <w:i/>
                <w:iCs/>
                <w:noProof/>
                <w:color w:val="006100"/>
                <w:sz w:val="20"/>
                <w:szCs w:val="20"/>
                <w:lang w:val="en-IE" w:eastAsia="en-GB"/>
              </w:rPr>
              <w:t>‘Naturpakt’</w:t>
            </w:r>
            <w:r w:rsidRPr="00C82A63">
              <w:rPr>
                <w:rFonts w:ascii="Times New Roman" w:eastAsia="Times New Roman" w:hAnsi="Times New Roman" w:cs="Times New Roman"/>
                <w:noProof/>
                <w:color w:val="006100"/>
                <w:sz w:val="20"/>
                <w:szCs w:val="20"/>
                <w:lang w:val="en-IE" w:eastAsia="en-GB"/>
              </w:rPr>
              <w:t xml:space="preserve"> allowing municipalities to sign a </w:t>
            </w:r>
            <w:r w:rsidRPr="00C82A63">
              <w:rPr>
                <w:rFonts w:ascii="Times New Roman" w:eastAsia="Times New Roman" w:hAnsi="Times New Roman" w:cs="Times New Roman"/>
                <w:i/>
                <w:iCs/>
                <w:noProof/>
                <w:color w:val="006100"/>
                <w:sz w:val="20"/>
                <w:szCs w:val="20"/>
                <w:lang w:val="en-IE" w:eastAsia="en-GB"/>
              </w:rPr>
              <w:t>‘Naturpakt</w:t>
            </w:r>
            <w:r w:rsidRPr="00C82A63">
              <w:rPr>
                <w:rFonts w:ascii="Times New Roman" w:eastAsia="Times New Roman" w:hAnsi="Times New Roman" w:cs="Times New Roman"/>
                <w:noProof/>
                <w:color w:val="006100"/>
                <w:sz w:val="20"/>
                <w:szCs w:val="20"/>
                <w:lang w:val="en-IE" w:eastAsia="en-GB"/>
              </w:rPr>
              <w:t xml:space="preserve"> contract’ with the State, whereby they commit to implementing natural environment and biodiversity protection actions on their territory for the period until 2030, and receive a certification and associated financial subsidies once they present a sufficient level of performance</w:t>
            </w:r>
            <w:r w:rsidRPr="00C82A63">
              <w:rPr>
                <w:rFonts w:ascii="Times New Roman" w:eastAsia="Times New Roman" w:hAnsi="Times New Roman" w:cs="Times New Roman"/>
                <w:noProof/>
                <w:sz w:val="24"/>
                <w:lang w:val="en-IE"/>
              </w:rPr>
              <w:t xml:space="preserve"> </w:t>
            </w:r>
            <w:r w:rsidRPr="00C82A63">
              <w:rPr>
                <w:rFonts w:ascii="Times New Roman" w:eastAsia="Times New Roman" w:hAnsi="Times New Roman" w:cs="Times New Roman"/>
                <w:noProof/>
                <w:color w:val="006100"/>
                <w:sz w:val="20"/>
                <w:szCs w:val="20"/>
                <w:lang w:val="en-IE" w:eastAsia="en-GB"/>
              </w:rPr>
              <w:t>in the light of a catalogue of measures relating to natural environment and biodiversity policies.</w:t>
            </w:r>
          </w:p>
        </w:tc>
      </w:tr>
      <w:tr w:rsidR="009823F0" w:rsidRPr="00443C86" w14:paraId="5EDAF4AA" w14:textId="77777777" w:rsidTr="00CF6BC5">
        <w:trPr>
          <w:trHeight w:val="309"/>
          <w:jc w:val="center"/>
        </w:trPr>
        <w:tc>
          <w:tcPr>
            <w:tcW w:w="1129" w:type="dxa"/>
            <w:tcBorders>
              <w:top w:val="nil"/>
              <w:left w:val="single" w:sz="4" w:space="0" w:color="auto"/>
              <w:bottom w:val="single" w:sz="4" w:space="0" w:color="auto"/>
              <w:right w:val="single" w:sz="4" w:space="0" w:color="auto"/>
            </w:tcBorders>
            <w:shd w:val="clear" w:color="auto" w:fill="C6EFCE"/>
            <w:noWrap/>
          </w:tcPr>
          <w:p w14:paraId="36636B7A"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2B-</w:t>
            </w:r>
            <w:r w:rsidRPr="00C82A63" w:rsidDel="009F67E1">
              <w:rPr>
                <w:rFonts w:ascii="Times New Roman" w:eastAsia="Times New Roman" w:hAnsi="Times New Roman" w:cs="Times New Roman"/>
                <w:noProof/>
                <w:color w:val="006100"/>
                <w:sz w:val="20"/>
                <w:szCs w:val="20"/>
                <w:lang w:val="en-IE" w:eastAsia="en-GB"/>
              </w:rPr>
              <w:t>5</w:t>
            </w:r>
          </w:p>
        </w:tc>
        <w:tc>
          <w:tcPr>
            <w:tcW w:w="1305" w:type="dxa"/>
            <w:tcBorders>
              <w:top w:val="nil"/>
              <w:left w:val="nil"/>
              <w:bottom w:val="single" w:sz="4" w:space="0" w:color="auto"/>
              <w:right w:val="single" w:sz="4" w:space="0" w:color="auto"/>
            </w:tcBorders>
            <w:shd w:val="clear" w:color="auto" w:fill="C6EFCE"/>
            <w:noWrap/>
          </w:tcPr>
          <w:p w14:paraId="1F1EFD9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 xml:space="preserve">Reform and investment: </w:t>
            </w:r>
            <w:r w:rsidRPr="00C82A63">
              <w:rPr>
                <w:rFonts w:ascii="Times New Roman" w:eastAsia="Times New Roman" w:hAnsi="Times New Roman" w:cs="Times New Roman"/>
                <w:i/>
                <w:iCs/>
                <w:noProof/>
                <w:color w:val="006100"/>
                <w:sz w:val="20"/>
                <w:szCs w:val="20"/>
                <w:lang w:val="fr-FR" w:eastAsia="en-GB"/>
              </w:rPr>
              <w:t>‘Naturpakt’</w:t>
            </w:r>
          </w:p>
        </w:tc>
        <w:tc>
          <w:tcPr>
            <w:tcW w:w="1134" w:type="dxa"/>
            <w:tcBorders>
              <w:top w:val="nil"/>
              <w:left w:val="nil"/>
              <w:bottom w:val="single" w:sz="4" w:space="0" w:color="auto"/>
              <w:right w:val="single" w:sz="4" w:space="0" w:color="auto"/>
            </w:tcBorders>
            <w:shd w:val="clear" w:color="auto" w:fill="C6EFCE"/>
            <w:noWrap/>
          </w:tcPr>
          <w:p w14:paraId="02F259C7"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Target</w:t>
            </w:r>
          </w:p>
        </w:tc>
        <w:tc>
          <w:tcPr>
            <w:tcW w:w="1417" w:type="dxa"/>
            <w:tcBorders>
              <w:top w:val="nil"/>
              <w:left w:val="nil"/>
              <w:bottom w:val="single" w:sz="4" w:space="0" w:color="auto"/>
              <w:right w:val="single" w:sz="4" w:space="0" w:color="auto"/>
            </w:tcBorders>
            <w:shd w:val="clear" w:color="auto" w:fill="C6EFCE"/>
            <w:noWrap/>
          </w:tcPr>
          <w:p w14:paraId="266AE05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i/>
                <w:iCs/>
                <w:noProof/>
                <w:color w:val="006100"/>
                <w:sz w:val="20"/>
                <w:szCs w:val="20"/>
                <w:lang w:val="en-US" w:eastAsia="en-GB"/>
              </w:rPr>
              <w:t>‘Naturpakt’</w:t>
            </w:r>
            <w:r w:rsidRPr="00C82A63">
              <w:rPr>
                <w:rFonts w:ascii="Times New Roman" w:eastAsia="Times New Roman" w:hAnsi="Times New Roman" w:cs="Times New Roman"/>
                <w:noProof/>
                <w:color w:val="006100"/>
                <w:sz w:val="20"/>
                <w:szCs w:val="20"/>
                <w:lang w:val="en-US" w:eastAsia="en-GB"/>
              </w:rPr>
              <w:t xml:space="preserve"> certification</w:t>
            </w:r>
          </w:p>
        </w:tc>
        <w:tc>
          <w:tcPr>
            <w:tcW w:w="1279" w:type="dxa"/>
            <w:tcBorders>
              <w:top w:val="nil"/>
              <w:left w:val="nil"/>
              <w:bottom w:val="single" w:sz="4" w:space="0" w:color="auto"/>
              <w:right w:val="single" w:sz="4" w:space="0" w:color="auto"/>
            </w:tcBorders>
            <w:shd w:val="clear" w:color="auto" w:fill="C6EFCE"/>
            <w:noWrap/>
          </w:tcPr>
          <w:p w14:paraId="6D2C3FAB"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w:t>
            </w:r>
          </w:p>
        </w:tc>
        <w:tc>
          <w:tcPr>
            <w:tcW w:w="1244" w:type="dxa"/>
            <w:tcBorders>
              <w:top w:val="nil"/>
              <w:left w:val="nil"/>
              <w:bottom w:val="single" w:sz="4" w:space="0" w:color="auto"/>
              <w:right w:val="single" w:sz="4" w:space="0" w:color="auto"/>
            </w:tcBorders>
            <w:shd w:val="clear" w:color="auto" w:fill="C6EFCE"/>
            <w:noWrap/>
          </w:tcPr>
          <w:p w14:paraId="55937576"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Certification</w:t>
            </w:r>
          </w:p>
        </w:tc>
        <w:tc>
          <w:tcPr>
            <w:tcW w:w="709" w:type="dxa"/>
            <w:tcBorders>
              <w:top w:val="nil"/>
              <w:left w:val="nil"/>
              <w:bottom w:val="single" w:sz="4" w:space="0" w:color="auto"/>
              <w:right w:val="single" w:sz="4" w:space="0" w:color="auto"/>
            </w:tcBorders>
            <w:shd w:val="clear" w:color="auto" w:fill="C6EFCE"/>
            <w:noWrap/>
          </w:tcPr>
          <w:p w14:paraId="150E10E7"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0</w:t>
            </w:r>
          </w:p>
        </w:tc>
        <w:tc>
          <w:tcPr>
            <w:tcW w:w="710" w:type="dxa"/>
            <w:tcBorders>
              <w:top w:val="nil"/>
              <w:left w:val="nil"/>
              <w:bottom w:val="single" w:sz="4" w:space="0" w:color="auto"/>
              <w:right w:val="single" w:sz="4" w:space="0" w:color="auto"/>
            </w:tcBorders>
            <w:shd w:val="clear" w:color="auto" w:fill="C6EFCE"/>
            <w:noWrap/>
          </w:tcPr>
          <w:p w14:paraId="57AB2A02"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50</w:t>
            </w:r>
          </w:p>
        </w:tc>
        <w:tc>
          <w:tcPr>
            <w:tcW w:w="1001" w:type="dxa"/>
            <w:gridSpan w:val="2"/>
            <w:tcBorders>
              <w:top w:val="nil"/>
              <w:left w:val="nil"/>
              <w:bottom w:val="single" w:sz="4" w:space="0" w:color="auto"/>
              <w:right w:val="single" w:sz="4" w:space="0" w:color="auto"/>
            </w:tcBorders>
            <w:shd w:val="clear" w:color="auto" w:fill="C6EFCE"/>
            <w:noWrap/>
          </w:tcPr>
          <w:p w14:paraId="5C77827D"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Q1</w:t>
            </w:r>
          </w:p>
        </w:tc>
        <w:tc>
          <w:tcPr>
            <w:tcW w:w="699" w:type="dxa"/>
            <w:tcBorders>
              <w:top w:val="nil"/>
              <w:left w:val="nil"/>
              <w:bottom w:val="single" w:sz="4" w:space="0" w:color="auto"/>
              <w:right w:val="single" w:sz="4" w:space="0" w:color="auto"/>
            </w:tcBorders>
            <w:shd w:val="clear" w:color="auto" w:fill="C6EFCE"/>
            <w:noWrap/>
          </w:tcPr>
          <w:p w14:paraId="6FD5E799" w14:textId="77777777" w:rsidR="009823F0" w:rsidRPr="00C82A63" w:rsidRDefault="009823F0" w:rsidP="00A437B5">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2025</w:t>
            </w:r>
          </w:p>
        </w:tc>
        <w:tc>
          <w:tcPr>
            <w:tcW w:w="4875" w:type="dxa"/>
            <w:tcBorders>
              <w:top w:val="nil"/>
              <w:left w:val="nil"/>
              <w:bottom w:val="single" w:sz="4" w:space="0" w:color="auto"/>
              <w:right w:val="single" w:sz="4" w:space="0" w:color="auto"/>
            </w:tcBorders>
            <w:shd w:val="clear" w:color="auto" w:fill="C6EFCE"/>
            <w:noWrap/>
          </w:tcPr>
          <w:p w14:paraId="7C22D1E3" w14:textId="77777777" w:rsidR="009823F0" w:rsidRPr="00C82A63" w:rsidRDefault="009823F0" w:rsidP="00A437B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A total of 50 municipalities are certified under the </w:t>
            </w:r>
            <w:r w:rsidRPr="00C82A63">
              <w:rPr>
                <w:rFonts w:ascii="Times New Roman" w:eastAsia="Times New Roman" w:hAnsi="Times New Roman" w:cs="Times New Roman"/>
                <w:i/>
                <w:iCs/>
                <w:noProof/>
                <w:color w:val="006100"/>
                <w:sz w:val="20"/>
                <w:szCs w:val="20"/>
                <w:lang w:val="en-IE" w:eastAsia="en-GB"/>
              </w:rPr>
              <w:t>‘Naturpakt’</w:t>
            </w:r>
            <w:r w:rsidRPr="00C82A63">
              <w:rPr>
                <w:rFonts w:ascii="Times New Roman" w:eastAsia="Times New Roman" w:hAnsi="Times New Roman" w:cs="Times New Roman"/>
                <w:noProof/>
                <w:color w:val="006100"/>
                <w:sz w:val="20"/>
                <w:szCs w:val="20"/>
                <w:lang w:val="en-IE" w:eastAsia="en-GB"/>
              </w:rPr>
              <w:t>, based on a positive audit assessment that each municipality has achieved a performance level of 40% of the maximum achievable score.</w:t>
            </w:r>
          </w:p>
        </w:tc>
      </w:tr>
    </w:tbl>
    <w:p w14:paraId="10E8F9B3"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68"/>
          <w:headerReference w:type="default" r:id="rId69"/>
          <w:footerReference w:type="even" r:id="rId70"/>
          <w:footerReference w:type="default" r:id="rId71"/>
          <w:headerReference w:type="first" r:id="rId72"/>
          <w:footerReference w:type="first" r:id="rId73"/>
          <w:pgSz w:w="16839" w:h="11907" w:orient="landscape"/>
          <w:pgMar w:top="720" w:right="720" w:bottom="720" w:left="720" w:header="709" w:footer="709" w:gutter="0"/>
          <w:cols w:space="720"/>
          <w:docGrid w:linePitch="360"/>
        </w:sectPr>
      </w:pPr>
    </w:p>
    <w:p w14:paraId="54BFF6A2" w14:textId="77777777" w:rsidR="009823F0" w:rsidRPr="00C82A63" w:rsidRDefault="009823F0" w:rsidP="009823F0">
      <w:pPr>
        <w:spacing w:before="120" w:after="120" w:line="240" w:lineRule="auto"/>
        <w:jc w:val="both"/>
        <w:rPr>
          <w:rFonts w:ascii="Times New Roman" w:hAnsi="Times New Roman" w:cs="Times New Roman"/>
          <w:b/>
          <w:noProof/>
          <w:sz w:val="24"/>
          <w:szCs w:val="24"/>
          <w:lang w:val="en-IE"/>
        </w:rPr>
      </w:pPr>
      <w:r w:rsidRPr="00C82A63">
        <w:rPr>
          <w:rFonts w:ascii="Times New Roman" w:hAnsi="Times New Roman" w:cs="Times New Roman"/>
          <w:b/>
          <w:noProof/>
          <w:sz w:val="24"/>
          <w:szCs w:val="24"/>
          <w:lang w:val="en-IE"/>
        </w:rPr>
        <w:t xml:space="preserve">F. COMPONENT 3A: Promotion of data-based economy </w:t>
      </w:r>
    </w:p>
    <w:p w14:paraId="63657DF1" w14:textId="09A880B3"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The security of personal data is a major challenge for society</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since economic and social agents are</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increasingly</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relying</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 xml:space="preserve">on digital communications. This component </w:t>
      </w:r>
      <w:r w:rsidRPr="00C82A63">
        <w:rPr>
          <w:rFonts w:ascii="Times New Roman" w:hAnsi="Times New Roman" w:cs="Times New Roman"/>
          <w:noProof/>
          <w:color w:val="000000"/>
          <w:sz w:val="24"/>
          <w:lang w:val="en-IE"/>
        </w:rPr>
        <w:t>of Luxembourg’s recovery and resilience plan</w:t>
      </w:r>
      <w:r w:rsidRPr="00C82A63">
        <w:rPr>
          <w:rFonts w:ascii="Times New Roman" w:hAnsi="Times New Roman" w:cs="Times New Roman"/>
          <w:noProof/>
          <w:sz w:val="24"/>
          <w:lang w:val="en-IE"/>
        </w:rPr>
        <w:t>, “Promoting</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a data-driven economy”, is meant to address this challenge. Its objective is to develop an ultra-secure communication infrastructure based on quantum technology with the aim of</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enhancing security of sensitive data communication.</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This component also aims at creating a new technological ecosystem in Luxembourg, intended to create jobs and attract scientific experts in the field.</w:t>
      </w:r>
    </w:p>
    <w:p w14:paraId="479D5F44" w14:textId="3F97EF10"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In that context, the Quantum Communication Infrastructure (QCI) deployed shall have a terrestrial part, able to connect two points with a maximum distance of 100 km.</w:t>
      </w:r>
      <w:r w:rsidR="00A17CDD">
        <w:rPr>
          <w:rFonts w:ascii="Times New Roman" w:hAnsi="Times New Roman" w:cs="Times New Roman"/>
          <w:noProof/>
          <w:sz w:val="24"/>
          <w:szCs w:val="24"/>
          <w:lang w:val="en-IE"/>
        </w:rPr>
        <w:t xml:space="preserve"> </w:t>
      </w:r>
    </w:p>
    <w:p w14:paraId="7B5C8FF0" w14:textId="7D2A1F36"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The component is meant to contribute to addressing the </w:t>
      </w:r>
      <w:r w:rsidRPr="00C82A63">
        <w:rPr>
          <w:rFonts w:ascii="Times New Roman" w:hAnsi="Times New Roman" w:cs="Times New Roman"/>
          <w:noProof/>
          <w:color w:val="000000" w:themeColor="text1"/>
          <w:sz w:val="24"/>
          <w:lang w:val="en-IE"/>
        </w:rPr>
        <w:t>Country-Specific Recommendations</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received by Luxembourg in 2019 and 2020, which recommend steering investment-related economic policy to encourage digitalisation and innovation. The component also contributes to the digital</w:t>
      </w:r>
      <w:r w:rsidR="00A437B5">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 xml:space="preserve">transition. </w:t>
      </w:r>
    </w:p>
    <w:p w14:paraId="290ADB08"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0818AAA"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24B15D8C" w14:textId="77777777" w:rsidR="009823F0" w:rsidRPr="00C82A63" w:rsidRDefault="009823F0" w:rsidP="009823F0">
      <w:pPr>
        <w:spacing w:before="120" w:after="120" w:line="240" w:lineRule="auto"/>
        <w:jc w:val="both"/>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F.1. </w:t>
      </w:r>
      <w:r w:rsidRPr="00C82A63">
        <w:rPr>
          <w:rFonts w:ascii="Times New Roman" w:hAnsi="Times New Roman" w:cs="Times New Roman"/>
          <w:b/>
          <w:bCs/>
          <w:noProof/>
          <w:sz w:val="24"/>
          <w:u w:val="single"/>
          <w:lang w:val="en-IE"/>
        </w:rPr>
        <w:tab/>
        <w:t>Description of the reforms and investments for non-repayable financial support</w:t>
      </w:r>
    </w:p>
    <w:p w14:paraId="435E89C5"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Reform 1: Fostering the creation of a new technological ecosystem in Luxembourg</w:t>
      </w:r>
    </w:p>
    <w:p w14:paraId="1CD8101A" w14:textId="77777777" w:rsidR="009823F0" w:rsidRPr="00C82A63" w:rsidRDefault="009823F0" w:rsidP="009823F0">
      <w:pPr>
        <w:spacing w:before="120" w:after="120" w:line="240" w:lineRule="auto"/>
        <w:jc w:val="both"/>
        <w:rPr>
          <w:rFonts w:ascii="Times New Roman" w:hAnsi="Times New Roman" w:cs="Times New Roman"/>
          <w:noProof/>
          <w:color w:val="000000"/>
          <w:sz w:val="24"/>
          <w:szCs w:val="24"/>
          <w:shd w:val="clear" w:color="auto" w:fill="FFFFFF"/>
          <w:lang w:val="en-IE"/>
        </w:rPr>
      </w:pPr>
      <w:r w:rsidRPr="00C82A63">
        <w:rPr>
          <w:rFonts w:ascii="Times New Roman" w:hAnsi="Times New Roman" w:cs="Times New Roman"/>
          <w:noProof/>
          <w:color w:val="000000" w:themeColor="text1"/>
          <w:sz w:val="24"/>
          <w:szCs w:val="24"/>
          <w:lang w:val="en-IE"/>
        </w:rPr>
        <w:t>The development and deployment of Quantum communication technology is still in an experimental stage. Th</w:t>
      </w:r>
      <w:r w:rsidRPr="00C82A63" w:rsidDel="007E1280">
        <w:rPr>
          <w:rFonts w:ascii="Times New Roman" w:hAnsi="Times New Roman" w:cs="Times New Roman"/>
          <w:noProof/>
          <w:color w:val="000000" w:themeColor="text1"/>
          <w:sz w:val="24"/>
          <w:szCs w:val="24"/>
          <w:lang w:val="en-IE"/>
        </w:rPr>
        <w:t>e</w:t>
      </w:r>
      <w:r w:rsidRPr="00C82A63">
        <w:rPr>
          <w:rFonts w:ascii="Times New Roman" w:hAnsi="Times New Roman" w:cs="Times New Roman"/>
          <w:noProof/>
          <w:color w:val="000000" w:themeColor="text1"/>
          <w:sz w:val="24"/>
          <w:szCs w:val="24"/>
          <w:lang w:val="en-IE"/>
        </w:rPr>
        <w:t xml:space="preserve"> proposed reform is aimed at stimulating the development of a new ecosystem in Luxembourg in relation to this new technology, encouraging the participation of the private companies and researchers. </w:t>
      </w:r>
    </w:p>
    <w:p w14:paraId="27EE7E81"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lang w:val="en-IE"/>
        </w:rPr>
      </w:pPr>
    </w:p>
    <w:p w14:paraId="0377D22A"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Investment 1: Development and deployment of testing infrastructure and ultra-secure connectivity solutions</w:t>
      </w:r>
    </w:p>
    <w:p w14:paraId="26C64AAF" w14:textId="2A8E9E94"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This investment consists in developing and deploying the necessary research infrastructure to gain knowledge and experience in the field of quantum technology-based communication.</w:t>
      </w:r>
      <w:r w:rsidR="00A437B5">
        <w:rPr>
          <w:rFonts w:ascii="Times New Roman" w:hAnsi="Times New Roman" w:cs="Times New Roman"/>
          <w:noProof/>
          <w:sz w:val="24"/>
          <w:szCs w:val="24"/>
          <w:lang w:val="en-IE"/>
        </w:rPr>
        <w:t xml:space="preserve"> </w:t>
      </w:r>
      <w:r w:rsidRPr="00C82A63">
        <w:rPr>
          <w:rFonts w:ascii="Times New Roman" w:hAnsi="Times New Roman" w:cs="Times New Roman"/>
          <w:noProof/>
          <w:sz w:val="24"/>
          <w:szCs w:val="24"/>
          <w:lang w:val="en-IE"/>
        </w:rPr>
        <w:t>To do so, the</w:t>
      </w:r>
      <w:r w:rsidR="00A437B5">
        <w:rPr>
          <w:rFonts w:ascii="Times New Roman" w:hAnsi="Times New Roman" w:cs="Times New Roman"/>
          <w:noProof/>
          <w:sz w:val="24"/>
          <w:szCs w:val="24"/>
          <w:lang w:val="en-IE"/>
        </w:rPr>
        <w:t xml:space="preserve"> </w:t>
      </w:r>
      <w:r w:rsidRPr="00C82A63">
        <w:rPr>
          <w:rFonts w:ascii="Times New Roman" w:hAnsi="Times New Roman" w:cs="Times New Roman"/>
          <w:noProof/>
          <w:sz w:val="24"/>
          <w:szCs w:val="24"/>
          <w:lang w:val="en-IE"/>
        </w:rPr>
        <w:t>LuxQCI lab shall be created</w:t>
      </w:r>
      <w:r w:rsidR="00A437B5">
        <w:rPr>
          <w:rFonts w:ascii="Times New Roman" w:hAnsi="Times New Roman" w:cs="Times New Roman"/>
          <w:noProof/>
          <w:sz w:val="24"/>
          <w:szCs w:val="24"/>
          <w:lang w:val="en-IE"/>
        </w:rPr>
        <w:t xml:space="preserve"> </w:t>
      </w:r>
      <w:r w:rsidRPr="00C82A63">
        <w:rPr>
          <w:rFonts w:ascii="Times New Roman" w:hAnsi="Times New Roman" w:cs="Times New Roman"/>
          <w:noProof/>
          <w:sz w:val="24"/>
          <w:szCs w:val="24"/>
          <w:lang w:val="en-IE"/>
        </w:rPr>
        <w:t>in collaboration with the Research Institute</w:t>
      </w:r>
      <w:r w:rsidR="00A437B5">
        <w:rPr>
          <w:rFonts w:ascii="Times New Roman" w:hAnsi="Times New Roman" w:cs="Times New Roman"/>
          <w:noProof/>
          <w:sz w:val="24"/>
          <w:szCs w:val="24"/>
          <w:lang w:val="en-IE"/>
        </w:rPr>
        <w:t xml:space="preserve"> </w:t>
      </w:r>
      <w:r w:rsidRPr="00C82A63">
        <w:rPr>
          <w:rFonts w:ascii="Times New Roman" w:hAnsi="Times New Roman" w:cs="Times New Roman"/>
          <w:noProof/>
          <w:sz w:val="24"/>
          <w:szCs w:val="24"/>
          <w:lang w:val="en-IE"/>
        </w:rPr>
        <w:t>SnT. One demonstration is to be performed to gain experience regarding the technology.</w:t>
      </w:r>
      <w:r w:rsidR="00A17CDD">
        <w:rPr>
          <w:rFonts w:ascii="Times New Roman" w:hAnsi="Times New Roman" w:cs="Times New Roman"/>
          <w:noProof/>
          <w:sz w:val="24"/>
          <w:szCs w:val="24"/>
          <w:lang w:val="en-IE"/>
        </w:rPr>
        <w:t xml:space="preserve"> </w:t>
      </w:r>
    </w:p>
    <w:p w14:paraId="202BE29C"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74"/>
          <w:headerReference w:type="default" r:id="rId75"/>
          <w:footerReference w:type="even" r:id="rId76"/>
          <w:footerReference w:type="default" r:id="rId77"/>
          <w:headerReference w:type="first" r:id="rId78"/>
          <w:footerReference w:type="first" r:id="rId79"/>
          <w:pgSz w:w="11907" w:h="16839"/>
          <w:pgMar w:top="1134" w:right="1417" w:bottom="1134" w:left="1417" w:header="709" w:footer="709" w:gutter="0"/>
          <w:cols w:space="720"/>
          <w:docGrid w:linePitch="360"/>
        </w:sectPr>
      </w:pPr>
    </w:p>
    <w:p w14:paraId="4EA135A4" w14:textId="77777777" w:rsidR="009823F0" w:rsidRPr="00C82A63" w:rsidRDefault="009823F0" w:rsidP="00A437B5">
      <w:pPr>
        <w:spacing w:before="120" w:after="120" w:line="240" w:lineRule="auto"/>
        <w:ind w:left="142"/>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F.2.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03"/>
        <w:gridCol w:w="2231"/>
        <w:gridCol w:w="992"/>
        <w:gridCol w:w="1843"/>
        <w:gridCol w:w="1417"/>
        <w:gridCol w:w="851"/>
        <w:gridCol w:w="850"/>
        <w:gridCol w:w="567"/>
        <w:gridCol w:w="851"/>
        <w:gridCol w:w="684"/>
        <w:gridCol w:w="4107"/>
      </w:tblGrid>
      <w:tr w:rsidR="009823F0" w:rsidRPr="00443C86" w14:paraId="56364CC5" w14:textId="77777777" w:rsidTr="00604CBD">
        <w:trPr>
          <w:trHeight w:val="915"/>
          <w:tblHeader/>
          <w:jc w:val="center"/>
        </w:trPr>
        <w:tc>
          <w:tcPr>
            <w:tcW w:w="1103" w:type="dxa"/>
            <w:vMerge w:val="restart"/>
            <w:shd w:val="clear" w:color="auto" w:fill="BDD7EE"/>
            <w:vAlign w:val="center"/>
            <w:hideMark/>
          </w:tcPr>
          <w:p w14:paraId="1993AC8C"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Sequential Number</w:t>
            </w:r>
            <w:r w:rsidRPr="00C82A63">
              <w:rPr>
                <w:rFonts w:ascii="Times New Roman" w:eastAsia="Times New Roman" w:hAnsi="Times New Roman" w:cs="Times New Roman"/>
                <w:noProof/>
                <w:sz w:val="20"/>
                <w:szCs w:val="20"/>
                <w:lang w:val="en-IE" w:eastAsia="en-IE"/>
              </w:rPr>
              <w:t> </w:t>
            </w:r>
          </w:p>
        </w:tc>
        <w:tc>
          <w:tcPr>
            <w:tcW w:w="2231" w:type="dxa"/>
            <w:vMerge w:val="restart"/>
            <w:shd w:val="clear" w:color="auto" w:fill="BDD7EE"/>
            <w:vAlign w:val="center"/>
            <w:hideMark/>
          </w:tcPr>
          <w:p w14:paraId="514F33C6"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val="en-IE" w:eastAsia="en-IE"/>
              </w:rPr>
              <w:t>Related Measure (Reform or Investment)</w:t>
            </w:r>
            <w:r w:rsidRPr="00C82A63">
              <w:rPr>
                <w:rFonts w:ascii="Times New Roman" w:eastAsia="Times New Roman" w:hAnsi="Times New Roman" w:cs="Times New Roman"/>
                <w:noProof/>
                <w:sz w:val="20"/>
                <w:szCs w:val="20"/>
                <w:lang w:val="en-IE" w:eastAsia="en-IE"/>
              </w:rPr>
              <w:t> </w:t>
            </w:r>
          </w:p>
        </w:tc>
        <w:tc>
          <w:tcPr>
            <w:tcW w:w="992" w:type="dxa"/>
            <w:vMerge w:val="restart"/>
            <w:shd w:val="clear" w:color="auto" w:fill="BDD7EE"/>
            <w:vAlign w:val="center"/>
            <w:hideMark/>
          </w:tcPr>
          <w:p w14:paraId="6682269E"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Milestone / Target</w:t>
            </w:r>
            <w:r w:rsidRPr="00C82A63">
              <w:rPr>
                <w:rFonts w:ascii="Times New Roman" w:eastAsia="Times New Roman" w:hAnsi="Times New Roman" w:cs="Times New Roman"/>
                <w:noProof/>
                <w:sz w:val="20"/>
                <w:szCs w:val="20"/>
                <w:lang w:val="en-IE" w:eastAsia="en-IE"/>
              </w:rPr>
              <w:t> </w:t>
            </w:r>
          </w:p>
        </w:tc>
        <w:tc>
          <w:tcPr>
            <w:tcW w:w="1843" w:type="dxa"/>
            <w:vMerge w:val="restart"/>
            <w:shd w:val="clear" w:color="auto" w:fill="BDD7EE"/>
            <w:vAlign w:val="center"/>
            <w:hideMark/>
          </w:tcPr>
          <w:p w14:paraId="2A10669F"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Name</w:t>
            </w:r>
            <w:r w:rsidRPr="00C82A63">
              <w:rPr>
                <w:rFonts w:ascii="Times New Roman" w:eastAsia="Times New Roman" w:hAnsi="Times New Roman" w:cs="Times New Roman"/>
                <w:noProof/>
                <w:sz w:val="20"/>
                <w:szCs w:val="20"/>
                <w:lang w:val="en-IE" w:eastAsia="en-IE"/>
              </w:rPr>
              <w:t> </w:t>
            </w:r>
          </w:p>
        </w:tc>
        <w:tc>
          <w:tcPr>
            <w:tcW w:w="1417" w:type="dxa"/>
            <w:vMerge w:val="restart"/>
            <w:shd w:val="clear" w:color="auto" w:fill="BDD7EE"/>
            <w:vAlign w:val="center"/>
            <w:hideMark/>
          </w:tcPr>
          <w:p w14:paraId="523DB8D4" w14:textId="21F93B0E"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Qualitative indicators</w:t>
            </w:r>
            <w:r w:rsidR="00A17CDD">
              <w:rPr>
                <w:rFonts w:ascii="Times New Roman" w:eastAsia="Times New Roman" w:hAnsi="Times New Roman" w:cs="Times New Roman"/>
                <w:b/>
                <w:bCs/>
                <w:noProof/>
                <w:sz w:val="20"/>
                <w:szCs w:val="20"/>
                <w:lang w:eastAsia="en-IE"/>
              </w:rPr>
              <w:t xml:space="preserve">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IE"/>
              </w:rPr>
              <w:t>(for milestones)</w:t>
            </w:r>
            <w:r w:rsidRPr="00C82A63">
              <w:rPr>
                <w:rFonts w:ascii="Times New Roman" w:eastAsia="Times New Roman" w:hAnsi="Times New Roman" w:cs="Times New Roman"/>
                <w:noProof/>
                <w:sz w:val="20"/>
                <w:szCs w:val="20"/>
                <w:lang w:val="en-IE" w:eastAsia="en-IE"/>
              </w:rPr>
              <w:t> </w:t>
            </w:r>
          </w:p>
        </w:tc>
        <w:tc>
          <w:tcPr>
            <w:tcW w:w="2268" w:type="dxa"/>
            <w:gridSpan w:val="3"/>
            <w:shd w:val="clear" w:color="auto" w:fill="BDD7EE"/>
            <w:vAlign w:val="center"/>
            <w:hideMark/>
          </w:tcPr>
          <w:p w14:paraId="24E87967" w14:textId="58A91FB3"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Quantitative indicators</w:t>
            </w:r>
            <w:r w:rsidR="00A17CDD">
              <w:rPr>
                <w:rFonts w:ascii="Times New Roman" w:eastAsia="Times New Roman" w:hAnsi="Times New Roman" w:cs="Times New Roman"/>
                <w:b/>
                <w:bCs/>
                <w:noProof/>
                <w:sz w:val="20"/>
                <w:szCs w:val="20"/>
                <w:lang w:eastAsia="en-IE"/>
              </w:rPr>
              <w:t xml:space="preserve">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IE"/>
              </w:rPr>
              <w:t>(for targets)</w:t>
            </w:r>
            <w:r w:rsidRPr="00C82A63">
              <w:rPr>
                <w:rFonts w:ascii="Times New Roman" w:eastAsia="Times New Roman" w:hAnsi="Times New Roman" w:cs="Times New Roman"/>
                <w:noProof/>
                <w:sz w:val="20"/>
                <w:szCs w:val="20"/>
                <w:lang w:val="en-IE" w:eastAsia="en-IE"/>
              </w:rPr>
              <w:t> </w:t>
            </w:r>
          </w:p>
        </w:tc>
        <w:tc>
          <w:tcPr>
            <w:tcW w:w="1535" w:type="dxa"/>
            <w:gridSpan w:val="2"/>
            <w:shd w:val="clear" w:color="auto" w:fill="BDD7EE"/>
            <w:vAlign w:val="center"/>
            <w:hideMark/>
          </w:tcPr>
          <w:p w14:paraId="05863CD6" w14:textId="7A04B8B1"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Indicative timeline for completion</w:t>
            </w:r>
            <w:r w:rsidR="00A17CDD">
              <w:rPr>
                <w:rFonts w:ascii="Times New Roman" w:eastAsia="Times New Roman" w:hAnsi="Times New Roman" w:cs="Times New Roman"/>
                <w:b/>
                <w:bCs/>
                <w:noProof/>
                <w:sz w:val="20"/>
                <w:szCs w:val="20"/>
                <w:lang w:eastAsia="en-IE"/>
              </w:rPr>
              <w:t xml:space="preserve"> </w:t>
            </w:r>
          </w:p>
        </w:tc>
        <w:tc>
          <w:tcPr>
            <w:tcW w:w="4107" w:type="dxa"/>
            <w:vMerge w:val="restart"/>
            <w:shd w:val="clear" w:color="auto" w:fill="BDD7EE"/>
            <w:vAlign w:val="center"/>
            <w:hideMark/>
          </w:tcPr>
          <w:p w14:paraId="09D89E1C"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val="en-IE" w:eastAsia="en-IE"/>
              </w:rPr>
              <w:t>Description of each milestone and target</w:t>
            </w:r>
            <w:r w:rsidRPr="00C82A63">
              <w:rPr>
                <w:rFonts w:ascii="Times New Roman" w:eastAsia="Times New Roman" w:hAnsi="Times New Roman" w:cs="Times New Roman"/>
                <w:noProof/>
                <w:sz w:val="20"/>
                <w:szCs w:val="20"/>
                <w:lang w:val="en-IE" w:eastAsia="en-IE"/>
              </w:rPr>
              <w:t> </w:t>
            </w:r>
          </w:p>
        </w:tc>
      </w:tr>
      <w:tr w:rsidR="009823F0" w:rsidRPr="00C82A63" w14:paraId="1DB4BFD1" w14:textId="77777777" w:rsidTr="00604CBD">
        <w:trPr>
          <w:trHeight w:val="1005"/>
          <w:jc w:val="center"/>
        </w:trPr>
        <w:tc>
          <w:tcPr>
            <w:tcW w:w="1103" w:type="dxa"/>
            <w:vMerge/>
            <w:vAlign w:val="center"/>
            <w:hideMark/>
          </w:tcPr>
          <w:p w14:paraId="7C2C0F09" w14:textId="77777777" w:rsidR="009823F0" w:rsidRPr="00C82A63" w:rsidRDefault="009823F0" w:rsidP="00CF6BC5">
            <w:pPr>
              <w:spacing w:after="0" w:line="240" w:lineRule="auto"/>
              <w:rPr>
                <w:rFonts w:ascii="Times New Roman" w:eastAsia="Times New Roman" w:hAnsi="Times New Roman" w:cs="Times New Roman"/>
                <w:noProof/>
                <w:sz w:val="20"/>
                <w:szCs w:val="20"/>
                <w:lang w:val="en-IE" w:eastAsia="en-IE"/>
              </w:rPr>
            </w:pPr>
          </w:p>
        </w:tc>
        <w:tc>
          <w:tcPr>
            <w:tcW w:w="2231" w:type="dxa"/>
            <w:vMerge/>
            <w:vAlign w:val="center"/>
            <w:hideMark/>
          </w:tcPr>
          <w:p w14:paraId="4149B492" w14:textId="77777777" w:rsidR="009823F0" w:rsidRPr="00C82A63" w:rsidRDefault="009823F0" w:rsidP="00CF6BC5">
            <w:pPr>
              <w:spacing w:after="0" w:line="240" w:lineRule="auto"/>
              <w:rPr>
                <w:rFonts w:ascii="Times New Roman" w:eastAsia="Times New Roman" w:hAnsi="Times New Roman" w:cs="Times New Roman"/>
                <w:noProof/>
                <w:sz w:val="20"/>
                <w:szCs w:val="20"/>
                <w:lang w:val="en-IE" w:eastAsia="en-IE"/>
              </w:rPr>
            </w:pPr>
          </w:p>
        </w:tc>
        <w:tc>
          <w:tcPr>
            <w:tcW w:w="992" w:type="dxa"/>
            <w:vMerge/>
            <w:vAlign w:val="center"/>
            <w:hideMark/>
          </w:tcPr>
          <w:p w14:paraId="43A118E2" w14:textId="77777777" w:rsidR="009823F0" w:rsidRPr="00C82A63" w:rsidRDefault="009823F0" w:rsidP="00CF6BC5">
            <w:pPr>
              <w:spacing w:after="0" w:line="240" w:lineRule="auto"/>
              <w:rPr>
                <w:rFonts w:ascii="Times New Roman" w:eastAsia="Times New Roman" w:hAnsi="Times New Roman" w:cs="Times New Roman"/>
                <w:noProof/>
                <w:sz w:val="20"/>
                <w:szCs w:val="20"/>
                <w:lang w:val="en-IE" w:eastAsia="en-IE"/>
              </w:rPr>
            </w:pPr>
          </w:p>
        </w:tc>
        <w:tc>
          <w:tcPr>
            <w:tcW w:w="1843" w:type="dxa"/>
            <w:vMerge/>
            <w:vAlign w:val="center"/>
            <w:hideMark/>
          </w:tcPr>
          <w:p w14:paraId="164479C2" w14:textId="77777777" w:rsidR="009823F0" w:rsidRPr="00C82A63" w:rsidRDefault="009823F0" w:rsidP="00CF6BC5">
            <w:pPr>
              <w:spacing w:after="0" w:line="240" w:lineRule="auto"/>
              <w:rPr>
                <w:rFonts w:ascii="Times New Roman" w:eastAsia="Times New Roman" w:hAnsi="Times New Roman" w:cs="Times New Roman"/>
                <w:noProof/>
                <w:sz w:val="20"/>
                <w:szCs w:val="20"/>
                <w:lang w:val="en-IE" w:eastAsia="en-IE"/>
              </w:rPr>
            </w:pPr>
          </w:p>
        </w:tc>
        <w:tc>
          <w:tcPr>
            <w:tcW w:w="1417" w:type="dxa"/>
            <w:vMerge/>
            <w:vAlign w:val="center"/>
            <w:hideMark/>
          </w:tcPr>
          <w:p w14:paraId="5BFFD148" w14:textId="77777777" w:rsidR="009823F0" w:rsidRPr="00C82A63" w:rsidRDefault="009823F0" w:rsidP="00CF6BC5">
            <w:pPr>
              <w:spacing w:after="0" w:line="240" w:lineRule="auto"/>
              <w:rPr>
                <w:rFonts w:ascii="Times New Roman" w:eastAsia="Times New Roman" w:hAnsi="Times New Roman" w:cs="Times New Roman"/>
                <w:noProof/>
                <w:sz w:val="20"/>
                <w:szCs w:val="20"/>
                <w:lang w:val="en-IE" w:eastAsia="en-IE"/>
              </w:rPr>
            </w:pPr>
          </w:p>
        </w:tc>
        <w:tc>
          <w:tcPr>
            <w:tcW w:w="851" w:type="dxa"/>
            <w:shd w:val="clear" w:color="auto" w:fill="BDD7EE"/>
            <w:vAlign w:val="center"/>
            <w:hideMark/>
          </w:tcPr>
          <w:p w14:paraId="000C8DC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Unit of measure</w:t>
            </w:r>
            <w:r w:rsidRPr="00C82A63">
              <w:rPr>
                <w:rFonts w:ascii="Times New Roman" w:eastAsia="Times New Roman" w:hAnsi="Times New Roman" w:cs="Times New Roman"/>
                <w:noProof/>
                <w:sz w:val="20"/>
                <w:szCs w:val="20"/>
                <w:lang w:val="en-IE" w:eastAsia="en-IE"/>
              </w:rPr>
              <w:t> </w:t>
            </w:r>
          </w:p>
        </w:tc>
        <w:tc>
          <w:tcPr>
            <w:tcW w:w="850" w:type="dxa"/>
            <w:shd w:val="clear" w:color="auto" w:fill="BDD7EE"/>
            <w:vAlign w:val="center"/>
            <w:hideMark/>
          </w:tcPr>
          <w:p w14:paraId="7CA7BDDE" w14:textId="65A1E6FE"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Baseline</w:t>
            </w:r>
            <w:r w:rsidR="00A17CDD">
              <w:rPr>
                <w:rFonts w:ascii="Times New Roman" w:eastAsia="Times New Roman" w:hAnsi="Times New Roman" w:cs="Times New Roman"/>
                <w:b/>
                <w:bCs/>
                <w:noProof/>
                <w:sz w:val="20"/>
                <w:szCs w:val="20"/>
                <w:lang w:eastAsia="en-IE"/>
              </w:rPr>
              <w:t xml:space="preserve"> </w:t>
            </w:r>
          </w:p>
        </w:tc>
        <w:tc>
          <w:tcPr>
            <w:tcW w:w="567" w:type="dxa"/>
            <w:shd w:val="clear" w:color="auto" w:fill="BDD7EE"/>
            <w:vAlign w:val="center"/>
            <w:hideMark/>
          </w:tcPr>
          <w:p w14:paraId="4A2BDECB" w14:textId="78B35CA5"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Goal</w:t>
            </w:r>
            <w:r w:rsidR="00A17CDD">
              <w:rPr>
                <w:rFonts w:ascii="Times New Roman" w:eastAsia="Times New Roman" w:hAnsi="Times New Roman" w:cs="Times New Roman"/>
                <w:b/>
                <w:bCs/>
                <w:noProof/>
                <w:sz w:val="20"/>
                <w:szCs w:val="20"/>
                <w:lang w:eastAsia="en-IE"/>
              </w:rPr>
              <w:t xml:space="preserve"> </w:t>
            </w:r>
          </w:p>
        </w:tc>
        <w:tc>
          <w:tcPr>
            <w:tcW w:w="851" w:type="dxa"/>
            <w:shd w:val="clear" w:color="auto" w:fill="BDD7EE"/>
            <w:vAlign w:val="center"/>
            <w:hideMark/>
          </w:tcPr>
          <w:p w14:paraId="100EDDA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Quarter</w:t>
            </w:r>
            <w:r w:rsidRPr="00C82A63">
              <w:rPr>
                <w:rFonts w:ascii="Times New Roman" w:eastAsia="Times New Roman" w:hAnsi="Times New Roman" w:cs="Times New Roman"/>
                <w:noProof/>
                <w:sz w:val="20"/>
                <w:szCs w:val="20"/>
                <w:lang w:val="en-IE" w:eastAsia="en-IE"/>
              </w:rPr>
              <w:t> </w:t>
            </w:r>
          </w:p>
        </w:tc>
        <w:tc>
          <w:tcPr>
            <w:tcW w:w="684" w:type="dxa"/>
            <w:shd w:val="clear" w:color="auto" w:fill="BDD7EE"/>
            <w:vAlign w:val="center"/>
            <w:hideMark/>
          </w:tcPr>
          <w:p w14:paraId="255A0338"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b/>
                <w:bCs/>
                <w:noProof/>
                <w:sz w:val="20"/>
                <w:szCs w:val="20"/>
                <w:lang w:eastAsia="en-IE"/>
              </w:rPr>
              <w:t>Year</w:t>
            </w:r>
            <w:r w:rsidRPr="00C82A63">
              <w:rPr>
                <w:rFonts w:ascii="Times New Roman" w:eastAsia="Times New Roman" w:hAnsi="Times New Roman" w:cs="Times New Roman"/>
                <w:noProof/>
                <w:sz w:val="20"/>
                <w:szCs w:val="20"/>
                <w:lang w:val="en-IE" w:eastAsia="en-IE"/>
              </w:rPr>
              <w:t> </w:t>
            </w:r>
          </w:p>
        </w:tc>
        <w:tc>
          <w:tcPr>
            <w:tcW w:w="4107" w:type="dxa"/>
            <w:vMerge/>
            <w:vAlign w:val="center"/>
            <w:hideMark/>
          </w:tcPr>
          <w:p w14:paraId="093A53FD" w14:textId="77777777" w:rsidR="009823F0" w:rsidRPr="00C82A63" w:rsidRDefault="009823F0" w:rsidP="00CF6BC5">
            <w:pPr>
              <w:spacing w:after="0" w:line="240" w:lineRule="auto"/>
              <w:rPr>
                <w:rFonts w:ascii="Times New Roman" w:eastAsia="Times New Roman" w:hAnsi="Times New Roman" w:cs="Times New Roman"/>
                <w:noProof/>
                <w:sz w:val="20"/>
                <w:szCs w:val="20"/>
                <w:lang w:val="en-IE" w:eastAsia="en-IE"/>
              </w:rPr>
            </w:pPr>
          </w:p>
        </w:tc>
      </w:tr>
      <w:tr w:rsidR="009823F0" w:rsidRPr="00443C86" w14:paraId="5198BDD2" w14:textId="77777777" w:rsidTr="00604CBD">
        <w:trPr>
          <w:trHeight w:val="300"/>
          <w:jc w:val="center"/>
        </w:trPr>
        <w:tc>
          <w:tcPr>
            <w:tcW w:w="1103" w:type="dxa"/>
            <w:shd w:val="clear" w:color="auto" w:fill="C6EFCE"/>
            <w:hideMark/>
          </w:tcPr>
          <w:p w14:paraId="3A2F838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3A-2</w:t>
            </w:r>
          </w:p>
        </w:tc>
        <w:tc>
          <w:tcPr>
            <w:tcW w:w="2231" w:type="dxa"/>
            <w:shd w:val="clear" w:color="auto" w:fill="C6EFCE"/>
            <w:hideMark/>
          </w:tcPr>
          <w:p w14:paraId="4BD59A46" w14:textId="0A73B4A1"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Reform 1 –Boosting</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the</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creation</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of a new</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ecosystem</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in Luxembourg</w:t>
            </w:r>
          </w:p>
        </w:tc>
        <w:tc>
          <w:tcPr>
            <w:tcW w:w="992" w:type="dxa"/>
            <w:shd w:val="clear" w:color="auto" w:fill="C6EFCE"/>
            <w:hideMark/>
          </w:tcPr>
          <w:p w14:paraId="5C8C4D2A"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Target </w:t>
            </w:r>
          </w:p>
        </w:tc>
        <w:tc>
          <w:tcPr>
            <w:tcW w:w="1843" w:type="dxa"/>
            <w:shd w:val="clear" w:color="auto" w:fill="C6EFCE"/>
            <w:hideMark/>
          </w:tcPr>
          <w:p w14:paraId="7BDA875C" w14:textId="5CE2C1EB" w:rsidR="009823F0" w:rsidRPr="00C82A63" w:rsidRDefault="009823F0" w:rsidP="00A437B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Quantum Key Distribution </w:t>
            </w:r>
          </w:p>
        </w:tc>
        <w:tc>
          <w:tcPr>
            <w:tcW w:w="1417" w:type="dxa"/>
            <w:shd w:val="clear" w:color="auto" w:fill="C6EFCE"/>
            <w:hideMark/>
          </w:tcPr>
          <w:p w14:paraId="0987DC7F"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 </w:t>
            </w:r>
          </w:p>
        </w:tc>
        <w:tc>
          <w:tcPr>
            <w:tcW w:w="851" w:type="dxa"/>
            <w:shd w:val="clear" w:color="auto" w:fill="C6EFCE"/>
            <w:hideMark/>
          </w:tcPr>
          <w:p w14:paraId="3C22A238"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en-US" w:eastAsia="en-IE"/>
              </w:rPr>
              <w:t>Number</w:t>
            </w:r>
          </w:p>
        </w:tc>
        <w:tc>
          <w:tcPr>
            <w:tcW w:w="850" w:type="dxa"/>
            <w:shd w:val="clear" w:color="auto" w:fill="C6EFCE"/>
            <w:hideMark/>
          </w:tcPr>
          <w:p w14:paraId="17B60D05"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en-US" w:eastAsia="en-IE"/>
              </w:rPr>
              <w:t>0</w:t>
            </w:r>
          </w:p>
        </w:tc>
        <w:tc>
          <w:tcPr>
            <w:tcW w:w="567" w:type="dxa"/>
            <w:shd w:val="clear" w:color="auto" w:fill="C6EFCE"/>
            <w:hideMark/>
          </w:tcPr>
          <w:p w14:paraId="3E1E4804"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en-US" w:eastAsia="en-IE"/>
              </w:rPr>
              <w:t>2</w:t>
            </w:r>
          </w:p>
        </w:tc>
        <w:tc>
          <w:tcPr>
            <w:tcW w:w="851" w:type="dxa"/>
            <w:shd w:val="clear" w:color="auto" w:fill="C6EFCE"/>
            <w:hideMark/>
          </w:tcPr>
          <w:p w14:paraId="2ABD9B12"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Q2</w:t>
            </w:r>
          </w:p>
        </w:tc>
        <w:tc>
          <w:tcPr>
            <w:tcW w:w="684" w:type="dxa"/>
            <w:shd w:val="clear" w:color="auto" w:fill="C6EFCE"/>
            <w:hideMark/>
          </w:tcPr>
          <w:p w14:paraId="46F2BE4E"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2022</w:t>
            </w:r>
          </w:p>
        </w:tc>
        <w:tc>
          <w:tcPr>
            <w:tcW w:w="4107" w:type="dxa"/>
            <w:shd w:val="clear" w:color="auto" w:fill="C6EFCE"/>
            <w:hideMark/>
          </w:tcPr>
          <w:p w14:paraId="461FEB75" w14:textId="4B255503" w:rsidR="009823F0" w:rsidRPr="00C82A63" w:rsidRDefault="009823F0" w:rsidP="00A437B5">
            <w:pPr>
              <w:spacing w:after="0" w:line="240" w:lineRule="auto"/>
              <w:ind w:left="89" w:right="63"/>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Successful</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connection</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of 2 sites</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in the framework of LuxQCI Lab through</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the establishment of a</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terrestrial</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network.</w:t>
            </w:r>
          </w:p>
        </w:tc>
      </w:tr>
      <w:tr w:rsidR="009823F0" w:rsidRPr="00443C86" w14:paraId="4BE24CFB" w14:textId="77777777" w:rsidTr="00604CBD">
        <w:trPr>
          <w:trHeight w:val="300"/>
          <w:jc w:val="center"/>
        </w:trPr>
        <w:tc>
          <w:tcPr>
            <w:tcW w:w="1103" w:type="dxa"/>
            <w:shd w:val="clear" w:color="auto" w:fill="C6EFCE"/>
            <w:hideMark/>
          </w:tcPr>
          <w:p w14:paraId="6BB704B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3A-</w:t>
            </w:r>
            <w:r w:rsidRPr="00C82A63">
              <w:rPr>
                <w:rFonts w:ascii="Times New Roman" w:eastAsia="Times New Roman" w:hAnsi="Times New Roman" w:cs="Times New Roman"/>
                <w:noProof/>
                <w:color w:val="006100"/>
                <w:sz w:val="20"/>
                <w:szCs w:val="20"/>
                <w:lang w:eastAsia="en-IE"/>
              </w:rPr>
              <w:t>3</w:t>
            </w:r>
          </w:p>
        </w:tc>
        <w:tc>
          <w:tcPr>
            <w:tcW w:w="2231" w:type="dxa"/>
            <w:shd w:val="clear" w:color="auto" w:fill="C6EFCE"/>
            <w:hideMark/>
          </w:tcPr>
          <w:p w14:paraId="673CE21B"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Investment 1 -Development and deployment of test infrastructure and ultra-secure connectivity solutions </w:t>
            </w:r>
          </w:p>
        </w:tc>
        <w:tc>
          <w:tcPr>
            <w:tcW w:w="992" w:type="dxa"/>
            <w:shd w:val="clear" w:color="auto" w:fill="C6EFCE"/>
            <w:hideMark/>
          </w:tcPr>
          <w:p w14:paraId="25BB08F1"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Milestone </w:t>
            </w:r>
          </w:p>
        </w:tc>
        <w:tc>
          <w:tcPr>
            <w:tcW w:w="1843" w:type="dxa"/>
            <w:shd w:val="clear" w:color="auto" w:fill="C6EFCE"/>
            <w:hideMark/>
          </w:tcPr>
          <w:p w14:paraId="1352C4F1"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LuxQCI Laboratory </w:t>
            </w:r>
          </w:p>
        </w:tc>
        <w:tc>
          <w:tcPr>
            <w:tcW w:w="1417" w:type="dxa"/>
            <w:shd w:val="clear" w:color="auto" w:fill="C6EFCE"/>
            <w:hideMark/>
          </w:tcPr>
          <w:p w14:paraId="4156C2FC" w14:textId="62977E0E" w:rsidR="009823F0" w:rsidRPr="00C82A63" w:rsidRDefault="009823F0" w:rsidP="00A437B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Entry into operation of LuxQCI</w:t>
            </w:r>
            <w:r w:rsidR="00A437B5">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Laboratory </w:t>
            </w:r>
          </w:p>
        </w:tc>
        <w:tc>
          <w:tcPr>
            <w:tcW w:w="851" w:type="dxa"/>
            <w:shd w:val="clear" w:color="auto" w:fill="C6EFCE"/>
            <w:hideMark/>
          </w:tcPr>
          <w:p w14:paraId="388320FA"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p>
        </w:tc>
        <w:tc>
          <w:tcPr>
            <w:tcW w:w="850" w:type="dxa"/>
            <w:shd w:val="clear" w:color="auto" w:fill="C6EFCE"/>
            <w:hideMark/>
          </w:tcPr>
          <w:p w14:paraId="1994F216"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p>
        </w:tc>
        <w:tc>
          <w:tcPr>
            <w:tcW w:w="567" w:type="dxa"/>
            <w:shd w:val="clear" w:color="auto" w:fill="C6EFCE"/>
            <w:hideMark/>
          </w:tcPr>
          <w:p w14:paraId="0217F29D"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p>
        </w:tc>
        <w:tc>
          <w:tcPr>
            <w:tcW w:w="851" w:type="dxa"/>
            <w:shd w:val="clear" w:color="auto" w:fill="C6EFCE"/>
            <w:hideMark/>
          </w:tcPr>
          <w:p w14:paraId="6BC3227C"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Q3</w:t>
            </w:r>
          </w:p>
        </w:tc>
        <w:tc>
          <w:tcPr>
            <w:tcW w:w="684" w:type="dxa"/>
            <w:shd w:val="clear" w:color="auto" w:fill="C6EFCE"/>
            <w:hideMark/>
          </w:tcPr>
          <w:p w14:paraId="380EEAC2"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2021</w:t>
            </w:r>
          </w:p>
        </w:tc>
        <w:tc>
          <w:tcPr>
            <w:tcW w:w="4107" w:type="dxa"/>
            <w:shd w:val="clear" w:color="auto" w:fill="C6EFCE"/>
            <w:hideMark/>
          </w:tcPr>
          <w:p w14:paraId="2F50DAB0" w14:textId="6181B4E2" w:rsidR="009823F0" w:rsidRPr="00C82A63" w:rsidRDefault="009823F0" w:rsidP="00CF6BC5">
            <w:pPr>
              <w:spacing w:after="0" w:line="240" w:lineRule="auto"/>
              <w:ind w:left="89" w:right="63"/>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LuxQCI Lab, intended to gain the expertise needed to develop and operate a quantum communication infrastructure, shall be operational.</w:t>
            </w:r>
            <w:r w:rsidR="00A17CDD">
              <w:rPr>
                <w:rFonts w:ascii="Times New Roman" w:eastAsia="Times New Roman" w:hAnsi="Times New Roman" w:cs="Times New Roman"/>
                <w:noProof/>
                <w:color w:val="006100"/>
                <w:sz w:val="20"/>
                <w:szCs w:val="20"/>
                <w:lang w:val="en-IE" w:eastAsia="en-IE"/>
              </w:rPr>
              <w:t xml:space="preserve"> </w:t>
            </w:r>
          </w:p>
        </w:tc>
      </w:tr>
      <w:tr w:rsidR="009823F0" w:rsidRPr="00443C86" w14:paraId="55F84380" w14:textId="77777777" w:rsidTr="00604CBD">
        <w:trPr>
          <w:trHeight w:val="300"/>
          <w:jc w:val="center"/>
        </w:trPr>
        <w:tc>
          <w:tcPr>
            <w:tcW w:w="1103" w:type="dxa"/>
            <w:shd w:val="clear" w:color="auto" w:fill="C6EFCE"/>
            <w:hideMark/>
          </w:tcPr>
          <w:p w14:paraId="43B0181E"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3A-</w:t>
            </w:r>
            <w:r w:rsidRPr="00C82A63">
              <w:rPr>
                <w:rFonts w:ascii="Times New Roman" w:eastAsia="Times New Roman" w:hAnsi="Times New Roman" w:cs="Times New Roman"/>
                <w:noProof/>
                <w:color w:val="006100"/>
                <w:sz w:val="20"/>
                <w:szCs w:val="20"/>
                <w:lang w:val="en-US" w:eastAsia="en-IE"/>
              </w:rPr>
              <w:t>4</w:t>
            </w:r>
          </w:p>
        </w:tc>
        <w:tc>
          <w:tcPr>
            <w:tcW w:w="2231" w:type="dxa"/>
            <w:shd w:val="clear" w:color="auto" w:fill="C6EFCE"/>
            <w:hideMark/>
          </w:tcPr>
          <w:p w14:paraId="559A160E" w14:textId="70C7791A"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Investment 1 -Development and deployment of test infrastructure and ultra-secure connectivity solutions</w:t>
            </w:r>
          </w:p>
        </w:tc>
        <w:tc>
          <w:tcPr>
            <w:tcW w:w="992" w:type="dxa"/>
            <w:shd w:val="clear" w:color="auto" w:fill="C6EFCE"/>
            <w:hideMark/>
          </w:tcPr>
          <w:p w14:paraId="134D0B27"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Milestone </w:t>
            </w:r>
          </w:p>
        </w:tc>
        <w:tc>
          <w:tcPr>
            <w:tcW w:w="1843" w:type="dxa"/>
            <w:shd w:val="clear" w:color="auto" w:fill="C6EFCE"/>
            <w:hideMark/>
          </w:tcPr>
          <w:p w14:paraId="713475AF" w14:textId="0B3C986A" w:rsidR="009823F0" w:rsidRPr="00C82A63" w:rsidRDefault="009823F0" w:rsidP="00DB0376">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Ex-post report on the cross-border quantum key distribution</w:t>
            </w:r>
            <w:r w:rsidR="00DB0376">
              <w:rPr>
                <w:rFonts w:ascii="Times New Roman" w:eastAsia="Times New Roman" w:hAnsi="Times New Roman" w:cs="Times New Roman"/>
                <w:noProof/>
                <w:color w:val="006100"/>
                <w:sz w:val="20"/>
                <w:szCs w:val="20"/>
                <w:lang w:val="en-IE" w:eastAsia="en-IE"/>
              </w:rPr>
              <w:t xml:space="preserve"> </w:t>
            </w:r>
            <w:r w:rsidRPr="00C82A63">
              <w:rPr>
                <w:rFonts w:ascii="Times New Roman" w:eastAsia="Times New Roman" w:hAnsi="Times New Roman" w:cs="Times New Roman"/>
                <w:noProof/>
                <w:color w:val="006100"/>
                <w:sz w:val="20"/>
                <w:szCs w:val="20"/>
                <w:lang w:val="en-IE" w:eastAsia="en-IE"/>
              </w:rPr>
              <w:t>terrestrial connection demonstration</w:t>
            </w:r>
          </w:p>
        </w:tc>
        <w:tc>
          <w:tcPr>
            <w:tcW w:w="1417" w:type="dxa"/>
            <w:shd w:val="clear" w:color="auto" w:fill="C6EFCE"/>
            <w:hideMark/>
          </w:tcPr>
          <w:p w14:paraId="0493BF34" w14:textId="77777777" w:rsidR="009823F0" w:rsidRPr="00C82A63" w:rsidRDefault="009823F0" w:rsidP="00CF6BC5">
            <w:pPr>
              <w:spacing w:after="0" w:line="240" w:lineRule="auto"/>
              <w:ind w:left="89"/>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Submission of the ex-post report</w:t>
            </w:r>
          </w:p>
        </w:tc>
        <w:tc>
          <w:tcPr>
            <w:tcW w:w="851" w:type="dxa"/>
            <w:shd w:val="clear" w:color="auto" w:fill="C6EFCE"/>
            <w:hideMark/>
          </w:tcPr>
          <w:p w14:paraId="331ACE7C"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p>
        </w:tc>
        <w:tc>
          <w:tcPr>
            <w:tcW w:w="850" w:type="dxa"/>
            <w:shd w:val="clear" w:color="auto" w:fill="C6EFCE"/>
            <w:hideMark/>
          </w:tcPr>
          <w:p w14:paraId="2670456A"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p>
        </w:tc>
        <w:tc>
          <w:tcPr>
            <w:tcW w:w="567" w:type="dxa"/>
            <w:shd w:val="clear" w:color="auto" w:fill="C6EFCE"/>
            <w:hideMark/>
          </w:tcPr>
          <w:p w14:paraId="3C23A93B"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p>
        </w:tc>
        <w:tc>
          <w:tcPr>
            <w:tcW w:w="851" w:type="dxa"/>
            <w:shd w:val="clear" w:color="auto" w:fill="C6EFCE"/>
            <w:hideMark/>
          </w:tcPr>
          <w:p w14:paraId="3F201F57"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Q1</w:t>
            </w:r>
          </w:p>
        </w:tc>
        <w:tc>
          <w:tcPr>
            <w:tcW w:w="684" w:type="dxa"/>
            <w:shd w:val="clear" w:color="auto" w:fill="C6EFCE"/>
            <w:hideMark/>
          </w:tcPr>
          <w:p w14:paraId="4E5F1D74" w14:textId="77777777" w:rsidR="009823F0" w:rsidRPr="00C82A63" w:rsidRDefault="009823F0" w:rsidP="00CF6BC5">
            <w:pPr>
              <w:spacing w:after="0" w:line="240" w:lineRule="auto"/>
              <w:jc w:val="center"/>
              <w:textAlignment w:val="baseline"/>
              <w:rPr>
                <w:rFonts w:ascii="Times New Roman" w:eastAsia="Times New Roman" w:hAnsi="Times New Roman" w:cs="Times New Roman"/>
                <w:noProof/>
                <w:sz w:val="20"/>
                <w:szCs w:val="20"/>
                <w:lang w:val="en-IE" w:eastAsia="en-IE"/>
              </w:rPr>
            </w:pPr>
            <w:r w:rsidRPr="00C82A63">
              <w:rPr>
                <w:rFonts w:ascii="Times New Roman" w:eastAsia="Times New Roman" w:hAnsi="Times New Roman" w:cs="Times New Roman"/>
                <w:noProof/>
                <w:color w:val="006100"/>
                <w:sz w:val="20"/>
                <w:szCs w:val="20"/>
                <w:lang w:val="fr-FR" w:eastAsia="en-IE"/>
              </w:rPr>
              <w:t>2023</w:t>
            </w:r>
          </w:p>
        </w:tc>
        <w:tc>
          <w:tcPr>
            <w:tcW w:w="4107" w:type="dxa"/>
            <w:shd w:val="clear" w:color="auto" w:fill="C6EFCE"/>
            <w:hideMark/>
          </w:tcPr>
          <w:p w14:paraId="31F9C49B" w14:textId="77777777" w:rsidR="009823F0" w:rsidRPr="00C82A63" w:rsidRDefault="009823F0" w:rsidP="00CF6BC5">
            <w:pPr>
              <w:spacing w:after="0" w:line="240" w:lineRule="auto"/>
              <w:ind w:left="89" w:right="63"/>
              <w:textAlignment w:val="baseline"/>
              <w:rPr>
                <w:rFonts w:ascii="Times New Roman" w:eastAsia="Times New Roman" w:hAnsi="Times New Roman" w:cs="Times New Roman"/>
                <w:noProof/>
                <w:color w:val="006100"/>
                <w:sz w:val="20"/>
                <w:szCs w:val="20"/>
                <w:lang w:val="en-IE" w:eastAsia="en-IE"/>
              </w:rPr>
            </w:pPr>
            <w:r w:rsidRPr="00C82A63">
              <w:rPr>
                <w:rFonts w:ascii="Times New Roman" w:eastAsia="Times New Roman" w:hAnsi="Times New Roman" w:cs="Times New Roman"/>
                <w:noProof/>
                <w:color w:val="006100"/>
                <w:sz w:val="20"/>
                <w:szCs w:val="20"/>
                <w:lang w:val="en-IE" w:eastAsia="en-IE"/>
              </w:rPr>
              <w:t xml:space="preserve">Ex-post report submitted by the contractor on the cross-border quantum key distribution terrestrial connection demonstration. </w:t>
            </w:r>
          </w:p>
        </w:tc>
      </w:tr>
    </w:tbl>
    <w:p w14:paraId="3042737F"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80"/>
          <w:headerReference w:type="default" r:id="rId81"/>
          <w:footerReference w:type="even" r:id="rId82"/>
          <w:footerReference w:type="default" r:id="rId83"/>
          <w:headerReference w:type="first" r:id="rId84"/>
          <w:footerReference w:type="first" r:id="rId85"/>
          <w:pgSz w:w="16839" w:h="11907" w:orient="landscape"/>
          <w:pgMar w:top="720" w:right="720" w:bottom="720" w:left="720" w:header="709" w:footer="709" w:gutter="0"/>
          <w:cols w:space="720"/>
          <w:docGrid w:linePitch="360"/>
        </w:sectPr>
      </w:pPr>
    </w:p>
    <w:p w14:paraId="00559B7E"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G. COMPONENT 3B: Modernisation of public administration</w:t>
      </w:r>
    </w:p>
    <w:p w14:paraId="6F3AE7C5"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The COVID-19 pandemic and the containment measures have demonstrated the urgent need to further develop adequate interoperable digital solutions for public services and administrations. This component is aimed at addressing this challenge, by increasing the effectiveness and efficiency of public administrations and their services through their digitalisation, taking into account the current challenges, needs and expectations of citizens and government officials. </w:t>
      </w:r>
    </w:p>
    <w:p w14:paraId="41DA56D8"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The component </w:t>
      </w:r>
      <w:r w:rsidRPr="00C82A63">
        <w:rPr>
          <w:rFonts w:ascii="Times New Roman" w:hAnsi="Times New Roman" w:cs="Times New Roman"/>
          <w:noProof/>
          <w:color w:val="000000"/>
          <w:sz w:val="24"/>
          <w:lang w:val="en-IE"/>
        </w:rPr>
        <w:t xml:space="preserve">of Luxembourg’s recovery and resilience plan </w:t>
      </w:r>
      <w:r w:rsidRPr="00C82A63">
        <w:rPr>
          <w:rFonts w:ascii="Times New Roman" w:hAnsi="Times New Roman" w:cs="Times New Roman"/>
          <w:noProof/>
          <w:sz w:val="24"/>
          <w:lang w:val="en-IE"/>
        </w:rPr>
        <w:t xml:space="preserve">is intended to respond to the </w:t>
      </w:r>
      <w:r w:rsidRPr="00C82A63">
        <w:rPr>
          <w:rFonts w:ascii="Times New Roman" w:hAnsi="Times New Roman" w:cs="Times New Roman"/>
          <w:noProof/>
          <w:color w:val="000000" w:themeColor="text1"/>
          <w:sz w:val="24"/>
          <w:lang w:val="en-IE"/>
        </w:rPr>
        <w:t>Country-Specific Recommendations</w:t>
      </w:r>
      <w:r w:rsidRPr="00C82A63">
        <w:rPr>
          <w:rFonts w:ascii="Times New Roman" w:hAnsi="Times New Roman" w:cs="Times New Roman"/>
          <w:noProof/>
          <w:sz w:val="24"/>
          <w:lang w:val="en-IE"/>
        </w:rPr>
        <w:t xml:space="preserve"> addressed to Luxembourg in 2019 and 2020, which recommended fostering innovation and digitalisation, in particular in the business sector, as well as guiding investment-related economic policy to encourage digitalisation and innovation. The component also contributes to the digital transition. </w:t>
      </w:r>
    </w:p>
    <w:p w14:paraId="70428272"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293316C"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23DBC631" w14:textId="77777777" w:rsidR="009823F0" w:rsidRPr="00C82A63" w:rsidRDefault="009823F0" w:rsidP="009823F0">
      <w:pPr>
        <w:spacing w:before="120" w:after="120" w:line="240" w:lineRule="auto"/>
        <w:jc w:val="both"/>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G.1. </w:t>
      </w:r>
      <w:r w:rsidRPr="00C82A63">
        <w:rPr>
          <w:rFonts w:ascii="Times New Roman" w:hAnsi="Times New Roman" w:cs="Times New Roman"/>
          <w:b/>
          <w:bCs/>
          <w:noProof/>
          <w:sz w:val="24"/>
          <w:u w:val="single"/>
          <w:lang w:val="en-IE"/>
        </w:rPr>
        <w:tab/>
        <w:t>Description of the reforms and investments for non-repayable financial support</w:t>
      </w:r>
    </w:p>
    <w:p w14:paraId="414F03FE"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lang w:val="en-IE"/>
        </w:rPr>
      </w:pPr>
      <w:r w:rsidRPr="00C82A63">
        <w:rPr>
          <w:rFonts w:ascii="Times New Roman" w:hAnsi="Times New Roman" w:cs="Times New Roman"/>
          <w:noProof/>
          <w:sz w:val="24"/>
          <w:szCs w:val="24"/>
          <w:u w:val="single"/>
          <w:lang w:val="en-IE"/>
        </w:rPr>
        <w:t>Investment 1: Electronic document management and Case Management</w:t>
      </w:r>
    </w:p>
    <w:p w14:paraId="0F58F7F9"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measure aims to digitalise document management in the public administration. This investment consists in developing a central platform for electronic document management (“Hive” platform) and in granting access to five government entities to the platform.</w:t>
      </w:r>
    </w:p>
    <w:p w14:paraId="632DD6FC"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p>
    <w:p w14:paraId="709D5EFB"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Investment 2: Development of MyGuichet – Project 1/3 – Virtual appointments</w:t>
      </w:r>
    </w:p>
    <w:p w14:paraId="6051B06D" w14:textId="1560067B"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main objective of this investment is to enable public administrations to offer virtual appointments and to establish access to different functionalities via video conference appointments.</w:t>
      </w:r>
      <w:r w:rsidR="00A17CDD">
        <w:rPr>
          <w:rFonts w:ascii="Times New Roman" w:hAnsi="Times New Roman" w:cs="Times New Roman"/>
          <w:noProof/>
          <w:sz w:val="24"/>
          <w:szCs w:val="24"/>
          <w:lang w:val="en-IE"/>
        </w:rPr>
        <w:t xml:space="preserve"> </w:t>
      </w:r>
    </w:p>
    <w:p w14:paraId="38EA3F82"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p>
    <w:p w14:paraId="0D932603"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 xml:space="preserve">Investment 2: Development of MyGuichet – Project 2/3 – Various Citizen to Government (C2G) and Business to Government (B2G) procedures </w:t>
      </w:r>
    </w:p>
    <w:p w14:paraId="6125F503"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Investment 2 is aimed at introducing 12 new online services – aligned with the priorities of the Single Digital Gateway Regulation – to expand the digital offer to citizens and businesses and simplifying different administrative processes. For instance, a </w:t>
      </w:r>
      <w:r w:rsidRPr="00C82A63">
        <w:rPr>
          <w:rFonts w:ascii="Times New Roman" w:hAnsi="Times New Roman" w:cs="Times New Roman"/>
          <w:noProof/>
          <w:sz w:val="24"/>
          <w:u w:val="single"/>
          <w:lang w:val="en-IE"/>
        </w:rPr>
        <w:t>Business to Government</w:t>
      </w:r>
      <w:r w:rsidRPr="00C82A63">
        <w:rPr>
          <w:rFonts w:ascii="Times New Roman" w:hAnsi="Times New Roman" w:cs="Times New Roman"/>
          <w:noProof/>
          <w:sz w:val="24"/>
          <w:lang w:val="en-IE"/>
        </w:rPr>
        <w:t xml:space="preserve"> approach is going to be introduced regarding employees’ tax deduction so citizens can have access to this information through MyGuichet. Another service which shall be implemented is the introduction of a </w:t>
      </w:r>
      <w:r w:rsidRPr="00C82A63">
        <w:rPr>
          <w:rFonts w:ascii="Times New Roman" w:hAnsi="Times New Roman" w:cs="Times New Roman"/>
          <w:noProof/>
          <w:sz w:val="24"/>
          <w:u w:val="single"/>
          <w:lang w:val="en-IE"/>
        </w:rPr>
        <w:t>Citizen to Government</w:t>
      </w:r>
      <w:r w:rsidRPr="00C82A63">
        <w:rPr>
          <w:rFonts w:ascii="Times New Roman" w:hAnsi="Times New Roman" w:cs="Times New Roman"/>
          <w:noProof/>
          <w:sz w:val="24"/>
          <w:lang w:val="en-IE"/>
        </w:rPr>
        <w:t xml:space="preserve"> approach to facilitate the application of hunting permits through MyGuichet. </w:t>
      </w:r>
    </w:p>
    <w:p w14:paraId="08356F93"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p>
    <w:p w14:paraId="05061B12"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Investment 2: Development of MyGuichet – Project 3/3 – Mobile app MyGuichet.lu</w:t>
      </w:r>
    </w:p>
    <w:p w14:paraId="501C5C4A" w14:textId="5D53E241" w:rsidR="009823F0" w:rsidRPr="00DB0376"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The goal of this investment is to transfer the functionalities offered in MyGuichet.lu to a mobile application. This </w:t>
      </w:r>
      <w:r w:rsidRPr="00C82A63" w:rsidDel="001A6B65">
        <w:rPr>
          <w:rFonts w:ascii="Times New Roman" w:hAnsi="Times New Roman" w:cs="Times New Roman"/>
          <w:noProof/>
          <w:sz w:val="24"/>
          <w:lang w:val="en-IE"/>
        </w:rPr>
        <w:t xml:space="preserve">mobile application </w:t>
      </w:r>
      <w:r w:rsidRPr="00C82A63">
        <w:rPr>
          <w:rFonts w:ascii="Times New Roman" w:hAnsi="Times New Roman" w:cs="Times New Roman"/>
          <w:noProof/>
          <w:sz w:val="24"/>
          <w:lang w:val="en-IE"/>
        </w:rPr>
        <w:t xml:space="preserve">will be available to the general public and aims at improving the effectiveness of the procedures for citizens and businesses. The application shall provide access to desktop functions such as procedures with the public administration, from a personal mobile. Another function that this app will provide is the possibility of scanning documents. Thus, the smartphone shall be able to replace a scanner. </w:t>
      </w:r>
    </w:p>
    <w:p w14:paraId="6B0D6CAE"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lang w:val="en-IE"/>
        </w:rPr>
      </w:pPr>
      <w:r w:rsidRPr="00C82A63">
        <w:rPr>
          <w:rFonts w:ascii="Times New Roman" w:hAnsi="Times New Roman" w:cs="Times New Roman"/>
          <w:noProof/>
          <w:sz w:val="24"/>
          <w:szCs w:val="24"/>
          <w:u w:val="single"/>
          <w:lang w:val="en-IE"/>
        </w:rPr>
        <w:t>Investment 3: MyADEM</w:t>
      </w:r>
    </w:p>
    <w:p w14:paraId="7D0F3B54"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measure aims to digitalise the services of the public employment agency (ADEM). This investment consists in adopting the ADEM 2025 Strategy and in enabling access to digital administrative procedures linked to MyADEM via MyGuichet.</w:t>
      </w:r>
    </w:p>
    <w:p w14:paraId="4C6409EA"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Investment 4: National platform for public survey management</w:t>
      </w:r>
    </w:p>
    <w:p w14:paraId="34DD2E59"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measure aims to support the development of a national platform for the management of public surveys. This investment consists in the creation of a national platform that allows public administrations to manage and create public surveys.</w:t>
      </w:r>
    </w:p>
    <w:p w14:paraId="2447EC18" w14:textId="77777777" w:rsidR="009823F0" w:rsidRPr="00C82A63" w:rsidRDefault="009823F0" w:rsidP="009823F0">
      <w:pPr>
        <w:spacing w:before="120" w:after="120" w:line="240" w:lineRule="auto"/>
        <w:ind w:left="709"/>
        <w:jc w:val="both"/>
        <w:rPr>
          <w:rFonts w:ascii="Times New Roman" w:hAnsi="Times New Roman" w:cs="Times New Roman"/>
          <w:noProof/>
          <w:sz w:val="24"/>
          <w:lang w:val="en-IE"/>
        </w:rPr>
        <w:sectPr w:rsidR="009823F0" w:rsidRPr="00C82A63" w:rsidSect="009823F0">
          <w:headerReference w:type="even" r:id="rId86"/>
          <w:headerReference w:type="default" r:id="rId87"/>
          <w:footerReference w:type="even" r:id="rId88"/>
          <w:footerReference w:type="default" r:id="rId89"/>
          <w:headerReference w:type="first" r:id="rId90"/>
          <w:footerReference w:type="first" r:id="rId91"/>
          <w:pgSz w:w="11907" w:h="16839"/>
          <w:pgMar w:top="1134" w:right="1417" w:bottom="1134" w:left="1417" w:header="709" w:footer="709" w:gutter="0"/>
          <w:cols w:space="720"/>
          <w:docGrid w:linePitch="360"/>
        </w:sectPr>
      </w:pPr>
    </w:p>
    <w:p w14:paraId="76390D70" w14:textId="77777777" w:rsidR="009823F0" w:rsidRPr="00C82A63" w:rsidRDefault="009823F0" w:rsidP="00DB0376">
      <w:pPr>
        <w:spacing w:before="120" w:after="120" w:line="240" w:lineRule="auto"/>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G.2.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1437"/>
        <w:gridCol w:w="1664"/>
        <w:gridCol w:w="1938"/>
        <w:gridCol w:w="1483"/>
        <w:gridCol w:w="938"/>
        <w:gridCol w:w="928"/>
        <w:gridCol w:w="678"/>
        <w:gridCol w:w="916"/>
        <w:gridCol w:w="1383"/>
        <w:gridCol w:w="3687"/>
      </w:tblGrid>
      <w:tr w:rsidR="009823F0" w:rsidRPr="00443C86" w14:paraId="277734A7" w14:textId="77777777" w:rsidTr="00604CBD">
        <w:trPr>
          <w:trHeight w:val="927"/>
          <w:tblHeader/>
          <w:jc w:val="center"/>
        </w:trPr>
        <w:tc>
          <w:tcPr>
            <w:tcW w:w="1117" w:type="dxa"/>
            <w:vMerge w:val="restart"/>
            <w:shd w:val="clear" w:color="auto" w:fill="BDD7EE"/>
            <w:vAlign w:val="center"/>
            <w:hideMark/>
          </w:tcPr>
          <w:p w14:paraId="05C56EC9"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437" w:type="dxa"/>
            <w:vMerge w:val="restart"/>
            <w:shd w:val="clear" w:color="auto" w:fill="BDD7EE"/>
            <w:vAlign w:val="center"/>
            <w:hideMark/>
          </w:tcPr>
          <w:p w14:paraId="0237DA7B"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120" w:type="dxa"/>
            <w:vMerge w:val="restart"/>
            <w:shd w:val="clear" w:color="auto" w:fill="BDD7EE"/>
            <w:vAlign w:val="center"/>
            <w:hideMark/>
          </w:tcPr>
          <w:p w14:paraId="33C562C5" w14:textId="315E134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938" w:type="dxa"/>
            <w:vMerge w:val="restart"/>
            <w:shd w:val="clear" w:color="auto" w:fill="BDD7EE"/>
            <w:vAlign w:val="center"/>
            <w:hideMark/>
          </w:tcPr>
          <w:p w14:paraId="366B015A"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483" w:type="dxa"/>
            <w:vMerge w:val="restart"/>
            <w:shd w:val="clear" w:color="auto" w:fill="BDD7EE"/>
            <w:vAlign w:val="center"/>
            <w:hideMark/>
          </w:tcPr>
          <w:p w14:paraId="421FA5BF"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544" w:type="dxa"/>
            <w:gridSpan w:val="3"/>
            <w:shd w:val="clear" w:color="auto" w:fill="BDD7EE"/>
            <w:vAlign w:val="center"/>
            <w:hideMark/>
          </w:tcPr>
          <w:p w14:paraId="5326783D"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2299" w:type="dxa"/>
            <w:gridSpan w:val="2"/>
            <w:shd w:val="clear" w:color="auto" w:fill="BDD7EE"/>
            <w:vAlign w:val="center"/>
            <w:hideMark/>
          </w:tcPr>
          <w:p w14:paraId="05DF8C90" w14:textId="06EDC321"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Indicative timeline for completion</w:t>
            </w:r>
          </w:p>
        </w:tc>
        <w:tc>
          <w:tcPr>
            <w:tcW w:w="3687" w:type="dxa"/>
            <w:vMerge w:val="restart"/>
            <w:shd w:val="clear" w:color="auto" w:fill="BDD7EE"/>
            <w:vAlign w:val="center"/>
            <w:hideMark/>
          </w:tcPr>
          <w:p w14:paraId="6C201FF7"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5B1559D8" w14:textId="77777777" w:rsidTr="00604CBD">
        <w:trPr>
          <w:trHeight w:val="1013"/>
          <w:tblHeader/>
          <w:jc w:val="center"/>
        </w:trPr>
        <w:tc>
          <w:tcPr>
            <w:tcW w:w="1117" w:type="dxa"/>
            <w:vMerge/>
            <w:vAlign w:val="center"/>
            <w:hideMark/>
          </w:tcPr>
          <w:p w14:paraId="232BB021" w14:textId="77777777" w:rsidR="009823F0" w:rsidRPr="00C82A63" w:rsidRDefault="009823F0" w:rsidP="00DB0376">
            <w:pPr>
              <w:spacing w:after="0" w:line="240" w:lineRule="auto"/>
              <w:jc w:val="center"/>
              <w:rPr>
                <w:rFonts w:ascii="Times New Roman" w:eastAsia="Times New Roman" w:hAnsi="Times New Roman" w:cs="Times New Roman"/>
                <w:b/>
                <w:noProof/>
                <w:sz w:val="20"/>
                <w:szCs w:val="20"/>
                <w:lang w:val="en-IE" w:eastAsia="en-GB"/>
              </w:rPr>
            </w:pPr>
          </w:p>
        </w:tc>
        <w:tc>
          <w:tcPr>
            <w:tcW w:w="1437" w:type="dxa"/>
            <w:vMerge/>
            <w:vAlign w:val="center"/>
            <w:hideMark/>
          </w:tcPr>
          <w:p w14:paraId="5E10A413"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20" w:type="dxa"/>
            <w:vMerge/>
            <w:vAlign w:val="center"/>
            <w:hideMark/>
          </w:tcPr>
          <w:p w14:paraId="3F734EAF" w14:textId="77777777" w:rsidR="009823F0" w:rsidRPr="00C82A63" w:rsidRDefault="009823F0" w:rsidP="00DB0376">
            <w:pPr>
              <w:spacing w:after="0" w:line="240" w:lineRule="auto"/>
              <w:jc w:val="center"/>
              <w:rPr>
                <w:rFonts w:ascii="Times New Roman" w:eastAsia="Times New Roman" w:hAnsi="Times New Roman" w:cs="Times New Roman"/>
                <w:b/>
                <w:noProof/>
                <w:sz w:val="20"/>
                <w:szCs w:val="20"/>
                <w:lang w:val="en-IE" w:eastAsia="en-GB"/>
              </w:rPr>
            </w:pPr>
          </w:p>
        </w:tc>
        <w:tc>
          <w:tcPr>
            <w:tcW w:w="1938" w:type="dxa"/>
            <w:vMerge/>
            <w:vAlign w:val="center"/>
            <w:hideMark/>
          </w:tcPr>
          <w:p w14:paraId="459E6AFD"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483" w:type="dxa"/>
            <w:vMerge/>
            <w:vAlign w:val="center"/>
            <w:hideMark/>
          </w:tcPr>
          <w:p w14:paraId="697B3676"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938" w:type="dxa"/>
            <w:shd w:val="clear" w:color="auto" w:fill="BDD7EE"/>
            <w:vAlign w:val="center"/>
            <w:hideMark/>
          </w:tcPr>
          <w:p w14:paraId="36E542CE"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28" w:type="dxa"/>
            <w:shd w:val="clear" w:color="auto" w:fill="BDD7EE"/>
            <w:vAlign w:val="center"/>
            <w:hideMark/>
          </w:tcPr>
          <w:p w14:paraId="1440AEEE" w14:textId="4FA405AF"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Baseline</w:t>
            </w:r>
          </w:p>
        </w:tc>
        <w:tc>
          <w:tcPr>
            <w:tcW w:w="678" w:type="dxa"/>
            <w:shd w:val="clear" w:color="auto" w:fill="BDD7EE"/>
            <w:vAlign w:val="center"/>
            <w:hideMark/>
          </w:tcPr>
          <w:p w14:paraId="1083AEFD" w14:textId="627AF844"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Goal</w:t>
            </w:r>
          </w:p>
        </w:tc>
        <w:tc>
          <w:tcPr>
            <w:tcW w:w="916" w:type="dxa"/>
            <w:shd w:val="clear" w:color="auto" w:fill="BDD7EE"/>
            <w:vAlign w:val="center"/>
            <w:hideMark/>
          </w:tcPr>
          <w:p w14:paraId="26DCE12D"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1383" w:type="dxa"/>
            <w:shd w:val="clear" w:color="auto" w:fill="BDD7EE"/>
            <w:vAlign w:val="center"/>
            <w:hideMark/>
          </w:tcPr>
          <w:p w14:paraId="02B736D8"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3687" w:type="dxa"/>
            <w:vMerge/>
            <w:vAlign w:val="center"/>
            <w:hideMark/>
          </w:tcPr>
          <w:p w14:paraId="49BFB87C" w14:textId="77777777" w:rsidR="009823F0" w:rsidRPr="00C82A63" w:rsidRDefault="009823F0" w:rsidP="00DB0376">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1D1BD37F" w14:textId="77777777" w:rsidTr="00DB0376">
        <w:trPr>
          <w:trHeight w:val="309"/>
          <w:jc w:val="center"/>
        </w:trPr>
        <w:tc>
          <w:tcPr>
            <w:tcW w:w="1117" w:type="dxa"/>
            <w:shd w:val="clear" w:color="auto" w:fill="C6EFCE"/>
            <w:noWrap/>
          </w:tcPr>
          <w:p w14:paraId="5D249A6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IE"/>
              </w:rPr>
              <w:t>3B-1</w:t>
            </w:r>
          </w:p>
        </w:tc>
        <w:tc>
          <w:tcPr>
            <w:tcW w:w="1437" w:type="dxa"/>
            <w:shd w:val="clear" w:color="auto" w:fill="C6EFCE"/>
            <w:noWrap/>
          </w:tcPr>
          <w:p w14:paraId="6044EAB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1 – Electronic Document Management and Case Management</w:t>
            </w:r>
          </w:p>
        </w:tc>
        <w:tc>
          <w:tcPr>
            <w:tcW w:w="1120" w:type="dxa"/>
            <w:shd w:val="clear" w:color="auto" w:fill="C6EFCE"/>
            <w:noWrap/>
          </w:tcPr>
          <w:p w14:paraId="4EEE35C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938" w:type="dxa"/>
            <w:shd w:val="clear" w:color="auto" w:fill="C6EFCE"/>
            <w:noWrap/>
          </w:tcPr>
          <w:p w14:paraId="239189A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operation of a central platform for electronic document management and case management.</w:t>
            </w:r>
          </w:p>
        </w:tc>
        <w:tc>
          <w:tcPr>
            <w:tcW w:w="1483" w:type="dxa"/>
            <w:shd w:val="clear" w:color="auto" w:fill="C6EFCE"/>
            <w:noWrap/>
          </w:tcPr>
          <w:p w14:paraId="2159AEC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operation of a complete platform</w:t>
            </w:r>
          </w:p>
        </w:tc>
        <w:tc>
          <w:tcPr>
            <w:tcW w:w="938" w:type="dxa"/>
            <w:shd w:val="clear" w:color="auto" w:fill="C6EFCE"/>
            <w:noWrap/>
          </w:tcPr>
          <w:p w14:paraId="089287C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786F5FF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63C25B6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323A61C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1383" w:type="dxa"/>
            <w:shd w:val="clear" w:color="auto" w:fill="C6EFCE"/>
            <w:noWrap/>
          </w:tcPr>
          <w:p w14:paraId="04C6E35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3687" w:type="dxa"/>
            <w:shd w:val="clear" w:color="auto" w:fill="C6EFCE"/>
            <w:noWrap/>
          </w:tcPr>
          <w:p w14:paraId="5D0B7F34"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A central platform allowing for electronic management of documents and exchanges of documents between public administrations shall be operational, improving document management by public administrations.</w:t>
            </w:r>
          </w:p>
        </w:tc>
      </w:tr>
      <w:tr w:rsidR="009823F0" w:rsidRPr="00443C86" w14:paraId="313E8D9E" w14:textId="77777777" w:rsidTr="00DB0376">
        <w:trPr>
          <w:trHeight w:val="309"/>
          <w:jc w:val="center"/>
        </w:trPr>
        <w:tc>
          <w:tcPr>
            <w:tcW w:w="1117" w:type="dxa"/>
            <w:shd w:val="clear" w:color="auto" w:fill="C6EFCE"/>
            <w:noWrap/>
          </w:tcPr>
          <w:p w14:paraId="4F8D6E4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IE"/>
              </w:rPr>
              <w:t>3B-4</w:t>
            </w:r>
          </w:p>
        </w:tc>
        <w:tc>
          <w:tcPr>
            <w:tcW w:w="1437" w:type="dxa"/>
            <w:shd w:val="clear" w:color="auto" w:fill="C6EFCE"/>
            <w:noWrap/>
          </w:tcPr>
          <w:p w14:paraId="7FCD5E8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Investment 1 – Electronic Document Management and Case Management</w:t>
            </w:r>
            <w:r w:rsidRPr="00C82A63">
              <w:rPr>
                <w:rFonts w:ascii="Times New Roman" w:eastAsia="Times New Roman" w:hAnsi="Times New Roman" w:cs="Times New Roman"/>
                <w:noProof/>
                <w:color w:val="006100"/>
                <w:sz w:val="20"/>
                <w:szCs w:val="20"/>
                <w:lang w:val="en-US" w:eastAsia="en-GB"/>
              </w:rPr>
              <w:t xml:space="preserve"> </w:t>
            </w:r>
          </w:p>
        </w:tc>
        <w:tc>
          <w:tcPr>
            <w:tcW w:w="1120" w:type="dxa"/>
            <w:shd w:val="clear" w:color="auto" w:fill="C6EFCE"/>
            <w:noWrap/>
          </w:tcPr>
          <w:p w14:paraId="04B06A1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Target</w:t>
            </w:r>
          </w:p>
        </w:tc>
        <w:tc>
          <w:tcPr>
            <w:tcW w:w="1938" w:type="dxa"/>
            <w:shd w:val="clear" w:color="auto" w:fill="C6EFCE"/>
            <w:noWrap/>
          </w:tcPr>
          <w:p w14:paraId="7EE2B05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Five government entities granted access to the “Hive” platform</w:t>
            </w:r>
          </w:p>
        </w:tc>
        <w:tc>
          <w:tcPr>
            <w:tcW w:w="1483" w:type="dxa"/>
            <w:shd w:val="clear" w:color="auto" w:fill="C6EFCE"/>
            <w:noWrap/>
          </w:tcPr>
          <w:p w14:paraId="47F8BBA6" w14:textId="4EE69D26" w:rsidR="009823F0" w:rsidRPr="00C82A63" w:rsidRDefault="009823F0" w:rsidP="00DB0376">
            <w:pPr>
              <w:spacing w:after="0" w:line="240" w:lineRule="auto"/>
              <w:rPr>
                <w:rFonts w:ascii="Times New Roman" w:eastAsia="Times New Roman" w:hAnsi="Times New Roman" w:cs="Times New Roman"/>
                <w:noProof/>
                <w:color w:val="006100"/>
                <w:sz w:val="20"/>
                <w:szCs w:val="20"/>
                <w:lang w:val="en-IE" w:eastAsia="en-GB"/>
              </w:rPr>
            </w:pPr>
          </w:p>
        </w:tc>
        <w:tc>
          <w:tcPr>
            <w:tcW w:w="938" w:type="dxa"/>
            <w:shd w:val="clear" w:color="auto" w:fill="C6EFCE"/>
            <w:noWrap/>
          </w:tcPr>
          <w:p w14:paraId="2C43A1E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Number</w:t>
            </w:r>
          </w:p>
        </w:tc>
        <w:tc>
          <w:tcPr>
            <w:tcW w:w="928" w:type="dxa"/>
            <w:shd w:val="clear" w:color="auto" w:fill="C6EFCE"/>
            <w:noWrap/>
          </w:tcPr>
          <w:p w14:paraId="39A5EEA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0</w:t>
            </w:r>
          </w:p>
        </w:tc>
        <w:tc>
          <w:tcPr>
            <w:tcW w:w="678" w:type="dxa"/>
            <w:shd w:val="clear" w:color="auto" w:fill="C6EFCE"/>
            <w:noWrap/>
          </w:tcPr>
          <w:p w14:paraId="2DC18C88" w14:textId="77777777" w:rsidR="009823F0" w:rsidRPr="00C82A63" w:rsidRDefault="009823F0" w:rsidP="00DB0376">
            <w:pPr>
              <w:spacing w:after="0" w:line="240" w:lineRule="auto"/>
              <w:jc w:val="center"/>
              <w:rPr>
                <w:rFonts w:ascii="Times New Roman" w:hAnsi="Times New Roman" w:cs="Times New Roman"/>
                <w:noProof/>
              </w:rPr>
            </w:pPr>
            <w:r w:rsidRPr="00C82A63">
              <w:rPr>
                <w:rFonts w:ascii="Times New Roman" w:eastAsia="Times New Roman" w:hAnsi="Times New Roman" w:cs="Times New Roman"/>
                <w:noProof/>
                <w:color w:val="006100"/>
                <w:sz w:val="20"/>
                <w:szCs w:val="20"/>
                <w:lang w:val="en-US" w:eastAsia="en-GB"/>
              </w:rPr>
              <w:t>5</w:t>
            </w:r>
          </w:p>
        </w:tc>
        <w:tc>
          <w:tcPr>
            <w:tcW w:w="916" w:type="dxa"/>
            <w:shd w:val="clear" w:color="auto" w:fill="C6EFCE"/>
            <w:noWrap/>
          </w:tcPr>
          <w:p w14:paraId="75390DA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w:t>
            </w:r>
            <w:r w:rsidRPr="00C82A63" w:rsidDel="00584C9D">
              <w:rPr>
                <w:rFonts w:ascii="Times New Roman" w:eastAsia="Times New Roman" w:hAnsi="Times New Roman" w:cs="Times New Roman"/>
                <w:noProof/>
                <w:color w:val="006100"/>
                <w:sz w:val="20"/>
                <w:szCs w:val="20"/>
                <w:lang w:val="en-IE" w:eastAsia="en-GB"/>
              </w:rPr>
              <w:t>2</w:t>
            </w:r>
          </w:p>
        </w:tc>
        <w:tc>
          <w:tcPr>
            <w:tcW w:w="1383" w:type="dxa"/>
            <w:shd w:val="clear" w:color="auto" w:fill="C6EFCE"/>
            <w:noWrap/>
          </w:tcPr>
          <w:p w14:paraId="28CDAE1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2024</w:t>
            </w:r>
          </w:p>
        </w:tc>
        <w:tc>
          <w:tcPr>
            <w:tcW w:w="3687" w:type="dxa"/>
            <w:shd w:val="clear" w:color="auto" w:fill="C6EFCE"/>
            <w:noWrap/>
          </w:tcPr>
          <w:p w14:paraId="759D5E7B"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Five government entities shall be granted access to the “Hive” platform. </w:t>
            </w:r>
          </w:p>
        </w:tc>
      </w:tr>
      <w:tr w:rsidR="009823F0" w:rsidRPr="00443C86" w14:paraId="17D64A9D" w14:textId="77777777" w:rsidTr="00DB0376">
        <w:trPr>
          <w:trHeight w:val="309"/>
          <w:jc w:val="center"/>
        </w:trPr>
        <w:tc>
          <w:tcPr>
            <w:tcW w:w="1117" w:type="dxa"/>
            <w:shd w:val="clear" w:color="auto" w:fill="C6EFCE"/>
            <w:noWrap/>
          </w:tcPr>
          <w:p w14:paraId="47CBC6D5"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US" w:eastAsia="en-GB"/>
              </w:rPr>
              <w:t>5</w:t>
            </w:r>
          </w:p>
        </w:tc>
        <w:tc>
          <w:tcPr>
            <w:tcW w:w="1437" w:type="dxa"/>
            <w:shd w:val="clear" w:color="auto" w:fill="C6EFCE"/>
            <w:noWrap/>
          </w:tcPr>
          <w:p w14:paraId="6F97AA7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2 - Development of MyGuichet- Project 1/3: Virtual appointment</w:t>
            </w:r>
          </w:p>
        </w:tc>
        <w:tc>
          <w:tcPr>
            <w:tcW w:w="1120" w:type="dxa"/>
            <w:shd w:val="clear" w:color="auto" w:fill="C6EFCE"/>
            <w:noWrap/>
          </w:tcPr>
          <w:p w14:paraId="2872EC2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938" w:type="dxa"/>
            <w:shd w:val="clear" w:color="auto" w:fill="C6EFCE"/>
            <w:noWrap/>
          </w:tcPr>
          <w:p w14:paraId="5D71B3D7" w14:textId="0BAC01FE" w:rsidR="009823F0" w:rsidRPr="00C82A63" w:rsidRDefault="009823F0" w:rsidP="00DB0376">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Phase 1 of the</w:t>
            </w:r>
            <w:r w:rsidR="00DB0376">
              <w:rPr>
                <w:rFonts w:ascii="Times New Roman" w:eastAsia="Times New Roman" w:hAnsi="Times New Roman" w:cs="Times New Roman"/>
                <w:noProof/>
                <w:color w:val="006100"/>
                <w:sz w:val="20"/>
                <w:szCs w:val="20"/>
                <w:lang w:val="en-US" w:eastAsia="en-GB"/>
              </w:rPr>
              <w:t xml:space="preserve"> </w:t>
            </w:r>
            <w:r w:rsidRPr="00C82A63">
              <w:rPr>
                <w:rFonts w:ascii="Times New Roman" w:eastAsia="Times New Roman" w:hAnsi="Times New Roman" w:cs="Times New Roman"/>
                <w:noProof/>
                <w:color w:val="006100"/>
                <w:sz w:val="20"/>
                <w:szCs w:val="20"/>
                <w:lang w:val="en-US" w:eastAsia="en-GB"/>
              </w:rPr>
              <w:t>Exchange via videoconference</w:t>
            </w:r>
          </w:p>
        </w:tc>
        <w:tc>
          <w:tcPr>
            <w:tcW w:w="1483" w:type="dxa"/>
            <w:shd w:val="clear" w:color="auto" w:fill="C6EFCE"/>
            <w:noWrap/>
          </w:tcPr>
          <w:p w14:paraId="6E0D232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Implementation of the necessary infrastructure to make available virtual appointments</w:t>
            </w:r>
          </w:p>
        </w:tc>
        <w:tc>
          <w:tcPr>
            <w:tcW w:w="938" w:type="dxa"/>
            <w:shd w:val="clear" w:color="auto" w:fill="C6EFCE"/>
            <w:noWrap/>
          </w:tcPr>
          <w:p w14:paraId="0909BC0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557E0E2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5FF223A5"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674E483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Q2</w:t>
            </w:r>
          </w:p>
        </w:tc>
        <w:tc>
          <w:tcPr>
            <w:tcW w:w="1383" w:type="dxa"/>
            <w:shd w:val="clear" w:color="auto" w:fill="C6EFCE"/>
            <w:noWrap/>
          </w:tcPr>
          <w:p w14:paraId="4135F0B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2022</w:t>
            </w:r>
          </w:p>
        </w:tc>
        <w:tc>
          <w:tcPr>
            <w:tcW w:w="3687" w:type="dxa"/>
            <w:shd w:val="clear" w:color="auto" w:fill="C6EFCE"/>
            <w:noWrap/>
          </w:tcPr>
          <w:p w14:paraId="4D60DB9F"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 xml:space="preserve">Implementation of an infrastructure project enabling two persons to exchange via videoconference with their web browsers. This concerns virtual appointments between citizens or businesses and the public administration. </w:t>
            </w:r>
          </w:p>
        </w:tc>
      </w:tr>
      <w:tr w:rsidR="009823F0" w:rsidRPr="00443C86" w14:paraId="0AE940C4" w14:textId="77777777" w:rsidTr="00DB0376">
        <w:trPr>
          <w:trHeight w:val="309"/>
          <w:jc w:val="center"/>
        </w:trPr>
        <w:tc>
          <w:tcPr>
            <w:tcW w:w="1117" w:type="dxa"/>
            <w:shd w:val="clear" w:color="auto" w:fill="C6EFCE"/>
            <w:noWrap/>
          </w:tcPr>
          <w:p w14:paraId="12F9397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IE" w:eastAsia="en-GB"/>
              </w:rPr>
              <w:t>6</w:t>
            </w:r>
          </w:p>
        </w:tc>
        <w:tc>
          <w:tcPr>
            <w:tcW w:w="1437" w:type="dxa"/>
            <w:shd w:val="clear" w:color="auto" w:fill="C6EFCE"/>
            <w:noWrap/>
          </w:tcPr>
          <w:p w14:paraId="7E1D2D5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2 - Development of MyGuichet- Project 1/3: Virtual appointment</w:t>
            </w:r>
          </w:p>
        </w:tc>
        <w:tc>
          <w:tcPr>
            <w:tcW w:w="1120" w:type="dxa"/>
            <w:shd w:val="clear" w:color="auto" w:fill="C6EFCE"/>
            <w:noWrap/>
          </w:tcPr>
          <w:p w14:paraId="4061508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Milestone</w:t>
            </w:r>
          </w:p>
        </w:tc>
        <w:tc>
          <w:tcPr>
            <w:tcW w:w="1938" w:type="dxa"/>
            <w:shd w:val="clear" w:color="auto" w:fill="C6EFCE"/>
            <w:noWrap/>
          </w:tcPr>
          <w:p w14:paraId="705B108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Phase 2 of the Exchange via videoconference</w:t>
            </w:r>
          </w:p>
        </w:tc>
        <w:tc>
          <w:tcPr>
            <w:tcW w:w="1483" w:type="dxa"/>
            <w:shd w:val="clear" w:color="auto" w:fill="C6EFCE"/>
            <w:noWrap/>
          </w:tcPr>
          <w:p w14:paraId="7094E6F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Introduction of the virtual appointments within MyGuichet.lu</w:t>
            </w:r>
          </w:p>
        </w:tc>
        <w:tc>
          <w:tcPr>
            <w:tcW w:w="938" w:type="dxa"/>
            <w:shd w:val="clear" w:color="auto" w:fill="C6EFCE"/>
            <w:noWrap/>
          </w:tcPr>
          <w:p w14:paraId="1B6CDA3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39FC0CA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157F387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4CA705F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Q4</w:t>
            </w:r>
          </w:p>
        </w:tc>
        <w:tc>
          <w:tcPr>
            <w:tcW w:w="1383" w:type="dxa"/>
            <w:shd w:val="clear" w:color="auto" w:fill="C6EFCE"/>
            <w:noWrap/>
          </w:tcPr>
          <w:p w14:paraId="3E9D173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2022</w:t>
            </w:r>
          </w:p>
        </w:tc>
        <w:tc>
          <w:tcPr>
            <w:tcW w:w="3687" w:type="dxa"/>
            <w:shd w:val="clear" w:color="auto" w:fill="C6EFCE"/>
            <w:noWrap/>
          </w:tcPr>
          <w:p w14:paraId="2B91940B"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Availability of the videoconference appointments functionality into MyGuichet.lu (adjustment of the appointment process, adaptation of the appointments list screen, development of the waiting room, adaptation of the personal spaces to view the appointments made).</w:t>
            </w:r>
          </w:p>
        </w:tc>
      </w:tr>
      <w:tr w:rsidR="009823F0" w:rsidRPr="00443C86" w14:paraId="45D195B4" w14:textId="77777777" w:rsidTr="00DB0376">
        <w:trPr>
          <w:trHeight w:val="309"/>
          <w:jc w:val="center"/>
        </w:trPr>
        <w:tc>
          <w:tcPr>
            <w:tcW w:w="1117" w:type="dxa"/>
            <w:shd w:val="clear" w:color="auto" w:fill="C6EFCE"/>
            <w:noWrap/>
          </w:tcPr>
          <w:p w14:paraId="31665FB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US" w:eastAsia="en-GB"/>
              </w:rPr>
              <w:t>7</w:t>
            </w:r>
          </w:p>
        </w:tc>
        <w:tc>
          <w:tcPr>
            <w:tcW w:w="1437" w:type="dxa"/>
            <w:shd w:val="clear" w:color="auto" w:fill="C6EFCE"/>
            <w:noWrap/>
          </w:tcPr>
          <w:p w14:paraId="3F72D86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2 - Development of MyGuichet- Project 2/3: Various C2G and B2G approaches</w:t>
            </w:r>
          </w:p>
        </w:tc>
        <w:tc>
          <w:tcPr>
            <w:tcW w:w="1120" w:type="dxa"/>
            <w:shd w:val="clear" w:color="auto" w:fill="C6EFCE"/>
            <w:noWrap/>
          </w:tcPr>
          <w:p w14:paraId="33E3E67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Target</w:t>
            </w:r>
          </w:p>
        </w:tc>
        <w:tc>
          <w:tcPr>
            <w:tcW w:w="1938" w:type="dxa"/>
            <w:shd w:val="clear" w:color="auto" w:fill="C6EFCE"/>
            <w:noWrap/>
          </w:tcPr>
          <w:p w14:paraId="490D4C4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12 new services</w:t>
            </w:r>
          </w:p>
        </w:tc>
        <w:tc>
          <w:tcPr>
            <w:tcW w:w="1483" w:type="dxa"/>
            <w:shd w:val="clear" w:color="auto" w:fill="C6EFCE"/>
            <w:noWrap/>
          </w:tcPr>
          <w:p w14:paraId="1E3432F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938" w:type="dxa"/>
            <w:shd w:val="clear" w:color="auto" w:fill="C6EFCE"/>
            <w:noWrap/>
          </w:tcPr>
          <w:p w14:paraId="5393C1CF" w14:textId="229345E9"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Number</w:t>
            </w:r>
          </w:p>
        </w:tc>
        <w:tc>
          <w:tcPr>
            <w:tcW w:w="928" w:type="dxa"/>
            <w:shd w:val="clear" w:color="auto" w:fill="C6EFCE"/>
            <w:noWrap/>
          </w:tcPr>
          <w:p w14:paraId="667F161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0</w:t>
            </w:r>
          </w:p>
        </w:tc>
        <w:tc>
          <w:tcPr>
            <w:tcW w:w="678" w:type="dxa"/>
            <w:shd w:val="clear" w:color="auto" w:fill="C6EFCE"/>
            <w:noWrap/>
          </w:tcPr>
          <w:p w14:paraId="3480304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12</w:t>
            </w:r>
          </w:p>
        </w:tc>
        <w:tc>
          <w:tcPr>
            <w:tcW w:w="916" w:type="dxa"/>
            <w:shd w:val="clear" w:color="auto" w:fill="C6EFCE"/>
            <w:noWrap/>
          </w:tcPr>
          <w:p w14:paraId="34C9C4A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Q4</w:t>
            </w:r>
          </w:p>
        </w:tc>
        <w:tc>
          <w:tcPr>
            <w:tcW w:w="1383" w:type="dxa"/>
            <w:shd w:val="clear" w:color="auto" w:fill="C6EFCE"/>
            <w:noWrap/>
          </w:tcPr>
          <w:p w14:paraId="3B8AFE5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2022</w:t>
            </w:r>
          </w:p>
        </w:tc>
        <w:tc>
          <w:tcPr>
            <w:tcW w:w="3687" w:type="dxa"/>
            <w:shd w:val="clear" w:color="auto" w:fill="C6EFCE"/>
            <w:noWrap/>
          </w:tcPr>
          <w:p w14:paraId="5E4CDD45"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Implementation and availability of 12 new services for citizens and businesses, accessible via MyGuichet.lu.</w:t>
            </w:r>
          </w:p>
        </w:tc>
      </w:tr>
      <w:tr w:rsidR="009823F0" w:rsidRPr="00443C86" w14:paraId="3AEE5D40" w14:textId="77777777" w:rsidTr="00DB0376">
        <w:trPr>
          <w:trHeight w:val="309"/>
          <w:jc w:val="center"/>
        </w:trPr>
        <w:tc>
          <w:tcPr>
            <w:tcW w:w="1117" w:type="dxa"/>
            <w:shd w:val="clear" w:color="auto" w:fill="C6EFCE"/>
            <w:noWrap/>
          </w:tcPr>
          <w:p w14:paraId="1468FAF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US" w:eastAsia="en-GB"/>
              </w:rPr>
              <w:t>8</w:t>
            </w:r>
          </w:p>
        </w:tc>
        <w:tc>
          <w:tcPr>
            <w:tcW w:w="1437" w:type="dxa"/>
            <w:shd w:val="clear" w:color="auto" w:fill="C6EFCE"/>
            <w:noWrap/>
          </w:tcPr>
          <w:p w14:paraId="1A71017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2 - Development of MyGuichet - Project 3/3: APP Mobile MyGuichet.lu</w:t>
            </w:r>
          </w:p>
        </w:tc>
        <w:tc>
          <w:tcPr>
            <w:tcW w:w="1120" w:type="dxa"/>
            <w:shd w:val="clear" w:color="auto" w:fill="C6EFCE"/>
            <w:noWrap/>
          </w:tcPr>
          <w:p w14:paraId="7C52185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Milestone</w:t>
            </w:r>
          </w:p>
        </w:tc>
        <w:tc>
          <w:tcPr>
            <w:tcW w:w="1938" w:type="dxa"/>
            <w:shd w:val="clear" w:color="auto" w:fill="C6EFCE"/>
            <w:noWrap/>
          </w:tcPr>
          <w:p w14:paraId="747D4B0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Deployment of a mobile version of MyGuichet (restricted audience)</w:t>
            </w:r>
          </w:p>
        </w:tc>
        <w:tc>
          <w:tcPr>
            <w:tcW w:w="1483" w:type="dxa"/>
            <w:shd w:val="clear" w:color="auto" w:fill="C6EFCE"/>
            <w:noWrap/>
          </w:tcPr>
          <w:p w14:paraId="05B3273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Mobile version of MyGuichet available for a restricted audience</w:t>
            </w:r>
          </w:p>
        </w:tc>
        <w:tc>
          <w:tcPr>
            <w:tcW w:w="938" w:type="dxa"/>
            <w:shd w:val="clear" w:color="auto" w:fill="C6EFCE"/>
            <w:noWrap/>
          </w:tcPr>
          <w:p w14:paraId="44F4A90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7905138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52CC409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00D7EE5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Q2</w:t>
            </w:r>
          </w:p>
        </w:tc>
        <w:tc>
          <w:tcPr>
            <w:tcW w:w="1383" w:type="dxa"/>
            <w:shd w:val="clear" w:color="auto" w:fill="C6EFCE"/>
            <w:noWrap/>
          </w:tcPr>
          <w:p w14:paraId="76DFBD5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2021</w:t>
            </w:r>
          </w:p>
        </w:tc>
        <w:tc>
          <w:tcPr>
            <w:tcW w:w="3687" w:type="dxa"/>
            <w:shd w:val="clear" w:color="auto" w:fill="C6EFCE"/>
            <w:noWrap/>
          </w:tcPr>
          <w:p w14:paraId="006EEFB3"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Deployment of a mobile version of MyGuichet operational and available for a restricted scope of users.</w:t>
            </w:r>
          </w:p>
        </w:tc>
      </w:tr>
      <w:tr w:rsidR="009823F0" w:rsidRPr="00443C86" w14:paraId="4CCEA75B" w14:textId="77777777" w:rsidTr="00DB0376">
        <w:trPr>
          <w:trHeight w:val="309"/>
          <w:jc w:val="center"/>
        </w:trPr>
        <w:tc>
          <w:tcPr>
            <w:tcW w:w="1117" w:type="dxa"/>
            <w:shd w:val="clear" w:color="auto" w:fill="C6EFCE"/>
            <w:noWrap/>
          </w:tcPr>
          <w:p w14:paraId="657C351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US" w:eastAsia="en-GB"/>
              </w:rPr>
              <w:t>9</w:t>
            </w:r>
          </w:p>
        </w:tc>
        <w:tc>
          <w:tcPr>
            <w:tcW w:w="1437" w:type="dxa"/>
            <w:shd w:val="clear" w:color="auto" w:fill="C6EFCE"/>
            <w:noWrap/>
          </w:tcPr>
          <w:p w14:paraId="690CCA2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Investment 2 - Development of MyGuichet - Project 3/3: APP Mobile MyGuichet.lu</w:t>
            </w:r>
          </w:p>
        </w:tc>
        <w:tc>
          <w:tcPr>
            <w:tcW w:w="1120" w:type="dxa"/>
            <w:shd w:val="clear" w:color="auto" w:fill="C6EFCE"/>
            <w:noWrap/>
          </w:tcPr>
          <w:p w14:paraId="2AB4397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Milestone</w:t>
            </w:r>
          </w:p>
        </w:tc>
        <w:tc>
          <w:tcPr>
            <w:tcW w:w="1938" w:type="dxa"/>
            <w:shd w:val="clear" w:color="auto" w:fill="C6EFCE"/>
            <w:noWrap/>
          </w:tcPr>
          <w:p w14:paraId="5F0DA1B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u w:val="single"/>
                <w:lang w:val="en-IE" w:eastAsia="en-GB"/>
              </w:rPr>
            </w:pPr>
            <w:r w:rsidRPr="00C82A63">
              <w:rPr>
                <w:rFonts w:ascii="Times New Roman" w:eastAsia="Times New Roman" w:hAnsi="Times New Roman" w:cs="Times New Roman"/>
                <w:noProof/>
                <w:color w:val="006100"/>
                <w:sz w:val="20"/>
                <w:szCs w:val="20"/>
                <w:lang w:val="en-US" w:eastAsia="en-GB"/>
              </w:rPr>
              <w:t>Deployment of a mobile version of MyGuichet.lu to the general public</w:t>
            </w:r>
          </w:p>
        </w:tc>
        <w:tc>
          <w:tcPr>
            <w:tcW w:w="1483" w:type="dxa"/>
            <w:shd w:val="clear" w:color="auto" w:fill="C6EFCE"/>
            <w:noWrap/>
          </w:tcPr>
          <w:p w14:paraId="29028DC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Mobile version of MyGuichet available for the general public</w:t>
            </w:r>
          </w:p>
        </w:tc>
        <w:tc>
          <w:tcPr>
            <w:tcW w:w="938" w:type="dxa"/>
            <w:shd w:val="clear" w:color="auto" w:fill="C6EFCE"/>
            <w:noWrap/>
          </w:tcPr>
          <w:p w14:paraId="6205D505"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14CA16D5"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27DAA01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093BE9A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Q3</w:t>
            </w:r>
          </w:p>
        </w:tc>
        <w:tc>
          <w:tcPr>
            <w:tcW w:w="1383" w:type="dxa"/>
            <w:shd w:val="clear" w:color="auto" w:fill="C6EFCE"/>
            <w:noWrap/>
          </w:tcPr>
          <w:p w14:paraId="5A802D1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2021</w:t>
            </w:r>
          </w:p>
        </w:tc>
        <w:tc>
          <w:tcPr>
            <w:tcW w:w="3687" w:type="dxa"/>
            <w:shd w:val="clear" w:color="auto" w:fill="C6EFCE"/>
            <w:noWrap/>
          </w:tcPr>
          <w:p w14:paraId="024FDC9A"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Deployment of a mobile version of MyGuichet.lu available to the general public.</w:t>
            </w:r>
          </w:p>
        </w:tc>
      </w:tr>
      <w:tr w:rsidR="009823F0" w:rsidRPr="00443C86" w14:paraId="7908836A" w14:textId="77777777" w:rsidTr="00DB0376">
        <w:trPr>
          <w:trHeight w:val="309"/>
          <w:jc w:val="center"/>
        </w:trPr>
        <w:tc>
          <w:tcPr>
            <w:tcW w:w="1117" w:type="dxa"/>
            <w:shd w:val="clear" w:color="auto" w:fill="C6EFCE"/>
            <w:noWrap/>
          </w:tcPr>
          <w:p w14:paraId="2EF73CB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US" w:eastAsia="en-GB"/>
              </w:rPr>
              <w:t>10</w:t>
            </w:r>
          </w:p>
        </w:tc>
        <w:tc>
          <w:tcPr>
            <w:tcW w:w="1437" w:type="dxa"/>
            <w:shd w:val="clear" w:color="auto" w:fill="C6EFCE"/>
            <w:noWrap/>
          </w:tcPr>
          <w:p w14:paraId="5DE1A74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3 - ‘eADEM’</w:t>
            </w:r>
          </w:p>
        </w:tc>
        <w:tc>
          <w:tcPr>
            <w:tcW w:w="1120" w:type="dxa"/>
            <w:shd w:val="clear" w:color="auto" w:fill="C6EFCE"/>
            <w:noWrap/>
          </w:tcPr>
          <w:p w14:paraId="34DB245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Milestone</w:t>
            </w:r>
          </w:p>
        </w:tc>
        <w:tc>
          <w:tcPr>
            <w:tcW w:w="1938" w:type="dxa"/>
            <w:shd w:val="clear" w:color="auto" w:fill="C6EFCE"/>
            <w:noWrap/>
          </w:tcPr>
          <w:p w14:paraId="560EC7E5"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Creation of ADEM 2025 Strategy for the analytical phase</w:t>
            </w:r>
          </w:p>
        </w:tc>
        <w:tc>
          <w:tcPr>
            <w:tcW w:w="1483" w:type="dxa"/>
            <w:shd w:val="clear" w:color="auto" w:fill="C6EFCE"/>
            <w:noWrap/>
          </w:tcPr>
          <w:p w14:paraId="10177A4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Adoption of ADEM Strategy 2025</w:t>
            </w:r>
          </w:p>
        </w:tc>
        <w:tc>
          <w:tcPr>
            <w:tcW w:w="938" w:type="dxa"/>
            <w:shd w:val="clear" w:color="auto" w:fill="C6EFCE"/>
            <w:noWrap/>
          </w:tcPr>
          <w:p w14:paraId="6FBBBB3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1009B4E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678" w:type="dxa"/>
            <w:shd w:val="clear" w:color="auto" w:fill="C6EFCE"/>
            <w:noWrap/>
          </w:tcPr>
          <w:p w14:paraId="5F6EA57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p>
        </w:tc>
        <w:tc>
          <w:tcPr>
            <w:tcW w:w="916" w:type="dxa"/>
            <w:shd w:val="clear" w:color="auto" w:fill="C6EFCE"/>
            <w:noWrap/>
          </w:tcPr>
          <w:p w14:paraId="32CE970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Q4</w:t>
            </w:r>
          </w:p>
        </w:tc>
        <w:tc>
          <w:tcPr>
            <w:tcW w:w="1383" w:type="dxa"/>
            <w:shd w:val="clear" w:color="auto" w:fill="C6EFCE"/>
            <w:noWrap/>
          </w:tcPr>
          <w:p w14:paraId="3A83D3D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2021</w:t>
            </w:r>
          </w:p>
        </w:tc>
        <w:tc>
          <w:tcPr>
            <w:tcW w:w="3687" w:type="dxa"/>
            <w:shd w:val="clear" w:color="auto" w:fill="C6EFCE"/>
            <w:noWrap/>
          </w:tcPr>
          <w:p w14:paraId="6E63783C"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ADEM 2025 Strategy and a medium-term work programme adopted. The objective shall be to mobilise the staff of ADEM (Agence pour le développement</w:t>
            </w:r>
            <w:r w:rsidRPr="00C82A63">
              <w:rPr>
                <w:rFonts w:ascii="Times New Roman" w:eastAsia="Times New Roman" w:hAnsi="Times New Roman" w:cs="Times New Roman"/>
                <w:noProof/>
                <w:color w:val="006100"/>
                <w:sz w:val="20"/>
                <w:szCs w:val="20"/>
                <w:lang w:val="cs-CZ" w:eastAsia="en-GB"/>
              </w:rPr>
              <w:t xml:space="preserve"> de l´emploi) </w:t>
            </w:r>
            <w:r w:rsidRPr="00C82A63">
              <w:rPr>
                <w:rFonts w:ascii="Times New Roman" w:eastAsia="Times New Roman" w:hAnsi="Times New Roman" w:cs="Times New Roman"/>
                <w:noProof/>
                <w:color w:val="006100"/>
                <w:sz w:val="20"/>
                <w:szCs w:val="20"/>
                <w:lang w:val="en-US" w:eastAsia="en-GB"/>
              </w:rPr>
              <w:t>to tackle the operational and digital transformation challenges brought about by ‘eADEM’.</w:t>
            </w:r>
          </w:p>
        </w:tc>
      </w:tr>
      <w:tr w:rsidR="009823F0" w:rsidRPr="00443C86" w14:paraId="730BB676" w14:textId="77777777" w:rsidTr="00DB0376">
        <w:trPr>
          <w:trHeight w:val="309"/>
          <w:jc w:val="center"/>
        </w:trPr>
        <w:tc>
          <w:tcPr>
            <w:tcW w:w="1117" w:type="dxa"/>
            <w:shd w:val="clear" w:color="auto" w:fill="C6EFCE"/>
            <w:noWrap/>
          </w:tcPr>
          <w:p w14:paraId="56A66FD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US" w:eastAsia="en-GB"/>
              </w:rPr>
              <w:t>12</w:t>
            </w:r>
          </w:p>
        </w:tc>
        <w:tc>
          <w:tcPr>
            <w:tcW w:w="1437" w:type="dxa"/>
            <w:shd w:val="clear" w:color="auto" w:fill="C6EFCE"/>
            <w:noWrap/>
          </w:tcPr>
          <w:p w14:paraId="4A1C9DE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3 - ‘MyADEM’</w:t>
            </w:r>
          </w:p>
        </w:tc>
        <w:tc>
          <w:tcPr>
            <w:tcW w:w="1120" w:type="dxa"/>
            <w:shd w:val="clear" w:color="auto" w:fill="C6EFCE"/>
            <w:noWrap/>
          </w:tcPr>
          <w:p w14:paraId="46E3C11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eastAsia="en-GB"/>
              </w:rPr>
              <w:t>Milestone</w:t>
            </w:r>
          </w:p>
        </w:tc>
        <w:tc>
          <w:tcPr>
            <w:tcW w:w="1938" w:type="dxa"/>
            <w:shd w:val="clear" w:color="auto" w:fill="C6EFCE"/>
            <w:noWrap/>
          </w:tcPr>
          <w:p w14:paraId="2A72DB4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Digital administrative procedures linked to MyADEM</w:t>
            </w:r>
          </w:p>
        </w:tc>
        <w:tc>
          <w:tcPr>
            <w:tcW w:w="1483" w:type="dxa"/>
            <w:shd w:val="clear" w:color="auto" w:fill="C6EFCE"/>
            <w:noWrap/>
          </w:tcPr>
          <w:p w14:paraId="135329C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Digital administrative procedures linked to MyADEM</w:t>
            </w:r>
          </w:p>
        </w:tc>
        <w:tc>
          <w:tcPr>
            <w:tcW w:w="938" w:type="dxa"/>
            <w:shd w:val="clear" w:color="auto" w:fill="C6EFCE"/>
            <w:noWrap/>
          </w:tcPr>
          <w:p w14:paraId="7876A23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7A39F98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1D26E9C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78E3CF4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Q2</w:t>
            </w:r>
          </w:p>
        </w:tc>
        <w:tc>
          <w:tcPr>
            <w:tcW w:w="1383" w:type="dxa"/>
            <w:shd w:val="clear" w:color="auto" w:fill="C6EFCE"/>
            <w:noWrap/>
          </w:tcPr>
          <w:p w14:paraId="5694FD3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2026</w:t>
            </w:r>
          </w:p>
        </w:tc>
        <w:tc>
          <w:tcPr>
            <w:tcW w:w="3687" w:type="dxa"/>
            <w:shd w:val="clear" w:color="auto" w:fill="C6EFCE"/>
            <w:noWrap/>
          </w:tcPr>
          <w:p w14:paraId="2CC3EA99"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Digital administrative procedures linked to MyADEM are accessible via MyGuichet.</w:t>
            </w:r>
          </w:p>
        </w:tc>
      </w:tr>
      <w:tr w:rsidR="009823F0" w:rsidRPr="00443C86" w14:paraId="7F9A148A" w14:textId="77777777" w:rsidTr="00DB0376">
        <w:trPr>
          <w:trHeight w:val="309"/>
          <w:jc w:val="center"/>
        </w:trPr>
        <w:tc>
          <w:tcPr>
            <w:tcW w:w="1117" w:type="dxa"/>
            <w:shd w:val="clear" w:color="auto" w:fill="C6EFCE"/>
            <w:noWrap/>
          </w:tcPr>
          <w:p w14:paraId="2363C6A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IE"/>
              </w:rPr>
              <w:t>3B-</w:t>
            </w:r>
            <w:r w:rsidRPr="00C82A63">
              <w:rPr>
                <w:rFonts w:ascii="Times New Roman" w:eastAsia="Times New Roman" w:hAnsi="Times New Roman" w:cs="Times New Roman"/>
                <w:noProof/>
                <w:color w:val="006100"/>
                <w:sz w:val="20"/>
                <w:szCs w:val="20"/>
                <w:lang w:val="en-IE" w:eastAsia="en-GB"/>
              </w:rPr>
              <w:t>13</w:t>
            </w:r>
          </w:p>
        </w:tc>
        <w:tc>
          <w:tcPr>
            <w:tcW w:w="1437" w:type="dxa"/>
            <w:shd w:val="clear" w:color="auto" w:fill="C6EFCE"/>
            <w:noWrap/>
          </w:tcPr>
          <w:p w14:paraId="45C7C86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Investment 4 – National platform for the management of public investigations</w:t>
            </w:r>
          </w:p>
        </w:tc>
        <w:tc>
          <w:tcPr>
            <w:tcW w:w="1120" w:type="dxa"/>
            <w:shd w:val="clear" w:color="auto" w:fill="C6EFCE"/>
            <w:noWrap/>
          </w:tcPr>
          <w:p w14:paraId="1C60274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Milestone</w:t>
            </w:r>
          </w:p>
        </w:tc>
        <w:tc>
          <w:tcPr>
            <w:tcW w:w="1938" w:type="dxa"/>
            <w:shd w:val="clear" w:color="auto" w:fill="C6EFCE"/>
            <w:noWrap/>
          </w:tcPr>
          <w:p w14:paraId="2FCFC56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Creation of a national platform for the management and publication of public surveys and related documents</w:t>
            </w:r>
          </w:p>
        </w:tc>
        <w:tc>
          <w:tcPr>
            <w:tcW w:w="1483" w:type="dxa"/>
            <w:shd w:val="clear" w:color="auto" w:fill="C6EFCE"/>
            <w:noWrap/>
          </w:tcPr>
          <w:p w14:paraId="50D4EED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Creation of a national platform</w:t>
            </w:r>
          </w:p>
        </w:tc>
        <w:tc>
          <w:tcPr>
            <w:tcW w:w="938" w:type="dxa"/>
            <w:shd w:val="clear" w:color="auto" w:fill="C6EFCE"/>
            <w:noWrap/>
          </w:tcPr>
          <w:p w14:paraId="13DC641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28" w:type="dxa"/>
            <w:shd w:val="clear" w:color="auto" w:fill="C6EFCE"/>
            <w:noWrap/>
          </w:tcPr>
          <w:p w14:paraId="08F864A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678" w:type="dxa"/>
            <w:shd w:val="clear" w:color="auto" w:fill="C6EFCE"/>
            <w:noWrap/>
          </w:tcPr>
          <w:p w14:paraId="3C3936A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16" w:type="dxa"/>
            <w:shd w:val="clear" w:color="auto" w:fill="C6EFCE"/>
            <w:noWrap/>
          </w:tcPr>
          <w:p w14:paraId="79F2670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Q1</w:t>
            </w:r>
          </w:p>
        </w:tc>
        <w:tc>
          <w:tcPr>
            <w:tcW w:w="1383" w:type="dxa"/>
            <w:shd w:val="clear" w:color="auto" w:fill="C6EFCE"/>
            <w:noWrap/>
          </w:tcPr>
          <w:p w14:paraId="63685B6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2021</w:t>
            </w:r>
          </w:p>
        </w:tc>
        <w:tc>
          <w:tcPr>
            <w:tcW w:w="3687" w:type="dxa"/>
            <w:shd w:val="clear" w:color="auto" w:fill="C6EFCE"/>
            <w:noWrap/>
          </w:tcPr>
          <w:p w14:paraId="3586633E"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A national platform shall be available to all public administrations organising public surveys with the key functionalities, including the management and publication of public surveys and related documents and the possibility for the general public to submit an online contribution.</w:t>
            </w:r>
          </w:p>
        </w:tc>
      </w:tr>
    </w:tbl>
    <w:p w14:paraId="54630DEB"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92"/>
          <w:headerReference w:type="default" r:id="rId93"/>
          <w:footerReference w:type="even" r:id="rId94"/>
          <w:footerReference w:type="default" r:id="rId95"/>
          <w:headerReference w:type="first" r:id="rId96"/>
          <w:footerReference w:type="first" r:id="rId97"/>
          <w:pgSz w:w="16839" w:h="11907" w:orient="landscape"/>
          <w:pgMar w:top="720" w:right="720" w:bottom="720" w:left="720" w:header="709" w:footer="709" w:gutter="0"/>
          <w:cols w:space="720"/>
          <w:docGrid w:linePitch="360"/>
        </w:sectPr>
      </w:pPr>
    </w:p>
    <w:p w14:paraId="7719C9D5" w14:textId="77777777" w:rsidR="009823F0" w:rsidRPr="00C82A63" w:rsidRDefault="009823F0" w:rsidP="009823F0">
      <w:pPr>
        <w:spacing w:before="120" w:after="120" w:line="240" w:lineRule="auto"/>
        <w:jc w:val="both"/>
        <w:rPr>
          <w:rFonts w:ascii="Times New Roman" w:hAnsi="Times New Roman" w:cs="Times New Roman"/>
          <w:b/>
          <w:bCs/>
          <w:noProof/>
          <w:sz w:val="24"/>
          <w:lang w:val="en-IE"/>
        </w:rPr>
      </w:pPr>
      <w:r w:rsidRPr="00C82A63">
        <w:rPr>
          <w:rFonts w:ascii="Times New Roman" w:hAnsi="Times New Roman" w:cs="Times New Roman"/>
          <w:b/>
          <w:bCs/>
          <w:noProof/>
          <w:sz w:val="24"/>
          <w:lang w:val="en-IE"/>
        </w:rPr>
        <w:t xml:space="preserve">H. COMPONENT 3C: Promotion of a transparent and fair economy </w:t>
      </w:r>
    </w:p>
    <w:p w14:paraId="3360EBF0"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This component </w:t>
      </w:r>
      <w:r w:rsidRPr="00C82A63">
        <w:rPr>
          <w:rFonts w:ascii="Times New Roman" w:hAnsi="Times New Roman" w:cs="Times New Roman"/>
          <w:noProof/>
          <w:color w:val="000000"/>
          <w:sz w:val="24"/>
          <w:lang w:val="en-IE"/>
        </w:rPr>
        <w:t xml:space="preserve">of Luxembourg’s recovery and resilience plan </w:t>
      </w:r>
      <w:r w:rsidRPr="00C82A63">
        <w:rPr>
          <w:rFonts w:ascii="Times New Roman" w:hAnsi="Times New Roman" w:cs="Times New Roman"/>
          <w:noProof/>
          <w:sz w:val="24"/>
          <w:lang w:val="en-IE"/>
        </w:rPr>
        <w:t>contains a measure related to the modernisation of corporate taxation, namely a law prohibiting deductions for corporate income tax purposes of interests and royalties paid to related undertakings established in jurisdictions included on the EU list of non-cooperative jurisdictions for tax purposes.</w:t>
      </w:r>
    </w:p>
    <w:p w14:paraId="28481DE5"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As a complement to that measure, the component indicates that Luxembourg will carry out an impact assessment of the above-mentioned law, ‘with a view to informing the discussion on an extension of the measure to third jurisdictions other than those included in the EU list on non-cooperative tax jurisdictions’.</w:t>
      </w:r>
    </w:p>
    <w:p w14:paraId="71AFAD82"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The component further indicates that Luxembourg will continue to adopt a constructive attitude in ongoing and upcoming discussions on the modernisation of the EU and international fiscal system applicable to companies, in particular as part of the OECD Inclusive Framework in the context of the initiatives announced in the recent Commission Communication “Business Taxation for the 21</w:t>
      </w:r>
      <w:r w:rsidRPr="00C82A63">
        <w:rPr>
          <w:rFonts w:ascii="Times New Roman" w:hAnsi="Times New Roman" w:cs="Times New Roman"/>
          <w:noProof/>
          <w:sz w:val="24"/>
          <w:vertAlign w:val="superscript"/>
          <w:lang w:val="en-IE"/>
        </w:rPr>
        <w:t>st</w:t>
      </w:r>
      <w:r w:rsidRPr="00C82A63">
        <w:rPr>
          <w:rFonts w:ascii="Times New Roman" w:hAnsi="Times New Roman" w:cs="Times New Roman"/>
          <w:noProof/>
          <w:sz w:val="24"/>
          <w:lang w:val="en-IE"/>
        </w:rPr>
        <w:t xml:space="preserve"> Century”.</w:t>
      </w:r>
    </w:p>
    <w:p w14:paraId="7BA053D3"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This component also contains measures on the fight of money laundering and terrorist financing, which are expected to contribute to the C</w:t>
      </w:r>
      <w:r w:rsidRPr="00C82A63">
        <w:rPr>
          <w:rFonts w:ascii="Times New Roman" w:hAnsi="Times New Roman" w:cs="Times New Roman"/>
          <w:noProof/>
          <w:color w:val="000000" w:themeColor="text1"/>
          <w:sz w:val="24"/>
          <w:lang w:val="en-IE"/>
        </w:rPr>
        <w:t>ountry-Specific Recommendation</w:t>
      </w:r>
      <w:r w:rsidRPr="00C82A63">
        <w:rPr>
          <w:rFonts w:ascii="Times New Roman" w:hAnsi="Times New Roman" w:cs="Times New Roman"/>
          <w:noProof/>
          <w:sz w:val="24"/>
          <w:lang w:val="en-IE"/>
        </w:rPr>
        <w:t xml:space="preserve"> to ensure effective supervision and enforcement of the anti-money laundering framework as regards professionals providing trust and company services, and investment services. </w:t>
      </w:r>
    </w:p>
    <w:p w14:paraId="50BCD2BE"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6ED9E0F"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14D599E4" w14:textId="77777777" w:rsidR="009823F0" w:rsidRPr="00C82A63" w:rsidRDefault="009823F0" w:rsidP="009823F0">
      <w:pPr>
        <w:spacing w:before="120" w:after="120" w:line="240" w:lineRule="auto"/>
        <w:jc w:val="both"/>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H.1. </w:t>
      </w:r>
      <w:r w:rsidRPr="00C82A63">
        <w:rPr>
          <w:rFonts w:ascii="Times New Roman" w:hAnsi="Times New Roman" w:cs="Times New Roman"/>
          <w:b/>
          <w:bCs/>
          <w:noProof/>
          <w:sz w:val="24"/>
          <w:u w:val="single"/>
          <w:lang w:val="en-IE"/>
        </w:rPr>
        <w:tab/>
        <w:t>Description of the reforms and investments for non-repayable financial support</w:t>
      </w:r>
    </w:p>
    <w:p w14:paraId="617D7DCB" w14:textId="77777777" w:rsidR="009823F0" w:rsidRPr="00C82A63" w:rsidRDefault="009823F0" w:rsidP="009823F0">
      <w:pPr>
        <w:spacing w:before="120" w:after="120" w:line="240" w:lineRule="auto"/>
        <w:jc w:val="both"/>
        <w:rPr>
          <w:rFonts w:ascii="Times New Roman" w:hAnsi="Times New Roman" w:cs="Times New Roman"/>
          <w:noProof/>
          <w:sz w:val="24"/>
          <w:u w:val="single"/>
          <w:lang w:val="en-IE"/>
        </w:rPr>
      </w:pPr>
      <w:r w:rsidRPr="00C82A63">
        <w:rPr>
          <w:rFonts w:ascii="Times New Roman" w:hAnsi="Times New Roman" w:cs="Times New Roman"/>
          <w:noProof/>
          <w:sz w:val="24"/>
          <w:u w:val="single"/>
          <w:lang w:val="en-IE"/>
        </w:rPr>
        <w:t xml:space="preserve">Reform 1: Modernisation of corporate taxation </w:t>
      </w:r>
    </w:p>
    <w:p w14:paraId="264FB6E7"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 xml:space="preserve">This reform consists of a legislative measure prohibiting deductions for corporate income tax purposes of interests and royalties paid to related undertakings established in jurisdictions included on the EU list of non-cooperative jurisdictions for tax purposes. This reform </w:t>
      </w:r>
      <w:r w:rsidRPr="00C82A63">
        <w:rPr>
          <w:rFonts w:ascii="Times New Roman" w:eastAsiaTheme="minorEastAsia" w:hAnsi="Times New Roman" w:cs="Times New Roman"/>
          <w:noProof/>
          <w:sz w:val="24"/>
          <w:szCs w:val="24"/>
          <w:lang w:val="en-IE"/>
        </w:rPr>
        <w:t xml:space="preserve">implements an agreement reached at the EU Council in December 2019. </w:t>
      </w:r>
    </w:p>
    <w:p w14:paraId="5B2893CF"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3EBB4883" w14:textId="77777777" w:rsidR="009823F0" w:rsidRPr="00C82A63" w:rsidRDefault="009823F0" w:rsidP="009823F0">
      <w:pPr>
        <w:spacing w:before="120" w:after="120" w:line="240" w:lineRule="auto"/>
        <w:jc w:val="both"/>
        <w:rPr>
          <w:rFonts w:ascii="Times New Roman" w:hAnsi="Times New Roman" w:cs="Times New Roman"/>
          <w:noProof/>
          <w:sz w:val="24"/>
          <w:szCs w:val="24"/>
          <w:u w:val="single"/>
          <w:lang w:val="en-IE"/>
        </w:rPr>
      </w:pPr>
      <w:r w:rsidRPr="00C82A63">
        <w:rPr>
          <w:rFonts w:ascii="Times New Roman" w:hAnsi="Times New Roman" w:cs="Times New Roman"/>
          <w:noProof/>
          <w:sz w:val="24"/>
          <w:szCs w:val="24"/>
          <w:u w:val="single"/>
          <w:lang w:val="en-IE"/>
        </w:rPr>
        <w:t>Reform 2: Fight of money laundering and terrorist financing</w:t>
      </w:r>
    </w:p>
    <w:p w14:paraId="31D99B0A" w14:textId="5CAC6C38"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The objective of this reform is to</w:t>
      </w:r>
      <w:r w:rsidR="00A17CDD">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reinforce the framework for fighting money laundering (ML) and terrorist financing (TF) that is applicable to professionals providing trust and company services, and investment services.</w:t>
      </w:r>
    </w:p>
    <w:p w14:paraId="041D931F" w14:textId="3EE7EE8B"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The</w:t>
      </w:r>
      <w:r w:rsidR="00A17CDD">
        <w:rPr>
          <w:rFonts w:ascii="Times New Roman" w:hAnsi="Times New Roman" w:cs="Times New Roman"/>
          <w:noProof/>
          <w:sz w:val="24"/>
          <w:lang w:val="en-IE"/>
        </w:rPr>
        <w:t xml:space="preserve"> </w:t>
      </w:r>
      <w:r w:rsidRPr="00C82A63">
        <w:rPr>
          <w:rFonts w:ascii="Times New Roman" w:hAnsi="Times New Roman" w:cs="Times New Roman"/>
          <w:noProof/>
          <w:sz w:val="24"/>
          <w:lang w:val="en-IE"/>
        </w:rPr>
        <w:t>related measures consist in the reinforcement of the national provisions on the fight against ML and TF, the publication of ML/TF risk assessments, the revision of the legislative framework and digital tools of the Luxembourg Business Register and the reinforcement of the legal framework applicable to trust and company service providers.</w:t>
      </w:r>
    </w:p>
    <w:p w14:paraId="7DA1C07C"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4162460A"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7225C42C" w14:textId="77777777" w:rsidR="009823F0" w:rsidRPr="00C82A63" w:rsidRDefault="009823F0" w:rsidP="009823F0">
      <w:pPr>
        <w:spacing w:before="120" w:after="120" w:line="240" w:lineRule="auto"/>
        <w:ind w:left="709"/>
        <w:jc w:val="both"/>
        <w:rPr>
          <w:rFonts w:ascii="Times New Roman" w:hAnsi="Times New Roman" w:cs="Times New Roman"/>
          <w:noProof/>
          <w:sz w:val="24"/>
          <w:lang w:val="en-IE"/>
        </w:rPr>
        <w:sectPr w:rsidR="009823F0" w:rsidRPr="00C82A63" w:rsidSect="009823F0">
          <w:headerReference w:type="even" r:id="rId98"/>
          <w:headerReference w:type="default" r:id="rId99"/>
          <w:footerReference w:type="even" r:id="rId100"/>
          <w:footerReference w:type="default" r:id="rId101"/>
          <w:headerReference w:type="first" r:id="rId102"/>
          <w:footerReference w:type="first" r:id="rId103"/>
          <w:pgSz w:w="11907" w:h="16839"/>
          <w:pgMar w:top="1134" w:right="1417" w:bottom="1134" w:left="1417" w:header="709" w:footer="709" w:gutter="0"/>
          <w:cols w:space="720"/>
          <w:docGrid w:linePitch="360"/>
        </w:sectPr>
      </w:pPr>
    </w:p>
    <w:p w14:paraId="2DE3C452" w14:textId="77777777" w:rsidR="009823F0" w:rsidRPr="00C82A63" w:rsidRDefault="009823F0" w:rsidP="00DB0376">
      <w:pPr>
        <w:spacing w:before="120" w:after="120" w:line="240" w:lineRule="auto"/>
        <w:jc w:val="center"/>
        <w:rPr>
          <w:rFonts w:ascii="Times New Roman" w:hAnsi="Times New Roman" w:cs="Times New Roman"/>
          <w:b/>
          <w:bCs/>
          <w:noProof/>
          <w:sz w:val="24"/>
          <w:u w:val="single"/>
          <w:lang w:val="en-IE"/>
        </w:rPr>
      </w:pPr>
      <w:r w:rsidRPr="00C82A63">
        <w:rPr>
          <w:rFonts w:ascii="Times New Roman" w:hAnsi="Times New Roman" w:cs="Times New Roman"/>
          <w:b/>
          <w:bCs/>
          <w:noProof/>
          <w:sz w:val="24"/>
          <w:u w:val="single"/>
          <w:lang w:val="en-IE"/>
        </w:rPr>
        <w:t xml:space="preserve">H.2.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502" w:type="dxa"/>
        <w:jc w:val="center"/>
        <w:tblLayout w:type="fixed"/>
        <w:tblLook w:val="04A0" w:firstRow="1" w:lastRow="0" w:firstColumn="1" w:lastColumn="0" w:noHBand="0" w:noVBand="1"/>
      </w:tblPr>
      <w:tblGrid>
        <w:gridCol w:w="1256"/>
        <w:gridCol w:w="1461"/>
        <w:gridCol w:w="1163"/>
        <w:gridCol w:w="1672"/>
        <w:gridCol w:w="1418"/>
        <w:gridCol w:w="975"/>
        <w:gridCol w:w="933"/>
        <w:gridCol w:w="756"/>
        <w:gridCol w:w="993"/>
        <w:gridCol w:w="763"/>
        <w:gridCol w:w="4112"/>
      </w:tblGrid>
      <w:tr w:rsidR="009823F0" w:rsidRPr="00443C86" w14:paraId="49C54992" w14:textId="77777777" w:rsidTr="00604CBD">
        <w:trPr>
          <w:trHeight w:val="927"/>
          <w:tblHeader/>
          <w:jc w:val="center"/>
        </w:trPr>
        <w:tc>
          <w:tcPr>
            <w:tcW w:w="12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EF4CD7"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4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639FC9"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F5A707" w14:textId="6AFD29CE"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6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159C8C"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237B00"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eastAsia="Times New Roman" w:hAnsi="Times New Roman" w:cs="Times New Roman"/>
                <w:b/>
                <w:bCs/>
                <w:noProof/>
                <w:sz w:val="20"/>
                <w:szCs w:val="20"/>
                <w:lang w:eastAsia="en-GB"/>
              </w:rPr>
              <w:br/>
              <w:t>(for milestones)</w:t>
            </w:r>
          </w:p>
        </w:tc>
        <w:tc>
          <w:tcPr>
            <w:tcW w:w="266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732AE88"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eastAsia="Times New Roman" w:hAnsi="Times New Roman" w:cs="Times New Roman"/>
                <w:b/>
                <w:bCs/>
                <w:noProof/>
                <w:sz w:val="20"/>
                <w:szCs w:val="20"/>
                <w:lang w:eastAsia="en-GB"/>
              </w:rPr>
              <w:br/>
              <w:t>(for targets)</w:t>
            </w:r>
          </w:p>
        </w:tc>
        <w:tc>
          <w:tcPr>
            <w:tcW w:w="175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E5E50E0" w14:textId="1C2C7A38"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Indicative timeline for completion</w:t>
            </w:r>
          </w:p>
        </w:tc>
        <w:tc>
          <w:tcPr>
            <w:tcW w:w="41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51876D"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6475C499" w14:textId="77777777" w:rsidTr="00604CBD">
        <w:trPr>
          <w:trHeight w:val="1013"/>
          <w:tblHeader/>
          <w:jc w:val="center"/>
        </w:trPr>
        <w:tc>
          <w:tcPr>
            <w:tcW w:w="1256" w:type="dxa"/>
            <w:vMerge/>
            <w:tcBorders>
              <w:top w:val="single" w:sz="4" w:space="0" w:color="auto"/>
              <w:left w:val="single" w:sz="4" w:space="0" w:color="auto"/>
              <w:bottom w:val="single" w:sz="4" w:space="0" w:color="auto"/>
              <w:right w:val="single" w:sz="4" w:space="0" w:color="auto"/>
            </w:tcBorders>
            <w:vAlign w:val="center"/>
            <w:hideMark/>
          </w:tcPr>
          <w:p w14:paraId="30A4523D" w14:textId="77777777" w:rsidR="009823F0" w:rsidRPr="00C82A63" w:rsidRDefault="009823F0" w:rsidP="00DB0376">
            <w:pPr>
              <w:spacing w:after="0" w:line="240" w:lineRule="auto"/>
              <w:jc w:val="center"/>
              <w:rPr>
                <w:rFonts w:ascii="Times New Roman" w:eastAsia="Times New Roman" w:hAnsi="Times New Roman" w:cs="Times New Roman"/>
                <w:b/>
                <w:noProof/>
                <w:sz w:val="20"/>
                <w:szCs w:val="20"/>
                <w:lang w:val="en-IE" w:eastAsia="en-GB"/>
              </w:rPr>
            </w:pPr>
          </w:p>
        </w:tc>
        <w:tc>
          <w:tcPr>
            <w:tcW w:w="1461" w:type="dxa"/>
            <w:vMerge/>
            <w:tcBorders>
              <w:top w:val="single" w:sz="4" w:space="0" w:color="auto"/>
              <w:left w:val="single" w:sz="4" w:space="0" w:color="auto"/>
              <w:bottom w:val="single" w:sz="4" w:space="0" w:color="auto"/>
              <w:right w:val="single" w:sz="4" w:space="0" w:color="auto"/>
            </w:tcBorders>
            <w:vAlign w:val="center"/>
            <w:hideMark/>
          </w:tcPr>
          <w:p w14:paraId="2AF3ACBA"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613628BF" w14:textId="77777777" w:rsidR="009823F0" w:rsidRPr="00C82A63" w:rsidRDefault="009823F0" w:rsidP="00DB0376">
            <w:pPr>
              <w:spacing w:after="0" w:line="240" w:lineRule="auto"/>
              <w:jc w:val="center"/>
              <w:rPr>
                <w:rFonts w:ascii="Times New Roman" w:eastAsia="Times New Roman" w:hAnsi="Times New Roman" w:cs="Times New Roman"/>
                <w:b/>
                <w:noProof/>
                <w:sz w:val="20"/>
                <w:szCs w:val="20"/>
                <w:lang w:val="en-IE" w:eastAsia="en-GB"/>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14:paraId="75C604AB"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8AE19CB"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9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205C62"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33" w:type="dxa"/>
            <w:tcBorders>
              <w:top w:val="single" w:sz="4" w:space="0" w:color="auto"/>
              <w:left w:val="nil"/>
              <w:bottom w:val="single" w:sz="4" w:space="0" w:color="auto"/>
              <w:right w:val="single" w:sz="4" w:space="0" w:color="auto"/>
            </w:tcBorders>
            <w:shd w:val="clear" w:color="auto" w:fill="BDD7EE"/>
            <w:vAlign w:val="center"/>
            <w:hideMark/>
          </w:tcPr>
          <w:p w14:paraId="2684FB10" w14:textId="0876DB9C"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Baseline</w:t>
            </w:r>
          </w:p>
        </w:tc>
        <w:tc>
          <w:tcPr>
            <w:tcW w:w="756" w:type="dxa"/>
            <w:tcBorders>
              <w:top w:val="single" w:sz="4" w:space="0" w:color="auto"/>
              <w:left w:val="nil"/>
              <w:bottom w:val="single" w:sz="4" w:space="0" w:color="auto"/>
              <w:right w:val="single" w:sz="4" w:space="0" w:color="auto"/>
            </w:tcBorders>
            <w:shd w:val="clear" w:color="auto" w:fill="BDD7EE"/>
            <w:vAlign w:val="center"/>
            <w:hideMark/>
          </w:tcPr>
          <w:p w14:paraId="56A05806" w14:textId="52D3A34C"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Goal</w:t>
            </w:r>
          </w:p>
        </w:tc>
        <w:tc>
          <w:tcPr>
            <w:tcW w:w="993" w:type="dxa"/>
            <w:tcBorders>
              <w:top w:val="single" w:sz="4" w:space="0" w:color="auto"/>
              <w:left w:val="nil"/>
              <w:bottom w:val="single" w:sz="4" w:space="0" w:color="auto"/>
              <w:right w:val="single" w:sz="4" w:space="0" w:color="auto"/>
            </w:tcBorders>
            <w:shd w:val="clear" w:color="auto" w:fill="BDD7EE"/>
            <w:vAlign w:val="center"/>
            <w:hideMark/>
          </w:tcPr>
          <w:p w14:paraId="605DB565"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763" w:type="dxa"/>
            <w:tcBorders>
              <w:top w:val="single" w:sz="4" w:space="0" w:color="auto"/>
              <w:left w:val="nil"/>
              <w:bottom w:val="single" w:sz="4" w:space="0" w:color="auto"/>
              <w:right w:val="single" w:sz="4" w:space="0" w:color="auto"/>
            </w:tcBorders>
            <w:shd w:val="clear" w:color="auto" w:fill="BDD7EE"/>
            <w:vAlign w:val="center"/>
            <w:hideMark/>
          </w:tcPr>
          <w:p w14:paraId="0604CE05" w14:textId="77777777" w:rsidR="009823F0" w:rsidRPr="00C82A63" w:rsidRDefault="009823F0" w:rsidP="00DB0376">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4112" w:type="dxa"/>
            <w:vMerge/>
            <w:tcBorders>
              <w:top w:val="single" w:sz="4" w:space="0" w:color="auto"/>
              <w:bottom w:val="single" w:sz="4" w:space="0" w:color="auto"/>
              <w:right w:val="single" w:sz="4" w:space="0" w:color="auto"/>
            </w:tcBorders>
            <w:vAlign w:val="center"/>
            <w:hideMark/>
          </w:tcPr>
          <w:p w14:paraId="01603FA1" w14:textId="77777777" w:rsidR="009823F0" w:rsidRPr="00C82A63" w:rsidRDefault="009823F0" w:rsidP="00DB0376">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0E97EBC6" w14:textId="77777777" w:rsidTr="00DB0376">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15041BD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3C-1</w:t>
            </w:r>
          </w:p>
        </w:tc>
        <w:tc>
          <w:tcPr>
            <w:tcW w:w="1461" w:type="dxa"/>
            <w:tcBorders>
              <w:top w:val="single" w:sz="4" w:space="0" w:color="auto"/>
              <w:left w:val="nil"/>
              <w:bottom w:val="single" w:sz="4" w:space="0" w:color="auto"/>
              <w:right w:val="single" w:sz="4" w:space="0" w:color="auto"/>
            </w:tcBorders>
            <w:shd w:val="clear" w:color="auto" w:fill="C6EFCE"/>
            <w:noWrap/>
          </w:tcPr>
          <w:p w14:paraId="59ADE35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Reform 1 – Modernisation of corporate taxation</w:t>
            </w:r>
          </w:p>
        </w:tc>
        <w:tc>
          <w:tcPr>
            <w:tcW w:w="1163" w:type="dxa"/>
            <w:tcBorders>
              <w:top w:val="single" w:sz="4" w:space="0" w:color="auto"/>
              <w:left w:val="nil"/>
              <w:bottom w:val="single" w:sz="4" w:space="0" w:color="auto"/>
              <w:right w:val="single" w:sz="4" w:space="0" w:color="auto"/>
            </w:tcBorders>
            <w:shd w:val="clear" w:color="auto" w:fill="C6EFCE"/>
            <w:noWrap/>
          </w:tcPr>
          <w:p w14:paraId="7EF8978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single" w:sz="4" w:space="0" w:color="auto"/>
              <w:left w:val="nil"/>
              <w:bottom w:val="single" w:sz="4" w:space="0" w:color="auto"/>
              <w:right w:val="single" w:sz="4" w:space="0" w:color="auto"/>
            </w:tcBorders>
            <w:shd w:val="clear" w:color="auto" w:fill="C6EFCE"/>
            <w:noWrap/>
          </w:tcPr>
          <w:p w14:paraId="21DA75C8" w14:textId="2BE6DF6D"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Act of 10</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February</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2021</w:t>
            </w:r>
            <w:r w:rsidRPr="00C82A63">
              <w:rPr>
                <w:rFonts w:ascii="Times New Roman" w:hAnsi="Times New Roman" w:cs="Times New Roman"/>
                <w:noProof/>
                <w:sz w:val="24"/>
                <w:lang w:val="en-IE"/>
              </w:rPr>
              <w:t xml:space="preserve"> </w:t>
            </w:r>
            <w:r w:rsidRPr="00C82A63">
              <w:rPr>
                <w:rFonts w:ascii="Times New Roman" w:eastAsia="Times New Roman" w:hAnsi="Times New Roman" w:cs="Times New Roman"/>
                <w:noProof/>
                <w:color w:val="006100"/>
                <w:sz w:val="20"/>
                <w:szCs w:val="20"/>
                <w:lang w:val="en-IE" w:eastAsia="en-GB"/>
              </w:rPr>
              <w:t>amending the amended act of 4</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December</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 xml:space="preserve">1967 on income tax (formerly draft act No°7547) </w:t>
            </w:r>
          </w:p>
        </w:tc>
        <w:tc>
          <w:tcPr>
            <w:tcW w:w="1418" w:type="dxa"/>
            <w:tcBorders>
              <w:top w:val="single" w:sz="4" w:space="0" w:color="auto"/>
              <w:left w:val="nil"/>
              <w:bottom w:val="single" w:sz="4" w:space="0" w:color="auto"/>
              <w:right w:val="single" w:sz="4" w:space="0" w:color="auto"/>
            </w:tcBorders>
            <w:shd w:val="clear" w:color="auto" w:fill="C6EFCE"/>
            <w:noWrap/>
          </w:tcPr>
          <w:p w14:paraId="54E53BD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Entry into force of act</w:t>
            </w:r>
          </w:p>
        </w:tc>
        <w:tc>
          <w:tcPr>
            <w:tcW w:w="975" w:type="dxa"/>
            <w:tcBorders>
              <w:top w:val="nil"/>
              <w:left w:val="nil"/>
              <w:bottom w:val="single" w:sz="4" w:space="0" w:color="auto"/>
              <w:right w:val="single" w:sz="4" w:space="0" w:color="auto"/>
            </w:tcBorders>
            <w:shd w:val="clear" w:color="auto" w:fill="C6EFCE"/>
            <w:noWrap/>
          </w:tcPr>
          <w:p w14:paraId="7934A9A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t>
            </w:r>
          </w:p>
        </w:tc>
        <w:tc>
          <w:tcPr>
            <w:tcW w:w="933" w:type="dxa"/>
            <w:tcBorders>
              <w:top w:val="nil"/>
              <w:left w:val="nil"/>
              <w:bottom w:val="single" w:sz="4" w:space="0" w:color="auto"/>
              <w:right w:val="single" w:sz="4" w:space="0" w:color="auto"/>
            </w:tcBorders>
            <w:shd w:val="clear" w:color="auto" w:fill="C6EFCE"/>
            <w:noWrap/>
          </w:tcPr>
          <w:p w14:paraId="745E292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t>
            </w:r>
          </w:p>
        </w:tc>
        <w:tc>
          <w:tcPr>
            <w:tcW w:w="756" w:type="dxa"/>
            <w:tcBorders>
              <w:top w:val="nil"/>
              <w:left w:val="nil"/>
              <w:bottom w:val="single" w:sz="4" w:space="0" w:color="auto"/>
              <w:right w:val="single" w:sz="4" w:space="0" w:color="auto"/>
            </w:tcBorders>
            <w:shd w:val="clear" w:color="auto" w:fill="C6EFCE"/>
            <w:noWrap/>
          </w:tcPr>
          <w:p w14:paraId="5B5D151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w:t>
            </w:r>
          </w:p>
        </w:tc>
        <w:tc>
          <w:tcPr>
            <w:tcW w:w="993" w:type="dxa"/>
            <w:tcBorders>
              <w:top w:val="nil"/>
              <w:left w:val="nil"/>
              <w:bottom w:val="single" w:sz="4" w:space="0" w:color="auto"/>
              <w:right w:val="single" w:sz="4" w:space="0" w:color="auto"/>
            </w:tcBorders>
            <w:shd w:val="clear" w:color="auto" w:fill="C6EFCE"/>
            <w:noWrap/>
          </w:tcPr>
          <w:p w14:paraId="1CFE99B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Q1</w:t>
            </w:r>
          </w:p>
        </w:tc>
        <w:tc>
          <w:tcPr>
            <w:tcW w:w="763" w:type="dxa"/>
            <w:tcBorders>
              <w:top w:val="nil"/>
              <w:left w:val="nil"/>
              <w:bottom w:val="single" w:sz="4" w:space="0" w:color="auto"/>
              <w:right w:val="single" w:sz="4" w:space="0" w:color="auto"/>
            </w:tcBorders>
            <w:shd w:val="clear" w:color="auto" w:fill="C6EFCE"/>
            <w:noWrap/>
          </w:tcPr>
          <w:p w14:paraId="6E5C38E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112" w:type="dxa"/>
            <w:tcBorders>
              <w:top w:val="single" w:sz="4" w:space="0" w:color="auto"/>
              <w:left w:val="nil"/>
              <w:bottom w:val="single" w:sz="4" w:space="0" w:color="auto"/>
              <w:right w:val="single" w:sz="4" w:space="0" w:color="auto"/>
            </w:tcBorders>
            <w:shd w:val="clear" w:color="auto" w:fill="C6EFCE"/>
            <w:noWrap/>
          </w:tcPr>
          <w:p w14:paraId="62FFE8EE" w14:textId="766EC451"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Entry into force of the Act of 10</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February</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2021 amending the amended act of 4</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December</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 xml:space="preserve">1967 on income tax (formerly draft act No°7547) introducing </w:t>
            </w:r>
            <w:r w:rsidRPr="00C82A63">
              <w:rPr>
                <w:rFonts w:ascii="Times New Roman" w:eastAsia="Times New Roman" w:hAnsi="Times New Roman" w:cs="Times New Roman"/>
                <w:noProof/>
                <w:color w:val="006100"/>
                <w:sz w:val="20"/>
                <w:szCs w:val="20"/>
                <w:lang w:val="en-IE" w:eastAsia="en-GB"/>
              </w:rPr>
              <w:t xml:space="preserve">for corporate income tax purposes </w:t>
            </w:r>
            <w:r w:rsidRPr="00C82A63">
              <w:rPr>
                <w:rFonts w:ascii="Times New Roman" w:eastAsia="Times New Roman" w:hAnsi="Times New Roman" w:cs="Times New Roman"/>
                <w:noProof/>
                <w:color w:val="006100"/>
                <w:sz w:val="20"/>
                <w:szCs w:val="20"/>
                <w:lang w:val="en-US" w:eastAsia="en-GB"/>
              </w:rPr>
              <w:t>non-deductibility of interests and royalties paid to related undertakings established in non-cooperative tax jurisdictions. </w:t>
            </w:r>
          </w:p>
        </w:tc>
      </w:tr>
      <w:tr w:rsidR="009823F0" w:rsidRPr="00443C86" w14:paraId="5637060B"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753CC15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eastAsia="en-GB"/>
              </w:rPr>
              <w:t>2</w:t>
            </w:r>
          </w:p>
        </w:tc>
        <w:tc>
          <w:tcPr>
            <w:tcW w:w="1461" w:type="dxa"/>
            <w:tcBorders>
              <w:top w:val="nil"/>
              <w:left w:val="nil"/>
              <w:bottom w:val="single" w:sz="4" w:space="0" w:color="auto"/>
              <w:right w:val="single" w:sz="4" w:space="0" w:color="auto"/>
            </w:tcBorders>
            <w:shd w:val="clear" w:color="auto" w:fill="C6EFCE"/>
            <w:noWrap/>
          </w:tcPr>
          <w:p w14:paraId="36D1886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1F6AF65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65794B68" w14:textId="7C79849F"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Act of 25</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March</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2020 on AML</w:t>
            </w:r>
          </w:p>
        </w:tc>
        <w:tc>
          <w:tcPr>
            <w:tcW w:w="1418" w:type="dxa"/>
            <w:tcBorders>
              <w:top w:val="nil"/>
              <w:left w:val="nil"/>
              <w:bottom w:val="single" w:sz="4" w:space="0" w:color="auto"/>
              <w:right w:val="single" w:sz="4" w:space="0" w:color="auto"/>
            </w:tcBorders>
            <w:shd w:val="clear" w:color="auto" w:fill="C6EFCE"/>
            <w:noWrap/>
          </w:tcPr>
          <w:p w14:paraId="794ED2E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Entry into force of act</w:t>
            </w:r>
          </w:p>
        </w:tc>
        <w:tc>
          <w:tcPr>
            <w:tcW w:w="975" w:type="dxa"/>
            <w:tcBorders>
              <w:top w:val="nil"/>
              <w:left w:val="nil"/>
              <w:bottom w:val="single" w:sz="4" w:space="0" w:color="auto"/>
              <w:right w:val="single" w:sz="4" w:space="0" w:color="auto"/>
            </w:tcBorders>
            <w:shd w:val="clear" w:color="auto" w:fill="C6EFCE"/>
            <w:noWrap/>
          </w:tcPr>
          <w:p w14:paraId="5FFD1CD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933" w:type="dxa"/>
            <w:tcBorders>
              <w:top w:val="nil"/>
              <w:left w:val="nil"/>
              <w:bottom w:val="single" w:sz="4" w:space="0" w:color="auto"/>
              <w:right w:val="single" w:sz="4" w:space="0" w:color="auto"/>
            </w:tcBorders>
            <w:shd w:val="clear" w:color="auto" w:fill="C6EFCE"/>
            <w:noWrap/>
          </w:tcPr>
          <w:p w14:paraId="0C483DF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756" w:type="dxa"/>
            <w:tcBorders>
              <w:top w:val="nil"/>
              <w:left w:val="nil"/>
              <w:bottom w:val="single" w:sz="4" w:space="0" w:color="auto"/>
              <w:right w:val="single" w:sz="4" w:space="0" w:color="auto"/>
            </w:tcBorders>
            <w:shd w:val="clear" w:color="auto" w:fill="C6EFCE"/>
            <w:noWrap/>
          </w:tcPr>
          <w:p w14:paraId="4A7D3E9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tcBorders>
              <w:top w:val="nil"/>
              <w:left w:val="nil"/>
              <w:bottom w:val="single" w:sz="4" w:space="0" w:color="auto"/>
              <w:right w:val="single" w:sz="4" w:space="0" w:color="auto"/>
            </w:tcBorders>
            <w:shd w:val="clear" w:color="auto" w:fill="C6EFCE"/>
            <w:noWrap/>
          </w:tcPr>
          <w:p w14:paraId="41D6D9E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Q1</w:t>
            </w:r>
          </w:p>
        </w:tc>
        <w:tc>
          <w:tcPr>
            <w:tcW w:w="763" w:type="dxa"/>
            <w:tcBorders>
              <w:top w:val="nil"/>
              <w:left w:val="nil"/>
              <w:bottom w:val="single" w:sz="4" w:space="0" w:color="auto"/>
              <w:right w:val="single" w:sz="4" w:space="0" w:color="auto"/>
            </w:tcBorders>
            <w:shd w:val="clear" w:color="auto" w:fill="C6EFCE"/>
            <w:noWrap/>
          </w:tcPr>
          <w:p w14:paraId="6A71815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2020</w:t>
            </w:r>
          </w:p>
        </w:tc>
        <w:tc>
          <w:tcPr>
            <w:tcW w:w="4112" w:type="dxa"/>
            <w:tcBorders>
              <w:top w:val="nil"/>
              <w:left w:val="nil"/>
              <w:bottom w:val="single" w:sz="4" w:space="0" w:color="auto"/>
              <w:right w:val="single" w:sz="4" w:space="0" w:color="auto"/>
            </w:tcBorders>
            <w:shd w:val="clear" w:color="auto" w:fill="C6EFCE"/>
            <w:noWrap/>
          </w:tcPr>
          <w:p w14:paraId="1F7B3F45" w14:textId="0917FF20"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Entry into force of the Act of 25</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March</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2020 amending the amended act of 12</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November</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 xml:space="preserve">2004 on the fight against money laundering and terrorist financing. </w:t>
            </w:r>
          </w:p>
        </w:tc>
      </w:tr>
      <w:tr w:rsidR="009823F0" w:rsidRPr="00443C86" w14:paraId="41CF8BD0"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7EFB4E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eastAsia="en-GB"/>
              </w:rPr>
              <w:t>3</w:t>
            </w:r>
          </w:p>
        </w:tc>
        <w:tc>
          <w:tcPr>
            <w:tcW w:w="1461" w:type="dxa"/>
            <w:tcBorders>
              <w:top w:val="nil"/>
              <w:left w:val="nil"/>
              <w:bottom w:val="single" w:sz="4" w:space="0" w:color="auto"/>
              <w:right w:val="single" w:sz="4" w:space="0" w:color="auto"/>
            </w:tcBorders>
            <w:shd w:val="clear" w:color="auto" w:fill="C6EFCE"/>
            <w:noWrap/>
          </w:tcPr>
          <w:p w14:paraId="61FAF04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131243D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3EC1693F" w14:textId="64BA8C0B"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Grand-ducal decree of 14</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August</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 xml:space="preserve">2020 on AML </w:t>
            </w:r>
          </w:p>
        </w:tc>
        <w:tc>
          <w:tcPr>
            <w:tcW w:w="1418" w:type="dxa"/>
            <w:tcBorders>
              <w:top w:val="nil"/>
              <w:left w:val="nil"/>
              <w:bottom w:val="single" w:sz="4" w:space="0" w:color="auto"/>
              <w:right w:val="single" w:sz="4" w:space="0" w:color="auto"/>
            </w:tcBorders>
            <w:shd w:val="clear" w:color="auto" w:fill="C6EFCE"/>
            <w:noWrap/>
          </w:tcPr>
          <w:p w14:paraId="1CEF5D1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Entry into force of grand-ducal decree</w:t>
            </w:r>
          </w:p>
        </w:tc>
        <w:tc>
          <w:tcPr>
            <w:tcW w:w="975" w:type="dxa"/>
            <w:tcBorders>
              <w:top w:val="nil"/>
              <w:left w:val="nil"/>
              <w:bottom w:val="single" w:sz="4" w:space="0" w:color="auto"/>
              <w:right w:val="single" w:sz="4" w:space="0" w:color="auto"/>
            </w:tcBorders>
            <w:shd w:val="clear" w:color="auto" w:fill="C6EFCE"/>
            <w:noWrap/>
          </w:tcPr>
          <w:p w14:paraId="25D24472"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933" w:type="dxa"/>
            <w:tcBorders>
              <w:top w:val="nil"/>
              <w:left w:val="nil"/>
              <w:bottom w:val="single" w:sz="4" w:space="0" w:color="auto"/>
              <w:right w:val="single" w:sz="4" w:space="0" w:color="auto"/>
            </w:tcBorders>
            <w:shd w:val="clear" w:color="auto" w:fill="C6EFCE"/>
            <w:noWrap/>
          </w:tcPr>
          <w:p w14:paraId="0E98992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756" w:type="dxa"/>
            <w:tcBorders>
              <w:top w:val="nil"/>
              <w:left w:val="nil"/>
              <w:bottom w:val="single" w:sz="4" w:space="0" w:color="auto"/>
              <w:right w:val="single" w:sz="4" w:space="0" w:color="auto"/>
            </w:tcBorders>
            <w:shd w:val="clear" w:color="auto" w:fill="C6EFCE"/>
            <w:noWrap/>
          </w:tcPr>
          <w:p w14:paraId="0F37B7B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tcBorders>
              <w:top w:val="nil"/>
              <w:left w:val="nil"/>
              <w:bottom w:val="single" w:sz="4" w:space="0" w:color="auto"/>
              <w:right w:val="single" w:sz="4" w:space="0" w:color="auto"/>
            </w:tcBorders>
            <w:shd w:val="clear" w:color="auto" w:fill="C6EFCE"/>
            <w:noWrap/>
          </w:tcPr>
          <w:p w14:paraId="6790E0A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Q3</w:t>
            </w:r>
          </w:p>
        </w:tc>
        <w:tc>
          <w:tcPr>
            <w:tcW w:w="763" w:type="dxa"/>
            <w:tcBorders>
              <w:top w:val="nil"/>
              <w:left w:val="nil"/>
              <w:bottom w:val="single" w:sz="4" w:space="0" w:color="auto"/>
              <w:right w:val="single" w:sz="4" w:space="0" w:color="auto"/>
            </w:tcBorders>
            <w:shd w:val="clear" w:color="auto" w:fill="C6EFCE"/>
            <w:noWrap/>
          </w:tcPr>
          <w:p w14:paraId="3C07E87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2020</w:t>
            </w:r>
          </w:p>
        </w:tc>
        <w:tc>
          <w:tcPr>
            <w:tcW w:w="4112" w:type="dxa"/>
            <w:tcBorders>
              <w:top w:val="nil"/>
              <w:left w:val="nil"/>
              <w:bottom w:val="single" w:sz="4" w:space="0" w:color="auto"/>
              <w:right w:val="single" w:sz="4" w:space="0" w:color="auto"/>
            </w:tcBorders>
            <w:shd w:val="clear" w:color="auto" w:fill="C6EFCE"/>
            <w:noWrap/>
          </w:tcPr>
          <w:p w14:paraId="166F2AF4" w14:textId="3D030C41"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Entry into force of the Grand-ducal decree of 14</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August</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2020</w:t>
            </w:r>
            <w:r w:rsidR="00A17CDD">
              <w:rPr>
                <w:rFonts w:ascii="Times New Roman" w:eastAsia="Times New Roman" w:hAnsi="Times New Roman" w:cs="Times New Roman"/>
                <w:noProof/>
                <w:color w:val="006100"/>
                <w:sz w:val="20"/>
                <w:szCs w:val="20"/>
                <w:lang w:val="en-US" w:eastAsia="en-GB"/>
              </w:rPr>
              <w:t xml:space="preserve"> </w:t>
            </w:r>
            <w:r w:rsidRPr="00C82A63">
              <w:rPr>
                <w:rFonts w:ascii="Times New Roman" w:eastAsia="Times New Roman" w:hAnsi="Times New Roman" w:cs="Times New Roman"/>
                <w:noProof/>
                <w:color w:val="006100"/>
                <w:sz w:val="20"/>
                <w:szCs w:val="20"/>
                <w:lang w:val="en-US" w:eastAsia="en-GB"/>
              </w:rPr>
              <w:t>amending the Grand-ducal decree of 1</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February</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2010 specifying certain provisions of the amended Act of 12</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November</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US" w:eastAsia="en-GB"/>
              </w:rPr>
              <w:t xml:space="preserve">2004 on the fight against money laundering and terrorist financing. </w:t>
            </w:r>
          </w:p>
        </w:tc>
      </w:tr>
      <w:tr w:rsidR="009823F0" w:rsidRPr="00443C86" w14:paraId="095CEB8E"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523374B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val="en-US" w:eastAsia="en-GB"/>
              </w:rPr>
              <w:t>4</w:t>
            </w:r>
          </w:p>
        </w:tc>
        <w:tc>
          <w:tcPr>
            <w:tcW w:w="1461" w:type="dxa"/>
            <w:tcBorders>
              <w:top w:val="nil"/>
              <w:left w:val="nil"/>
              <w:bottom w:val="single" w:sz="4" w:space="0" w:color="auto"/>
              <w:right w:val="single" w:sz="4" w:space="0" w:color="auto"/>
            </w:tcBorders>
            <w:shd w:val="clear" w:color="auto" w:fill="C6EFCE"/>
            <w:noWrap/>
          </w:tcPr>
          <w:p w14:paraId="1B12701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2D64199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7436CF3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 xml:space="preserve">Vertical risk assessment in the area of terrorist financing </w:t>
            </w:r>
          </w:p>
        </w:tc>
        <w:tc>
          <w:tcPr>
            <w:tcW w:w="1418" w:type="dxa"/>
            <w:tcBorders>
              <w:top w:val="nil"/>
              <w:left w:val="nil"/>
              <w:bottom w:val="single" w:sz="4" w:space="0" w:color="auto"/>
              <w:right w:val="single" w:sz="4" w:space="0" w:color="auto"/>
            </w:tcBorders>
            <w:shd w:val="clear" w:color="auto" w:fill="C6EFCE"/>
            <w:noWrap/>
          </w:tcPr>
          <w:p w14:paraId="75B903A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 xml:space="preserve">Publication of risk assessment </w:t>
            </w:r>
          </w:p>
        </w:tc>
        <w:tc>
          <w:tcPr>
            <w:tcW w:w="975" w:type="dxa"/>
            <w:tcBorders>
              <w:top w:val="nil"/>
              <w:left w:val="nil"/>
              <w:bottom w:val="single" w:sz="4" w:space="0" w:color="auto"/>
              <w:right w:val="single" w:sz="4" w:space="0" w:color="auto"/>
            </w:tcBorders>
            <w:shd w:val="clear" w:color="auto" w:fill="C6EFCE"/>
            <w:noWrap/>
          </w:tcPr>
          <w:p w14:paraId="55CE8D1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33" w:type="dxa"/>
            <w:tcBorders>
              <w:top w:val="nil"/>
              <w:left w:val="nil"/>
              <w:bottom w:val="single" w:sz="4" w:space="0" w:color="auto"/>
              <w:right w:val="single" w:sz="4" w:space="0" w:color="auto"/>
            </w:tcBorders>
            <w:shd w:val="clear" w:color="auto" w:fill="C6EFCE"/>
            <w:noWrap/>
          </w:tcPr>
          <w:p w14:paraId="700685D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756" w:type="dxa"/>
            <w:tcBorders>
              <w:top w:val="nil"/>
              <w:left w:val="nil"/>
              <w:bottom w:val="single" w:sz="4" w:space="0" w:color="auto"/>
              <w:right w:val="single" w:sz="4" w:space="0" w:color="auto"/>
            </w:tcBorders>
            <w:shd w:val="clear" w:color="auto" w:fill="C6EFCE"/>
            <w:noWrap/>
          </w:tcPr>
          <w:p w14:paraId="4549599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93" w:type="dxa"/>
            <w:tcBorders>
              <w:top w:val="nil"/>
              <w:left w:val="nil"/>
              <w:bottom w:val="single" w:sz="4" w:space="0" w:color="auto"/>
              <w:right w:val="single" w:sz="4" w:space="0" w:color="auto"/>
            </w:tcBorders>
            <w:shd w:val="clear" w:color="auto" w:fill="C6EFCE"/>
            <w:noWrap/>
          </w:tcPr>
          <w:p w14:paraId="29FE5FE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Q2</w:t>
            </w:r>
          </w:p>
        </w:tc>
        <w:tc>
          <w:tcPr>
            <w:tcW w:w="763" w:type="dxa"/>
            <w:tcBorders>
              <w:top w:val="nil"/>
              <w:left w:val="nil"/>
              <w:bottom w:val="single" w:sz="4" w:space="0" w:color="auto"/>
              <w:right w:val="single" w:sz="4" w:space="0" w:color="auto"/>
            </w:tcBorders>
            <w:shd w:val="clear" w:color="auto" w:fill="C6EFCE"/>
            <w:noWrap/>
          </w:tcPr>
          <w:p w14:paraId="1EB1F24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112" w:type="dxa"/>
            <w:tcBorders>
              <w:top w:val="nil"/>
              <w:left w:val="nil"/>
              <w:bottom w:val="single" w:sz="4" w:space="0" w:color="auto"/>
              <w:right w:val="single" w:sz="4" w:space="0" w:color="auto"/>
            </w:tcBorders>
            <w:shd w:val="clear" w:color="auto" w:fill="C6EFCE"/>
            <w:noWrap/>
          </w:tcPr>
          <w:p w14:paraId="2BA8E4C4"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Publication, upon the adoption by the ML/TF Prevention Committee of the Vertical Risk Assessment of Terrorist Financing, a risk assessment of the threats Luxembourg faces of being a conduit for terrorist financing</w:t>
            </w:r>
          </w:p>
        </w:tc>
      </w:tr>
      <w:tr w:rsidR="009823F0" w:rsidRPr="00443C86" w14:paraId="7328F5AB"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4CC54A7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val="en-IE" w:eastAsia="en-GB"/>
              </w:rPr>
              <w:t>5</w:t>
            </w:r>
          </w:p>
        </w:tc>
        <w:tc>
          <w:tcPr>
            <w:tcW w:w="1461" w:type="dxa"/>
            <w:tcBorders>
              <w:top w:val="nil"/>
              <w:left w:val="nil"/>
              <w:bottom w:val="single" w:sz="4" w:space="0" w:color="auto"/>
              <w:right w:val="single" w:sz="4" w:space="0" w:color="auto"/>
            </w:tcBorders>
            <w:shd w:val="clear" w:color="auto" w:fill="C6EFCE"/>
            <w:noWrap/>
          </w:tcPr>
          <w:p w14:paraId="47C7046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39000A2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519353B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Sectoral risk assessment of legal persons </w:t>
            </w:r>
          </w:p>
        </w:tc>
        <w:tc>
          <w:tcPr>
            <w:tcW w:w="1418" w:type="dxa"/>
            <w:tcBorders>
              <w:top w:val="nil"/>
              <w:left w:val="nil"/>
              <w:bottom w:val="single" w:sz="4" w:space="0" w:color="auto"/>
              <w:right w:val="single" w:sz="4" w:space="0" w:color="auto"/>
            </w:tcBorders>
            <w:shd w:val="clear" w:color="auto" w:fill="C6EFCE"/>
            <w:noWrap/>
          </w:tcPr>
          <w:p w14:paraId="1C00490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Publication of risk assessment</w:t>
            </w:r>
          </w:p>
        </w:tc>
        <w:tc>
          <w:tcPr>
            <w:tcW w:w="975" w:type="dxa"/>
            <w:tcBorders>
              <w:top w:val="nil"/>
              <w:left w:val="nil"/>
              <w:bottom w:val="single" w:sz="4" w:space="0" w:color="auto"/>
              <w:right w:val="single" w:sz="4" w:space="0" w:color="auto"/>
            </w:tcBorders>
            <w:shd w:val="clear" w:color="auto" w:fill="C6EFCE"/>
            <w:noWrap/>
          </w:tcPr>
          <w:p w14:paraId="51FDB94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p>
        </w:tc>
        <w:tc>
          <w:tcPr>
            <w:tcW w:w="933" w:type="dxa"/>
            <w:tcBorders>
              <w:top w:val="nil"/>
              <w:left w:val="nil"/>
              <w:bottom w:val="single" w:sz="4" w:space="0" w:color="auto"/>
              <w:right w:val="single" w:sz="4" w:space="0" w:color="auto"/>
            </w:tcBorders>
            <w:shd w:val="clear" w:color="auto" w:fill="C6EFCE"/>
            <w:noWrap/>
          </w:tcPr>
          <w:p w14:paraId="0DB9B3A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p>
        </w:tc>
        <w:tc>
          <w:tcPr>
            <w:tcW w:w="756" w:type="dxa"/>
            <w:tcBorders>
              <w:top w:val="nil"/>
              <w:left w:val="nil"/>
              <w:bottom w:val="single" w:sz="4" w:space="0" w:color="auto"/>
              <w:right w:val="single" w:sz="4" w:space="0" w:color="auto"/>
            </w:tcBorders>
            <w:shd w:val="clear" w:color="auto" w:fill="C6EFCE"/>
            <w:noWrap/>
          </w:tcPr>
          <w:p w14:paraId="282F00B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93" w:type="dxa"/>
            <w:tcBorders>
              <w:top w:val="nil"/>
              <w:left w:val="nil"/>
              <w:bottom w:val="single" w:sz="4" w:space="0" w:color="auto"/>
              <w:right w:val="single" w:sz="4" w:space="0" w:color="auto"/>
            </w:tcBorders>
            <w:shd w:val="clear" w:color="auto" w:fill="C6EFCE"/>
            <w:noWrap/>
          </w:tcPr>
          <w:p w14:paraId="2E3B328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Q4</w:t>
            </w:r>
          </w:p>
        </w:tc>
        <w:tc>
          <w:tcPr>
            <w:tcW w:w="763" w:type="dxa"/>
            <w:tcBorders>
              <w:top w:val="nil"/>
              <w:left w:val="nil"/>
              <w:bottom w:val="single" w:sz="4" w:space="0" w:color="auto"/>
              <w:right w:val="single" w:sz="4" w:space="0" w:color="auto"/>
            </w:tcBorders>
            <w:shd w:val="clear" w:color="auto" w:fill="C6EFCE"/>
            <w:noWrap/>
          </w:tcPr>
          <w:p w14:paraId="300EAB9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2021</w:t>
            </w:r>
          </w:p>
        </w:tc>
        <w:tc>
          <w:tcPr>
            <w:tcW w:w="4112" w:type="dxa"/>
            <w:tcBorders>
              <w:top w:val="nil"/>
              <w:left w:val="nil"/>
              <w:bottom w:val="single" w:sz="4" w:space="0" w:color="auto"/>
              <w:right w:val="single" w:sz="4" w:space="0" w:color="auto"/>
            </w:tcBorders>
            <w:shd w:val="clear" w:color="auto" w:fill="C6EFCE"/>
            <w:noWrap/>
          </w:tcPr>
          <w:p w14:paraId="3DDA1A1F"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Publication of a Sectoral Risk Assessment of Legal Persons.</w:t>
            </w:r>
          </w:p>
        </w:tc>
      </w:tr>
      <w:tr w:rsidR="009823F0" w:rsidRPr="00443C86" w14:paraId="321DDCC8"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5659C3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val="en-IE" w:eastAsia="en-GB"/>
              </w:rPr>
              <w:t>6</w:t>
            </w:r>
          </w:p>
        </w:tc>
        <w:tc>
          <w:tcPr>
            <w:tcW w:w="1461" w:type="dxa"/>
            <w:tcBorders>
              <w:top w:val="nil"/>
              <w:left w:val="nil"/>
              <w:bottom w:val="single" w:sz="4" w:space="0" w:color="auto"/>
              <w:right w:val="single" w:sz="4" w:space="0" w:color="auto"/>
            </w:tcBorders>
            <w:shd w:val="clear" w:color="auto" w:fill="C6EFCE"/>
            <w:noWrap/>
          </w:tcPr>
          <w:p w14:paraId="262747B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4BF63D5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409C565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2020 update of National Risk Assessment </w:t>
            </w:r>
          </w:p>
        </w:tc>
        <w:tc>
          <w:tcPr>
            <w:tcW w:w="1418" w:type="dxa"/>
            <w:tcBorders>
              <w:top w:val="nil"/>
              <w:left w:val="nil"/>
              <w:bottom w:val="single" w:sz="4" w:space="0" w:color="auto"/>
              <w:right w:val="single" w:sz="4" w:space="0" w:color="auto"/>
            </w:tcBorders>
            <w:shd w:val="clear" w:color="auto" w:fill="C6EFCE"/>
            <w:noWrap/>
          </w:tcPr>
          <w:p w14:paraId="48A8839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Publication of risk assessment</w:t>
            </w:r>
          </w:p>
        </w:tc>
        <w:tc>
          <w:tcPr>
            <w:tcW w:w="975" w:type="dxa"/>
            <w:tcBorders>
              <w:top w:val="nil"/>
              <w:left w:val="nil"/>
              <w:bottom w:val="single" w:sz="4" w:space="0" w:color="auto"/>
              <w:right w:val="single" w:sz="4" w:space="0" w:color="auto"/>
            </w:tcBorders>
            <w:shd w:val="clear" w:color="auto" w:fill="C6EFCE"/>
            <w:noWrap/>
          </w:tcPr>
          <w:p w14:paraId="03CC5494"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p>
        </w:tc>
        <w:tc>
          <w:tcPr>
            <w:tcW w:w="933" w:type="dxa"/>
            <w:tcBorders>
              <w:top w:val="nil"/>
              <w:left w:val="nil"/>
              <w:bottom w:val="single" w:sz="4" w:space="0" w:color="auto"/>
              <w:right w:val="single" w:sz="4" w:space="0" w:color="auto"/>
            </w:tcBorders>
            <w:shd w:val="clear" w:color="auto" w:fill="C6EFCE"/>
            <w:noWrap/>
          </w:tcPr>
          <w:p w14:paraId="50D571C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p>
        </w:tc>
        <w:tc>
          <w:tcPr>
            <w:tcW w:w="756" w:type="dxa"/>
            <w:tcBorders>
              <w:top w:val="nil"/>
              <w:left w:val="nil"/>
              <w:bottom w:val="single" w:sz="4" w:space="0" w:color="auto"/>
              <w:right w:val="single" w:sz="4" w:space="0" w:color="auto"/>
            </w:tcBorders>
            <w:shd w:val="clear" w:color="auto" w:fill="C6EFCE"/>
            <w:noWrap/>
          </w:tcPr>
          <w:p w14:paraId="2779D79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93" w:type="dxa"/>
            <w:tcBorders>
              <w:top w:val="nil"/>
              <w:left w:val="nil"/>
              <w:bottom w:val="single" w:sz="4" w:space="0" w:color="auto"/>
              <w:right w:val="single" w:sz="4" w:space="0" w:color="auto"/>
            </w:tcBorders>
            <w:shd w:val="clear" w:color="auto" w:fill="C6EFCE"/>
            <w:noWrap/>
          </w:tcPr>
          <w:p w14:paraId="0850E44C"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Q4</w:t>
            </w:r>
          </w:p>
        </w:tc>
        <w:tc>
          <w:tcPr>
            <w:tcW w:w="763" w:type="dxa"/>
            <w:tcBorders>
              <w:top w:val="nil"/>
              <w:left w:val="nil"/>
              <w:bottom w:val="single" w:sz="4" w:space="0" w:color="auto"/>
              <w:right w:val="single" w:sz="4" w:space="0" w:color="auto"/>
            </w:tcBorders>
            <w:shd w:val="clear" w:color="auto" w:fill="C6EFCE"/>
            <w:noWrap/>
          </w:tcPr>
          <w:p w14:paraId="2252F7A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2020</w:t>
            </w:r>
          </w:p>
        </w:tc>
        <w:tc>
          <w:tcPr>
            <w:tcW w:w="4112" w:type="dxa"/>
            <w:tcBorders>
              <w:top w:val="nil"/>
              <w:left w:val="nil"/>
              <w:bottom w:val="single" w:sz="4" w:space="0" w:color="auto"/>
              <w:right w:val="single" w:sz="4" w:space="0" w:color="auto"/>
            </w:tcBorders>
            <w:shd w:val="clear" w:color="auto" w:fill="C6EFCE"/>
            <w:noWrap/>
          </w:tcPr>
          <w:p w14:paraId="63F466EF"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Publication of the 2020 update of the National Risk Assessment of Money Laundering and Terrorist Financing. </w:t>
            </w:r>
          </w:p>
        </w:tc>
      </w:tr>
      <w:tr w:rsidR="009823F0" w:rsidRPr="00443C86" w14:paraId="706637BC"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3EABA51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val="en-US" w:eastAsia="en-GB"/>
              </w:rPr>
              <w:t>7</w:t>
            </w:r>
          </w:p>
        </w:tc>
        <w:tc>
          <w:tcPr>
            <w:tcW w:w="1461" w:type="dxa"/>
            <w:tcBorders>
              <w:top w:val="nil"/>
              <w:left w:val="nil"/>
              <w:bottom w:val="single" w:sz="4" w:space="0" w:color="auto"/>
              <w:right w:val="single" w:sz="4" w:space="0" w:color="auto"/>
            </w:tcBorders>
            <w:shd w:val="clear" w:color="auto" w:fill="C6EFCE"/>
            <w:noWrap/>
          </w:tcPr>
          <w:p w14:paraId="59E96BA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6AD3A8A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54F9F75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Luxembourg Business Register</w:t>
            </w:r>
          </w:p>
        </w:tc>
        <w:tc>
          <w:tcPr>
            <w:tcW w:w="1418" w:type="dxa"/>
            <w:tcBorders>
              <w:top w:val="nil"/>
              <w:left w:val="nil"/>
              <w:bottom w:val="single" w:sz="4" w:space="0" w:color="auto"/>
              <w:right w:val="single" w:sz="4" w:space="0" w:color="auto"/>
            </w:tcBorders>
            <w:shd w:val="clear" w:color="auto" w:fill="C6EFCE"/>
            <w:noWrap/>
          </w:tcPr>
          <w:p w14:paraId="1492BB5F"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a legislative act</w:t>
            </w:r>
          </w:p>
        </w:tc>
        <w:tc>
          <w:tcPr>
            <w:tcW w:w="975" w:type="dxa"/>
            <w:tcBorders>
              <w:top w:val="nil"/>
              <w:left w:val="nil"/>
              <w:bottom w:val="single" w:sz="4" w:space="0" w:color="auto"/>
              <w:right w:val="single" w:sz="4" w:space="0" w:color="auto"/>
            </w:tcBorders>
            <w:shd w:val="clear" w:color="auto" w:fill="C6EFCE"/>
            <w:noWrap/>
          </w:tcPr>
          <w:p w14:paraId="5C2ADB2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33" w:type="dxa"/>
            <w:tcBorders>
              <w:top w:val="nil"/>
              <w:left w:val="nil"/>
              <w:bottom w:val="single" w:sz="4" w:space="0" w:color="auto"/>
              <w:right w:val="single" w:sz="4" w:space="0" w:color="auto"/>
            </w:tcBorders>
            <w:shd w:val="clear" w:color="auto" w:fill="C6EFCE"/>
            <w:noWrap/>
          </w:tcPr>
          <w:p w14:paraId="7326C82D"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756" w:type="dxa"/>
            <w:tcBorders>
              <w:top w:val="nil"/>
              <w:left w:val="nil"/>
              <w:bottom w:val="single" w:sz="4" w:space="0" w:color="auto"/>
              <w:right w:val="single" w:sz="4" w:space="0" w:color="auto"/>
            </w:tcBorders>
            <w:shd w:val="clear" w:color="auto" w:fill="C6EFCE"/>
            <w:noWrap/>
          </w:tcPr>
          <w:p w14:paraId="31DA521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93" w:type="dxa"/>
            <w:tcBorders>
              <w:top w:val="nil"/>
              <w:left w:val="nil"/>
              <w:bottom w:val="single" w:sz="4" w:space="0" w:color="auto"/>
              <w:right w:val="single" w:sz="4" w:space="0" w:color="auto"/>
            </w:tcBorders>
            <w:shd w:val="clear" w:color="auto" w:fill="C6EFCE"/>
            <w:noWrap/>
          </w:tcPr>
          <w:p w14:paraId="1F8C445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Q4</w:t>
            </w:r>
          </w:p>
        </w:tc>
        <w:tc>
          <w:tcPr>
            <w:tcW w:w="763" w:type="dxa"/>
            <w:tcBorders>
              <w:top w:val="nil"/>
              <w:left w:val="nil"/>
              <w:bottom w:val="single" w:sz="4" w:space="0" w:color="auto"/>
              <w:right w:val="single" w:sz="4" w:space="0" w:color="auto"/>
            </w:tcBorders>
            <w:shd w:val="clear" w:color="auto" w:fill="C6EFCE"/>
            <w:noWrap/>
          </w:tcPr>
          <w:p w14:paraId="6326FE2B"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2025</w:t>
            </w:r>
          </w:p>
        </w:tc>
        <w:tc>
          <w:tcPr>
            <w:tcW w:w="4112" w:type="dxa"/>
            <w:tcBorders>
              <w:top w:val="nil"/>
              <w:left w:val="nil"/>
              <w:bottom w:val="single" w:sz="4" w:space="0" w:color="auto"/>
              <w:right w:val="single" w:sz="4" w:space="0" w:color="auto"/>
            </w:tcBorders>
            <w:shd w:val="clear" w:color="auto" w:fill="C6EFCE"/>
            <w:noWrap/>
          </w:tcPr>
          <w:p w14:paraId="40E6C6D2" w14:textId="73F360F4"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act extending</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the Luxembourg Business Register's sanctioning, controlling, and executive powers.</w:t>
            </w:r>
            <w:r w:rsidR="00576A5B">
              <w:rPr>
                <w:rFonts w:ascii="Times New Roman" w:eastAsia="Times New Roman" w:hAnsi="Times New Roman" w:cs="Times New Roman"/>
                <w:noProof/>
                <w:color w:val="006100"/>
                <w:sz w:val="20"/>
                <w:szCs w:val="20"/>
                <w:lang w:val="en-IE" w:eastAsia="en-GB"/>
              </w:rPr>
              <w:t xml:space="preserve"> </w:t>
            </w:r>
            <w:r w:rsidR="00576A5B">
              <w:rPr>
                <w:rFonts w:ascii="Times New Roman" w:eastAsia="Times New Roman" w:hAnsi="Times New Roman" w:cs="Times New Roman"/>
                <w:noProof/>
                <w:color w:val="006100"/>
                <w:sz w:val="20"/>
                <w:szCs w:val="20"/>
                <w:lang w:val="en-IE" w:eastAsia="en-GB"/>
              </w:rPr>
              <w:br/>
            </w:r>
            <w:r w:rsidRPr="00C82A63">
              <w:rPr>
                <w:rFonts w:ascii="Times New Roman" w:eastAsia="Times New Roman" w:hAnsi="Times New Roman" w:cs="Times New Roman"/>
                <w:noProof/>
                <w:color w:val="006100"/>
                <w:sz w:val="20"/>
                <w:szCs w:val="20"/>
                <w:lang w:val="en-IE" w:eastAsia="en-GB"/>
              </w:rPr>
              <w:t>The upgraded Luxembourg Business Register website is online and accessible.</w:t>
            </w:r>
            <w:r w:rsidR="00A17CDD">
              <w:rPr>
                <w:rFonts w:ascii="Times New Roman" w:eastAsia="Times New Roman" w:hAnsi="Times New Roman" w:cs="Times New Roman"/>
                <w:noProof/>
                <w:color w:val="006100"/>
                <w:sz w:val="20"/>
                <w:szCs w:val="20"/>
                <w:lang w:val="en-IE" w:eastAsia="en-GB"/>
              </w:rPr>
              <w:t xml:space="preserve"> </w:t>
            </w:r>
          </w:p>
        </w:tc>
      </w:tr>
      <w:tr w:rsidR="009823F0" w:rsidRPr="00443C86" w14:paraId="5E9BF371"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C75122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val="en-US" w:eastAsia="en-GB"/>
              </w:rPr>
              <w:t>8</w:t>
            </w:r>
          </w:p>
        </w:tc>
        <w:tc>
          <w:tcPr>
            <w:tcW w:w="1461" w:type="dxa"/>
            <w:tcBorders>
              <w:top w:val="nil"/>
              <w:left w:val="nil"/>
              <w:bottom w:val="single" w:sz="4" w:space="0" w:color="auto"/>
              <w:right w:val="single" w:sz="4" w:space="0" w:color="auto"/>
            </w:tcBorders>
            <w:shd w:val="clear" w:color="auto" w:fill="C6EFCE"/>
            <w:noWrap/>
          </w:tcPr>
          <w:p w14:paraId="5245F02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601BED46"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2A6A8B1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Finalisation of the study on the reinforcement of the regime applicable to trust and company service providers</w:t>
            </w:r>
          </w:p>
        </w:tc>
        <w:tc>
          <w:tcPr>
            <w:tcW w:w="1418" w:type="dxa"/>
            <w:tcBorders>
              <w:top w:val="nil"/>
              <w:left w:val="nil"/>
              <w:bottom w:val="single" w:sz="4" w:space="0" w:color="auto"/>
              <w:right w:val="single" w:sz="4" w:space="0" w:color="auto"/>
            </w:tcBorders>
            <w:shd w:val="clear" w:color="auto" w:fill="C6EFCE"/>
            <w:noWrap/>
          </w:tcPr>
          <w:p w14:paraId="5466EA7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Finalisation of a study</w:t>
            </w:r>
          </w:p>
        </w:tc>
        <w:tc>
          <w:tcPr>
            <w:tcW w:w="975" w:type="dxa"/>
            <w:tcBorders>
              <w:top w:val="nil"/>
              <w:left w:val="nil"/>
              <w:bottom w:val="single" w:sz="4" w:space="0" w:color="auto"/>
              <w:right w:val="single" w:sz="4" w:space="0" w:color="auto"/>
            </w:tcBorders>
            <w:shd w:val="clear" w:color="auto" w:fill="C6EFCE"/>
            <w:noWrap/>
          </w:tcPr>
          <w:p w14:paraId="0B3CB8E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933" w:type="dxa"/>
            <w:tcBorders>
              <w:top w:val="nil"/>
              <w:left w:val="nil"/>
              <w:bottom w:val="single" w:sz="4" w:space="0" w:color="auto"/>
              <w:right w:val="single" w:sz="4" w:space="0" w:color="auto"/>
            </w:tcBorders>
            <w:shd w:val="clear" w:color="auto" w:fill="C6EFCE"/>
            <w:noWrap/>
          </w:tcPr>
          <w:p w14:paraId="338E7D8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756" w:type="dxa"/>
            <w:tcBorders>
              <w:top w:val="nil"/>
              <w:left w:val="nil"/>
              <w:bottom w:val="single" w:sz="4" w:space="0" w:color="auto"/>
              <w:right w:val="single" w:sz="4" w:space="0" w:color="auto"/>
            </w:tcBorders>
            <w:shd w:val="clear" w:color="auto" w:fill="C6EFCE"/>
            <w:noWrap/>
          </w:tcPr>
          <w:p w14:paraId="7C72E820"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p>
        </w:tc>
        <w:tc>
          <w:tcPr>
            <w:tcW w:w="993" w:type="dxa"/>
            <w:tcBorders>
              <w:top w:val="nil"/>
              <w:left w:val="nil"/>
              <w:bottom w:val="single" w:sz="4" w:space="0" w:color="auto"/>
              <w:right w:val="single" w:sz="4" w:space="0" w:color="auto"/>
            </w:tcBorders>
            <w:shd w:val="clear" w:color="auto" w:fill="C6EFCE"/>
            <w:noWrap/>
          </w:tcPr>
          <w:p w14:paraId="5F402163"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763" w:type="dxa"/>
            <w:tcBorders>
              <w:top w:val="nil"/>
              <w:left w:val="nil"/>
              <w:bottom w:val="single" w:sz="4" w:space="0" w:color="auto"/>
              <w:right w:val="single" w:sz="4" w:space="0" w:color="auto"/>
            </w:tcBorders>
            <w:shd w:val="clear" w:color="auto" w:fill="C6EFCE"/>
            <w:noWrap/>
          </w:tcPr>
          <w:p w14:paraId="3A4DC64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2021</w:t>
            </w:r>
          </w:p>
        </w:tc>
        <w:tc>
          <w:tcPr>
            <w:tcW w:w="4112" w:type="dxa"/>
            <w:tcBorders>
              <w:top w:val="nil"/>
              <w:left w:val="nil"/>
              <w:bottom w:val="single" w:sz="4" w:space="0" w:color="auto"/>
              <w:right w:val="single" w:sz="4" w:space="0" w:color="auto"/>
            </w:tcBorders>
            <w:shd w:val="clear" w:color="auto" w:fill="C6EFCE"/>
            <w:noWrap/>
          </w:tcPr>
          <w:p w14:paraId="54BC8089"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Finalisation of the study on the reinforcement of the regime applicable to trust and company service providers.</w:t>
            </w:r>
          </w:p>
        </w:tc>
      </w:tr>
      <w:tr w:rsidR="009823F0" w:rsidRPr="00443C86" w14:paraId="4711E729" w14:textId="77777777" w:rsidTr="00DB0376">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1FD71091"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fr-FR" w:eastAsia="en-GB"/>
              </w:rPr>
              <w:t>3C-</w:t>
            </w:r>
            <w:r w:rsidRPr="00C82A63">
              <w:rPr>
                <w:rFonts w:ascii="Times New Roman" w:eastAsia="Times New Roman" w:hAnsi="Times New Roman" w:cs="Times New Roman"/>
                <w:noProof/>
                <w:color w:val="006100"/>
                <w:sz w:val="20"/>
                <w:szCs w:val="20"/>
                <w:lang w:val="en-US" w:eastAsia="en-GB"/>
              </w:rPr>
              <w:t>9</w:t>
            </w:r>
          </w:p>
        </w:tc>
        <w:tc>
          <w:tcPr>
            <w:tcW w:w="1461" w:type="dxa"/>
            <w:tcBorders>
              <w:top w:val="nil"/>
              <w:left w:val="nil"/>
              <w:bottom w:val="single" w:sz="4" w:space="0" w:color="auto"/>
              <w:right w:val="single" w:sz="4" w:space="0" w:color="auto"/>
            </w:tcBorders>
            <w:shd w:val="clear" w:color="auto" w:fill="C6EFCE"/>
            <w:noWrap/>
          </w:tcPr>
          <w:p w14:paraId="18A34E5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Reform 2 – Fight of money laundering and terrorist financing</w:t>
            </w:r>
          </w:p>
        </w:tc>
        <w:tc>
          <w:tcPr>
            <w:tcW w:w="1163" w:type="dxa"/>
            <w:tcBorders>
              <w:top w:val="nil"/>
              <w:left w:val="nil"/>
              <w:bottom w:val="single" w:sz="4" w:space="0" w:color="auto"/>
              <w:right w:val="single" w:sz="4" w:space="0" w:color="auto"/>
            </w:tcBorders>
            <w:shd w:val="clear" w:color="auto" w:fill="C6EFCE"/>
            <w:noWrap/>
          </w:tcPr>
          <w:p w14:paraId="4C0113E8"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672" w:type="dxa"/>
            <w:tcBorders>
              <w:top w:val="nil"/>
              <w:left w:val="nil"/>
              <w:bottom w:val="single" w:sz="4" w:space="0" w:color="auto"/>
              <w:right w:val="single" w:sz="4" w:space="0" w:color="auto"/>
            </w:tcBorders>
            <w:shd w:val="clear" w:color="auto" w:fill="C6EFCE"/>
            <w:noWrap/>
          </w:tcPr>
          <w:p w14:paraId="60657CE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 xml:space="preserve">Entry into force of the act reinforcing the regime applicable to trust and company service providers </w:t>
            </w:r>
          </w:p>
        </w:tc>
        <w:tc>
          <w:tcPr>
            <w:tcW w:w="1418" w:type="dxa"/>
            <w:tcBorders>
              <w:top w:val="nil"/>
              <w:left w:val="nil"/>
              <w:bottom w:val="single" w:sz="4" w:space="0" w:color="auto"/>
              <w:right w:val="single" w:sz="4" w:space="0" w:color="auto"/>
            </w:tcBorders>
            <w:shd w:val="clear" w:color="auto" w:fill="C6EFCE"/>
            <w:noWrap/>
          </w:tcPr>
          <w:p w14:paraId="3074962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a legislative act</w:t>
            </w:r>
          </w:p>
        </w:tc>
        <w:tc>
          <w:tcPr>
            <w:tcW w:w="975" w:type="dxa"/>
            <w:tcBorders>
              <w:top w:val="nil"/>
              <w:left w:val="nil"/>
              <w:bottom w:val="single" w:sz="4" w:space="0" w:color="auto"/>
              <w:right w:val="single" w:sz="4" w:space="0" w:color="auto"/>
            </w:tcBorders>
            <w:shd w:val="clear" w:color="auto" w:fill="C6EFCE"/>
            <w:noWrap/>
          </w:tcPr>
          <w:p w14:paraId="03B1753F"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33" w:type="dxa"/>
            <w:tcBorders>
              <w:top w:val="nil"/>
              <w:left w:val="nil"/>
              <w:bottom w:val="single" w:sz="4" w:space="0" w:color="auto"/>
              <w:right w:val="single" w:sz="4" w:space="0" w:color="auto"/>
            </w:tcBorders>
            <w:shd w:val="clear" w:color="auto" w:fill="C6EFCE"/>
            <w:noWrap/>
          </w:tcPr>
          <w:p w14:paraId="49EB96E7"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756" w:type="dxa"/>
            <w:tcBorders>
              <w:top w:val="nil"/>
              <w:left w:val="nil"/>
              <w:bottom w:val="single" w:sz="4" w:space="0" w:color="auto"/>
              <w:right w:val="single" w:sz="4" w:space="0" w:color="auto"/>
            </w:tcBorders>
            <w:shd w:val="clear" w:color="auto" w:fill="C6EFCE"/>
            <w:noWrap/>
          </w:tcPr>
          <w:p w14:paraId="6E08EB6A"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p>
        </w:tc>
        <w:tc>
          <w:tcPr>
            <w:tcW w:w="993" w:type="dxa"/>
            <w:tcBorders>
              <w:top w:val="nil"/>
              <w:left w:val="nil"/>
              <w:bottom w:val="single" w:sz="4" w:space="0" w:color="auto"/>
              <w:right w:val="single" w:sz="4" w:space="0" w:color="auto"/>
            </w:tcBorders>
            <w:shd w:val="clear" w:color="auto" w:fill="C6EFCE"/>
            <w:noWrap/>
          </w:tcPr>
          <w:p w14:paraId="673C36FE"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Q3</w:t>
            </w:r>
          </w:p>
        </w:tc>
        <w:tc>
          <w:tcPr>
            <w:tcW w:w="763" w:type="dxa"/>
            <w:tcBorders>
              <w:top w:val="nil"/>
              <w:left w:val="nil"/>
              <w:bottom w:val="single" w:sz="4" w:space="0" w:color="auto"/>
              <w:right w:val="single" w:sz="4" w:space="0" w:color="auto"/>
            </w:tcBorders>
            <w:shd w:val="clear" w:color="auto" w:fill="C6EFCE"/>
            <w:noWrap/>
          </w:tcPr>
          <w:p w14:paraId="0C16A749" w14:textId="77777777" w:rsidR="009823F0" w:rsidRPr="00C82A63" w:rsidRDefault="009823F0" w:rsidP="00DB0376">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2023</w:t>
            </w:r>
          </w:p>
        </w:tc>
        <w:tc>
          <w:tcPr>
            <w:tcW w:w="4112" w:type="dxa"/>
            <w:tcBorders>
              <w:top w:val="nil"/>
              <w:left w:val="nil"/>
              <w:bottom w:val="single" w:sz="4" w:space="0" w:color="auto"/>
              <w:right w:val="single" w:sz="4" w:space="0" w:color="auto"/>
            </w:tcBorders>
            <w:shd w:val="clear" w:color="auto" w:fill="C6EFCE"/>
            <w:noWrap/>
          </w:tcPr>
          <w:p w14:paraId="5C1C5C68" w14:textId="77777777" w:rsidR="009823F0" w:rsidRPr="00C82A63" w:rsidRDefault="009823F0" w:rsidP="00DB0376">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act reinforcing the regime applicable to trust and company service providers.</w:t>
            </w:r>
          </w:p>
        </w:tc>
      </w:tr>
    </w:tbl>
    <w:p w14:paraId="14DDE085"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104"/>
          <w:headerReference w:type="default" r:id="rId105"/>
          <w:footerReference w:type="even" r:id="rId106"/>
          <w:footerReference w:type="default" r:id="rId107"/>
          <w:headerReference w:type="first" r:id="rId108"/>
          <w:footerReference w:type="first" r:id="rId109"/>
          <w:pgSz w:w="16839" w:h="11907" w:orient="landscape"/>
          <w:pgMar w:top="720" w:right="720" w:bottom="720" w:left="720" w:header="709" w:footer="709" w:gutter="0"/>
          <w:cols w:space="720"/>
          <w:docGrid w:linePitch="360"/>
        </w:sectPr>
      </w:pPr>
    </w:p>
    <w:p w14:paraId="1EFB12E1" w14:textId="77777777" w:rsidR="009823F0" w:rsidRPr="00C82A63" w:rsidRDefault="009823F0" w:rsidP="009823F0">
      <w:pPr>
        <w:spacing w:before="120" w:after="120" w:line="240" w:lineRule="auto"/>
        <w:jc w:val="both"/>
        <w:rPr>
          <w:rFonts w:ascii="Times New Roman" w:hAnsi="Times New Roman" w:cs="Times New Roman"/>
          <w:b/>
          <w:bCs/>
          <w:noProof/>
          <w:sz w:val="24"/>
          <w:szCs w:val="24"/>
          <w:lang w:val="en-IE"/>
        </w:rPr>
      </w:pPr>
      <w:r w:rsidRPr="00C82A63">
        <w:rPr>
          <w:rFonts w:ascii="Times New Roman" w:hAnsi="Times New Roman" w:cs="Times New Roman"/>
          <w:b/>
          <w:bCs/>
          <w:noProof/>
          <w:sz w:val="24"/>
          <w:szCs w:val="24"/>
          <w:lang w:val="en-IE"/>
        </w:rPr>
        <w:t>J. COMPONENT 4A – REPowerEU chapter</w:t>
      </w:r>
    </w:p>
    <w:p w14:paraId="210FFCEF"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REPowerEU chapter is structured around four measures and contributes to addressing the challenges of the green transition, in particular the need to reduce greenhouse gas emissions, improve energy efficiency in buildings, accelerate the development of additional generation capacity from renewable energy sources, reduce dependency on imported fossil fuels, and improve the availability and accessibility of zero-emission transportation.</w:t>
      </w:r>
    </w:p>
    <w:p w14:paraId="7D672354"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main objectives of the REPowerEU chapter are to:</w:t>
      </w:r>
    </w:p>
    <w:p w14:paraId="78C34ACB" w14:textId="6C2DBB95" w:rsidR="009823F0" w:rsidRPr="00C82A63" w:rsidRDefault="009823F0" w:rsidP="009823F0">
      <w:pPr>
        <w:pStyle w:val="ListParagraph"/>
        <w:numPr>
          <w:ilvl w:val="0"/>
          <w:numId w:val="19"/>
        </w:num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increase and accelerate the deployment of renewable energy by promoting</w:t>
      </w:r>
      <w:r w:rsidR="00A17CDD">
        <w:rPr>
          <w:rFonts w:ascii="Times New Roman" w:hAnsi="Times New Roman" w:cs="Times New Roman"/>
          <w:noProof/>
          <w:sz w:val="24"/>
          <w:szCs w:val="24"/>
          <w:lang w:val="en-IE"/>
        </w:rPr>
        <w:t xml:space="preserve"> </w:t>
      </w:r>
      <w:r w:rsidRPr="00C82A63">
        <w:rPr>
          <w:rFonts w:ascii="Times New Roman" w:hAnsi="Times New Roman" w:cs="Times New Roman"/>
          <w:noProof/>
          <w:sz w:val="24"/>
          <w:szCs w:val="24"/>
          <w:lang w:val="en-IE"/>
        </w:rPr>
        <w:t>sustainable biogas production and increasing the deployment of photovoltaic power generation capacity;</w:t>
      </w:r>
    </w:p>
    <w:p w14:paraId="7719428E" w14:textId="77777777" w:rsidR="009823F0" w:rsidRPr="00C82A63" w:rsidRDefault="009823F0" w:rsidP="009823F0">
      <w:pPr>
        <w:pStyle w:val="ListParagraph"/>
        <w:numPr>
          <w:ilvl w:val="0"/>
          <w:numId w:val="19"/>
        </w:num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 xml:space="preserve">boost energy efficiency and promote the use of renewable energy sources in housing; </w:t>
      </w:r>
    </w:p>
    <w:p w14:paraId="1F1B48AF" w14:textId="77777777" w:rsidR="009823F0" w:rsidRPr="00C82A63" w:rsidRDefault="009823F0" w:rsidP="009823F0">
      <w:pPr>
        <w:pStyle w:val="ListParagraph"/>
        <w:numPr>
          <w:ilvl w:val="0"/>
          <w:numId w:val="19"/>
        </w:num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 xml:space="preserve">bolster the provision of sustainable and zero-emission transport by supporting the acquisition of zero-emission vehicles. </w:t>
      </w:r>
    </w:p>
    <w:p w14:paraId="74C0283B" w14:textId="2B299265"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The REPowerEU chapter contributes to addressing the Country-Specific Recommendations on reducing the overall reliance on fossil fuels (Country-Specific Recommendation 4.1 in 2022 and 4.1 in 2023) by accelerating the deployment of renewable energy, in particular photovoltaic power plants and sustainable biomethane, as well as implementing additional measures that support energy efficiency in housing (Country-Specific Recommendation 4.4 in 2022 and 4.3 in 2023).</w:t>
      </w:r>
      <w:r w:rsidR="00576A5B">
        <w:rPr>
          <w:rFonts w:ascii="Times New Roman" w:hAnsi="Times New Roman" w:cs="Times New Roman"/>
          <w:noProof/>
          <w:sz w:val="24"/>
          <w:szCs w:val="24"/>
          <w:lang w:val="en-IE"/>
        </w:rPr>
        <w:t xml:space="preserve"> </w:t>
      </w:r>
      <w:r w:rsidRPr="00C82A63">
        <w:rPr>
          <w:rFonts w:ascii="Times New Roman" w:hAnsi="Times New Roman" w:cs="Times New Roman"/>
          <w:noProof/>
          <w:sz w:val="24"/>
          <w:szCs w:val="24"/>
          <w:lang w:val="en-IE"/>
        </w:rPr>
        <w:t>In addition, through electrifying the car fleet, the chapter contributes to addressing the recommendation to promote the electrification of transport (Country-Specific Recommendation 4.6 in 2022 and 4.5 in 2023).</w:t>
      </w:r>
    </w:p>
    <w:p w14:paraId="0AD4444A" w14:textId="77777777" w:rsidR="009823F0" w:rsidRPr="00C82A63" w:rsidRDefault="009823F0" w:rsidP="009823F0">
      <w:pPr>
        <w:spacing w:before="120" w:after="120" w:line="240" w:lineRule="auto"/>
        <w:jc w:val="both"/>
        <w:rPr>
          <w:rFonts w:ascii="Times New Roman" w:hAnsi="Times New Roman" w:cs="Times New Roman"/>
          <w:noProof/>
          <w:sz w:val="24"/>
          <w:szCs w:val="24"/>
          <w:lang w:val="en-IE"/>
        </w:rPr>
      </w:pPr>
      <w:r w:rsidRPr="00C82A63">
        <w:rPr>
          <w:rFonts w:ascii="Times New Roman" w:hAnsi="Times New Roman" w:cs="Times New Roman"/>
          <w:noProof/>
          <w:sz w:val="24"/>
          <w:szCs w:val="24"/>
          <w:lang w:val="en-IE"/>
        </w:rPr>
        <w:t xml:space="preserve">It is expected that no measure in this component does significant harm to environmental objectives within the meaning of Article 17 of Regulation (EU) 2020/852, taking into account the description of the measure and the mitigating steps set out in the recovery and resilience plan in accordance with the DNSH Technical Guidance </w:t>
      </w:r>
      <w:r w:rsidRPr="00C82A63">
        <w:rPr>
          <w:rFonts w:ascii="Times New Roman" w:eastAsia="Times New Roman" w:hAnsi="Times New Roman" w:cs="Times New Roman"/>
          <w:noProof/>
          <w:sz w:val="24"/>
          <w:szCs w:val="24"/>
          <w:lang w:val="en-IE"/>
        </w:rPr>
        <w:t>C(2023)6465 final.</w:t>
      </w:r>
    </w:p>
    <w:p w14:paraId="0C4C913E" w14:textId="77777777" w:rsidR="009823F0" w:rsidRPr="00C82A63" w:rsidRDefault="009823F0" w:rsidP="009823F0">
      <w:pPr>
        <w:spacing w:before="120" w:after="120" w:line="240" w:lineRule="auto"/>
        <w:rPr>
          <w:rFonts w:ascii="Times New Roman" w:hAnsi="Times New Roman" w:cs="Times New Roman"/>
          <w:noProof/>
          <w:sz w:val="24"/>
          <w:szCs w:val="24"/>
          <w:lang w:val="en-IE"/>
        </w:rPr>
      </w:pPr>
    </w:p>
    <w:p w14:paraId="706CC080" w14:textId="77777777" w:rsidR="009823F0" w:rsidRPr="00C82A63" w:rsidRDefault="009823F0" w:rsidP="009823F0">
      <w:pPr>
        <w:spacing w:before="120" w:after="120" w:line="240" w:lineRule="auto"/>
        <w:rPr>
          <w:rFonts w:ascii="Times New Roman" w:hAnsi="Times New Roman" w:cs="Times New Roman"/>
          <w:b/>
          <w:bCs/>
          <w:noProof/>
          <w:sz w:val="24"/>
          <w:szCs w:val="24"/>
          <w:u w:val="single"/>
          <w:lang w:val="en-IE"/>
        </w:rPr>
      </w:pPr>
      <w:r w:rsidRPr="00C82A63">
        <w:rPr>
          <w:rFonts w:ascii="Times New Roman" w:hAnsi="Times New Roman" w:cs="Times New Roman"/>
          <w:b/>
          <w:bCs/>
          <w:noProof/>
          <w:sz w:val="24"/>
          <w:szCs w:val="24"/>
          <w:u w:val="single"/>
          <w:lang w:val="en-IE"/>
        </w:rPr>
        <w:t>J.1. Description of the reforms and investments for non-repayable financial support</w:t>
      </w:r>
    </w:p>
    <w:p w14:paraId="1721EB8F" w14:textId="77777777" w:rsidR="009823F0" w:rsidRPr="00C82A63" w:rsidRDefault="009823F0" w:rsidP="009823F0">
      <w:pPr>
        <w:spacing w:before="120" w:after="120" w:line="240" w:lineRule="auto"/>
        <w:rPr>
          <w:rFonts w:ascii="Times New Roman" w:hAnsi="Times New Roman" w:cs="Times New Roman"/>
          <w:noProof/>
          <w:sz w:val="24"/>
          <w:szCs w:val="24"/>
          <w:u w:val="single"/>
          <w:lang w:val="en-IE"/>
        </w:rPr>
      </w:pPr>
      <w:r w:rsidRPr="00C82A63">
        <w:rPr>
          <w:rFonts w:ascii="Times New Roman" w:hAnsi="Times New Roman" w:cs="Times New Roman"/>
          <w:noProof/>
          <w:sz w:val="24"/>
          <w:szCs w:val="24"/>
          <w:u w:val="single"/>
          <w:lang w:val="en-IE"/>
        </w:rPr>
        <w:t xml:space="preserve">Reform: Promotion of sustainable biogas production </w:t>
      </w:r>
    </w:p>
    <w:p w14:paraId="0B568693" w14:textId="6D04C98F"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hAnsi="Times New Roman" w:cs="Times New Roman"/>
          <w:noProof/>
          <w:sz w:val="24"/>
          <w:szCs w:val="24"/>
          <w:lang w:val="en-IE"/>
        </w:rPr>
        <w:t>This reform aims to increase the production and uptake of sustainable biogas. The reform consists in the revision of Luxembourg’s existing sustainable biogas support scheme.</w:t>
      </w:r>
      <w:r w:rsidR="00A17CDD">
        <w:rPr>
          <w:rFonts w:ascii="Times New Roman" w:hAnsi="Times New Roman" w:cs="Times New Roman"/>
          <w:noProof/>
          <w:sz w:val="24"/>
          <w:szCs w:val="24"/>
          <w:lang w:val="en-IE"/>
        </w:rPr>
        <w:t xml:space="preserve"> </w:t>
      </w:r>
    </w:p>
    <w:p w14:paraId="11755CAB" w14:textId="27243E20"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u w:val="single"/>
          <w:lang w:val="en-IE"/>
        </w:rPr>
      </w:pPr>
      <w:r w:rsidRPr="00C82A63">
        <w:rPr>
          <w:rFonts w:ascii="Times New Roman" w:hAnsi="Times New Roman" w:cs="Times New Roman"/>
          <w:noProof/>
          <w:color w:val="000000" w:themeColor="text1"/>
          <w:sz w:val="24"/>
          <w:szCs w:val="24"/>
          <w:u w:val="single"/>
          <w:lang w:val="en-IE"/>
        </w:rPr>
        <w:t>Investment 1:</w:t>
      </w:r>
      <w:r w:rsidR="00A17CDD">
        <w:rPr>
          <w:rFonts w:ascii="Times New Roman" w:hAnsi="Times New Roman" w:cs="Times New Roman"/>
          <w:noProof/>
          <w:color w:val="000000" w:themeColor="text1"/>
          <w:sz w:val="24"/>
          <w:szCs w:val="24"/>
          <w:u w:val="single"/>
          <w:lang w:val="en-IE"/>
        </w:rPr>
        <w:t xml:space="preserve"> </w:t>
      </w:r>
      <w:r w:rsidRPr="00C82A63">
        <w:rPr>
          <w:rFonts w:ascii="Times New Roman" w:hAnsi="Times New Roman" w:cs="Times New Roman"/>
          <w:noProof/>
          <w:color w:val="000000" w:themeColor="text1"/>
          <w:sz w:val="24"/>
          <w:szCs w:val="24"/>
          <w:u w:val="single"/>
          <w:lang w:val="en-IE"/>
        </w:rPr>
        <w:t>Promotion of energy efficiency and renewable energy in housing</w:t>
      </w:r>
    </w:p>
    <w:p w14:paraId="5E70C67D" w14:textId="77777777"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lang w:val="en-IE"/>
        </w:rPr>
      </w:pPr>
      <w:r w:rsidRPr="00C82A63">
        <w:rPr>
          <w:rFonts w:ascii="Times New Roman" w:hAnsi="Times New Roman" w:cs="Times New Roman"/>
          <w:noProof/>
          <w:color w:val="000000" w:themeColor="text1"/>
          <w:sz w:val="24"/>
          <w:szCs w:val="24"/>
          <w:lang w:val="en-IE"/>
        </w:rPr>
        <w:t>The objective of this investment is to increase energy efficiency and the use of renewable energy in the housing sector. The measure consists in grant approvals for energy projects.</w:t>
      </w:r>
    </w:p>
    <w:p w14:paraId="277B965C" w14:textId="77777777" w:rsidR="009823F0" w:rsidRPr="00C82A63" w:rsidRDefault="009823F0" w:rsidP="009823F0">
      <w:pPr>
        <w:spacing w:before="120" w:after="120" w:line="240" w:lineRule="auto"/>
        <w:rPr>
          <w:rFonts w:ascii="Times New Roman" w:hAnsi="Times New Roman" w:cs="Times New Roman"/>
          <w:noProof/>
          <w:color w:val="000000" w:themeColor="text1"/>
          <w:sz w:val="24"/>
          <w:szCs w:val="24"/>
          <w:u w:val="single"/>
          <w:lang w:val="en-IE"/>
        </w:rPr>
      </w:pPr>
      <w:r w:rsidRPr="00C82A63">
        <w:rPr>
          <w:rFonts w:ascii="Times New Roman" w:hAnsi="Times New Roman" w:cs="Times New Roman"/>
          <w:noProof/>
          <w:color w:val="000000" w:themeColor="text1"/>
          <w:sz w:val="24"/>
          <w:szCs w:val="24"/>
          <w:u w:val="single"/>
          <w:lang w:val="en-IE"/>
        </w:rPr>
        <w:t>Investment 2: Promotion of zero-emission and active mobility</w:t>
      </w:r>
    </w:p>
    <w:p w14:paraId="4B43FEF2" w14:textId="77777777"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lang w:val="en-IE"/>
        </w:rPr>
      </w:pPr>
      <w:r w:rsidRPr="00C82A63">
        <w:rPr>
          <w:rFonts w:ascii="Times New Roman" w:eastAsia="Calibri" w:hAnsi="Times New Roman" w:cs="Times New Roman"/>
          <w:noProof/>
          <w:color w:val="000000" w:themeColor="text1"/>
          <w:sz w:val="24"/>
          <w:szCs w:val="24"/>
          <w:lang w:val="en-US"/>
        </w:rPr>
        <w:t xml:space="preserve">This investment aims to encourage the electrification of Luxembourg’s car fleet and to promote active mobility. The investment consists in providing financial support for the acquisition of zero-emission vehicles. </w:t>
      </w:r>
    </w:p>
    <w:p w14:paraId="0A98543F" w14:textId="77777777" w:rsidR="009823F0" w:rsidRPr="00C82A63" w:rsidRDefault="009823F0" w:rsidP="009823F0">
      <w:pPr>
        <w:spacing w:before="120" w:after="120" w:line="240" w:lineRule="auto"/>
        <w:jc w:val="both"/>
        <w:rPr>
          <w:rFonts w:ascii="Times New Roman" w:hAnsi="Times New Roman" w:cs="Times New Roman"/>
          <w:noProof/>
          <w:color w:val="000000" w:themeColor="text1"/>
          <w:sz w:val="24"/>
          <w:szCs w:val="24"/>
          <w:u w:val="single"/>
          <w:lang w:val="en-IE"/>
        </w:rPr>
      </w:pPr>
      <w:r w:rsidRPr="00C82A63">
        <w:rPr>
          <w:rFonts w:ascii="Times New Roman" w:hAnsi="Times New Roman" w:cs="Times New Roman"/>
          <w:noProof/>
          <w:color w:val="000000" w:themeColor="text1"/>
          <w:sz w:val="24"/>
          <w:szCs w:val="24"/>
          <w:u w:val="single"/>
          <w:lang w:val="en-IE"/>
        </w:rPr>
        <w:t>Investment 3: Construction of photovoltaic power generation units in business premises</w:t>
      </w:r>
    </w:p>
    <w:p w14:paraId="10E4AF8F" w14:textId="669D46B9" w:rsidR="009823F0" w:rsidRPr="00C82A63" w:rsidDel="0046160D" w:rsidRDefault="009823F0" w:rsidP="009823F0">
      <w:pPr>
        <w:spacing w:before="120" w:after="120" w:line="240" w:lineRule="auto"/>
        <w:jc w:val="both"/>
        <w:rPr>
          <w:rFonts w:ascii="Times New Roman" w:eastAsia="Times New Roman" w:hAnsi="Times New Roman" w:cs="Times New Roman"/>
          <w:noProof/>
          <w:color w:val="000000" w:themeColor="text1"/>
          <w:sz w:val="24"/>
          <w:szCs w:val="24"/>
          <w:lang w:val="en-IE"/>
        </w:rPr>
      </w:pPr>
      <w:r w:rsidRPr="00C82A63">
        <w:rPr>
          <w:rFonts w:ascii="Times New Roman" w:eastAsia="Times New Roman" w:hAnsi="Times New Roman" w:cs="Times New Roman"/>
          <w:noProof/>
          <w:color w:val="000000" w:themeColor="text1"/>
          <w:sz w:val="24"/>
          <w:szCs w:val="24"/>
          <w:lang w:val="en-IE"/>
        </w:rPr>
        <w:t>This investment aims to foster the use of photovoltaic power generation in Luxembourg. The measure consists in the installation of photovoltaic power generation units of capacity exceeding 30</w:t>
      </w:r>
      <w:r w:rsidR="00576A5B" w:rsidRPr="00576A5B">
        <w:rPr>
          <w:rFonts w:ascii="Times New Roman" w:eastAsia="Times New Roman" w:hAnsi="Times New Roman" w:cs="Times New Roman"/>
          <w:noProof/>
          <w:color w:val="000000" w:themeColor="text1"/>
          <w:sz w:val="24"/>
          <w:szCs w:val="24"/>
          <w:lang w:val="en-IE"/>
        </w:rPr>
        <w:t> </w:t>
      </w:r>
      <w:r w:rsidRPr="00C82A63">
        <w:rPr>
          <w:rFonts w:ascii="Times New Roman" w:eastAsia="Times New Roman" w:hAnsi="Times New Roman" w:cs="Times New Roman"/>
          <w:noProof/>
          <w:color w:val="000000" w:themeColor="text1"/>
          <w:sz w:val="24"/>
          <w:szCs w:val="24"/>
          <w:lang w:val="en-IE"/>
        </w:rPr>
        <w:t>kWp</w:t>
      </w:r>
      <w:r w:rsidR="00946A78">
        <w:rPr>
          <w:rFonts w:ascii="Times New Roman" w:eastAsia="Times New Roman" w:hAnsi="Times New Roman" w:cs="Times New Roman"/>
          <w:noProof/>
          <w:color w:val="000000" w:themeColor="text1"/>
          <w:sz w:val="24"/>
          <w:szCs w:val="24"/>
          <w:lang w:val="en-IE"/>
        </w:rPr>
        <w:t xml:space="preserve"> </w:t>
      </w:r>
      <w:r w:rsidRPr="00C82A63">
        <w:rPr>
          <w:rFonts w:ascii="Times New Roman" w:eastAsia="Times New Roman" w:hAnsi="Times New Roman" w:cs="Times New Roman"/>
          <w:noProof/>
          <w:color w:val="000000" w:themeColor="text1"/>
          <w:sz w:val="24"/>
          <w:szCs w:val="24"/>
          <w:lang w:val="en-IE"/>
        </w:rPr>
        <w:t>in business premises.</w:t>
      </w:r>
      <w:r w:rsidR="00A17CDD">
        <w:rPr>
          <w:rFonts w:ascii="Times New Roman" w:eastAsia="Times New Roman" w:hAnsi="Times New Roman" w:cs="Times New Roman"/>
          <w:noProof/>
          <w:color w:val="000000" w:themeColor="text1"/>
          <w:sz w:val="24"/>
          <w:szCs w:val="24"/>
          <w:lang w:val="en-IE"/>
        </w:rPr>
        <w:t xml:space="preserve"> </w:t>
      </w:r>
    </w:p>
    <w:p w14:paraId="302FBD0B" w14:textId="77777777" w:rsidR="009823F0" w:rsidRPr="00C82A63" w:rsidDel="0046160D" w:rsidRDefault="009823F0" w:rsidP="009823F0">
      <w:pPr>
        <w:spacing w:before="120" w:after="120" w:line="240" w:lineRule="auto"/>
        <w:jc w:val="both"/>
        <w:rPr>
          <w:rFonts w:ascii="Times New Roman" w:eastAsia="Times New Roman" w:hAnsi="Times New Roman" w:cs="Times New Roman"/>
          <w:noProof/>
          <w:color w:val="000000" w:themeColor="text1"/>
          <w:sz w:val="24"/>
          <w:szCs w:val="24"/>
          <w:lang w:val="en-IE"/>
        </w:rPr>
      </w:pPr>
      <w:r w:rsidRPr="00C82A63">
        <w:rPr>
          <w:rFonts w:ascii="Times New Roman" w:eastAsia="Times New Roman" w:hAnsi="Times New Roman" w:cs="Times New Roman"/>
          <w:noProof/>
          <w:color w:val="000000" w:themeColor="text1"/>
          <w:sz w:val="24"/>
          <w:szCs w:val="24"/>
          <w:lang w:val="en-IE"/>
        </w:rPr>
        <w:t xml:space="preserve">This measure allows the support to sites registered as ETS installations only where the interventions do not affect the carbon dioxide emissions of those ETS installations and hence are actions that are not within the ETS installation boundaries. </w:t>
      </w:r>
    </w:p>
    <w:p w14:paraId="32741C66" w14:textId="77777777" w:rsidR="009823F0" w:rsidRPr="00C82A63" w:rsidRDefault="009823F0" w:rsidP="009823F0">
      <w:pPr>
        <w:spacing w:after="0" w:line="240" w:lineRule="auto"/>
        <w:jc w:val="both"/>
        <w:rPr>
          <w:rFonts w:ascii="Times New Roman" w:hAnsi="Times New Roman" w:cs="Times New Roman"/>
          <w:noProof/>
          <w:color w:val="000000" w:themeColor="text1"/>
          <w:sz w:val="24"/>
          <w:szCs w:val="24"/>
          <w:lang w:val="en-IE"/>
        </w:rPr>
      </w:pPr>
    </w:p>
    <w:p w14:paraId="2B7240E2" w14:textId="77777777" w:rsidR="009823F0" w:rsidRPr="00C82A63" w:rsidRDefault="009823F0" w:rsidP="009823F0">
      <w:pPr>
        <w:rPr>
          <w:rFonts w:ascii="Times New Roman" w:hAnsi="Times New Roman" w:cs="Times New Roman"/>
          <w:noProof/>
          <w:color w:val="000000" w:themeColor="text1"/>
          <w:sz w:val="24"/>
          <w:szCs w:val="24"/>
          <w:u w:val="single"/>
          <w:lang w:val="en-IE"/>
        </w:rPr>
      </w:pPr>
      <w:r w:rsidRPr="00C82A63">
        <w:rPr>
          <w:rFonts w:ascii="Times New Roman" w:hAnsi="Times New Roman" w:cs="Times New Roman"/>
          <w:noProof/>
          <w:color w:val="000000" w:themeColor="text1"/>
          <w:sz w:val="24"/>
          <w:szCs w:val="24"/>
          <w:u w:val="single"/>
          <w:lang w:val="en-IE"/>
        </w:rPr>
        <w:t>Investment 4: Scaled up measure: Investment [2A-4]: Support scheme for charging points</w:t>
      </w:r>
    </w:p>
    <w:p w14:paraId="592FF10C" w14:textId="77777777" w:rsidR="009823F0" w:rsidRPr="00C82A63" w:rsidRDefault="009823F0" w:rsidP="009823F0">
      <w:pPr>
        <w:jc w:val="both"/>
        <w:rPr>
          <w:rFonts w:ascii="Times New Roman" w:eastAsia="Times New Roman" w:hAnsi="Times New Roman" w:cs="Times New Roman"/>
          <w:noProof/>
          <w:color w:val="000000" w:themeColor="text1"/>
          <w:sz w:val="24"/>
          <w:szCs w:val="24"/>
          <w:lang w:val="en-IE"/>
        </w:rPr>
      </w:pPr>
      <w:r w:rsidRPr="00C82A63">
        <w:rPr>
          <w:rFonts w:ascii="Times New Roman" w:eastAsia="Times New Roman" w:hAnsi="Times New Roman" w:cs="Times New Roman"/>
          <w:noProof/>
          <w:color w:val="000000" w:themeColor="text1"/>
          <w:sz w:val="24"/>
          <w:szCs w:val="24"/>
          <w:lang w:val="en-IE"/>
        </w:rPr>
        <w:t xml:space="preserve">The objective of this investment is to scale up Investment [2A-4]: Support scheme for charging points under component 2A. </w:t>
      </w:r>
    </w:p>
    <w:p w14:paraId="060788A8" w14:textId="7CC86D23" w:rsidR="009823F0" w:rsidRPr="00C82A63" w:rsidRDefault="009823F0" w:rsidP="00576A5B">
      <w:pPr>
        <w:jc w:val="both"/>
        <w:rPr>
          <w:rFonts w:ascii="Times New Roman" w:eastAsia="Times New Roman" w:hAnsi="Times New Roman" w:cs="Times New Roman"/>
          <w:noProof/>
          <w:color w:val="000000" w:themeColor="text1"/>
          <w:sz w:val="24"/>
          <w:szCs w:val="24"/>
          <w:lang w:val="en-IE"/>
        </w:rPr>
      </w:pPr>
      <w:r w:rsidRPr="00C82A63">
        <w:rPr>
          <w:rFonts w:ascii="Times New Roman" w:eastAsia="Times New Roman" w:hAnsi="Times New Roman" w:cs="Times New Roman"/>
          <w:noProof/>
          <w:color w:val="000000" w:themeColor="text1"/>
          <w:sz w:val="24"/>
          <w:szCs w:val="24"/>
          <w:lang w:val="en-IE"/>
        </w:rPr>
        <w:t xml:space="preserve">The scaled-up part of this measure consists in a support scheme for charging points, </w:t>
      </w:r>
      <w:r w:rsidRPr="00C82A63">
        <w:rPr>
          <w:rFonts w:ascii="Times New Roman" w:eastAsia="Times New Roman" w:hAnsi="Times New Roman" w:cs="Times New Roman"/>
          <w:noProof/>
          <w:sz w:val="24"/>
          <w:szCs w:val="24"/>
          <w:lang w:val="en-IE"/>
        </w:rPr>
        <w:t>which may include but is not limited to public, semi-private or private charging points.</w:t>
      </w:r>
      <w:r w:rsidRPr="00C82A63">
        <w:rPr>
          <w:rFonts w:ascii="Times New Roman" w:eastAsia="Times New Roman" w:hAnsi="Times New Roman" w:cs="Times New Roman"/>
          <w:noProof/>
          <w:color w:val="000000" w:themeColor="text1"/>
          <w:sz w:val="24"/>
          <w:szCs w:val="24"/>
          <w:lang w:val="en-IE"/>
        </w:rPr>
        <w:t xml:space="preserve"> </w:t>
      </w:r>
    </w:p>
    <w:p w14:paraId="6A124B80" w14:textId="77777777" w:rsidR="009823F0" w:rsidRPr="00C82A63" w:rsidRDefault="009823F0" w:rsidP="009823F0">
      <w:pPr>
        <w:spacing w:before="120" w:after="120" w:line="240" w:lineRule="auto"/>
        <w:ind w:left="567"/>
        <w:jc w:val="both"/>
        <w:rPr>
          <w:rFonts w:ascii="Times New Roman" w:eastAsiaTheme="majorEastAsia" w:hAnsi="Times New Roman" w:cs="Times New Roman"/>
          <w:b/>
          <w:noProof/>
          <w:color w:val="000000" w:themeColor="text1"/>
          <w:sz w:val="24"/>
          <w:szCs w:val="24"/>
          <w:lang w:val="en-IE"/>
        </w:rPr>
      </w:pPr>
    </w:p>
    <w:p w14:paraId="5AE76FB9" w14:textId="77777777" w:rsidR="009823F0" w:rsidRPr="00C82A63" w:rsidRDefault="009823F0" w:rsidP="009823F0">
      <w:pPr>
        <w:spacing w:before="120" w:after="120" w:line="240" w:lineRule="auto"/>
        <w:ind w:left="567"/>
        <w:jc w:val="both"/>
        <w:rPr>
          <w:rFonts w:ascii="Times New Roman" w:eastAsiaTheme="majorEastAsia" w:hAnsi="Times New Roman" w:cs="Times New Roman"/>
          <w:b/>
          <w:noProof/>
          <w:color w:val="000000" w:themeColor="text1"/>
          <w:sz w:val="24"/>
          <w:szCs w:val="24"/>
          <w:lang w:val="en-IE"/>
        </w:rPr>
        <w:sectPr w:rsidR="009823F0" w:rsidRPr="00C82A63" w:rsidSect="009823F0">
          <w:headerReference w:type="even" r:id="rId110"/>
          <w:headerReference w:type="default" r:id="rId111"/>
          <w:footerReference w:type="even" r:id="rId112"/>
          <w:footerReference w:type="default" r:id="rId113"/>
          <w:headerReference w:type="first" r:id="rId114"/>
          <w:footerReference w:type="first" r:id="rId115"/>
          <w:pgSz w:w="11906" w:h="16838"/>
          <w:pgMar w:top="1417" w:right="1417" w:bottom="1417" w:left="1417" w:header="708" w:footer="708" w:gutter="0"/>
          <w:cols w:space="708"/>
          <w:docGrid w:linePitch="360"/>
        </w:sectPr>
      </w:pPr>
    </w:p>
    <w:p w14:paraId="7BB60091" w14:textId="77777777" w:rsidR="009823F0" w:rsidRPr="00C82A63" w:rsidRDefault="009823F0" w:rsidP="00576A5B">
      <w:pPr>
        <w:spacing w:before="120" w:after="120" w:line="240" w:lineRule="auto"/>
        <w:jc w:val="center"/>
        <w:rPr>
          <w:rFonts w:ascii="Times New Roman" w:hAnsi="Times New Roman" w:cs="Times New Roman"/>
          <w:b/>
          <w:noProof/>
          <w:color w:val="000000" w:themeColor="text1"/>
          <w:sz w:val="24"/>
          <w:szCs w:val="24"/>
          <w:u w:val="single"/>
          <w:lang w:val="en-IE"/>
        </w:rPr>
      </w:pPr>
      <w:r w:rsidRPr="00C82A63">
        <w:rPr>
          <w:rFonts w:ascii="Times New Roman" w:hAnsi="Times New Roman" w:cs="Times New Roman"/>
          <w:b/>
          <w:noProof/>
          <w:color w:val="000000" w:themeColor="text1"/>
          <w:sz w:val="24"/>
          <w:szCs w:val="24"/>
          <w:u w:val="single"/>
          <w:lang w:val="en-IE"/>
        </w:rPr>
        <w:t xml:space="preserve">J.2. </w:t>
      </w:r>
      <w:r w:rsidRPr="00C82A63">
        <w:rPr>
          <w:rFonts w:ascii="Times New Roman" w:hAnsi="Times New Roman" w:cs="Times New Roman"/>
          <w:noProof/>
          <w:u w:val="single"/>
          <w:lang w:val="en-IE"/>
        </w:rPr>
        <w:tab/>
      </w:r>
      <w:r w:rsidRPr="00C82A63">
        <w:rPr>
          <w:rFonts w:ascii="Times New Roman" w:hAnsi="Times New Roman" w:cs="Times New Roman"/>
          <w:b/>
          <w:noProof/>
          <w:color w:val="000000" w:themeColor="text1"/>
          <w:sz w:val="24"/>
          <w:szCs w:val="24"/>
          <w:u w:val="single"/>
          <w:lang w:val="en-IE"/>
        </w:rPr>
        <w:t>Milestones, targets, indicators, and timetable for monitoring and implementation for non-repayable financial support</w:t>
      </w:r>
    </w:p>
    <w:tbl>
      <w:tblPr>
        <w:tblW w:w="15502" w:type="dxa"/>
        <w:jc w:val="center"/>
        <w:tblLayout w:type="fixed"/>
        <w:tblLook w:val="04A0" w:firstRow="1" w:lastRow="0" w:firstColumn="1" w:lastColumn="0" w:noHBand="0" w:noVBand="1"/>
      </w:tblPr>
      <w:tblGrid>
        <w:gridCol w:w="1256"/>
        <w:gridCol w:w="1380"/>
        <w:gridCol w:w="1212"/>
        <w:gridCol w:w="1294"/>
        <w:gridCol w:w="1782"/>
        <w:gridCol w:w="1021"/>
        <w:gridCol w:w="933"/>
        <w:gridCol w:w="944"/>
        <w:gridCol w:w="946"/>
        <w:gridCol w:w="709"/>
        <w:gridCol w:w="4025"/>
      </w:tblGrid>
      <w:tr w:rsidR="009823F0" w:rsidRPr="00443C86" w14:paraId="3241F2B9" w14:textId="77777777" w:rsidTr="00604CBD">
        <w:trPr>
          <w:trHeight w:val="927"/>
          <w:tblHeader/>
          <w:jc w:val="center"/>
        </w:trPr>
        <w:tc>
          <w:tcPr>
            <w:tcW w:w="12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40BE41"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CF7598"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2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DF019E" w14:textId="6BD538F0"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2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4DC31E"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7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4342FE"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89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26DF618"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1655" w:type="dxa"/>
            <w:gridSpan w:val="2"/>
            <w:tcBorders>
              <w:top w:val="single" w:sz="4" w:space="0" w:color="auto"/>
              <w:left w:val="nil"/>
              <w:bottom w:val="single" w:sz="4" w:space="0" w:color="auto"/>
              <w:right w:val="single" w:sz="4" w:space="0" w:color="auto"/>
            </w:tcBorders>
            <w:shd w:val="clear" w:color="auto" w:fill="BDD7EE"/>
            <w:vAlign w:val="center"/>
            <w:hideMark/>
          </w:tcPr>
          <w:p w14:paraId="5F86DF3E" w14:textId="079DEBE5"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Indicative timeline for completion</w:t>
            </w:r>
          </w:p>
        </w:tc>
        <w:tc>
          <w:tcPr>
            <w:tcW w:w="40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2F3646"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12D356DC" w14:textId="77777777" w:rsidTr="00604CBD">
        <w:trPr>
          <w:trHeight w:val="1013"/>
          <w:tblHeader/>
          <w:jc w:val="center"/>
        </w:trPr>
        <w:tc>
          <w:tcPr>
            <w:tcW w:w="1256" w:type="dxa"/>
            <w:vMerge/>
            <w:tcBorders>
              <w:top w:val="single" w:sz="4" w:space="0" w:color="auto"/>
              <w:left w:val="single" w:sz="4" w:space="0" w:color="auto"/>
              <w:bottom w:val="single" w:sz="4" w:space="0" w:color="auto"/>
              <w:right w:val="single" w:sz="4" w:space="0" w:color="auto"/>
            </w:tcBorders>
            <w:vAlign w:val="center"/>
            <w:hideMark/>
          </w:tcPr>
          <w:p w14:paraId="27096E23" w14:textId="77777777" w:rsidR="009823F0" w:rsidRPr="00C82A63" w:rsidRDefault="009823F0" w:rsidP="00576A5B">
            <w:pPr>
              <w:spacing w:after="0" w:line="240" w:lineRule="auto"/>
              <w:jc w:val="center"/>
              <w:rPr>
                <w:rFonts w:ascii="Times New Roman" w:eastAsia="Times New Roman" w:hAnsi="Times New Roman" w:cs="Times New Roman"/>
                <w:b/>
                <w:noProof/>
                <w:sz w:val="20"/>
                <w:szCs w:val="20"/>
                <w:lang w:val="en-IE" w:eastAsia="en-GB"/>
              </w:rPr>
            </w:pPr>
          </w:p>
        </w:tc>
        <w:tc>
          <w:tcPr>
            <w:tcW w:w="1380" w:type="dxa"/>
            <w:vMerge/>
            <w:tcBorders>
              <w:top w:val="single" w:sz="4" w:space="0" w:color="auto"/>
              <w:left w:val="single" w:sz="4" w:space="0" w:color="auto"/>
              <w:bottom w:val="single" w:sz="4" w:space="0" w:color="auto"/>
              <w:right w:val="single" w:sz="4" w:space="0" w:color="auto"/>
            </w:tcBorders>
            <w:vAlign w:val="center"/>
            <w:hideMark/>
          </w:tcPr>
          <w:p w14:paraId="2FD300C5"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4CD1470E" w14:textId="77777777" w:rsidR="009823F0" w:rsidRPr="00C82A63" w:rsidRDefault="009823F0" w:rsidP="00576A5B">
            <w:pPr>
              <w:spacing w:after="0" w:line="240" w:lineRule="auto"/>
              <w:jc w:val="center"/>
              <w:rPr>
                <w:rFonts w:ascii="Times New Roman" w:eastAsia="Times New Roman" w:hAnsi="Times New Roman" w:cs="Times New Roman"/>
                <w:b/>
                <w:noProof/>
                <w:sz w:val="20"/>
                <w:szCs w:val="20"/>
                <w:lang w:val="en-IE" w:eastAsia="en-GB"/>
              </w:rPr>
            </w:pPr>
          </w:p>
        </w:tc>
        <w:tc>
          <w:tcPr>
            <w:tcW w:w="1294" w:type="dxa"/>
            <w:vMerge/>
            <w:tcBorders>
              <w:top w:val="single" w:sz="4" w:space="0" w:color="auto"/>
              <w:left w:val="single" w:sz="4" w:space="0" w:color="auto"/>
              <w:bottom w:val="single" w:sz="4" w:space="0" w:color="auto"/>
              <w:right w:val="single" w:sz="4" w:space="0" w:color="auto"/>
            </w:tcBorders>
            <w:vAlign w:val="center"/>
            <w:hideMark/>
          </w:tcPr>
          <w:p w14:paraId="139FB47D"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782" w:type="dxa"/>
            <w:vMerge/>
            <w:tcBorders>
              <w:top w:val="single" w:sz="4" w:space="0" w:color="auto"/>
              <w:left w:val="single" w:sz="4" w:space="0" w:color="auto"/>
              <w:bottom w:val="single" w:sz="4" w:space="0" w:color="auto"/>
              <w:right w:val="single" w:sz="4" w:space="0" w:color="auto"/>
            </w:tcBorders>
            <w:vAlign w:val="center"/>
            <w:hideMark/>
          </w:tcPr>
          <w:p w14:paraId="70DBCF10"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02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A386BC"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3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B749FC2" w14:textId="6DF64F9D"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Baseline</w:t>
            </w:r>
          </w:p>
        </w:tc>
        <w:tc>
          <w:tcPr>
            <w:tcW w:w="94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219791" w14:textId="1D5920C4"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Goal</w:t>
            </w:r>
          </w:p>
        </w:tc>
        <w:tc>
          <w:tcPr>
            <w:tcW w:w="9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7C05118"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7F3E121" w14:textId="77777777" w:rsidR="009823F0" w:rsidRPr="00C82A63" w:rsidRDefault="009823F0" w:rsidP="00576A5B">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2109FE8" w14:textId="77777777" w:rsidR="009823F0" w:rsidRPr="00C82A63" w:rsidRDefault="009823F0" w:rsidP="00576A5B">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59B08A3E" w14:textId="77777777" w:rsidTr="00C82A63">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50B7E5A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4A-1</w:t>
            </w:r>
          </w:p>
        </w:tc>
        <w:tc>
          <w:tcPr>
            <w:tcW w:w="1380" w:type="dxa"/>
            <w:tcBorders>
              <w:top w:val="single" w:sz="4" w:space="0" w:color="auto"/>
              <w:left w:val="nil"/>
              <w:bottom w:val="single" w:sz="4" w:space="0" w:color="auto"/>
              <w:right w:val="single" w:sz="4" w:space="0" w:color="auto"/>
            </w:tcBorders>
            <w:shd w:val="clear" w:color="auto" w:fill="C6EFCE"/>
            <w:noWrap/>
          </w:tcPr>
          <w:p w14:paraId="39F2063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Reform 1 - Promotion of sustainable biogas production</w:t>
            </w:r>
          </w:p>
        </w:tc>
        <w:tc>
          <w:tcPr>
            <w:tcW w:w="1212" w:type="dxa"/>
            <w:tcBorders>
              <w:top w:val="single" w:sz="4" w:space="0" w:color="auto"/>
              <w:left w:val="nil"/>
              <w:bottom w:val="single" w:sz="4" w:space="0" w:color="auto"/>
              <w:right w:val="single" w:sz="4" w:space="0" w:color="auto"/>
            </w:tcBorders>
            <w:shd w:val="clear" w:color="auto" w:fill="C6EFCE"/>
            <w:noWrap/>
          </w:tcPr>
          <w:p w14:paraId="14E46D6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294" w:type="dxa"/>
            <w:tcBorders>
              <w:top w:val="single" w:sz="4" w:space="0" w:color="auto"/>
              <w:left w:val="nil"/>
              <w:bottom w:val="single" w:sz="4" w:space="0" w:color="auto"/>
              <w:right w:val="single" w:sz="4" w:space="0" w:color="auto"/>
            </w:tcBorders>
            <w:shd w:val="clear" w:color="auto" w:fill="C6EFCE"/>
            <w:noWrap/>
          </w:tcPr>
          <w:p w14:paraId="1A46D075" w14:textId="6B0CADA8"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Grand-Ducal Regulation</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reforming the sustainable biogas support scheme</w:t>
            </w:r>
          </w:p>
        </w:tc>
        <w:tc>
          <w:tcPr>
            <w:tcW w:w="1782" w:type="dxa"/>
            <w:tcBorders>
              <w:top w:val="single" w:sz="4" w:space="0" w:color="auto"/>
              <w:left w:val="nil"/>
              <w:bottom w:val="single" w:sz="4" w:space="0" w:color="auto"/>
              <w:right w:val="single" w:sz="4" w:space="0" w:color="auto"/>
            </w:tcBorders>
            <w:shd w:val="clear" w:color="auto" w:fill="C6EFCE"/>
            <w:noWrap/>
          </w:tcPr>
          <w:p w14:paraId="29B7D48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Grand Ducal Regulation reforming the sustainable biogas support scheme</w:t>
            </w:r>
          </w:p>
        </w:tc>
        <w:tc>
          <w:tcPr>
            <w:tcW w:w="1021" w:type="dxa"/>
            <w:tcBorders>
              <w:top w:val="single" w:sz="4" w:space="0" w:color="auto"/>
              <w:left w:val="nil"/>
              <w:bottom w:val="single" w:sz="4" w:space="0" w:color="auto"/>
              <w:right w:val="single" w:sz="4" w:space="0" w:color="auto"/>
            </w:tcBorders>
            <w:shd w:val="clear" w:color="auto" w:fill="C6EFCE"/>
            <w:noWrap/>
          </w:tcPr>
          <w:p w14:paraId="0C60DF1E" w14:textId="7F4AB3E0"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33" w:type="dxa"/>
            <w:tcBorders>
              <w:top w:val="single" w:sz="4" w:space="0" w:color="auto"/>
              <w:left w:val="nil"/>
              <w:bottom w:val="single" w:sz="4" w:space="0" w:color="auto"/>
              <w:right w:val="single" w:sz="4" w:space="0" w:color="auto"/>
            </w:tcBorders>
            <w:shd w:val="clear" w:color="auto" w:fill="C6EFCE"/>
            <w:noWrap/>
          </w:tcPr>
          <w:p w14:paraId="7B5C2B7B" w14:textId="6FE38CD0"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44" w:type="dxa"/>
            <w:tcBorders>
              <w:top w:val="single" w:sz="4" w:space="0" w:color="auto"/>
              <w:left w:val="nil"/>
              <w:bottom w:val="single" w:sz="4" w:space="0" w:color="auto"/>
              <w:right w:val="single" w:sz="4" w:space="0" w:color="auto"/>
            </w:tcBorders>
            <w:shd w:val="clear" w:color="auto" w:fill="C6EFCE"/>
            <w:noWrap/>
          </w:tcPr>
          <w:p w14:paraId="19FD069F"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46" w:type="dxa"/>
            <w:tcBorders>
              <w:top w:val="single" w:sz="4" w:space="0" w:color="auto"/>
              <w:left w:val="nil"/>
              <w:bottom w:val="single" w:sz="4" w:space="0" w:color="auto"/>
              <w:right w:val="single" w:sz="4" w:space="0" w:color="auto"/>
            </w:tcBorders>
            <w:shd w:val="clear" w:color="auto" w:fill="C6EFCE"/>
            <w:noWrap/>
          </w:tcPr>
          <w:p w14:paraId="1AF3BBD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709" w:type="dxa"/>
            <w:tcBorders>
              <w:top w:val="single" w:sz="4" w:space="0" w:color="auto"/>
              <w:left w:val="nil"/>
              <w:bottom w:val="single" w:sz="4" w:space="0" w:color="auto"/>
              <w:right w:val="single" w:sz="4" w:space="0" w:color="auto"/>
            </w:tcBorders>
            <w:shd w:val="clear" w:color="auto" w:fill="C6EFCE"/>
            <w:noWrap/>
          </w:tcPr>
          <w:p w14:paraId="1379AB74"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2024</w:t>
            </w:r>
          </w:p>
        </w:tc>
        <w:tc>
          <w:tcPr>
            <w:tcW w:w="4025" w:type="dxa"/>
            <w:tcBorders>
              <w:top w:val="single" w:sz="4" w:space="0" w:color="auto"/>
              <w:left w:val="nil"/>
              <w:bottom w:val="single" w:sz="4" w:space="0" w:color="auto"/>
              <w:right w:val="single" w:sz="4" w:space="0" w:color="auto"/>
            </w:tcBorders>
            <w:shd w:val="clear" w:color="auto" w:fill="C6EFCE"/>
            <w:noWrap/>
          </w:tcPr>
          <w:p w14:paraId="3DB34926"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Grand-Ducal Regulation reforming the sustainable biogas support schemes to increase incentives for the use of manure in a mass ratio of at least 90 % and to create new tariff categories for small installations.</w:t>
            </w:r>
          </w:p>
          <w:p w14:paraId="2209FFA3"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p>
          <w:p w14:paraId="74A0D8F8" w14:textId="098BDCA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The Grand-Ducal Regulation shall ensure that biogas concerned by it complies with the sustainability criteria, greenhouse gas emission saving criteria and rules for food and feed crops set out in Directive (EU) 2018/2001 of the European Parliament and of the Council of 11</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December</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 xml:space="preserve">2018 on the promotion of the use of energy from renewable sources. </w:t>
            </w:r>
          </w:p>
        </w:tc>
      </w:tr>
      <w:tr w:rsidR="009823F0" w:rsidRPr="00443C86" w14:paraId="6C2FCAD0" w14:textId="77777777" w:rsidTr="00C82A63">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64B458F1"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4A-2</w:t>
            </w:r>
          </w:p>
        </w:tc>
        <w:tc>
          <w:tcPr>
            <w:tcW w:w="1380" w:type="dxa"/>
            <w:tcBorders>
              <w:top w:val="nil"/>
              <w:left w:val="nil"/>
              <w:bottom w:val="single" w:sz="4" w:space="0" w:color="auto"/>
              <w:right w:val="single" w:sz="4" w:space="0" w:color="auto"/>
            </w:tcBorders>
            <w:shd w:val="clear" w:color="auto" w:fill="C6EFCE"/>
            <w:noWrap/>
          </w:tcPr>
          <w:p w14:paraId="75C50F6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1 - Promotion of energy efficiency and renewable energy in housing</w:t>
            </w:r>
          </w:p>
        </w:tc>
        <w:tc>
          <w:tcPr>
            <w:tcW w:w="1212" w:type="dxa"/>
            <w:tcBorders>
              <w:top w:val="nil"/>
              <w:left w:val="nil"/>
              <w:bottom w:val="single" w:sz="4" w:space="0" w:color="auto"/>
              <w:right w:val="single" w:sz="4" w:space="0" w:color="auto"/>
            </w:tcBorders>
            <w:shd w:val="clear" w:color="auto" w:fill="C6EFCE"/>
            <w:noWrap/>
          </w:tcPr>
          <w:p w14:paraId="23EC09C8"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294" w:type="dxa"/>
            <w:tcBorders>
              <w:top w:val="nil"/>
              <w:left w:val="nil"/>
              <w:bottom w:val="single" w:sz="4" w:space="0" w:color="auto"/>
              <w:right w:val="single" w:sz="4" w:space="0" w:color="auto"/>
            </w:tcBorders>
            <w:shd w:val="clear" w:color="auto" w:fill="C6EFCE"/>
            <w:noWrap/>
          </w:tcPr>
          <w:p w14:paraId="313FF5C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Grand-Ducal Regulation laying down guidelines for the aid scheme promoting energy efficiency and renewable energy in housing</w:t>
            </w:r>
          </w:p>
        </w:tc>
        <w:tc>
          <w:tcPr>
            <w:tcW w:w="1782" w:type="dxa"/>
            <w:tcBorders>
              <w:top w:val="nil"/>
              <w:left w:val="nil"/>
              <w:bottom w:val="single" w:sz="4" w:space="0" w:color="auto"/>
              <w:right w:val="single" w:sz="4" w:space="0" w:color="auto"/>
            </w:tcBorders>
            <w:shd w:val="clear" w:color="auto" w:fill="C6EFCE"/>
            <w:noWrap/>
          </w:tcPr>
          <w:p w14:paraId="7D7A9FC9" w14:textId="559CB3A1" w:rsidR="009823F0" w:rsidRPr="00C82A63" w:rsidRDefault="009823F0" w:rsidP="00576A5B">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Grand-Ducal Regulation reforming the scheme promoting energy efficiency and renewable energy in housing</w:t>
            </w:r>
          </w:p>
        </w:tc>
        <w:tc>
          <w:tcPr>
            <w:tcW w:w="1021" w:type="dxa"/>
            <w:tcBorders>
              <w:top w:val="nil"/>
              <w:left w:val="nil"/>
              <w:bottom w:val="single" w:sz="4" w:space="0" w:color="auto"/>
              <w:right w:val="single" w:sz="4" w:space="0" w:color="auto"/>
            </w:tcBorders>
            <w:shd w:val="clear" w:color="auto" w:fill="C6EFCE"/>
            <w:noWrap/>
          </w:tcPr>
          <w:p w14:paraId="6450EDE9"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33" w:type="dxa"/>
            <w:tcBorders>
              <w:top w:val="nil"/>
              <w:left w:val="nil"/>
              <w:bottom w:val="single" w:sz="4" w:space="0" w:color="auto"/>
              <w:right w:val="single" w:sz="4" w:space="0" w:color="auto"/>
            </w:tcBorders>
            <w:shd w:val="clear" w:color="auto" w:fill="C6EFCE"/>
            <w:noWrap/>
          </w:tcPr>
          <w:p w14:paraId="0FC3E248"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44" w:type="dxa"/>
            <w:tcBorders>
              <w:top w:val="nil"/>
              <w:left w:val="nil"/>
              <w:bottom w:val="single" w:sz="4" w:space="0" w:color="auto"/>
              <w:right w:val="single" w:sz="4" w:space="0" w:color="auto"/>
            </w:tcBorders>
            <w:shd w:val="clear" w:color="auto" w:fill="C6EFCE"/>
            <w:noWrap/>
          </w:tcPr>
          <w:p w14:paraId="68CCA771"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46" w:type="dxa"/>
            <w:tcBorders>
              <w:top w:val="nil"/>
              <w:left w:val="nil"/>
              <w:bottom w:val="single" w:sz="4" w:space="0" w:color="auto"/>
              <w:right w:val="single" w:sz="4" w:space="0" w:color="auto"/>
            </w:tcBorders>
            <w:shd w:val="clear" w:color="auto" w:fill="C6EFCE"/>
            <w:noWrap/>
          </w:tcPr>
          <w:p w14:paraId="0E40783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Q2</w:t>
            </w:r>
          </w:p>
        </w:tc>
        <w:tc>
          <w:tcPr>
            <w:tcW w:w="709" w:type="dxa"/>
            <w:tcBorders>
              <w:top w:val="nil"/>
              <w:left w:val="nil"/>
              <w:bottom w:val="single" w:sz="4" w:space="0" w:color="auto"/>
              <w:right w:val="single" w:sz="4" w:space="0" w:color="auto"/>
            </w:tcBorders>
            <w:shd w:val="clear" w:color="auto" w:fill="C6EFCE"/>
            <w:noWrap/>
          </w:tcPr>
          <w:p w14:paraId="5A517BFF"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2022</w:t>
            </w:r>
          </w:p>
        </w:tc>
        <w:tc>
          <w:tcPr>
            <w:tcW w:w="4025" w:type="dxa"/>
            <w:tcBorders>
              <w:top w:val="nil"/>
              <w:left w:val="nil"/>
              <w:bottom w:val="single" w:sz="4" w:space="0" w:color="auto"/>
              <w:right w:val="single" w:sz="4" w:space="0" w:color="auto"/>
            </w:tcBorders>
            <w:shd w:val="clear" w:color="auto" w:fill="C6EFCE"/>
            <w:noWrap/>
          </w:tcPr>
          <w:p w14:paraId="030EDC8D"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Grand-Ducal Regulation that lays down the guidelines for the aid scheme for the promotion of sustainability, rational use of energy and renewable energy in the housing sector.</w:t>
            </w:r>
          </w:p>
        </w:tc>
      </w:tr>
      <w:tr w:rsidR="009823F0" w:rsidRPr="00C82A63" w14:paraId="59CA3F80" w14:textId="77777777" w:rsidTr="00C82A63">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084733F"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4A-3</w:t>
            </w:r>
          </w:p>
        </w:tc>
        <w:tc>
          <w:tcPr>
            <w:tcW w:w="1380" w:type="dxa"/>
            <w:tcBorders>
              <w:top w:val="nil"/>
              <w:left w:val="nil"/>
              <w:bottom w:val="single" w:sz="4" w:space="0" w:color="auto"/>
              <w:right w:val="single" w:sz="4" w:space="0" w:color="auto"/>
            </w:tcBorders>
            <w:shd w:val="clear" w:color="auto" w:fill="C6EFCE"/>
            <w:noWrap/>
          </w:tcPr>
          <w:p w14:paraId="7445EEA8" w14:textId="1A276D66"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1</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 Promotion of energy efficiency and renewable energy in housing</w:t>
            </w:r>
          </w:p>
        </w:tc>
        <w:tc>
          <w:tcPr>
            <w:tcW w:w="1212" w:type="dxa"/>
            <w:tcBorders>
              <w:top w:val="nil"/>
              <w:left w:val="nil"/>
              <w:bottom w:val="single" w:sz="4" w:space="0" w:color="auto"/>
              <w:right w:val="single" w:sz="4" w:space="0" w:color="auto"/>
            </w:tcBorders>
            <w:shd w:val="clear" w:color="auto" w:fill="C6EFCE"/>
            <w:noWrap/>
          </w:tcPr>
          <w:p w14:paraId="39E19AC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Target</w:t>
            </w:r>
          </w:p>
        </w:tc>
        <w:tc>
          <w:tcPr>
            <w:tcW w:w="1294" w:type="dxa"/>
            <w:tcBorders>
              <w:top w:val="nil"/>
              <w:left w:val="nil"/>
              <w:bottom w:val="single" w:sz="4" w:space="0" w:color="auto"/>
              <w:right w:val="single" w:sz="4" w:space="0" w:color="auto"/>
            </w:tcBorders>
            <w:shd w:val="clear" w:color="auto" w:fill="C6EFCE"/>
            <w:noWrap/>
          </w:tcPr>
          <w:p w14:paraId="1EFB40A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Number of grant approvals for energy projects </w:t>
            </w:r>
          </w:p>
        </w:tc>
        <w:tc>
          <w:tcPr>
            <w:tcW w:w="1782" w:type="dxa"/>
            <w:tcBorders>
              <w:top w:val="nil"/>
              <w:left w:val="nil"/>
              <w:bottom w:val="single" w:sz="4" w:space="0" w:color="auto"/>
              <w:right w:val="single" w:sz="4" w:space="0" w:color="auto"/>
            </w:tcBorders>
            <w:shd w:val="clear" w:color="auto" w:fill="C6EFCE"/>
            <w:noWrap/>
          </w:tcPr>
          <w:p w14:paraId="27EAF16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021" w:type="dxa"/>
            <w:tcBorders>
              <w:top w:val="nil"/>
              <w:left w:val="nil"/>
              <w:bottom w:val="single" w:sz="4" w:space="0" w:color="auto"/>
              <w:right w:val="single" w:sz="4" w:space="0" w:color="auto"/>
            </w:tcBorders>
            <w:shd w:val="clear" w:color="auto" w:fill="C6EFCE"/>
            <w:noWrap/>
          </w:tcPr>
          <w:p w14:paraId="7B3C980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Number</w:t>
            </w:r>
          </w:p>
        </w:tc>
        <w:tc>
          <w:tcPr>
            <w:tcW w:w="933" w:type="dxa"/>
            <w:tcBorders>
              <w:top w:val="nil"/>
              <w:left w:val="nil"/>
              <w:bottom w:val="single" w:sz="4" w:space="0" w:color="auto"/>
              <w:right w:val="single" w:sz="4" w:space="0" w:color="auto"/>
            </w:tcBorders>
            <w:shd w:val="clear" w:color="auto" w:fill="C6EFCE"/>
            <w:noWrap/>
          </w:tcPr>
          <w:p w14:paraId="5EA0E536"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0</w:t>
            </w:r>
          </w:p>
        </w:tc>
        <w:tc>
          <w:tcPr>
            <w:tcW w:w="944" w:type="dxa"/>
            <w:tcBorders>
              <w:top w:val="nil"/>
              <w:left w:val="nil"/>
              <w:bottom w:val="single" w:sz="4" w:space="0" w:color="auto"/>
              <w:right w:val="single" w:sz="4" w:space="0" w:color="auto"/>
            </w:tcBorders>
            <w:shd w:val="clear" w:color="auto" w:fill="C6EFCE"/>
            <w:noWrap/>
          </w:tcPr>
          <w:p w14:paraId="5D8629F3"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6</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fr-FR" w:eastAsia="en-GB"/>
              </w:rPr>
              <w:t>290</w:t>
            </w:r>
          </w:p>
        </w:tc>
        <w:tc>
          <w:tcPr>
            <w:tcW w:w="946" w:type="dxa"/>
            <w:tcBorders>
              <w:top w:val="nil"/>
              <w:left w:val="nil"/>
              <w:bottom w:val="single" w:sz="4" w:space="0" w:color="auto"/>
              <w:right w:val="single" w:sz="4" w:space="0" w:color="auto"/>
            </w:tcBorders>
            <w:shd w:val="clear" w:color="auto" w:fill="C6EFCE"/>
            <w:noWrap/>
          </w:tcPr>
          <w:p w14:paraId="7F04273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Q3</w:t>
            </w:r>
          </w:p>
        </w:tc>
        <w:tc>
          <w:tcPr>
            <w:tcW w:w="709" w:type="dxa"/>
            <w:tcBorders>
              <w:top w:val="nil"/>
              <w:left w:val="nil"/>
              <w:bottom w:val="single" w:sz="4" w:space="0" w:color="auto"/>
              <w:right w:val="single" w:sz="4" w:space="0" w:color="auto"/>
            </w:tcBorders>
            <w:shd w:val="clear" w:color="auto" w:fill="C6EFCE"/>
            <w:noWrap/>
          </w:tcPr>
          <w:p w14:paraId="5D6258C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2026</w:t>
            </w:r>
          </w:p>
        </w:tc>
        <w:tc>
          <w:tcPr>
            <w:tcW w:w="4025" w:type="dxa"/>
            <w:tcBorders>
              <w:top w:val="nil"/>
              <w:left w:val="nil"/>
              <w:bottom w:val="single" w:sz="4" w:space="0" w:color="auto"/>
              <w:right w:val="single" w:sz="4" w:space="0" w:color="auto"/>
            </w:tcBorders>
            <w:shd w:val="clear" w:color="auto" w:fill="C6EFCE"/>
            <w:noWrap/>
          </w:tcPr>
          <w:p w14:paraId="6230C6E5" w14:textId="77777777" w:rsidR="00576A5B"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Grant approvals for 6</w:t>
            </w:r>
            <w:bookmarkStart w:id="2" w:name="_Hlk211597909"/>
            <w:r w:rsidRPr="00C82A63">
              <w:rPr>
                <w:rFonts w:ascii="Times New Roman" w:eastAsia="Times New Roman" w:hAnsi="Times New Roman" w:cs="Times New Roman"/>
                <w:noProof/>
                <w:color w:val="006100"/>
                <w:sz w:val="20"/>
                <w:szCs w:val="20"/>
                <w:lang w:val="en-IE" w:eastAsia="en-GB"/>
              </w:rPr>
              <w:t> </w:t>
            </w:r>
            <w:bookmarkEnd w:id="2"/>
            <w:r w:rsidRPr="00C82A63">
              <w:rPr>
                <w:rFonts w:ascii="Times New Roman" w:eastAsia="Times New Roman" w:hAnsi="Times New Roman" w:cs="Times New Roman"/>
                <w:noProof/>
                <w:color w:val="006100"/>
                <w:sz w:val="20"/>
                <w:szCs w:val="20"/>
                <w:lang w:val="en-IE" w:eastAsia="en-GB"/>
              </w:rPr>
              <w:t>290 energy projects which may include, but not limited to, one or more of the following categories:</w:t>
            </w:r>
            <w:r w:rsidR="00A17CDD">
              <w:rPr>
                <w:rFonts w:ascii="Times New Roman" w:eastAsia="Times New Roman" w:hAnsi="Times New Roman" w:cs="Times New Roman"/>
                <w:noProof/>
                <w:color w:val="006100"/>
                <w:sz w:val="20"/>
                <w:szCs w:val="20"/>
                <w:lang w:val="en-IE" w:eastAsia="en-GB"/>
              </w:rPr>
              <w:t xml:space="preserve"> </w:t>
            </w:r>
          </w:p>
          <w:p w14:paraId="0AAA83FE" w14:textId="6C99C53E"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energy efficiency projects;</w:t>
            </w:r>
            <w:r w:rsidR="00A17CDD">
              <w:rPr>
                <w:rFonts w:ascii="Times New Roman" w:eastAsia="Times New Roman" w:hAnsi="Times New Roman" w:cs="Times New Roman"/>
                <w:noProof/>
                <w:color w:val="006100"/>
                <w:sz w:val="20"/>
                <w:szCs w:val="20"/>
                <w:lang w:val="en-IE" w:eastAsia="en-GB"/>
              </w:rPr>
              <w:t xml:space="preserve"> </w:t>
            </w:r>
          </w:p>
          <w:p w14:paraId="4A9653DB" w14:textId="41B716E1"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photovoltaic installations;</w:t>
            </w:r>
            <w:r w:rsidR="00A17CDD">
              <w:rPr>
                <w:rFonts w:ascii="Times New Roman" w:eastAsia="Times New Roman" w:hAnsi="Times New Roman" w:cs="Times New Roman"/>
                <w:noProof/>
                <w:color w:val="006100"/>
                <w:sz w:val="20"/>
                <w:szCs w:val="20"/>
                <w:lang w:val="en-IE" w:eastAsia="en-GB"/>
              </w:rPr>
              <w:t xml:space="preserve"> </w:t>
            </w:r>
          </w:p>
          <w:p w14:paraId="041BD553" w14:textId="114A412F"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solar thermal installations;</w:t>
            </w:r>
            <w:r w:rsidR="00A17CDD">
              <w:rPr>
                <w:rFonts w:ascii="Times New Roman" w:eastAsia="Times New Roman" w:hAnsi="Times New Roman" w:cs="Times New Roman"/>
                <w:noProof/>
                <w:color w:val="006100"/>
                <w:sz w:val="20"/>
                <w:szCs w:val="20"/>
                <w:lang w:val="en-IE" w:eastAsia="en-GB"/>
              </w:rPr>
              <w:t xml:space="preserve"> </w:t>
            </w:r>
          </w:p>
          <w:p w14:paraId="3AD37FAF" w14:textId="6230DE9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wood-fired boilers;</w:t>
            </w:r>
            <w:r w:rsidR="00A17CDD">
              <w:rPr>
                <w:rFonts w:ascii="Times New Roman" w:eastAsia="Times New Roman" w:hAnsi="Times New Roman" w:cs="Times New Roman"/>
                <w:noProof/>
                <w:color w:val="006100"/>
                <w:sz w:val="20"/>
                <w:szCs w:val="20"/>
                <w:lang w:val="en-IE" w:eastAsia="en-GB"/>
              </w:rPr>
              <w:t xml:space="preserve"> </w:t>
            </w:r>
          </w:p>
          <w:p w14:paraId="5ED62EB2"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 heat pumps.</w:t>
            </w:r>
          </w:p>
        </w:tc>
      </w:tr>
      <w:tr w:rsidR="009823F0" w:rsidRPr="00443C86" w14:paraId="65C2036C" w14:textId="77777777" w:rsidTr="00C82A63">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3EF2ED5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4A-4</w:t>
            </w:r>
          </w:p>
        </w:tc>
        <w:tc>
          <w:tcPr>
            <w:tcW w:w="1380" w:type="dxa"/>
            <w:tcBorders>
              <w:top w:val="nil"/>
              <w:left w:val="nil"/>
              <w:bottom w:val="single" w:sz="4" w:space="0" w:color="auto"/>
              <w:right w:val="single" w:sz="4" w:space="0" w:color="auto"/>
            </w:tcBorders>
            <w:shd w:val="clear" w:color="auto" w:fill="C6EFCE"/>
            <w:noWrap/>
          </w:tcPr>
          <w:p w14:paraId="0888D6C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Investment 2 – Promotion of zero-emission and active mobility </w:t>
            </w:r>
          </w:p>
        </w:tc>
        <w:tc>
          <w:tcPr>
            <w:tcW w:w="1212" w:type="dxa"/>
            <w:tcBorders>
              <w:top w:val="nil"/>
              <w:left w:val="nil"/>
              <w:bottom w:val="single" w:sz="4" w:space="0" w:color="auto"/>
              <w:right w:val="single" w:sz="4" w:space="0" w:color="auto"/>
            </w:tcBorders>
            <w:shd w:val="clear" w:color="auto" w:fill="C6EFCE"/>
            <w:noWrap/>
          </w:tcPr>
          <w:p w14:paraId="04A4BA3C"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Milestone</w:t>
            </w:r>
          </w:p>
        </w:tc>
        <w:tc>
          <w:tcPr>
            <w:tcW w:w="1294" w:type="dxa"/>
            <w:tcBorders>
              <w:top w:val="nil"/>
              <w:left w:val="nil"/>
              <w:bottom w:val="single" w:sz="4" w:space="0" w:color="auto"/>
              <w:right w:val="single" w:sz="4" w:space="0" w:color="auto"/>
            </w:tcBorders>
            <w:shd w:val="clear" w:color="auto" w:fill="C6EFCE"/>
            <w:noWrap/>
          </w:tcPr>
          <w:p w14:paraId="3E8941C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Grand-Ducal Regulation laying down guidelines for the aid scheme supporting the aquisition of zero emission vehicles</w:t>
            </w:r>
          </w:p>
        </w:tc>
        <w:tc>
          <w:tcPr>
            <w:tcW w:w="1782" w:type="dxa"/>
            <w:tcBorders>
              <w:top w:val="nil"/>
              <w:left w:val="nil"/>
              <w:bottom w:val="single" w:sz="4" w:space="0" w:color="auto"/>
              <w:right w:val="single" w:sz="4" w:space="0" w:color="auto"/>
            </w:tcBorders>
            <w:shd w:val="clear" w:color="auto" w:fill="C6EFCE"/>
            <w:noWrap/>
          </w:tcPr>
          <w:p w14:paraId="32AD28B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Grand-Ducal Regulation reforming the scheme supporting the aquisition of zero emission vehicles</w:t>
            </w:r>
          </w:p>
        </w:tc>
        <w:tc>
          <w:tcPr>
            <w:tcW w:w="1021" w:type="dxa"/>
            <w:tcBorders>
              <w:top w:val="nil"/>
              <w:left w:val="nil"/>
              <w:bottom w:val="single" w:sz="4" w:space="0" w:color="auto"/>
              <w:right w:val="single" w:sz="4" w:space="0" w:color="auto"/>
            </w:tcBorders>
            <w:shd w:val="clear" w:color="auto" w:fill="C6EFCE"/>
            <w:noWrap/>
          </w:tcPr>
          <w:p w14:paraId="37FEC706"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33" w:type="dxa"/>
            <w:tcBorders>
              <w:top w:val="nil"/>
              <w:left w:val="nil"/>
              <w:bottom w:val="single" w:sz="4" w:space="0" w:color="auto"/>
              <w:right w:val="single" w:sz="4" w:space="0" w:color="auto"/>
            </w:tcBorders>
            <w:shd w:val="clear" w:color="auto" w:fill="C6EFCE"/>
            <w:noWrap/>
          </w:tcPr>
          <w:p w14:paraId="4425F7E9"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44" w:type="dxa"/>
            <w:tcBorders>
              <w:top w:val="nil"/>
              <w:left w:val="nil"/>
              <w:bottom w:val="single" w:sz="4" w:space="0" w:color="auto"/>
              <w:right w:val="single" w:sz="4" w:space="0" w:color="auto"/>
            </w:tcBorders>
            <w:shd w:val="clear" w:color="auto" w:fill="C6EFCE"/>
            <w:noWrap/>
          </w:tcPr>
          <w:p w14:paraId="7FA49176"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p>
        </w:tc>
        <w:tc>
          <w:tcPr>
            <w:tcW w:w="946" w:type="dxa"/>
            <w:tcBorders>
              <w:top w:val="nil"/>
              <w:left w:val="nil"/>
              <w:bottom w:val="single" w:sz="4" w:space="0" w:color="auto"/>
              <w:right w:val="single" w:sz="4" w:space="0" w:color="auto"/>
            </w:tcBorders>
            <w:shd w:val="clear" w:color="auto" w:fill="C6EFCE"/>
            <w:noWrap/>
          </w:tcPr>
          <w:p w14:paraId="676D6AA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Q3</w:t>
            </w:r>
          </w:p>
        </w:tc>
        <w:tc>
          <w:tcPr>
            <w:tcW w:w="709" w:type="dxa"/>
            <w:tcBorders>
              <w:top w:val="nil"/>
              <w:left w:val="nil"/>
              <w:bottom w:val="single" w:sz="4" w:space="0" w:color="auto"/>
              <w:right w:val="single" w:sz="4" w:space="0" w:color="auto"/>
            </w:tcBorders>
            <w:shd w:val="clear" w:color="auto" w:fill="C6EFCE"/>
            <w:noWrap/>
          </w:tcPr>
          <w:p w14:paraId="6BA27724"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2022</w:t>
            </w:r>
          </w:p>
        </w:tc>
        <w:tc>
          <w:tcPr>
            <w:tcW w:w="4025" w:type="dxa"/>
            <w:tcBorders>
              <w:top w:val="nil"/>
              <w:left w:val="nil"/>
              <w:bottom w:val="single" w:sz="4" w:space="0" w:color="auto"/>
              <w:right w:val="single" w:sz="4" w:space="0" w:color="auto"/>
            </w:tcBorders>
            <w:shd w:val="clear" w:color="auto" w:fill="C6EFCE"/>
            <w:noWrap/>
          </w:tcPr>
          <w:p w14:paraId="52C1896D" w14:textId="77777777"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Entry into force of the Grand-Ducal Regulation that lays down the guidelines for the aid scheme for the promotion of road vehicles with zero and low CO2 emissions.</w:t>
            </w:r>
          </w:p>
        </w:tc>
      </w:tr>
      <w:tr w:rsidR="009823F0" w:rsidRPr="00C82A63" w14:paraId="20982CD1" w14:textId="77777777" w:rsidTr="00C82A63">
        <w:trPr>
          <w:trHeight w:val="17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5F0A247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4A-5</w:t>
            </w:r>
          </w:p>
        </w:tc>
        <w:tc>
          <w:tcPr>
            <w:tcW w:w="1380" w:type="dxa"/>
            <w:tcBorders>
              <w:top w:val="nil"/>
              <w:left w:val="nil"/>
              <w:bottom w:val="single" w:sz="4" w:space="0" w:color="auto"/>
              <w:right w:val="single" w:sz="4" w:space="0" w:color="auto"/>
            </w:tcBorders>
            <w:shd w:val="clear" w:color="auto" w:fill="C6EFCE"/>
            <w:noWrap/>
          </w:tcPr>
          <w:p w14:paraId="2326E2F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Investment 2 – Promotion of zero-emission and active mobility </w:t>
            </w:r>
          </w:p>
        </w:tc>
        <w:tc>
          <w:tcPr>
            <w:tcW w:w="1212" w:type="dxa"/>
            <w:tcBorders>
              <w:top w:val="nil"/>
              <w:left w:val="nil"/>
              <w:bottom w:val="single" w:sz="4" w:space="0" w:color="auto"/>
              <w:right w:val="single" w:sz="4" w:space="0" w:color="auto"/>
            </w:tcBorders>
            <w:shd w:val="clear" w:color="auto" w:fill="C6EFCE"/>
            <w:noWrap/>
          </w:tcPr>
          <w:p w14:paraId="25DD2A58"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Target</w:t>
            </w:r>
          </w:p>
        </w:tc>
        <w:tc>
          <w:tcPr>
            <w:tcW w:w="1294" w:type="dxa"/>
            <w:tcBorders>
              <w:top w:val="nil"/>
              <w:left w:val="nil"/>
              <w:bottom w:val="single" w:sz="4" w:space="0" w:color="auto"/>
              <w:right w:val="single" w:sz="4" w:space="0" w:color="auto"/>
            </w:tcBorders>
            <w:shd w:val="clear" w:color="auto" w:fill="C6EFCE"/>
            <w:noWrap/>
          </w:tcPr>
          <w:p w14:paraId="30AE2FF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Number of zero-emission vehicles acquired through purchase, lease or rental </w:t>
            </w:r>
          </w:p>
        </w:tc>
        <w:tc>
          <w:tcPr>
            <w:tcW w:w="1782" w:type="dxa"/>
            <w:tcBorders>
              <w:top w:val="nil"/>
              <w:left w:val="nil"/>
              <w:bottom w:val="single" w:sz="4" w:space="0" w:color="auto"/>
              <w:right w:val="single" w:sz="4" w:space="0" w:color="auto"/>
            </w:tcBorders>
            <w:shd w:val="clear" w:color="auto" w:fill="C6EFCE"/>
            <w:noWrap/>
          </w:tcPr>
          <w:p w14:paraId="2571C5F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021" w:type="dxa"/>
            <w:tcBorders>
              <w:top w:val="nil"/>
              <w:left w:val="nil"/>
              <w:bottom w:val="single" w:sz="4" w:space="0" w:color="auto"/>
              <w:right w:val="single" w:sz="4" w:space="0" w:color="auto"/>
            </w:tcBorders>
            <w:shd w:val="clear" w:color="auto" w:fill="C6EFCE"/>
            <w:noWrap/>
          </w:tcPr>
          <w:p w14:paraId="18C50614"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Number</w:t>
            </w:r>
          </w:p>
        </w:tc>
        <w:tc>
          <w:tcPr>
            <w:tcW w:w="933" w:type="dxa"/>
            <w:tcBorders>
              <w:top w:val="nil"/>
              <w:left w:val="nil"/>
              <w:bottom w:val="single" w:sz="4" w:space="0" w:color="auto"/>
              <w:right w:val="single" w:sz="4" w:space="0" w:color="auto"/>
            </w:tcBorders>
            <w:shd w:val="clear" w:color="auto" w:fill="C6EFCE"/>
            <w:noWrap/>
          </w:tcPr>
          <w:p w14:paraId="5986E336"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0</w:t>
            </w:r>
          </w:p>
        </w:tc>
        <w:tc>
          <w:tcPr>
            <w:tcW w:w="944" w:type="dxa"/>
            <w:tcBorders>
              <w:top w:val="nil"/>
              <w:left w:val="nil"/>
              <w:bottom w:val="single" w:sz="4" w:space="0" w:color="auto"/>
              <w:right w:val="single" w:sz="4" w:space="0" w:color="auto"/>
            </w:tcBorders>
            <w:shd w:val="clear" w:color="auto" w:fill="C6EFCE"/>
            <w:noWrap/>
          </w:tcPr>
          <w:p w14:paraId="26C7866E" w14:textId="75AAE30A" w:rsidR="009823F0" w:rsidRPr="00C82A63" w:rsidRDefault="007E72DC" w:rsidP="00576A5B">
            <w:pPr>
              <w:spacing w:after="0" w:line="240" w:lineRule="auto"/>
              <w:jc w:val="center"/>
              <w:rPr>
                <w:rFonts w:ascii="Times New Roman" w:eastAsia="Times New Roman" w:hAnsi="Times New Roman" w:cs="Times New Roman"/>
                <w:noProof/>
                <w:color w:val="006100"/>
                <w:sz w:val="20"/>
                <w:szCs w:val="20"/>
                <w:lang w:val="fr-FR" w:eastAsia="en-GB"/>
              </w:rPr>
            </w:pPr>
            <w:r>
              <w:rPr>
                <w:rFonts w:ascii="Times New Roman" w:eastAsia="Times New Roman" w:hAnsi="Times New Roman" w:cs="Times New Roman"/>
                <w:noProof/>
                <w:color w:val="006100"/>
                <w:sz w:val="20"/>
                <w:szCs w:val="20"/>
                <w:lang w:val="fr-FR" w:eastAsia="en-GB"/>
              </w:rPr>
              <w:t>38</w:t>
            </w:r>
            <w:r w:rsidR="00604CBD">
              <w:rPr>
                <w:rFonts w:ascii="Times New Roman" w:eastAsia="Times New Roman" w:hAnsi="Times New Roman" w:cs="Times New Roman"/>
                <w:noProof/>
                <w:color w:val="006100"/>
                <w:sz w:val="20"/>
                <w:szCs w:val="20"/>
                <w:lang w:val="fr-FR" w:eastAsia="en-GB"/>
              </w:rPr>
              <w:t> </w:t>
            </w:r>
            <w:r>
              <w:rPr>
                <w:rFonts w:ascii="Times New Roman" w:eastAsia="Times New Roman" w:hAnsi="Times New Roman" w:cs="Times New Roman"/>
                <w:noProof/>
                <w:color w:val="006100"/>
                <w:sz w:val="20"/>
                <w:szCs w:val="20"/>
                <w:lang w:val="fr-FR" w:eastAsia="en-GB"/>
              </w:rPr>
              <w:t>126</w:t>
            </w:r>
          </w:p>
        </w:tc>
        <w:tc>
          <w:tcPr>
            <w:tcW w:w="946" w:type="dxa"/>
            <w:tcBorders>
              <w:top w:val="nil"/>
              <w:left w:val="nil"/>
              <w:bottom w:val="single" w:sz="4" w:space="0" w:color="auto"/>
              <w:right w:val="single" w:sz="4" w:space="0" w:color="auto"/>
            </w:tcBorders>
            <w:shd w:val="clear" w:color="auto" w:fill="C6EFCE"/>
            <w:noWrap/>
          </w:tcPr>
          <w:p w14:paraId="4F7CEE72"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Q1</w:t>
            </w:r>
          </w:p>
        </w:tc>
        <w:tc>
          <w:tcPr>
            <w:tcW w:w="709" w:type="dxa"/>
            <w:tcBorders>
              <w:top w:val="nil"/>
              <w:left w:val="nil"/>
              <w:bottom w:val="single" w:sz="4" w:space="0" w:color="auto"/>
              <w:right w:val="single" w:sz="4" w:space="0" w:color="auto"/>
            </w:tcBorders>
            <w:shd w:val="clear" w:color="auto" w:fill="C6EFCE"/>
            <w:noWrap/>
          </w:tcPr>
          <w:p w14:paraId="06D46602"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2025</w:t>
            </w:r>
          </w:p>
        </w:tc>
        <w:tc>
          <w:tcPr>
            <w:tcW w:w="4025" w:type="dxa"/>
            <w:tcBorders>
              <w:top w:val="nil"/>
              <w:left w:val="nil"/>
              <w:bottom w:val="single" w:sz="4" w:space="0" w:color="auto"/>
              <w:right w:val="single" w:sz="4" w:space="0" w:color="auto"/>
            </w:tcBorders>
            <w:shd w:val="clear" w:color="auto" w:fill="C6EFCE"/>
            <w:noWrap/>
          </w:tcPr>
          <w:p w14:paraId="1D59FEFF" w14:textId="7FC39063" w:rsidR="009823F0" w:rsidRPr="00C82A63" w:rsidRDefault="007E72DC" w:rsidP="00576A5B">
            <w:pPr>
              <w:spacing w:after="0" w:line="240" w:lineRule="auto"/>
              <w:jc w:val="both"/>
              <w:rPr>
                <w:rFonts w:ascii="Times New Roman" w:eastAsia="Times New Roman" w:hAnsi="Times New Roman" w:cs="Times New Roman"/>
                <w:noProof/>
                <w:color w:val="006100"/>
                <w:sz w:val="20"/>
                <w:szCs w:val="20"/>
                <w:lang w:eastAsia="en-GB"/>
              </w:rPr>
            </w:pPr>
            <w:r>
              <w:rPr>
                <w:rFonts w:ascii="Times New Roman" w:eastAsia="Times New Roman" w:hAnsi="Times New Roman" w:cs="Times New Roman"/>
                <w:noProof/>
                <w:color w:val="006100"/>
                <w:sz w:val="20"/>
                <w:szCs w:val="20"/>
                <w:lang w:eastAsia="en-GB"/>
              </w:rPr>
              <w:t>38</w:t>
            </w:r>
            <w:r w:rsidR="00604CBD">
              <w:rPr>
                <w:rFonts w:ascii="Times New Roman" w:eastAsia="Times New Roman" w:hAnsi="Times New Roman" w:cs="Times New Roman"/>
                <w:noProof/>
                <w:color w:val="006100"/>
                <w:sz w:val="20"/>
                <w:szCs w:val="20"/>
                <w:lang w:eastAsia="en-GB"/>
              </w:rPr>
              <w:t> </w:t>
            </w:r>
            <w:r>
              <w:rPr>
                <w:rFonts w:ascii="Times New Roman" w:eastAsia="Times New Roman" w:hAnsi="Times New Roman" w:cs="Times New Roman"/>
                <w:noProof/>
                <w:color w:val="006100"/>
                <w:sz w:val="20"/>
                <w:szCs w:val="20"/>
                <w:lang w:eastAsia="en-GB"/>
              </w:rPr>
              <w:t>126</w:t>
            </w:r>
            <w:r w:rsidR="009823F0" w:rsidRPr="00C82A63">
              <w:rPr>
                <w:rFonts w:ascii="Times New Roman" w:eastAsia="Times New Roman" w:hAnsi="Times New Roman" w:cs="Times New Roman"/>
                <w:noProof/>
                <w:color w:val="006100"/>
                <w:sz w:val="20"/>
                <w:szCs w:val="20"/>
                <w:lang w:eastAsia="en-GB"/>
              </w:rPr>
              <w:t xml:space="preserve"> zero-emission vehicles acquired.</w:t>
            </w:r>
          </w:p>
        </w:tc>
      </w:tr>
      <w:tr w:rsidR="009823F0" w:rsidRPr="00443C86" w14:paraId="36D25EA4" w14:textId="77777777" w:rsidTr="00C82A63">
        <w:trPr>
          <w:trHeight w:val="309"/>
          <w:jc w:val="center"/>
        </w:trPr>
        <w:tc>
          <w:tcPr>
            <w:tcW w:w="1256" w:type="dxa"/>
            <w:tcBorders>
              <w:top w:val="nil"/>
              <w:left w:val="single" w:sz="4" w:space="0" w:color="auto"/>
              <w:bottom w:val="single" w:sz="4" w:space="0" w:color="auto"/>
              <w:right w:val="single" w:sz="4" w:space="0" w:color="auto"/>
            </w:tcBorders>
            <w:shd w:val="clear" w:color="auto" w:fill="C6EFCE"/>
            <w:noWrap/>
          </w:tcPr>
          <w:p w14:paraId="08FC1FE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4A-6</w:t>
            </w:r>
          </w:p>
        </w:tc>
        <w:tc>
          <w:tcPr>
            <w:tcW w:w="1380" w:type="dxa"/>
            <w:tcBorders>
              <w:top w:val="nil"/>
              <w:left w:val="nil"/>
              <w:bottom w:val="single" w:sz="4" w:space="0" w:color="auto"/>
              <w:right w:val="single" w:sz="4" w:space="0" w:color="auto"/>
            </w:tcBorders>
            <w:shd w:val="clear" w:color="auto" w:fill="C6EFCE"/>
            <w:noWrap/>
          </w:tcPr>
          <w:p w14:paraId="4B60897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Investment 3: Construction of photovoltaic power generation units in business premises </w:t>
            </w:r>
          </w:p>
        </w:tc>
        <w:tc>
          <w:tcPr>
            <w:tcW w:w="1212" w:type="dxa"/>
            <w:tcBorders>
              <w:top w:val="nil"/>
              <w:left w:val="nil"/>
              <w:bottom w:val="single" w:sz="4" w:space="0" w:color="auto"/>
              <w:right w:val="single" w:sz="4" w:space="0" w:color="auto"/>
            </w:tcBorders>
            <w:shd w:val="clear" w:color="auto" w:fill="C6EFCE"/>
            <w:noWrap/>
          </w:tcPr>
          <w:p w14:paraId="51860B3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Target</w:t>
            </w:r>
          </w:p>
        </w:tc>
        <w:tc>
          <w:tcPr>
            <w:tcW w:w="1294" w:type="dxa"/>
            <w:tcBorders>
              <w:top w:val="nil"/>
              <w:left w:val="nil"/>
              <w:bottom w:val="single" w:sz="4" w:space="0" w:color="auto"/>
              <w:right w:val="single" w:sz="4" w:space="0" w:color="auto"/>
            </w:tcBorders>
            <w:shd w:val="clear" w:color="auto" w:fill="C6EFCE"/>
            <w:noWrap/>
          </w:tcPr>
          <w:p w14:paraId="1E6A3D2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Installed photovoltaic capacity of power generation units in business premises</w:t>
            </w:r>
          </w:p>
        </w:tc>
        <w:tc>
          <w:tcPr>
            <w:tcW w:w="1782" w:type="dxa"/>
            <w:tcBorders>
              <w:top w:val="nil"/>
              <w:left w:val="nil"/>
              <w:bottom w:val="single" w:sz="4" w:space="0" w:color="auto"/>
              <w:right w:val="single" w:sz="4" w:space="0" w:color="auto"/>
            </w:tcBorders>
            <w:shd w:val="clear" w:color="auto" w:fill="C6EFCE"/>
            <w:noWrap/>
          </w:tcPr>
          <w:p w14:paraId="6CB84BF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021" w:type="dxa"/>
            <w:tcBorders>
              <w:top w:val="nil"/>
              <w:left w:val="nil"/>
              <w:bottom w:val="single" w:sz="4" w:space="0" w:color="auto"/>
              <w:right w:val="single" w:sz="4" w:space="0" w:color="auto"/>
            </w:tcBorders>
            <w:shd w:val="clear" w:color="auto" w:fill="C6EFCE"/>
            <w:noWrap/>
          </w:tcPr>
          <w:p w14:paraId="7547444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MWp</w:t>
            </w:r>
          </w:p>
        </w:tc>
        <w:tc>
          <w:tcPr>
            <w:tcW w:w="933" w:type="dxa"/>
            <w:tcBorders>
              <w:top w:val="nil"/>
              <w:left w:val="nil"/>
              <w:bottom w:val="single" w:sz="4" w:space="0" w:color="auto"/>
              <w:right w:val="single" w:sz="4" w:space="0" w:color="auto"/>
            </w:tcBorders>
            <w:shd w:val="clear" w:color="auto" w:fill="C6EFCE"/>
            <w:noWrap/>
          </w:tcPr>
          <w:p w14:paraId="4A135A3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0</w:t>
            </w:r>
          </w:p>
        </w:tc>
        <w:tc>
          <w:tcPr>
            <w:tcW w:w="944" w:type="dxa"/>
            <w:tcBorders>
              <w:top w:val="nil"/>
              <w:left w:val="nil"/>
              <w:bottom w:val="single" w:sz="4" w:space="0" w:color="auto"/>
              <w:right w:val="single" w:sz="4" w:space="0" w:color="auto"/>
            </w:tcBorders>
            <w:shd w:val="clear" w:color="auto" w:fill="C6EFCE"/>
            <w:noWrap/>
          </w:tcPr>
          <w:p w14:paraId="6379DF80"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25</w:t>
            </w:r>
          </w:p>
        </w:tc>
        <w:tc>
          <w:tcPr>
            <w:tcW w:w="946" w:type="dxa"/>
            <w:tcBorders>
              <w:top w:val="nil"/>
              <w:left w:val="nil"/>
              <w:bottom w:val="single" w:sz="4" w:space="0" w:color="auto"/>
              <w:right w:val="single" w:sz="4" w:space="0" w:color="auto"/>
            </w:tcBorders>
            <w:shd w:val="clear" w:color="auto" w:fill="C6EFCE"/>
            <w:noWrap/>
          </w:tcPr>
          <w:p w14:paraId="55802FA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Q4</w:t>
            </w:r>
          </w:p>
        </w:tc>
        <w:tc>
          <w:tcPr>
            <w:tcW w:w="709" w:type="dxa"/>
            <w:tcBorders>
              <w:top w:val="nil"/>
              <w:left w:val="nil"/>
              <w:bottom w:val="single" w:sz="4" w:space="0" w:color="auto"/>
              <w:right w:val="single" w:sz="4" w:space="0" w:color="auto"/>
            </w:tcBorders>
            <w:shd w:val="clear" w:color="auto" w:fill="C6EFCE"/>
            <w:noWrap/>
          </w:tcPr>
          <w:p w14:paraId="31B1FB8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2024</w:t>
            </w:r>
          </w:p>
        </w:tc>
        <w:tc>
          <w:tcPr>
            <w:tcW w:w="4025" w:type="dxa"/>
            <w:tcBorders>
              <w:top w:val="nil"/>
              <w:left w:val="nil"/>
              <w:bottom w:val="single" w:sz="4" w:space="0" w:color="auto"/>
              <w:right w:val="single" w:sz="4" w:space="0" w:color="auto"/>
            </w:tcBorders>
            <w:shd w:val="clear" w:color="auto" w:fill="C6EFCE"/>
            <w:noWrap/>
          </w:tcPr>
          <w:p w14:paraId="140C4C28" w14:textId="0302F2A0"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25</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MWp of photovoltaic capacity of power generation units installed in business premises.</w:t>
            </w:r>
          </w:p>
        </w:tc>
      </w:tr>
      <w:tr w:rsidR="009823F0" w:rsidRPr="00443C86" w14:paraId="4F6F9BE3" w14:textId="77777777" w:rsidTr="00C82A63">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3F8597B0"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4A-7</w:t>
            </w:r>
          </w:p>
        </w:tc>
        <w:tc>
          <w:tcPr>
            <w:tcW w:w="1380" w:type="dxa"/>
            <w:tcBorders>
              <w:top w:val="single" w:sz="4" w:space="0" w:color="auto"/>
              <w:left w:val="nil"/>
              <w:bottom w:val="single" w:sz="4" w:space="0" w:color="auto"/>
              <w:right w:val="single" w:sz="4" w:space="0" w:color="auto"/>
            </w:tcBorders>
            <w:shd w:val="clear" w:color="auto" w:fill="C6EFCE"/>
            <w:noWrap/>
          </w:tcPr>
          <w:p w14:paraId="03191A2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3: Construction of photovoltaic power generation units in business premises</w:t>
            </w:r>
          </w:p>
        </w:tc>
        <w:tc>
          <w:tcPr>
            <w:tcW w:w="1212" w:type="dxa"/>
            <w:tcBorders>
              <w:top w:val="single" w:sz="4" w:space="0" w:color="auto"/>
              <w:left w:val="nil"/>
              <w:bottom w:val="single" w:sz="4" w:space="0" w:color="auto"/>
              <w:right w:val="single" w:sz="4" w:space="0" w:color="auto"/>
            </w:tcBorders>
            <w:shd w:val="clear" w:color="auto" w:fill="C6EFCE"/>
            <w:noWrap/>
          </w:tcPr>
          <w:p w14:paraId="750DDEA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Target</w:t>
            </w:r>
          </w:p>
        </w:tc>
        <w:tc>
          <w:tcPr>
            <w:tcW w:w="1294" w:type="dxa"/>
            <w:tcBorders>
              <w:top w:val="single" w:sz="4" w:space="0" w:color="auto"/>
              <w:left w:val="nil"/>
              <w:bottom w:val="single" w:sz="4" w:space="0" w:color="auto"/>
              <w:right w:val="single" w:sz="4" w:space="0" w:color="auto"/>
            </w:tcBorders>
            <w:shd w:val="clear" w:color="auto" w:fill="C6EFCE"/>
            <w:noWrap/>
          </w:tcPr>
          <w:p w14:paraId="3023904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Installed photovoltaic capacity of power generation units in business premises</w:t>
            </w:r>
          </w:p>
          <w:p w14:paraId="5F61C116"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782" w:type="dxa"/>
            <w:tcBorders>
              <w:top w:val="single" w:sz="4" w:space="0" w:color="auto"/>
              <w:left w:val="nil"/>
              <w:bottom w:val="single" w:sz="4" w:space="0" w:color="auto"/>
              <w:right w:val="single" w:sz="4" w:space="0" w:color="auto"/>
            </w:tcBorders>
            <w:shd w:val="clear" w:color="auto" w:fill="C6EFCE"/>
            <w:noWrap/>
          </w:tcPr>
          <w:p w14:paraId="4439610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021" w:type="dxa"/>
            <w:tcBorders>
              <w:top w:val="single" w:sz="4" w:space="0" w:color="auto"/>
              <w:left w:val="nil"/>
              <w:bottom w:val="single" w:sz="4" w:space="0" w:color="auto"/>
              <w:right w:val="single" w:sz="4" w:space="0" w:color="auto"/>
            </w:tcBorders>
            <w:shd w:val="clear" w:color="auto" w:fill="C6EFCE"/>
            <w:noWrap/>
          </w:tcPr>
          <w:p w14:paraId="684C22E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MWp</w:t>
            </w:r>
          </w:p>
        </w:tc>
        <w:tc>
          <w:tcPr>
            <w:tcW w:w="933" w:type="dxa"/>
            <w:tcBorders>
              <w:top w:val="single" w:sz="4" w:space="0" w:color="auto"/>
              <w:left w:val="nil"/>
              <w:bottom w:val="single" w:sz="4" w:space="0" w:color="auto"/>
              <w:right w:val="single" w:sz="4" w:space="0" w:color="auto"/>
            </w:tcBorders>
            <w:shd w:val="clear" w:color="auto" w:fill="C6EFCE"/>
            <w:noWrap/>
          </w:tcPr>
          <w:p w14:paraId="4BE4F90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25</w:t>
            </w:r>
          </w:p>
        </w:tc>
        <w:tc>
          <w:tcPr>
            <w:tcW w:w="944" w:type="dxa"/>
            <w:tcBorders>
              <w:top w:val="single" w:sz="4" w:space="0" w:color="auto"/>
              <w:left w:val="nil"/>
              <w:bottom w:val="single" w:sz="4" w:space="0" w:color="auto"/>
              <w:right w:val="single" w:sz="4" w:space="0" w:color="auto"/>
            </w:tcBorders>
            <w:shd w:val="clear" w:color="auto" w:fill="C6EFCE"/>
            <w:noWrap/>
          </w:tcPr>
          <w:p w14:paraId="2A33337A"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55.1</w:t>
            </w:r>
          </w:p>
        </w:tc>
        <w:tc>
          <w:tcPr>
            <w:tcW w:w="946" w:type="dxa"/>
            <w:tcBorders>
              <w:top w:val="single" w:sz="4" w:space="0" w:color="auto"/>
              <w:left w:val="nil"/>
              <w:bottom w:val="single" w:sz="4" w:space="0" w:color="auto"/>
              <w:right w:val="single" w:sz="4" w:space="0" w:color="auto"/>
            </w:tcBorders>
            <w:shd w:val="clear" w:color="auto" w:fill="C6EFCE"/>
            <w:noWrap/>
          </w:tcPr>
          <w:p w14:paraId="094A9B4D"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Q3</w:t>
            </w:r>
          </w:p>
        </w:tc>
        <w:tc>
          <w:tcPr>
            <w:tcW w:w="709" w:type="dxa"/>
            <w:tcBorders>
              <w:top w:val="single" w:sz="4" w:space="0" w:color="auto"/>
              <w:left w:val="nil"/>
              <w:bottom w:val="single" w:sz="4" w:space="0" w:color="auto"/>
              <w:right w:val="single" w:sz="4" w:space="0" w:color="auto"/>
            </w:tcBorders>
            <w:shd w:val="clear" w:color="auto" w:fill="C6EFCE"/>
            <w:noWrap/>
          </w:tcPr>
          <w:p w14:paraId="0E34937F"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fr-FR" w:eastAsia="en-GB"/>
              </w:rPr>
            </w:pPr>
            <w:r w:rsidRPr="00C82A63">
              <w:rPr>
                <w:rFonts w:ascii="Times New Roman" w:eastAsia="Times New Roman" w:hAnsi="Times New Roman" w:cs="Times New Roman"/>
                <w:noProof/>
                <w:color w:val="006100"/>
                <w:sz w:val="20"/>
                <w:szCs w:val="20"/>
                <w:lang w:val="fr-FR" w:eastAsia="en-GB"/>
              </w:rPr>
              <w:t>2026</w:t>
            </w:r>
          </w:p>
        </w:tc>
        <w:tc>
          <w:tcPr>
            <w:tcW w:w="4025" w:type="dxa"/>
            <w:tcBorders>
              <w:top w:val="single" w:sz="4" w:space="0" w:color="auto"/>
              <w:left w:val="nil"/>
              <w:bottom w:val="single" w:sz="4" w:space="0" w:color="auto"/>
              <w:right w:val="single" w:sz="4" w:space="0" w:color="auto"/>
            </w:tcBorders>
            <w:shd w:val="clear" w:color="auto" w:fill="C6EFCE"/>
            <w:noWrap/>
          </w:tcPr>
          <w:p w14:paraId="120B1D4C" w14:textId="381614E2" w:rsidR="009823F0" w:rsidRPr="00C82A63" w:rsidRDefault="009823F0" w:rsidP="00576A5B">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55.1</w:t>
            </w:r>
            <w:r w:rsidR="00576A5B">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en-IE" w:eastAsia="en-GB"/>
              </w:rPr>
              <w:t>MWp of photovoltaic capacity of power generation units installed in business premises.</w:t>
            </w:r>
          </w:p>
        </w:tc>
      </w:tr>
      <w:tr w:rsidR="009823F0" w:rsidRPr="00443C86" w14:paraId="11B6F1A0" w14:textId="77777777" w:rsidTr="00C82A63">
        <w:trPr>
          <w:trHeight w:val="309"/>
          <w:jc w:val="center"/>
        </w:trPr>
        <w:tc>
          <w:tcPr>
            <w:tcW w:w="1256" w:type="dxa"/>
            <w:tcBorders>
              <w:top w:val="single" w:sz="4" w:space="0" w:color="auto"/>
              <w:left w:val="single" w:sz="4" w:space="0" w:color="auto"/>
              <w:bottom w:val="single" w:sz="4" w:space="0" w:color="auto"/>
              <w:right w:val="single" w:sz="4" w:space="0" w:color="auto"/>
            </w:tcBorders>
            <w:shd w:val="clear" w:color="auto" w:fill="C6EFCE"/>
            <w:noWrap/>
          </w:tcPr>
          <w:p w14:paraId="07BC44E9"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4A-8</w:t>
            </w:r>
          </w:p>
        </w:tc>
        <w:tc>
          <w:tcPr>
            <w:tcW w:w="1380" w:type="dxa"/>
            <w:tcBorders>
              <w:top w:val="single" w:sz="4" w:space="0" w:color="auto"/>
              <w:left w:val="nil"/>
              <w:bottom w:val="single" w:sz="4" w:space="0" w:color="auto"/>
              <w:right w:val="single" w:sz="4" w:space="0" w:color="auto"/>
            </w:tcBorders>
            <w:shd w:val="clear" w:color="auto" w:fill="C6EFCE"/>
            <w:noWrap/>
          </w:tcPr>
          <w:p w14:paraId="5CAC5245" w14:textId="1E30C5B0"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Investment 4: Scaled-up measure:</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Investment [2A-4]: Support scheme for charging points</w:t>
            </w:r>
          </w:p>
        </w:tc>
        <w:tc>
          <w:tcPr>
            <w:tcW w:w="1212" w:type="dxa"/>
            <w:tcBorders>
              <w:top w:val="single" w:sz="4" w:space="0" w:color="auto"/>
              <w:left w:val="nil"/>
              <w:bottom w:val="single" w:sz="4" w:space="0" w:color="auto"/>
              <w:right w:val="single" w:sz="4" w:space="0" w:color="auto"/>
            </w:tcBorders>
            <w:shd w:val="clear" w:color="auto" w:fill="C6EFCE"/>
            <w:noWrap/>
          </w:tcPr>
          <w:p w14:paraId="59DD00AC"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Target</w:t>
            </w:r>
          </w:p>
        </w:tc>
        <w:tc>
          <w:tcPr>
            <w:tcW w:w="1294" w:type="dxa"/>
            <w:tcBorders>
              <w:top w:val="single" w:sz="4" w:space="0" w:color="auto"/>
              <w:left w:val="nil"/>
              <w:bottom w:val="single" w:sz="4" w:space="0" w:color="auto"/>
              <w:right w:val="single" w:sz="4" w:space="0" w:color="auto"/>
            </w:tcBorders>
            <w:shd w:val="clear" w:color="auto" w:fill="C6EFCE"/>
            <w:noWrap/>
          </w:tcPr>
          <w:p w14:paraId="0E6FBE00"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Number of installed charging points</w:t>
            </w:r>
          </w:p>
        </w:tc>
        <w:tc>
          <w:tcPr>
            <w:tcW w:w="1782" w:type="dxa"/>
            <w:tcBorders>
              <w:top w:val="single" w:sz="4" w:space="0" w:color="auto"/>
              <w:left w:val="nil"/>
              <w:bottom w:val="single" w:sz="4" w:space="0" w:color="auto"/>
              <w:right w:val="single" w:sz="4" w:space="0" w:color="auto"/>
            </w:tcBorders>
            <w:shd w:val="clear" w:color="auto" w:fill="C6EFCE"/>
            <w:noWrap/>
          </w:tcPr>
          <w:p w14:paraId="6FD8AE9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eastAsia="Times New Roman" w:hAnsi="Times New Roman" w:cs="Times New Roman"/>
                <w:noProof/>
                <w:color w:val="006100"/>
                <w:sz w:val="20"/>
                <w:szCs w:val="20"/>
                <w:lang w:val="fr-FR" w:eastAsia="en-GB"/>
              </w:rPr>
              <w:t>-</w:t>
            </w:r>
          </w:p>
        </w:tc>
        <w:tc>
          <w:tcPr>
            <w:tcW w:w="1021" w:type="dxa"/>
            <w:tcBorders>
              <w:top w:val="single" w:sz="4" w:space="0" w:color="auto"/>
              <w:left w:val="nil"/>
              <w:bottom w:val="single" w:sz="4" w:space="0" w:color="auto"/>
              <w:right w:val="single" w:sz="4" w:space="0" w:color="auto"/>
            </w:tcBorders>
            <w:shd w:val="clear" w:color="auto" w:fill="C6EFCE"/>
            <w:noWrap/>
          </w:tcPr>
          <w:p w14:paraId="66AF81BE"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Supply metric</w:t>
            </w:r>
          </w:p>
        </w:tc>
        <w:tc>
          <w:tcPr>
            <w:tcW w:w="933" w:type="dxa"/>
            <w:tcBorders>
              <w:top w:val="single" w:sz="4" w:space="0" w:color="auto"/>
              <w:left w:val="nil"/>
              <w:bottom w:val="single" w:sz="4" w:space="0" w:color="auto"/>
              <w:right w:val="single" w:sz="4" w:space="0" w:color="auto"/>
            </w:tcBorders>
            <w:shd w:val="clear" w:color="auto" w:fill="C6EFCE"/>
            <w:noWrap/>
          </w:tcPr>
          <w:p w14:paraId="76114597"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2</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fr-FR" w:eastAsia="en-GB"/>
              </w:rPr>
              <w:t>986</w:t>
            </w:r>
          </w:p>
        </w:tc>
        <w:tc>
          <w:tcPr>
            <w:tcW w:w="944" w:type="dxa"/>
            <w:tcBorders>
              <w:top w:val="single" w:sz="4" w:space="0" w:color="auto"/>
              <w:left w:val="nil"/>
              <w:bottom w:val="single" w:sz="4" w:space="0" w:color="auto"/>
              <w:right w:val="single" w:sz="4" w:space="0" w:color="auto"/>
            </w:tcBorders>
            <w:shd w:val="clear" w:color="auto" w:fill="C6EFCE"/>
            <w:noWrap/>
          </w:tcPr>
          <w:p w14:paraId="0FA79D75"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3</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noProof/>
                <w:color w:val="006100"/>
                <w:sz w:val="20"/>
                <w:szCs w:val="20"/>
                <w:lang w:val="fr-FR" w:eastAsia="en-GB"/>
              </w:rPr>
              <w:t>200</w:t>
            </w:r>
          </w:p>
        </w:tc>
        <w:tc>
          <w:tcPr>
            <w:tcW w:w="946" w:type="dxa"/>
            <w:tcBorders>
              <w:top w:val="single" w:sz="4" w:space="0" w:color="auto"/>
              <w:left w:val="nil"/>
              <w:bottom w:val="single" w:sz="4" w:space="0" w:color="auto"/>
              <w:right w:val="single" w:sz="4" w:space="0" w:color="auto"/>
            </w:tcBorders>
            <w:shd w:val="clear" w:color="auto" w:fill="C6EFCE"/>
            <w:noWrap/>
          </w:tcPr>
          <w:p w14:paraId="2C503EB0"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Q2</w:t>
            </w:r>
          </w:p>
        </w:tc>
        <w:tc>
          <w:tcPr>
            <w:tcW w:w="709" w:type="dxa"/>
            <w:tcBorders>
              <w:top w:val="single" w:sz="4" w:space="0" w:color="auto"/>
              <w:left w:val="nil"/>
              <w:bottom w:val="single" w:sz="4" w:space="0" w:color="auto"/>
              <w:right w:val="single" w:sz="4" w:space="0" w:color="auto"/>
            </w:tcBorders>
            <w:shd w:val="clear" w:color="auto" w:fill="C6EFCE"/>
            <w:noWrap/>
          </w:tcPr>
          <w:p w14:paraId="1D81ADB9" w14:textId="77777777" w:rsidR="009823F0" w:rsidRPr="00C82A63" w:rsidRDefault="009823F0" w:rsidP="00576A5B">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2026</w:t>
            </w:r>
          </w:p>
        </w:tc>
        <w:tc>
          <w:tcPr>
            <w:tcW w:w="4025" w:type="dxa"/>
            <w:tcBorders>
              <w:top w:val="single" w:sz="4" w:space="0" w:color="auto"/>
              <w:left w:val="nil"/>
              <w:bottom w:val="single" w:sz="4" w:space="0" w:color="auto"/>
              <w:right w:val="single" w:sz="4" w:space="0" w:color="auto"/>
            </w:tcBorders>
            <w:shd w:val="clear" w:color="auto" w:fill="C6EFCE"/>
            <w:noWrap/>
          </w:tcPr>
          <w:p w14:paraId="4DF85817" w14:textId="77777777" w:rsidR="00576A5B" w:rsidRDefault="009823F0" w:rsidP="00576A5B">
            <w:pPr>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Number of charging points installed (expressed in terms of supply metric).</w:t>
            </w:r>
          </w:p>
          <w:p w14:paraId="73795B78" w14:textId="2AFD2EC7" w:rsidR="009823F0" w:rsidRPr="00C82A63" w:rsidRDefault="009823F0" w:rsidP="00576A5B">
            <w:pPr>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The ‘supply metric’ shall be calculated according to the methodology defined in Transport &amp; Environment (2020) report ‘Recharge EU: how many charge points shall Europe and its Member States need in the 2020s', however also applying the same weight for non-public charging stations as for semi-public charging stations.</w:t>
            </w:r>
          </w:p>
        </w:tc>
      </w:tr>
    </w:tbl>
    <w:p w14:paraId="32603150" w14:textId="77777777" w:rsidR="009823F0" w:rsidRPr="00C82A63" w:rsidRDefault="009823F0" w:rsidP="009823F0">
      <w:pPr>
        <w:rPr>
          <w:rFonts w:ascii="Times New Roman" w:eastAsiaTheme="majorEastAsia" w:hAnsi="Times New Roman" w:cs="Times New Roman"/>
          <w:b/>
          <w:bCs/>
          <w:noProof/>
          <w:sz w:val="24"/>
          <w:szCs w:val="24"/>
          <w:lang w:val="en-IE"/>
        </w:rPr>
        <w:sectPr w:rsidR="009823F0" w:rsidRPr="00C82A63" w:rsidSect="009823F0">
          <w:headerReference w:type="even" r:id="rId116"/>
          <w:headerReference w:type="default" r:id="rId117"/>
          <w:footerReference w:type="even" r:id="rId118"/>
          <w:footerReference w:type="default" r:id="rId119"/>
          <w:headerReference w:type="first" r:id="rId120"/>
          <w:footerReference w:type="first" r:id="rId121"/>
          <w:pgSz w:w="16838" w:h="11906" w:orient="landscape"/>
          <w:pgMar w:top="1418" w:right="1418" w:bottom="1418" w:left="1418" w:header="709" w:footer="709" w:gutter="0"/>
          <w:cols w:space="708"/>
          <w:docGrid w:linePitch="360"/>
        </w:sectPr>
      </w:pPr>
    </w:p>
    <w:p w14:paraId="2F5087A8" w14:textId="0C15DF17" w:rsidR="009823F0" w:rsidRPr="00C82A63" w:rsidRDefault="009823F0" w:rsidP="009823F0">
      <w:pPr>
        <w:spacing w:before="120" w:after="120" w:line="240" w:lineRule="auto"/>
        <w:rPr>
          <w:rFonts w:ascii="Times New Roman" w:hAnsi="Times New Roman" w:cs="Times New Roman"/>
          <w:b/>
          <w:bCs/>
          <w:noProof/>
          <w:sz w:val="24"/>
          <w:u w:val="single"/>
          <w:lang w:val="en-IE"/>
        </w:rPr>
      </w:pPr>
      <w:r w:rsidRPr="00C82A63">
        <w:rPr>
          <w:rFonts w:ascii="Times New Roman" w:hAnsi="Times New Roman" w:cs="Times New Roman"/>
          <w:b/>
          <w:bCs/>
          <w:noProof/>
          <w:sz w:val="24"/>
          <w:lang w:val="en-IE"/>
        </w:rPr>
        <w:t xml:space="preserve">I. AUDIT AND CONTROL </w:t>
      </w:r>
      <w:r w:rsidRPr="00C82A63">
        <w:rPr>
          <w:rFonts w:ascii="Times New Roman" w:hAnsi="Times New Roman" w:cs="Times New Roman"/>
          <w:b/>
          <w:bCs/>
          <w:noProof/>
          <w:sz w:val="24"/>
          <w:lang w:val="en-IE"/>
        </w:rPr>
        <w:br/>
      </w:r>
      <w:r w:rsidRPr="00C82A63">
        <w:rPr>
          <w:rFonts w:ascii="Times New Roman" w:hAnsi="Times New Roman" w:cs="Times New Roman"/>
          <w:b/>
          <w:bCs/>
          <w:noProof/>
          <w:sz w:val="24"/>
          <w:u w:val="single"/>
          <w:lang w:val="en-IE"/>
        </w:rPr>
        <w:t xml:space="preserve">I.1. </w:t>
      </w:r>
      <w:r w:rsidRPr="00C82A63">
        <w:rPr>
          <w:rFonts w:ascii="Times New Roman" w:hAnsi="Times New Roman" w:cs="Times New Roman"/>
          <w:b/>
          <w:bCs/>
          <w:noProof/>
          <w:sz w:val="24"/>
          <w:u w:val="single"/>
          <w:lang w:val="en-IE"/>
        </w:rPr>
        <w:tab/>
        <w:t>Description of the reforms and investments for non-repayable financial support</w:t>
      </w:r>
    </w:p>
    <w:p w14:paraId="3F70F759"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A repository system for recording and storing all relevant data related to the implementation of the recovery and resilience plan - the achievement of milestones and targets, data on final recipient, contractors, subcontractors and beneficial owners - shall be operational before the first payment request is submitted. Before the first payment request, Luxembourg shall also submit a dedicated audit report confirming the effectiveness of the minimum functionalities of the repository system.</w:t>
      </w:r>
    </w:p>
    <w:p w14:paraId="6BCDD776"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In addition, before the first payment request is submitted, Luxembourg shall finalise the implementation of further procedures for the protection of the EU financial interests as described in Part III, Chapter 4 on Implementation, subchapter x and Chapter 6 on Audit and Controls sub-chapter xi of the Plan. The management declaration and the summary of audits accompanying the payment request should confirm their status of implementation and identify any related weaknesses found and corrective actions taken or planned.</w:t>
      </w:r>
    </w:p>
    <w:p w14:paraId="52CFCAAB"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122"/>
          <w:headerReference w:type="default" r:id="rId123"/>
          <w:footerReference w:type="even" r:id="rId124"/>
          <w:footerReference w:type="default" r:id="rId125"/>
          <w:headerReference w:type="first" r:id="rId126"/>
          <w:footerReference w:type="first" r:id="rId127"/>
          <w:pgSz w:w="11907" w:h="16839"/>
          <w:pgMar w:top="1134" w:right="1417" w:bottom="1134" w:left="1417" w:header="709" w:footer="709" w:gutter="0"/>
          <w:cols w:space="720"/>
          <w:docGrid w:linePitch="360"/>
        </w:sectPr>
      </w:pPr>
    </w:p>
    <w:p w14:paraId="089EE541" w14:textId="77777777" w:rsidR="009823F0" w:rsidRPr="00C82A63" w:rsidRDefault="009823F0" w:rsidP="003421F5">
      <w:pPr>
        <w:spacing w:before="120" w:after="120" w:line="240" w:lineRule="auto"/>
        <w:jc w:val="center"/>
        <w:rPr>
          <w:rFonts w:ascii="Times New Roman" w:hAnsi="Times New Roman" w:cs="Times New Roman"/>
          <w:b/>
          <w:bCs/>
          <w:noProof/>
          <w:sz w:val="24"/>
          <w:u w:val="single"/>
          <w:lang w:val="en-IE"/>
        </w:rPr>
      </w:pPr>
      <w:r w:rsidRPr="00C82A63">
        <w:rPr>
          <w:rFonts w:ascii="Times New Roman" w:hAnsi="Times New Roman" w:cs="Times New Roman"/>
          <w:b/>
          <w:noProof/>
          <w:sz w:val="24"/>
          <w:u w:val="single"/>
          <w:lang w:val="en-IE"/>
        </w:rPr>
        <w:t>I</w:t>
      </w:r>
      <w:r w:rsidRPr="00C82A63">
        <w:rPr>
          <w:rFonts w:ascii="Times New Roman" w:hAnsi="Times New Roman" w:cs="Times New Roman"/>
          <w:b/>
          <w:bCs/>
          <w:noProof/>
          <w:sz w:val="24"/>
          <w:u w:val="single"/>
          <w:lang w:val="en-IE"/>
        </w:rPr>
        <w:t xml:space="preserve">.2. </w:t>
      </w:r>
      <w:r w:rsidRPr="00C82A63">
        <w:rPr>
          <w:rFonts w:ascii="Times New Roman" w:hAnsi="Times New Roman" w:cs="Times New Roman"/>
          <w:b/>
          <w:noProof/>
          <w:sz w:val="24"/>
          <w:u w:val="single"/>
          <w:lang w:val="en-IE"/>
        </w:rPr>
        <w:tab/>
      </w:r>
      <w:r w:rsidRPr="00C82A63">
        <w:rPr>
          <w:rFonts w:ascii="Times New Roman" w:hAnsi="Times New Roman" w:cs="Times New Roman"/>
          <w:b/>
          <w:bCs/>
          <w:noProof/>
          <w:sz w:val="24"/>
          <w:u w:val="single"/>
          <w:lang w:val="en-IE"/>
        </w:rPr>
        <w:t>Milestones, targets, indicators, and timetable for monitoring and implementation for non-repayable financial support</w:t>
      </w:r>
    </w:p>
    <w:tbl>
      <w:tblPr>
        <w:tblW w:w="15845" w:type="dxa"/>
        <w:jc w:val="center"/>
        <w:tblLook w:val="04A0" w:firstRow="1" w:lastRow="0" w:firstColumn="1" w:lastColumn="0" w:noHBand="0" w:noVBand="1"/>
      </w:tblPr>
      <w:tblGrid>
        <w:gridCol w:w="1117"/>
        <w:gridCol w:w="1472"/>
        <w:gridCol w:w="1676"/>
        <w:gridCol w:w="1472"/>
        <w:gridCol w:w="1568"/>
        <w:gridCol w:w="1090"/>
        <w:gridCol w:w="928"/>
        <w:gridCol w:w="900"/>
        <w:gridCol w:w="1046"/>
        <w:gridCol w:w="1054"/>
        <w:gridCol w:w="3522"/>
      </w:tblGrid>
      <w:tr w:rsidR="009823F0" w:rsidRPr="00443C86" w14:paraId="46D2EDBF" w14:textId="77777777" w:rsidTr="003421F5">
        <w:trPr>
          <w:trHeight w:val="927"/>
          <w:jc w:val="center"/>
        </w:trPr>
        <w:tc>
          <w:tcPr>
            <w:tcW w:w="1117" w:type="dxa"/>
            <w:vMerge w:val="restart"/>
            <w:tcBorders>
              <w:top w:val="single" w:sz="4" w:space="0" w:color="auto"/>
              <w:left w:val="single" w:sz="4" w:space="0" w:color="auto"/>
              <w:right w:val="single" w:sz="4" w:space="0" w:color="auto"/>
            </w:tcBorders>
            <w:shd w:val="clear" w:color="auto" w:fill="BDD7EE"/>
            <w:vAlign w:val="center"/>
            <w:hideMark/>
          </w:tcPr>
          <w:p w14:paraId="52CDAE00"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Sequential Number</w:t>
            </w:r>
          </w:p>
        </w:tc>
        <w:tc>
          <w:tcPr>
            <w:tcW w:w="1472" w:type="dxa"/>
            <w:vMerge w:val="restart"/>
            <w:tcBorders>
              <w:top w:val="single" w:sz="4" w:space="0" w:color="auto"/>
              <w:left w:val="single" w:sz="4" w:space="0" w:color="auto"/>
              <w:right w:val="single" w:sz="4" w:space="0" w:color="auto"/>
            </w:tcBorders>
            <w:shd w:val="clear" w:color="auto" w:fill="BDD7EE"/>
            <w:vAlign w:val="center"/>
            <w:hideMark/>
          </w:tcPr>
          <w:p w14:paraId="37992977"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Related Measure (Reform or Investment)</w:t>
            </w:r>
          </w:p>
        </w:tc>
        <w:tc>
          <w:tcPr>
            <w:tcW w:w="1676" w:type="dxa"/>
            <w:vMerge w:val="restart"/>
            <w:tcBorders>
              <w:top w:val="single" w:sz="4" w:space="0" w:color="auto"/>
              <w:left w:val="single" w:sz="4" w:space="0" w:color="auto"/>
              <w:right w:val="single" w:sz="4" w:space="0" w:color="auto"/>
            </w:tcBorders>
            <w:shd w:val="clear" w:color="auto" w:fill="BDD7EE"/>
            <w:vAlign w:val="center"/>
            <w:hideMark/>
          </w:tcPr>
          <w:p w14:paraId="09D8908D" w14:textId="4F927140"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Milestone/Target</w:t>
            </w:r>
          </w:p>
        </w:tc>
        <w:tc>
          <w:tcPr>
            <w:tcW w:w="1472" w:type="dxa"/>
            <w:vMerge w:val="restart"/>
            <w:tcBorders>
              <w:top w:val="single" w:sz="4" w:space="0" w:color="auto"/>
              <w:left w:val="nil"/>
              <w:right w:val="single" w:sz="4" w:space="0" w:color="auto"/>
            </w:tcBorders>
            <w:shd w:val="clear" w:color="auto" w:fill="BDD7EE"/>
            <w:vAlign w:val="center"/>
            <w:hideMark/>
          </w:tcPr>
          <w:p w14:paraId="542E2E4A"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Name</w:t>
            </w:r>
          </w:p>
        </w:tc>
        <w:tc>
          <w:tcPr>
            <w:tcW w:w="1568" w:type="dxa"/>
            <w:vMerge w:val="restart"/>
            <w:tcBorders>
              <w:top w:val="single" w:sz="4" w:space="0" w:color="auto"/>
              <w:left w:val="single" w:sz="4" w:space="0" w:color="auto"/>
              <w:right w:val="single" w:sz="4" w:space="0" w:color="auto"/>
            </w:tcBorders>
            <w:shd w:val="clear" w:color="auto" w:fill="BDD7EE"/>
            <w:vAlign w:val="center"/>
            <w:hideMark/>
          </w:tcPr>
          <w:p w14:paraId="0AB2A826" w14:textId="77777777" w:rsidR="009823F0" w:rsidRPr="00C82A63" w:rsidRDefault="009823F0" w:rsidP="00CF6BC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Qualitative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milestones)</w:t>
            </w:r>
          </w:p>
        </w:tc>
        <w:tc>
          <w:tcPr>
            <w:tcW w:w="2918" w:type="dxa"/>
            <w:gridSpan w:val="3"/>
            <w:tcBorders>
              <w:top w:val="single" w:sz="4" w:space="0" w:color="auto"/>
              <w:left w:val="nil"/>
              <w:bottom w:val="single" w:sz="4" w:space="0" w:color="auto"/>
              <w:right w:val="single" w:sz="4" w:space="0" w:color="auto"/>
            </w:tcBorders>
            <w:shd w:val="clear" w:color="auto" w:fill="BDD7EE"/>
            <w:vAlign w:val="center"/>
            <w:hideMark/>
          </w:tcPr>
          <w:p w14:paraId="02E9766D"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 xml:space="preserve">Quantitative indicators </w:t>
            </w:r>
            <w:r w:rsidRPr="00C82A63">
              <w:rPr>
                <w:rFonts w:ascii="Times New Roman" w:hAnsi="Times New Roman" w:cs="Times New Roman"/>
                <w:noProof/>
                <w:sz w:val="24"/>
              </w:rPr>
              <w:br/>
            </w:r>
            <w:r w:rsidRPr="00C82A63">
              <w:rPr>
                <w:rFonts w:ascii="Times New Roman" w:eastAsia="Times New Roman" w:hAnsi="Times New Roman" w:cs="Times New Roman"/>
                <w:b/>
                <w:bCs/>
                <w:noProof/>
                <w:sz w:val="20"/>
                <w:szCs w:val="20"/>
                <w:lang w:eastAsia="en-GB"/>
              </w:rPr>
              <w:t>(for targets)</w:t>
            </w:r>
          </w:p>
        </w:tc>
        <w:tc>
          <w:tcPr>
            <w:tcW w:w="2100" w:type="dxa"/>
            <w:gridSpan w:val="2"/>
            <w:tcBorders>
              <w:top w:val="single" w:sz="4" w:space="0" w:color="auto"/>
              <w:left w:val="nil"/>
              <w:bottom w:val="single" w:sz="4" w:space="0" w:color="auto"/>
              <w:right w:val="single" w:sz="4" w:space="0" w:color="auto"/>
            </w:tcBorders>
            <w:shd w:val="clear" w:color="auto" w:fill="BDD7EE"/>
            <w:vAlign w:val="center"/>
            <w:hideMark/>
          </w:tcPr>
          <w:p w14:paraId="5170E50D" w14:textId="4855AF5A"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Indicative timeline for completion</w:t>
            </w:r>
          </w:p>
        </w:tc>
        <w:tc>
          <w:tcPr>
            <w:tcW w:w="3522" w:type="dxa"/>
            <w:vMerge w:val="restart"/>
            <w:tcBorders>
              <w:top w:val="single" w:sz="4" w:space="0" w:color="auto"/>
              <w:left w:val="single" w:sz="4" w:space="0" w:color="auto"/>
              <w:right w:val="single" w:sz="4" w:space="0" w:color="auto"/>
            </w:tcBorders>
            <w:shd w:val="clear" w:color="auto" w:fill="BDD7EE"/>
            <w:vAlign w:val="center"/>
            <w:hideMark/>
          </w:tcPr>
          <w:p w14:paraId="730FF911"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lang w:val="en-IE" w:eastAsia="en-GB"/>
              </w:rPr>
            </w:pPr>
            <w:r w:rsidRPr="00C82A63">
              <w:rPr>
                <w:rFonts w:ascii="Times New Roman" w:eastAsia="Times New Roman" w:hAnsi="Times New Roman" w:cs="Times New Roman"/>
                <w:b/>
                <w:bCs/>
                <w:noProof/>
                <w:sz w:val="20"/>
                <w:szCs w:val="20"/>
                <w:lang w:val="en-IE" w:eastAsia="en-GB"/>
              </w:rPr>
              <w:t>Description of each milestone and target</w:t>
            </w:r>
          </w:p>
        </w:tc>
      </w:tr>
      <w:tr w:rsidR="009823F0" w:rsidRPr="00C82A63" w14:paraId="06958A19" w14:textId="77777777" w:rsidTr="003421F5">
        <w:trPr>
          <w:trHeight w:val="1013"/>
          <w:jc w:val="center"/>
        </w:trPr>
        <w:tc>
          <w:tcPr>
            <w:tcW w:w="1117" w:type="dxa"/>
            <w:vMerge/>
            <w:tcBorders>
              <w:left w:val="single" w:sz="4" w:space="0" w:color="auto"/>
              <w:bottom w:val="single" w:sz="4" w:space="0" w:color="auto"/>
              <w:right w:val="single" w:sz="4" w:space="0" w:color="auto"/>
            </w:tcBorders>
            <w:vAlign w:val="center"/>
            <w:hideMark/>
          </w:tcPr>
          <w:p w14:paraId="24F799DF" w14:textId="77777777" w:rsidR="009823F0" w:rsidRPr="00C82A63" w:rsidRDefault="009823F0" w:rsidP="003421F5">
            <w:pPr>
              <w:spacing w:after="0" w:line="240" w:lineRule="auto"/>
              <w:jc w:val="center"/>
              <w:rPr>
                <w:rFonts w:ascii="Times New Roman" w:eastAsia="Times New Roman" w:hAnsi="Times New Roman" w:cs="Times New Roman"/>
                <w:b/>
                <w:noProof/>
                <w:sz w:val="20"/>
                <w:szCs w:val="20"/>
                <w:lang w:val="en-IE" w:eastAsia="en-GB"/>
              </w:rPr>
            </w:pPr>
          </w:p>
        </w:tc>
        <w:tc>
          <w:tcPr>
            <w:tcW w:w="1472" w:type="dxa"/>
            <w:vMerge/>
            <w:tcBorders>
              <w:left w:val="single" w:sz="4" w:space="0" w:color="auto"/>
              <w:bottom w:val="single" w:sz="4" w:space="0" w:color="auto"/>
              <w:right w:val="single" w:sz="4" w:space="0" w:color="auto"/>
            </w:tcBorders>
            <w:vAlign w:val="center"/>
            <w:hideMark/>
          </w:tcPr>
          <w:p w14:paraId="49D6BF8D"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676" w:type="dxa"/>
            <w:vMerge/>
            <w:tcBorders>
              <w:left w:val="single" w:sz="4" w:space="0" w:color="auto"/>
              <w:bottom w:val="single" w:sz="4" w:space="0" w:color="auto"/>
              <w:right w:val="single" w:sz="4" w:space="0" w:color="auto"/>
            </w:tcBorders>
            <w:vAlign w:val="center"/>
            <w:hideMark/>
          </w:tcPr>
          <w:p w14:paraId="4E7F5F43" w14:textId="77777777" w:rsidR="009823F0" w:rsidRPr="00C82A63" w:rsidRDefault="009823F0" w:rsidP="003421F5">
            <w:pPr>
              <w:spacing w:after="0" w:line="240" w:lineRule="auto"/>
              <w:jc w:val="center"/>
              <w:rPr>
                <w:rFonts w:ascii="Times New Roman" w:eastAsia="Times New Roman" w:hAnsi="Times New Roman" w:cs="Times New Roman"/>
                <w:b/>
                <w:noProof/>
                <w:sz w:val="20"/>
                <w:szCs w:val="20"/>
                <w:lang w:val="en-IE" w:eastAsia="en-GB"/>
              </w:rPr>
            </w:pPr>
          </w:p>
        </w:tc>
        <w:tc>
          <w:tcPr>
            <w:tcW w:w="1472" w:type="dxa"/>
            <w:vMerge/>
            <w:tcBorders>
              <w:left w:val="nil"/>
              <w:bottom w:val="single" w:sz="4" w:space="0" w:color="auto"/>
              <w:right w:val="single" w:sz="4" w:space="0" w:color="auto"/>
            </w:tcBorders>
            <w:vAlign w:val="center"/>
            <w:hideMark/>
          </w:tcPr>
          <w:p w14:paraId="07765B6B"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568" w:type="dxa"/>
            <w:vMerge/>
            <w:tcBorders>
              <w:left w:val="single" w:sz="4" w:space="0" w:color="auto"/>
              <w:bottom w:val="single" w:sz="4" w:space="0" w:color="auto"/>
              <w:right w:val="single" w:sz="4" w:space="0" w:color="auto"/>
            </w:tcBorders>
            <w:vAlign w:val="center"/>
            <w:hideMark/>
          </w:tcPr>
          <w:p w14:paraId="629DD5AF" w14:textId="77777777" w:rsidR="009823F0" w:rsidRPr="00C82A63" w:rsidRDefault="009823F0" w:rsidP="00CF6BC5">
            <w:pPr>
              <w:spacing w:after="0" w:line="240" w:lineRule="auto"/>
              <w:rPr>
                <w:rFonts w:ascii="Times New Roman" w:eastAsia="Times New Roman" w:hAnsi="Times New Roman" w:cs="Times New Roman"/>
                <w:b/>
                <w:noProof/>
                <w:sz w:val="20"/>
                <w:szCs w:val="20"/>
                <w:lang w:val="en-IE" w:eastAsia="en-GB"/>
              </w:rPr>
            </w:pPr>
          </w:p>
        </w:tc>
        <w:tc>
          <w:tcPr>
            <w:tcW w:w="1090" w:type="dxa"/>
            <w:tcBorders>
              <w:top w:val="nil"/>
              <w:left w:val="nil"/>
              <w:bottom w:val="single" w:sz="4" w:space="0" w:color="auto"/>
              <w:right w:val="single" w:sz="4" w:space="0" w:color="auto"/>
            </w:tcBorders>
            <w:shd w:val="clear" w:color="auto" w:fill="BDD7EE"/>
            <w:vAlign w:val="center"/>
            <w:hideMark/>
          </w:tcPr>
          <w:p w14:paraId="5C1B9528"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Unit of measure</w:t>
            </w:r>
          </w:p>
        </w:tc>
        <w:tc>
          <w:tcPr>
            <w:tcW w:w="928" w:type="dxa"/>
            <w:tcBorders>
              <w:top w:val="nil"/>
              <w:left w:val="nil"/>
              <w:bottom w:val="single" w:sz="4" w:space="0" w:color="auto"/>
              <w:right w:val="single" w:sz="4" w:space="0" w:color="auto"/>
            </w:tcBorders>
            <w:shd w:val="clear" w:color="auto" w:fill="BDD7EE"/>
            <w:vAlign w:val="center"/>
            <w:hideMark/>
          </w:tcPr>
          <w:p w14:paraId="2935FFAA" w14:textId="1866D879"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Baseline</w:t>
            </w:r>
          </w:p>
        </w:tc>
        <w:tc>
          <w:tcPr>
            <w:tcW w:w="900" w:type="dxa"/>
            <w:tcBorders>
              <w:top w:val="nil"/>
              <w:left w:val="nil"/>
              <w:bottom w:val="single" w:sz="4" w:space="0" w:color="auto"/>
              <w:right w:val="single" w:sz="4" w:space="0" w:color="auto"/>
            </w:tcBorders>
            <w:shd w:val="clear" w:color="auto" w:fill="BDD7EE"/>
            <w:vAlign w:val="center"/>
            <w:hideMark/>
          </w:tcPr>
          <w:p w14:paraId="179DF853" w14:textId="3C8B5557"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Goal</w:t>
            </w:r>
          </w:p>
        </w:tc>
        <w:tc>
          <w:tcPr>
            <w:tcW w:w="1046" w:type="dxa"/>
            <w:tcBorders>
              <w:top w:val="nil"/>
              <w:left w:val="nil"/>
              <w:bottom w:val="single" w:sz="4" w:space="0" w:color="auto"/>
              <w:right w:val="single" w:sz="4" w:space="0" w:color="auto"/>
            </w:tcBorders>
            <w:shd w:val="clear" w:color="auto" w:fill="BDD7EE"/>
            <w:vAlign w:val="center"/>
            <w:hideMark/>
          </w:tcPr>
          <w:p w14:paraId="224C3A48"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Quarter</w:t>
            </w:r>
          </w:p>
        </w:tc>
        <w:tc>
          <w:tcPr>
            <w:tcW w:w="1054" w:type="dxa"/>
            <w:tcBorders>
              <w:top w:val="nil"/>
              <w:left w:val="nil"/>
              <w:bottom w:val="single" w:sz="4" w:space="0" w:color="auto"/>
              <w:right w:val="single" w:sz="4" w:space="0" w:color="auto"/>
            </w:tcBorders>
            <w:shd w:val="clear" w:color="auto" w:fill="BDD7EE"/>
            <w:vAlign w:val="center"/>
            <w:hideMark/>
          </w:tcPr>
          <w:p w14:paraId="6164A37C" w14:textId="77777777" w:rsidR="009823F0" w:rsidRPr="00C82A63" w:rsidRDefault="009823F0" w:rsidP="003421F5">
            <w:pPr>
              <w:spacing w:after="0" w:line="240" w:lineRule="auto"/>
              <w:jc w:val="center"/>
              <w:rPr>
                <w:rFonts w:ascii="Times New Roman" w:eastAsia="Times New Roman" w:hAnsi="Times New Roman" w:cs="Times New Roman"/>
                <w:b/>
                <w:bCs/>
                <w:noProof/>
                <w:sz w:val="20"/>
                <w:szCs w:val="20"/>
                <w:lang w:eastAsia="en-GB"/>
              </w:rPr>
            </w:pPr>
            <w:r w:rsidRPr="00C82A63">
              <w:rPr>
                <w:rFonts w:ascii="Times New Roman" w:eastAsia="Times New Roman" w:hAnsi="Times New Roman" w:cs="Times New Roman"/>
                <w:b/>
                <w:bCs/>
                <w:noProof/>
                <w:sz w:val="20"/>
                <w:szCs w:val="20"/>
                <w:lang w:eastAsia="en-GB"/>
              </w:rPr>
              <w:t>Year</w:t>
            </w:r>
          </w:p>
        </w:tc>
        <w:tc>
          <w:tcPr>
            <w:tcW w:w="3522" w:type="dxa"/>
            <w:vMerge/>
            <w:tcBorders>
              <w:left w:val="single" w:sz="4" w:space="0" w:color="auto"/>
              <w:bottom w:val="single" w:sz="4" w:space="0" w:color="auto"/>
              <w:right w:val="single" w:sz="4" w:space="0" w:color="auto"/>
            </w:tcBorders>
            <w:vAlign w:val="center"/>
            <w:hideMark/>
          </w:tcPr>
          <w:p w14:paraId="6CE0C940" w14:textId="77777777" w:rsidR="009823F0" w:rsidRPr="00C82A63" w:rsidRDefault="009823F0" w:rsidP="003421F5">
            <w:pPr>
              <w:spacing w:after="0" w:line="240" w:lineRule="auto"/>
              <w:jc w:val="both"/>
              <w:rPr>
                <w:rFonts w:ascii="Times New Roman" w:eastAsia="Times New Roman" w:hAnsi="Times New Roman" w:cs="Times New Roman"/>
                <w:b/>
                <w:noProof/>
                <w:sz w:val="20"/>
                <w:szCs w:val="20"/>
                <w:lang w:eastAsia="en-GB"/>
              </w:rPr>
            </w:pPr>
          </w:p>
        </w:tc>
      </w:tr>
      <w:tr w:rsidR="009823F0" w:rsidRPr="00443C86" w14:paraId="4465BB81" w14:textId="77777777" w:rsidTr="003421F5">
        <w:trPr>
          <w:trHeight w:val="309"/>
          <w:jc w:val="center"/>
        </w:trPr>
        <w:tc>
          <w:tcPr>
            <w:tcW w:w="1117" w:type="dxa"/>
            <w:tcBorders>
              <w:top w:val="single" w:sz="4" w:space="0" w:color="auto"/>
              <w:left w:val="single" w:sz="4" w:space="0" w:color="auto"/>
              <w:bottom w:val="single" w:sz="4" w:space="0" w:color="auto"/>
              <w:right w:val="single" w:sz="4" w:space="0" w:color="auto"/>
            </w:tcBorders>
            <w:shd w:val="clear" w:color="auto" w:fill="C6EFCE"/>
            <w:noWrap/>
          </w:tcPr>
          <w:p w14:paraId="31DF9FA6"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AC-1</w:t>
            </w:r>
          </w:p>
        </w:tc>
        <w:tc>
          <w:tcPr>
            <w:tcW w:w="1472" w:type="dxa"/>
            <w:tcBorders>
              <w:top w:val="single" w:sz="4" w:space="0" w:color="auto"/>
              <w:left w:val="nil"/>
              <w:bottom w:val="single" w:sz="4" w:space="0" w:color="auto"/>
              <w:right w:val="single" w:sz="4" w:space="0" w:color="auto"/>
            </w:tcBorders>
            <w:shd w:val="clear" w:color="auto" w:fill="C6EFCE"/>
            <w:noWrap/>
          </w:tcPr>
          <w:p w14:paraId="6AFC707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Monitoring and implementation of the plan</w:t>
            </w:r>
          </w:p>
        </w:tc>
        <w:tc>
          <w:tcPr>
            <w:tcW w:w="1676" w:type="dxa"/>
            <w:tcBorders>
              <w:top w:val="single" w:sz="4" w:space="0" w:color="auto"/>
              <w:left w:val="nil"/>
              <w:bottom w:val="single" w:sz="4" w:space="0" w:color="auto"/>
              <w:right w:val="single" w:sz="4" w:space="0" w:color="auto"/>
            </w:tcBorders>
            <w:shd w:val="clear" w:color="auto" w:fill="C6EFCE"/>
            <w:noWrap/>
          </w:tcPr>
          <w:p w14:paraId="7173FBF7"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Milestone</w:t>
            </w:r>
          </w:p>
        </w:tc>
        <w:tc>
          <w:tcPr>
            <w:tcW w:w="1472" w:type="dxa"/>
            <w:tcBorders>
              <w:top w:val="single" w:sz="4" w:space="0" w:color="auto"/>
              <w:left w:val="nil"/>
              <w:bottom w:val="single" w:sz="4" w:space="0" w:color="auto"/>
              <w:right w:val="single" w:sz="4" w:space="0" w:color="auto"/>
            </w:tcBorders>
            <w:shd w:val="clear" w:color="auto" w:fill="C6EFCE"/>
            <w:noWrap/>
          </w:tcPr>
          <w:p w14:paraId="0996387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Repository system for Audit and Controls: information for monitoring implementation of RRF</w:t>
            </w:r>
          </w:p>
        </w:tc>
        <w:tc>
          <w:tcPr>
            <w:tcW w:w="1568" w:type="dxa"/>
            <w:tcBorders>
              <w:top w:val="single" w:sz="4" w:space="0" w:color="auto"/>
              <w:left w:val="nil"/>
              <w:bottom w:val="single" w:sz="4" w:space="0" w:color="auto"/>
              <w:right w:val="single" w:sz="4" w:space="0" w:color="auto"/>
            </w:tcBorders>
            <w:shd w:val="clear" w:color="auto" w:fill="C6EFCE"/>
            <w:noWrap/>
          </w:tcPr>
          <w:p w14:paraId="63018300" w14:textId="072B0378"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Audit report confirming repository system functionalities</w:t>
            </w:r>
            <w:r w:rsidR="00A17CDD">
              <w:rPr>
                <w:rFonts w:ascii="Times New Roman" w:eastAsia="Times New Roman" w:hAnsi="Times New Roman" w:cs="Times New Roman"/>
                <w:noProof/>
                <w:color w:val="006100"/>
                <w:sz w:val="20"/>
                <w:szCs w:val="20"/>
                <w:lang w:val="en-IE" w:eastAsia="en-GB"/>
              </w:rPr>
              <w:t xml:space="preserve"> </w:t>
            </w:r>
          </w:p>
        </w:tc>
        <w:tc>
          <w:tcPr>
            <w:tcW w:w="1090" w:type="dxa"/>
            <w:tcBorders>
              <w:top w:val="single" w:sz="4" w:space="0" w:color="auto"/>
              <w:left w:val="nil"/>
              <w:bottom w:val="single" w:sz="4" w:space="0" w:color="auto"/>
              <w:right w:val="single" w:sz="4" w:space="0" w:color="auto"/>
            </w:tcBorders>
            <w:shd w:val="clear" w:color="auto" w:fill="C6EFCE"/>
            <w:noWrap/>
          </w:tcPr>
          <w:p w14:paraId="4C0B794E"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928" w:type="dxa"/>
            <w:tcBorders>
              <w:top w:val="single" w:sz="4" w:space="0" w:color="auto"/>
              <w:left w:val="nil"/>
              <w:bottom w:val="single" w:sz="4" w:space="0" w:color="auto"/>
              <w:right w:val="single" w:sz="4" w:space="0" w:color="auto"/>
            </w:tcBorders>
            <w:shd w:val="clear" w:color="auto" w:fill="C6EFCE"/>
            <w:noWrap/>
          </w:tcPr>
          <w:p w14:paraId="6F398B29"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900" w:type="dxa"/>
            <w:tcBorders>
              <w:top w:val="single" w:sz="4" w:space="0" w:color="auto"/>
              <w:left w:val="nil"/>
              <w:bottom w:val="single" w:sz="4" w:space="0" w:color="auto"/>
              <w:right w:val="single" w:sz="4" w:space="0" w:color="auto"/>
            </w:tcBorders>
            <w:shd w:val="clear" w:color="auto" w:fill="C6EFCE"/>
            <w:noWrap/>
          </w:tcPr>
          <w:p w14:paraId="0D9C9E55"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1046" w:type="dxa"/>
            <w:tcBorders>
              <w:top w:val="single" w:sz="4" w:space="0" w:color="auto"/>
              <w:left w:val="nil"/>
              <w:bottom w:val="single" w:sz="4" w:space="0" w:color="auto"/>
              <w:right w:val="single" w:sz="4" w:space="0" w:color="auto"/>
            </w:tcBorders>
            <w:shd w:val="clear" w:color="auto" w:fill="C6EFCE"/>
            <w:noWrap/>
          </w:tcPr>
          <w:p w14:paraId="4C72CEDD" w14:textId="1A34EF75"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Before the first payment request</w:t>
            </w:r>
          </w:p>
        </w:tc>
        <w:tc>
          <w:tcPr>
            <w:tcW w:w="1054" w:type="dxa"/>
            <w:tcBorders>
              <w:top w:val="single" w:sz="4" w:space="0" w:color="auto"/>
              <w:left w:val="nil"/>
              <w:bottom w:val="single" w:sz="4" w:space="0" w:color="auto"/>
              <w:right w:val="single" w:sz="4" w:space="0" w:color="auto"/>
            </w:tcBorders>
            <w:shd w:val="clear" w:color="auto" w:fill="C6EFCE"/>
            <w:noWrap/>
          </w:tcPr>
          <w:p w14:paraId="6B76BFA9" w14:textId="7BD31439"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Before the first payment request</w:t>
            </w:r>
          </w:p>
        </w:tc>
        <w:tc>
          <w:tcPr>
            <w:tcW w:w="3522" w:type="dxa"/>
            <w:tcBorders>
              <w:top w:val="single" w:sz="4" w:space="0" w:color="auto"/>
              <w:left w:val="nil"/>
              <w:bottom w:val="single" w:sz="4" w:space="0" w:color="auto"/>
              <w:right w:val="single" w:sz="4" w:space="0" w:color="auto"/>
            </w:tcBorders>
            <w:shd w:val="clear" w:color="auto" w:fill="C6EFCE"/>
            <w:noWrap/>
          </w:tcPr>
          <w:p w14:paraId="45A3AC42"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A repository system for monitoring the implementation of the RRF shall be in place and operational. </w:t>
            </w:r>
          </w:p>
          <w:p w14:paraId="2862AAF7" w14:textId="79825DA1"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The system</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shall include, as a minimum,</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the</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following functionalities:</w:t>
            </w:r>
          </w:p>
          <w:p w14:paraId="41AC27E4"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(a) collection of data and monitoring of the achievement of milestones and targets;</w:t>
            </w:r>
          </w:p>
          <w:p w14:paraId="35E59A85" w14:textId="024E60A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(b) collect, store and ensure access to the data required by Article 22(2) points (d)(i) to (iii) of the RRF Regulation.</w:t>
            </w:r>
            <w:r w:rsidR="00A17CDD">
              <w:rPr>
                <w:rFonts w:ascii="Times New Roman" w:eastAsia="Times New Roman" w:hAnsi="Times New Roman" w:cs="Times New Roman"/>
                <w:noProof/>
                <w:color w:val="006100"/>
                <w:sz w:val="20"/>
                <w:szCs w:val="20"/>
                <w:lang w:val="en-IE" w:eastAsia="en-GB"/>
              </w:rPr>
              <w:t xml:space="preserve"> </w:t>
            </w:r>
          </w:p>
        </w:tc>
      </w:tr>
      <w:tr w:rsidR="009823F0" w:rsidRPr="00443C86" w14:paraId="692CB091" w14:textId="77777777" w:rsidTr="003421F5">
        <w:trPr>
          <w:trHeight w:val="309"/>
          <w:jc w:val="center"/>
        </w:trPr>
        <w:tc>
          <w:tcPr>
            <w:tcW w:w="1117" w:type="dxa"/>
            <w:tcBorders>
              <w:top w:val="single" w:sz="4" w:space="0" w:color="auto"/>
              <w:left w:val="single" w:sz="4" w:space="0" w:color="auto"/>
              <w:bottom w:val="single" w:sz="4" w:space="0" w:color="auto"/>
              <w:right w:val="single" w:sz="4" w:space="0" w:color="auto"/>
            </w:tcBorders>
            <w:shd w:val="clear" w:color="auto" w:fill="C6EFCE"/>
            <w:noWrap/>
          </w:tcPr>
          <w:p w14:paraId="0DD71FE1"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AC-2</w:t>
            </w:r>
          </w:p>
        </w:tc>
        <w:tc>
          <w:tcPr>
            <w:tcW w:w="1472" w:type="dxa"/>
            <w:tcBorders>
              <w:top w:val="single" w:sz="4" w:space="0" w:color="auto"/>
              <w:left w:val="nil"/>
              <w:bottom w:val="single" w:sz="4" w:space="0" w:color="auto"/>
              <w:right w:val="single" w:sz="4" w:space="0" w:color="auto"/>
            </w:tcBorders>
            <w:shd w:val="clear" w:color="auto" w:fill="C6EFCE"/>
            <w:noWrap/>
          </w:tcPr>
          <w:p w14:paraId="10EEB051"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Monitoring and implementation of the plan</w:t>
            </w:r>
          </w:p>
        </w:tc>
        <w:tc>
          <w:tcPr>
            <w:tcW w:w="1676" w:type="dxa"/>
            <w:tcBorders>
              <w:top w:val="single" w:sz="4" w:space="0" w:color="auto"/>
              <w:left w:val="nil"/>
              <w:bottom w:val="single" w:sz="4" w:space="0" w:color="auto"/>
              <w:right w:val="single" w:sz="4" w:space="0" w:color="auto"/>
            </w:tcBorders>
            <w:shd w:val="clear" w:color="auto" w:fill="C6EFCE"/>
            <w:noWrap/>
          </w:tcPr>
          <w:p w14:paraId="2FEEC208"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Milestone</w:t>
            </w:r>
          </w:p>
        </w:tc>
        <w:tc>
          <w:tcPr>
            <w:tcW w:w="1472" w:type="dxa"/>
            <w:tcBorders>
              <w:top w:val="single" w:sz="4" w:space="0" w:color="auto"/>
              <w:left w:val="nil"/>
              <w:bottom w:val="single" w:sz="4" w:space="0" w:color="auto"/>
              <w:right w:val="single" w:sz="4" w:space="0" w:color="auto"/>
            </w:tcBorders>
            <w:shd w:val="clear" w:color="auto" w:fill="C6EFCE"/>
            <w:noWrap/>
          </w:tcPr>
          <w:p w14:paraId="759685FE"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Protection of EU financial interests</w:t>
            </w:r>
          </w:p>
        </w:tc>
        <w:tc>
          <w:tcPr>
            <w:tcW w:w="1568" w:type="dxa"/>
            <w:tcBorders>
              <w:top w:val="single" w:sz="4" w:space="0" w:color="auto"/>
              <w:left w:val="nil"/>
              <w:bottom w:val="single" w:sz="4" w:space="0" w:color="auto"/>
              <w:right w:val="single" w:sz="4" w:space="0" w:color="auto"/>
            </w:tcBorders>
            <w:shd w:val="clear" w:color="auto" w:fill="C6EFCE"/>
            <w:noWrap/>
          </w:tcPr>
          <w:p w14:paraId="2A9F605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 xml:space="preserve">Implementation of procedures </w:t>
            </w:r>
          </w:p>
        </w:tc>
        <w:tc>
          <w:tcPr>
            <w:tcW w:w="1090" w:type="dxa"/>
            <w:tcBorders>
              <w:top w:val="single" w:sz="4" w:space="0" w:color="auto"/>
              <w:left w:val="nil"/>
              <w:bottom w:val="single" w:sz="4" w:space="0" w:color="auto"/>
              <w:right w:val="single" w:sz="4" w:space="0" w:color="auto"/>
            </w:tcBorders>
            <w:shd w:val="clear" w:color="auto" w:fill="C6EFCE"/>
            <w:noWrap/>
          </w:tcPr>
          <w:p w14:paraId="3F4038EF"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928" w:type="dxa"/>
            <w:tcBorders>
              <w:top w:val="single" w:sz="4" w:space="0" w:color="auto"/>
              <w:left w:val="nil"/>
              <w:bottom w:val="single" w:sz="4" w:space="0" w:color="auto"/>
              <w:right w:val="single" w:sz="4" w:space="0" w:color="auto"/>
            </w:tcBorders>
            <w:shd w:val="clear" w:color="auto" w:fill="C6EFCE"/>
            <w:noWrap/>
          </w:tcPr>
          <w:p w14:paraId="1DD4F34E"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900" w:type="dxa"/>
            <w:tcBorders>
              <w:top w:val="single" w:sz="4" w:space="0" w:color="auto"/>
              <w:left w:val="nil"/>
              <w:bottom w:val="single" w:sz="4" w:space="0" w:color="auto"/>
              <w:right w:val="single" w:sz="4" w:space="0" w:color="auto"/>
            </w:tcBorders>
            <w:shd w:val="clear" w:color="auto" w:fill="C6EFCE"/>
            <w:noWrap/>
          </w:tcPr>
          <w:p w14:paraId="0D86BFF2"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US" w:eastAsia="en-GB"/>
              </w:rPr>
            </w:pPr>
          </w:p>
        </w:tc>
        <w:tc>
          <w:tcPr>
            <w:tcW w:w="1046" w:type="dxa"/>
            <w:tcBorders>
              <w:top w:val="single" w:sz="4" w:space="0" w:color="auto"/>
              <w:left w:val="nil"/>
              <w:bottom w:val="single" w:sz="4" w:space="0" w:color="auto"/>
              <w:right w:val="single" w:sz="4" w:space="0" w:color="auto"/>
            </w:tcBorders>
            <w:shd w:val="clear" w:color="auto" w:fill="C6EFCE"/>
            <w:noWrap/>
          </w:tcPr>
          <w:p w14:paraId="057E5AC5"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Before the first payment request</w:t>
            </w:r>
          </w:p>
        </w:tc>
        <w:tc>
          <w:tcPr>
            <w:tcW w:w="1054" w:type="dxa"/>
            <w:tcBorders>
              <w:top w:val="single" w:sz="4" w:space="0" w:color="auto"/>
              <w:left w:val="nil"/>
              <w:bottom w:val="single" w:sz="4" w:space="0" w:color="auto"/>
              <w:right w:val="single" w:sz="4" w:space="0" w:color="auto"/>
            </w:tcBorders>
            <w:shd w:val="clear" w:color="auto" w:fill="C6EFCE"/>
            <w:noWrap/>
          </w:tcPr>
          <w:p w14:paraId="5B6CDF5A"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Before the first payment request</w:t>
            </w:r>
          </w:p>
        </w:tc>
        <w:tc>
          <w:tcPr>
            <w:tcW w:w="3522" w:type="dxa"/>
            <w:tcBorders>
              <w:top w:val="single" w:sz="4" w:space="0" w:color="auto"/>
              <w:left w:val="nil"/>
              <w:bottom w:val="single" w:sz="4" w:space="0" w:color="auto"/>
              <w:right w:val="single" w:sz="4" w:space="0" w:color="auto"/>
            </w:tcBorders>
            <w:shd w:val="clear" w:color="auto" w:fill="C6EFCE"/>
            <w:noWrap/>
          </w:tcPr>
          <w:p w14:paraId="7AC16AD7"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The finalisation of the implementation of further procedures for the protection of EU financial interests as presented in Part III, Chapter 4 on Implementation, subchapter x and Chapter 6 on Audit and Controls sub-chapter xi of the Plan, to be completed before the submission of the first payment request by Luxembourg’s authorities.</w:t>
            </w:r>
          </w:p>
        </w:tc>
      </w:tr>
    </w:tbl>
    <w:p w14:paraId="727E8B41" w14:textId="77777777" w:rsidR="009823F0" w:rsidRPr="00C82A63" w:rsidRDefault="009823F0" w:rsidP="009823F0">
      <w:pPr>
        <w:spacing w:before="120" w:after="120" w:line="240" w:lineRule="auto"/>
        <w:jc w:val="both"/>
        <w:rPr>
          <w:rFonts w:ascii="Times New Roman" w:hAnsi="Times New Roman" w:cs="Times New Roman"/>
          <w:noProof/>
          <w:sz w:val="24"/>
          <w:lang w:val="en-IE"/>
        </w:rPr>
        <w:sectPr w:rsidR="009823F0" w:rsidRPr="00C82A63" w:rsidSect="009823F0">
          <w:headerReference w:type="even" r:id="rId128"/>
          <w:headerReference w:type="default" r:id="rId129"/>
          <w:footerReference w:type="even" r:id="rId130"/>
          <w:footerReference w:type="default" r:id="rId131"/>
          <w:headerReference w:type="first" r:id="rId132"/>
          <w:footerReference w:type="first" r:id="rId133"/>
          <w:pgSz w:w="16839" w:h="11907" w:orient="landscape"/>
          <w:pgMar w:top="1417" w:right="1134" w:bottom="1417" w:left="1134" w:header="709" w:footer="709" w:gutter="0"/>
          <w:cols w:space="720"/>
          <w:docGrid w:linePitch="360"/>
        </w:sectPr>
      </w:pPr>
    </w:p>
    <w:p w14:paraId="7BB141FB" w14:textId="77777777" w:rsidR="009823F0" w:rsidRPr="00C82A63" w:rsidRDefault="009823F0" w:rsidP="009823F0">
      <w:pPr>
        <w:numPr>
          <w:ilvl w:val="6"/>
          <w:numId w:val="0"/>
        </w:numPr>
        <w:spacing w:before="120" w:after="120" w:line="240" w:lineRule="auto"/>
        <w:ind w:left="567" w:hanging="567"/>
        <w:jc w:val="both"/>
        <w:rPr>
          <w:rFonts w:ascii="Times New Roman" w:eastAsiaTheme="majorEastAsia" w:hAnsi="Times New Roman" w:cs="Times New Roman"/>
          <w:b/>
          <w:bCs/>
          <w:noProof/>
          <w:sz w:val="24"/>
          <w:lang w:val="en-IE"/>
        </w:rPr>
      </w:pPr>
      <w:r w:rsidRPr="00C82A63">
        <w:rPr>
          <w:rFonts w:ascii="Times New Roman" w:eastAsiaTheme="majorEastAsia" w:hAnsi="Times New Roman" w:cs="Times New Roman"/>
          <w:b/>
          <w:bCs/>
          <w:noProof/>
          <w:sz w:val="24"/>
          <w:szCs w:val="24"/>
          <w:lang w:val="en-IE"/>
        </w:rPr>
        <w:t>Estimated total cost of the recovery and resilience plan</w:t>
      </w:r>
    </w:p>
    <w:p w14:paraId="5A3D46AC" w14:textId="52E75F59"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szCs w:val="24"/>
          <w:lang w:val="en-IE"/>
        </w:rPr>
        <w:t>The estimated total cost of the recovery and resilience plan including the REPowerEU chapter of Luxembourg is EUR 241</w:t>
      </w:r>
      <w:r w:rsidRPr="003421F5">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100</w:t>
      </w:r>
      <w:r w:rsidRPr="003421F5">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776. The estimated total cost of the REPowerEU chapter is EUR</w:t>
      </w:r>
      <w:r w:rsidR="003421F5" w:rsidRPr="00C82A63">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176</w:t>
      </w:r>
      <w:r w:rsidRPr="003421F5">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746</w:t>
      </w:r>
      <w:r w:rsidRPr="003421F5">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699. In particular, the estimated total cost of the measures referred to in Article 21c(3), point (a) of Regulation (EU) 2023/435 is EUR</w:t>
      </w:r>
      <w:r w:rsidR="003421F5" w:rsidRPr="00C82A63">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0, whilst the cost of the other measures in the REPowerEU chapter is EUR</w:t>
      </w:r>
      <w:r w:rsidR="003421F5" w:rsidRPr="003421F5">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176</w:t>
      </w:r>
      <w:r w:rsidRPr="003421F5">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746</w:t>
      </w:r>
      <w:r w:rsidRPr="003421F5">
        <w:rPr>
          <w:rFonts w:ascii="Times New Roman" w:hAnsi="Times New Roman" w:cs="Times New Roman"/>
          <w:noProof/>
          <w:sz w:val="24"/>
          <w:szCs w:val="24"/>
          <w:lang w:val="en-IE"/>
        </w:rPr>
        <w:t> </w:t>
      </w:r>
      <w:r w:rsidRPr="00C82A63">
        <w:rPr>
          <w:rFonts w:ascii="Times New Roman" w:hAnsi="Times New Roman" w:cs="Times New Roman"/>
          <w:noProof/>
          <w:sz w:val="24"/>
          <w:szCs w:val="24"/>
          <w:lang w:val="en-IE"/>
        </w:rPr>
        <w:t>699.</w:t>
      </w:r>
    </w:p>
    <w:p w14:paraId="7BCD2480"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p>
    <w:p w14:paraId="07FE318C" w14:textId="77777777" w:rsidR="009823F0" w:rsidRPr="00C82A63" w:rsidRDefault="009823F0" w:rsidP="009823F0">
      <w:pPr>
        <w:spacing w:before="120" w:after="120" w:line="240" w:lineRule="auto"/>
        <w:jc w:val="both"/>
        <w:rPr>
          <w:rFonts w:ascii="Times New Roman" w:hAnsi="Times New Roman" w:cs="Times New Roman"/>
          <w:b/>
          <w:bCs/>
          <w:noProof/>
          <w:sz w:val="24"/>
        </w:rPr>
      </w:pPr>
      <w:r w:rsidRPr="00C82A63">
        <w:rPr>
          <w:rFonts w:ascii="Times New Roman" w:hAnsi="Times New Roman" w:cs="Times New Roman"/>
          <w:b/>
          <w:bCs/>
          <w:noProof/>
          <w:sz w:val="24"/>
        </w:rPr>
        <w:t xml:space="preserve">SECTION 2: FINANCIAL SUPPORT </w:t>
      </w:r>
    </w:p>
    <w:p w14:paraId="3DBF82D4" w14:textId="77777777" w:rsidR="009823F0" w:rsidRPr="00C82A63" w:rsidRDefault="009823F0" w:rsidP="009823F0">
      <w:pPr>
        <w:pStyle w:val="NumPar1"/>
        <w:tabs>
          <w:tab w:val="num" w:pos="850"/>
        </w:tabs>
        <w:ind w:left="850" w:hanging="850"/>
        <w:rPr>
          <w:b/>
          <w:bCs/>
          <w:noProof/>
        </w:rPr>
      </w:pPr>
      <w:r w:rsidRPr="00C82A63">
        <w:rPr>
          <w:b/>
          <w:bCs/>
          <w:noProof/>
        </w:rPr>
        <w:t>Financial contribution</w:t>
      </w:r>
    </w:p>
    <w:p w14:paraId="770AD6FA" w14:textId="77777777" w:rsidR="009823F0" w:rsidRPr="00C82A63" w:rsidRDefault="009823F0" w:rsidP="009823F0">
      <w:pPr>
        <w:numPr>
          <w:ilvl w:val="1"/>
          <w:numId w:val="6"/>
        </w:numPr>
        <w:spacing w:before="120" w:after="120" w:line="240" w:lineRule="auto"/>
        <w:jc w:val="both"/>
        <w:rPr>
          <w:rFonts w:ascii="Times New Roman" w:hAnsi="Times New Roman" w:cs="Times New Roman"/>
          <w:noProof/>
          <w:sz w:val="24"/>
        </w:rPr>
      </w:pPr>
      <w:r w:rsidRPr="00C82A63">
        <w:rPr>
          <w:rFonts w:ascii="Times New Roman" w:hAnsi="Times New Roman" w:cs="Times New Roman"/>
          <w:noProof/>
          <w:sz w:val="24"/>
        </w:rPr>
        <w:t xml:space="preserve">First Instalment (non-repayable support):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60"/>
        <w:gridCol w:w="3543"/>
        <w:gridCol w:w="1809"/>
        <w:gridCol w:w="2869"/>
      </w:tblGrid>
      <w:tr w:rsidR="009823F0" w:rsidRPr="00C82A63" w14:paraId="4EC18958" w14:textId="77777777" w:rsidTr="00086787">
        <w:trPr>
          <w:trHeight w:val="906"/>
          <w:tblHeader/>
        </w:trPr>
        <w:tc>
          <w:tcPr>
            <w:tcW w:w="1560" w:type="dxa"/>
            <w:vMerge w:val="restart"/>
            <w:shd w:val="clear" w:color="auto" w:fill="BDD7EE"/>
            <w:vAlign w:val="center"/>
            <w:hideMark/>
          </w:tcPr>
          <w:p w14:paraId="75E63E76" w14:textId="77777777" w:rsidR="009823F0" w:rsidRPr="00C82A63" w:rsidRDefault="009823F0" w:rsidP="00CF6BC5">
            <w:pPr>
              <w:spacing w:after="0" w:line="240" w:lineRule="auto"/>
              <w:jc w:val="center"/>
              <w:rPr>
                <w:rFonts w:ascii="Times New Roman" w:eastAsia="Times New Roman" w:hAnsi="Times New Roman" w:cs="Times New Roman"/>
                <w:b/>
                <w:bCs/>
                <w:noProof/>
                <w:lang w:eastAsia="en-GB"/>
              </w:rPr>
            </w:pPr>
            <w:r w:rsidRPr="00C82A63">
              <w:rPr>
                <w:rFonts w:ascii="Times New Roman" w:eastAsia="Times New Roman" w:hAnsi="Times New Roman" w:cs="Times New Roman"/>
                <w:b/>
                <w:bCs/>
                <w:noProof/>
                <w:lang w:eastAsia="en-GB"/>
              </w:rPr>
              <w:t>Sequential Number</w:t>
            </w:r>
          </w:p>
        </w:tc>
        <w:tc>
          <w:tcPr>
            <w:tcW w:w="3543" w:type="dxa"/>
            <w:vMerge w:val="restart"/>
            <w:shd w:val="clear" w:color="auto" w:fill="BDD7EE"/>
            <w:vAlign w:val="center"/>
            <w:hideMark/>
          </w:tcPr>
          <w:p w14:paraId="1CF728A2" w14:textId="77777777" w:rsidR="009823F0" w:rsidRPr="00C82A63" w:rsidRDefault="009823F0" w:rsidP="00CF6BC5">
            <w:pPr>
              <w:spacing w:after="0" w:line="240" w:lineRule="auto"/>
              <w:jc w:val="center"/>
              <w:rPr>
                <w:rFonts w:ascii="Times New Roman" w:eastAsia="Times New Roman" w:hAnsi="Times New Roman" w:cs="Times New Roman"/>
                <w:b/>
                <w:bCs/>
                <w:noProof/>
                <w:lang w:eastAsia="en-GB"/>
              </w:rPr>
            </w:pPr>
            <w:r w:rsidRPr="00C82A63">
              <w:rPr>
                <w:rFonts w:ascii="Times New Roman" w:eastAsia="Times New Roman" w:hAnsi="Times New Roman" w:cs="Times New Roman"/>
                <w:b/>
                <w:bCs/>
                <w:noProof/>
                <w:lang w:eastAsia="en-GB"/>
              </w:rPr>
              <w:t xml:space="preserve">Related Measure </w:t>
            </w:r>
          </w:p>
          <w:p w14:paraId="50DE9AC1" w14:textId="77777777" w:rsidR="009823F0" w:rsidRPr="00C82A63" w:rsidRDefault="009823F0" w:rsidP="00CF6BC5">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(Reform or Investment)</w:t>
            </w:r>
          </w:p>
        </w:tc>
        <w:tc>
          <w:tcPr>
            <w:tcW w:w="1809" w:type="dxa"/>
            <w:vMerge w:val="restart"/>
            <w:shd w:val="clear" w:color="auto" w:fill="BDD7EE"/>
            <w:vAlign w:val="center"/>
            <w:hideMark/>
          </w:tcPr>
          <w:p w14:paraId="06E3B808" w14:textId="23B6ABCD" w:rsidR="009823F0" w:rsidRPr="00C82A63" w:rsidRDefault="009823F0" w:rsidP="003421F5">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Milestone/Target</w:t>
            </w:r>
          </w:p>
        </w:tc>
        <w:tc>
          <w:tcPr>
            <w:tcW w:w="2869" w:type="dxa"/>
            <w:vMerge w:val="restart"/>
            <w:shd w:val="clear" w:color="auto" w:fill="BDD7EE"/>
            <w:vAlign w:val="center"/>
            <w:hideMark/>
          </w:tcPr>
          <w:p w14:paraId="6917BD2E" w14:textId="77777777" w:rsidR="009823F0" w:rsidRPr="00C82A63" w:rsidRDefault="009823F0" w:rsidP="003421F5">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Name</w:t>
            </w:r>
          </w:p>
        </w:tc>
      </w:tr>
      <w:tr w:rsidR="009823F0" w:rsidRPr="00C82A63" w14:paraId="09723D59" w14:textId="77777777" w:rsidTr="00086787">
        <w:trPr>
          <w:trHeight w:val="509"/>
        </w:trPr>
        <w:tc>
          <w:tcPr>
            <w:tcW w:w="1560" w:type="dxa"/>
            <w:vMerge/>
            <w:vAlign w:val="center"/>
            <w:hideMark/>
          </w:tcPr>
          <w:p w14:paraId="71BEC391"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3543" w:type="dxa"/>
            <w:vMerge/>
            <w:vAlign w:val="center"/>
            <w:hideMark/>
          </w:tcPr>
          <w:p w14:paraId="3E618045"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3D82B4CD" w14:textId="77777777" w:rsidR="009823F0" w:rsidRPr="00C82A63" w:rsidRDefault="009823F0" w:rsidP="003421F5">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5A5EFF3A" w14:textId="77777777" w:rsidR="009823F0" w:rsidRPr="00C82A63" w:rsidRDefault="009823F0" w:rsidP="003421F5">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03B5D255" w14:textId="77777777" w:rsidTr="00086787">
        <w:trPr>
          <w:trHeight w:val="302"/>
        </w:trPr>
        <w:tc>
          <w:tcPr>
            <w:tcW w:w="1560" w:type="dxa"/>
            <w:shd w:val="clear" w:color="auto" w:fill="C6EFCE"/>
            <w:noWrap/>
            <w:vAlign w:val="center"/>
            <w:hideMark/>
          </w:tcPr>
          <w:p w14:paraId="7EA83AAC"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AC-1</w:t>
            </w:r>
          </w:p>
        </w:tc>
        <w:tc>
          <w:tcPr>
            <w:tcW w:w="3543" w:type="dxa"/>
            <w:shd w:val="clear" w:color="auto" w:fill="C6EFCE"/>
            <w:noWrap/>
            <w:vAlign w:val="center"/>
            <w:hideMark/>
          </w:tcPr>
          <w:p w14:paraId="16DFD34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AC: Monitoring and implementation of the plan</w:t>
            </w:r>
          </w:p>
        </w:tc>
        <w:tc>
          <w:tcPr>
            <w:tcW w:w="1809" w:type="dxa"/>
            <w:shd w:val="clear" w:color="auto" w:fill="C6EFCE"/>
            <w:noWrap/>
            <w:vAlign w:val="center"/>
            <w:hideMark/>
          </w:tcPr>
          <w:p w14:paraId="23B9B2FF"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hideMark/>
          </w:tcPr>
          <w:p w14:paraId="2614B6CE"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Repository system for Audit and Controls: information for monitoring implementation of RRF</w:t>
            </w:r>
          </w:p>
        </w:tc>
      </w:tr>
      <w:tr w:rsidR="009823F0" w:rsidRPr="00443C86" w14:paraId="340C007C" w14:textId="77777777" w:rsidTr="00086787">
        <w:trPr>
          <w:trHeight w:val="302"/>
        </w:trPr>
        <w:tc>
          <w:tcPr>
            <w:tcW w:w="1560" w:type="dxa"/>
            <w:shd w:val="clear" w:color="auto" w:fill="C6EFCE"/>
            <w:noWrap/>
            <w:vAlign w:val="center"/>
            <w:hideMark/>
          </w:tcPr>
          <w:p w14:paraId="7152C405"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3C-2</w:t>
            </w:r>
          </w:p>
        </w:tc>
        <w:tc>
          <w:tcPr>
            <w:tcW w:w="3543" w:type="dxa"/>
            <w:shd w:val="clear" w:color="auto" w:fill="C6EFCE"/>
            <w:noWrap/>
            <w:vAlign w:val="center"/>
            <w:hideMark/>
          </w:tcPr>
          <w:p w14:paraId="0F36D60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shd w:val="clear" w:color="auto" w:fill="C6EFCE"/>
            <w:noWrap/>
            <w:vAlign w:val="center"/>
            <w:hideMark/>
          </w:tcPr>
          <w:p w14:paraId="45BE694B"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hideMark/>
          </w:tcPr>
          <w:p w14:paraId="34DA4168" w14:textId="692B94A6"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Act of 25</w:t>
            </w:r>
            <w:r w:rsidR="003421F5"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March</w:t>
            </w:r>
            <w:r w:rsidR="003421F5"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2020 on AML</w:t>
            </w:r>
          </w:p>
        </w:tc>
      </w:tr>
      <w:tr w:rsidR="009823F0" w:rsidRPr="00C82A63" w14:paraId="0824115D" w14:textId="77777777" w:rsidTr="00086787">
        <w:trPr>
          <w:trHeight w:val="302"/>
        </w:trPr>
        <w:tc>
          <w:tcPr>
            <w:tcW w:w="1560" w:type="dxa"/>
            <w:shd w:val="clear" w:color="auto" w:fill="C6EFCE"/>
            <w:noWrap/>
            <w:vAlign w:val="center"/>
            <w:hideMark/>
          </w:tcPr>
          <w:p w14:paraId="4B7B5662"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1A-1</w:t>
            </w:r>
          </w:p>
        </w:tc>
        <w:tc>
          <w:tcPr>
            <w:tcW w:w="3543" w:type="dxa"/>
            <w:shd w:val="clear" w:color="auto" w:fill="C6EFCE"/>
            <w:noWrap/>
            <w:vAlign w:val="center"/>
            <w:hideMark/>
          </w:tcPr>
          <w:p w14:paraId="55ADD66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1A: Reform 1 - Skillsdësch</w:t>
            </w:r>
          </w:p>
        </w:tc>
        <w:tc>
          <w:tcPr>
            <w:tcW w:w="1809" w:type="dxa"/>
            <w:shd w:val="clear" w:color="auto" w:fill="C6EFCE"/>
            <w:noWrap/>
            <w:vAlign w:val="center"/>
            <w:hideMark/>
          </w:tcPr>
          <w:p w14:paraId="0907F1DC"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hideMark/>
          </w:tcPr>
          <w:p w14:paraId="10D64BBB" w14:textId="5E7233FC"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Launch of «Skillsdësch»</w:t>
            </w:r>
          </w:p>
        </w:tc>
      </w:tr>
      <w:tr w:rsidR="009823F0" w:rsidRPr="00443C86" w14:paraId="7E79120E" w14:textId="77777777" w:rsidTr="00086787">
        <w:trPr>
          <w:trHeight w:val="302"/>
        </w:trPr>
        <w:tc>
          <w:tcPr>
            <w:tcW w:w="1560" w:type="dxa"/>
            <w:shd w:val="clear" w:color="auto" w:fill="C6EFCE"/>
            <w:noWrap/>
            <w:vAlign w:val="center"/>
          </w:tcPr>
          <w:p w14:paraId="6ABADAC0"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1B-1</w:t>
            </w:r>
          </w:p>
        </w:tc>
        <w:tc>
          <w:tcPr>
            <w:tcW w:w="3543" w:type="dxa"/>
            <w:shd w:val="clear" w:color="auto" w:fill="C6EFCE"/>
            <w:noWrap/>
            <w:vAlign w:val="center"/>
          </w:tcPr>
          <w:p w14:paraId="1D66D9E9"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1B: Reform 1 –Strengthening health system resilience — Gesondheetsdësch</w:t>
            </w:r>
          </w:p>
        </w:tc>
        <w:tc>
          <w:tcPr>
            <w:tcW w:w="1809" w:type="dxa"/>
            <w:shd w:val="clear" w:color="auto" w:fill="C6EFCE"/>
            <w:noWrap/>
            <w:vAlign w:val="center"/>
          </w:tcPr>
          <w:p w14:paraId="0DC2712D"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777C814B" w14:textId="0406BCAD"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Kick-off and preparatory phase of the ‘Gesondheetsdësch’ process</w:t>
            </w:r>
            <w:r w:rsidR="003421F5">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with the aim to address the six thematic priorities.</w:t>
            </w:r>
            <w:r w:rsidR="00A17CDD">
              <w:rPr>
                <w:rFonts w:ascii="Times New Roman" w:hAnsi="Times New Roman" w:cs="Times New Roman"/>
                <w:noProof/>
                <w:color w:val="006100"/>
                <w:sz w:val="20"/>
                <w:szCs w:val="20"/>
                <w:lang w:val="en-IE"/>
              </w:rPr>
              <w:t xml:space="preserve"> </w:t>
            </w:r>
          </w:p>
        </w:tc>
      </w:tr>
      <w:tr w:rsidR="009823F0" w:rsidRPr="00443C86" w14:paraId="6D3FC784" w14:textId="77777777" w:rsidTr="00086787">
        <w:trPr>
          <w:trHeight w:val="302"/>
        </w:trPr>
        <w:tc>
          <w:tcPr>
            <w:tcW w:w="1560" w:type="dxa"/>
            <w:shd w:val="clear" w:color="auto" w:fill="C6EFCE"/>
            <w:noWrap/>
            <w:vAlign w:val="center"/>
          </w:tcPr>
          <w:p w14:paraId="05B68E03"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3C-3</w:t>
            </w:r>
          </w:p>
        </w:tc>
        <w:tc>
          <w:tcPr>
            <w:tcW w:w="3543" w:type="dxa"/>
            <w:shd w:val="clear" w:color="auto" w:fill="C6EFCE"/>
            <w:noWrap/>
            <w:vAlign w:val="center"/>
          </w:tcPr>
          <w:p w14:paraId="4772C45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shd w:val="clear" w:color="auto" w:fill="C6EFCE"/>
            <w:noWrap/>
            <w:vAlign w:val="center"/>
          </w:tcPr>
          <w:p w14:paraId="18E3CAE7"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75EBAC59" w14:textId="08AF8532"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Grand-ducal decree of 14</w:t>
            </w:r>
            <w:r w:rsidR="003421F5"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August</w:t>
            </w:r>
            <w:r w:rsidR="003421F5"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 xml:space="preserve">2020 on AML </w:t>
            </w:r>
          </w:p>
        </w:tc>
      </w:tr>
      <w:tr w:rsidR="009823F0" w:rsidRPr="00443C86" w14:paraId="32C05ECB" w14:textId="77777777" w:rsidTr="00086787">
        <w:trPr>
          <w:trHeight w:val="302"/>
        </w:trPr>
        <w:tc>
          <w:tcPr>
            <w:tcW w:w="1560" w:type="dxa"/>
            <w:shd w:val="clear" w:color="auto" w:fill="C6EFCE"/>
            <w:noWrap/>
            <w:vAlign w:val="center"/>
          </w:tcPr>
          <w:p w14:paraId="42D6167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3C-6</w:t>
            </w:r>
          </w:p>
        </w:tc>
        <w:tc>
          <w:tcPr>
            <w:tcW w:w="3543" w:type="dxa"/>
            <w:shd w:val="clear" w:color="auto" w:fill="C6EFCE"/>
            <w:noWrap/>
            <w:vAlign w:val="center"/>
          </w:tcPr>
          <w:p w14:paraId="2A28319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shd w:val="clear" w:color="auto" w:fill="C6EFCE"/>
            <w:noWrap/>
            <w:vAlign w:val="center"/>
          </w:tcPr>
          <w:p w14:paraId="63033257" w14:textId="77777777" w:rsidR="009823F0" w:rsidRPr="00C82A63" w:rsidRDefault="009823F0" w:rsidP="003421F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0CAF0E32" w14:textId="77777777" w:rsidR="009823F0" w:rsidRPr="00C82A63" w:rsidRDefault="009823F0" w:rsidP="003421F5">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 xml:space="preserve">2020 update of National Risk Assessment </w:t>
            </w:r>
          </w:p>
        </w:tc>
      </w:tr>
      <w:tr w:rsidR="009823F0" w:rsidRPr="00443C86" w14:paraId="46E179EC" w14:textId="77777777" w:rsidTr="00086787">
        <w:trPr>
          <w:trHeight w:val="302"/>
        </w:trPr>
        <w:tc>
          <w:tcPr>
            <w:tcW w:w="1560" w:type="dxa"/>
            <w:shd w:val="clear" w:color="auto" w:fill="C6EFCE"/>
            <w:noWrap/>
            <w:vAlign w:val="center"/>
          </w:tcPr>
          <w:p w14:paraId="1901684A"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1A-3</w:t>
            </w:r>
          </w:p>
        </w:tc>
        <w:tc>
          <w:tcPr>
            <w:tcW w:w="3543" w:type="dxa"/>
            <w:shd w:val="clear" w:color="auto" w:fill="C6EFCE"/>
            <w:noWrap/>
            <w:vAlign w:val="center"/>
          </w:tcPr>
          <w:p w14:paraId="660AB0DA" w14:textId="77777777" w:rsidR="009823F0" w:rsidRPr="00C82A63" w:rsidRDefault="009823F0" w:rsidP="00CF6BC5">
            <w:pPr>
              <w:spacing w:after="0" w:line="240" w:lineRule="auto"/>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1A: Investment 1 - FutureSkills</w:t>
            </w:r>
          </w:p>
        </w:tc>
        <w:tc>
          <w:tcPr>
            <w:tcW w:w="1809" w:type="dxa"/>
            <w:shd w:val="clear" w:color="auto" w:fill="C6EFCE"/>
            <w:noWrap/>
            <w:vAlign w:val="center"/>
          </w:tcPr>
          <w:p w14:paraId="432F9075"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12C5BC9C"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 xml:space="preserve">Agreement by partners on the “operational phase” </w:t>
            </w:r>
          </w:p>
        </w:tc>
      </w:tr>
      <w:tr w:rsidR="009823F0" w:rsidRPr="00C82A63" w14:paraId="47DBC800" w14:textId="77777777" w:rsidTr="00086787">
        <w:trPr>
          <w:trHeight w:val="302"/>
        </w:trPr>
        <w:tc>
          <w:tcPr>
            <w:tcW w:w="1560" w:type="dxa"/>
            <w:shd w:val="clear" w:color="auto" w:fill="C6EFCE"/>
            <w:noWrap/>
            <w:vAlign w:val="center"/>
          </w:tcPr>
          <w:p w14:paraId="530F36F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1B-7</w:t>
            </w:r>
          </w:p>
        </w:tc>
        <w:tc>
          <w:tcPr>
            <w:tcW w:w="3543" w:type="dxa"/>
            <w:shd w:val="clear" w:color="auto" w:fill="C6EFCE"/>
            <w:noWrap/>
            <w:vAlign w:val="center"/>
          </w:tcPr>
          <w:p w14:paraId="09BD631A"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1B: Investment 2-Strengthening health system resilience — Telemedicine solution for remote medical follow-up of patients</w:t>
            </w:r>
          </w:p>
        </w:tc>
        <w:tc>
          <w:tcPr>
            <w:tcW w:w="1809" w:type="dxa"/>
            <w:shd w:val="clear" w:color="auto" w:fill="C6EFCE"/>
            <w:noWrap/>
            <w:vAlign w:val="center"/>
          </w:tcPr>
          <w:p w14:paraId="418F9218"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3BE47EA8"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 xml:space="preserve">“Maela” </w:t>
            </w:r>
          </w:p>
        </w:tc>
      </w:tr>
      <w:tr w:rsidR="009823F0" w:rsidRPr="00443C86" w14:paraId="4AE766AF" w14:textId="77777777" w:rsidTr="00086787">
        <w:trPr>
          <w:trHeight w:val="302"/>
        </w:trPr>
        <w:tc>
          <w:tcPr>
            <w:tcW w:w="1560" w:type="dxa"/>
            <w:shd w:val="clear" w:color="auto" w:fill="C6EFCE"/>
            <w:noWrap/>
            <w:vAlign w:val="center"/>
          </w:tcPr>
          <w:p w14:paraId="55948117"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3B-13</w:t>
            </w:r>
          </w:p>
        </w:tc>
        <w:tc>
          <w:tcPr>
            <w:tcW w:w="3543" w:type="dxa"/>
            <w:shd w:val="clear" w:color="auto" w:fill="C6EFCE"/>
            <w:noWrap/>
            <w:vAlign w:val="center"/>
          </w:tcPr>
          <w:p w14:paraId="3D292812"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3B: Investment 4 – National platform for the management of public investigations</w:t>
            </w:r>
          </w:p>
        </w:tc>
        <w:tc>
          <w:tcPr>
            <w:tcW w:w="1809" w:type="dxa"/>
            <w:shd w:val="clear" w:color="auto" w:fill="C6EFCE"/>
            <w:noWrap/>
            <w:vAlign w:val="center"/>
          </w:tcPr>
          <w:p w14:paraId="6EF316C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7EBD9AC5"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Creation of a national platform for the management and publication of public surveys and related documents</w:t>
            </w:r>
          </w:p>
        </w:tc>
      </w:tr>
      <w:tr w:rsidR="009823F0" w:rsidRPr="00443C86" w14:paraId="2A0DC316" w14:textId="77777777" w:rsidTr="00086787">
        <w:trPr>
          <w:trHeight w:val="302"/>
        </w:trPr>
        <w:tc>
          <w:tcPr>
            <w:tcW w:w="1560" w:type="dxa"/>
            <w:shd w:val="clear" w:color="auto" w:fill="C6EFCE"/>
            <w:noWrap/>
            <w:vAlign w:val="center"/>
          </w:tcPr>
          <w:p w14:paraId="2A5B2FC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3C-1</w:t>
            </w:r>
          </w:p>
        </w:tc>
        <w:tc>
          <w:tcPr>
            <w:tcW w:w="3543" w:type="dxa"/>
            <w:shd w:val="clear" w:color="auto" w:fill="C6EFCE"/>
            <w:noWrap/>
            <w:vAlign w:val="center"/>
          </w:tcPr>
          <w:p w14:paraId="0745985A" w14:textId="77777777" w:rsidR="009823F0" w:rsidRPr="00C82A63" w:rsidRDefault="009823F0" w:rsidP="003421F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3C: Reform 1 – Modernisation of corporate taxation</w:t>
            </w:r>
          </w:p>
        </w:tc>
        <w:tc>
          <w:tcPr>
            <w:tcW w:w="1809" w:type="dxa"/>
            <w:shd w:val="clear" w:color="auto" w:fill="C6EFCE"/>
            <w:noWrap/>
            <w:vAlign w:val="center"/>
          </w:tcPr>
          <w:p w14:paraId="13F2761C"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57A9D99A" w14:textId="1A6BEF18"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Act of 10</w:t>
            </w:r>
            <w:r w:rsidR="005F6D93"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February</w:t>
            </w:r>
            <w:r w:rsidR="005F6D93"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2021 amending the amended act of 4</w:t>
            </w:r>
            <w:r w:rsidR="005F6D93"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December</w:t>
            </w:r>
            <w:r w:rsidR="005F6D93" w:rsidRPr="003421F5">
              <w:rPr>
                <w:rFonts w:ascii="Times New Roman" w:hAnsi="Times New Roman" w:cs="Times New Roman"/>
                <w:noProof/>
                <w:color w:val="006100"/>
                <w:sz w:val="20"/>
                <w:szCs w:val="20"/>
                <w:lang w:val="en-IE"/>
              </w:rPr>
              <w:t> </w:t>
            </w:r>
            <w:r w:rsidRPr="00C82A63">
              <w:rPr>
                <w:rFonts w:ascii="Times New Roman" w:hAnsi="Times New Roman" w:cs="Times New Roman"/>
                <w:noProof/>
                <w:color w:val="006100"/>
                <w:sz w:val="20"/>
                <w:szCs w:val="20"/>
                <w:lang w:val="en-IE"/>
              </w:rPr>
              <w:t xml:space="preserve">1967 on income tax (formerly draft act No°7547) </w:t>
            </w:r>
          </w:p>
        </w:tc>
      </w:tr>
      <w:tr w:rsidR="009823F0" w:rsidRPr="00443C86" w14:paraId="64A53A8C" w14:textId="77777777" w:rsidTr="00086787">
        <w:trPr>
          <w:trHeight w:val="302"/>
        </w:trPr>
        <w:tc>
          <w:tcPr>
            <w:tcW w:w="1560" w:type="dxa"/>
            <w:shd w:val="clear" w:color="auto" w:fill="C6EFCE"/>
            <w:noWrap/>
            <w:vAlign w:val="center"/>
          </w:tcPr>
          <w:p w14:paraId="6D01EA2C"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3B-8</w:t>
            </w:r>
          </w:p>
        </w:tc>
        <w:tc>
          <w:tcPr>
            <w:tcW w:w="3543" w:type="dxa"/>
            <w:shd w:val="clear" w:color="auto" w:fill="C6EFCE"/>
            <w:noWrap/>
            <w:vAlign w:val="center"/>
          </w:tcPr>
          <w:p w14:paraId="7D818940"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3B: Investment 2 - Development of MyGuichet - Project 3/3: APP Mobile MyGuichet.lu</w:t>
            </w:r>
          </w:p>
        </w:tc>
        <w:tc>
          <w:tcPr>
            <w:tcW w:w="1809" w:type="dxa"/>
            <w:shd w:val="clear" w:color="auto" w:fill="C6EFCE"/>
            <w:noWrap/>
            <w:vAlign w:val="center"/>
          </w:tcPr>
          <w:p w14:paraId="6D7B5269"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2F157138"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Deployment of a mobile version of MyGuichet (restricted audience)</w:t>
            </w:r>
          </w:p>
        </w:tc>
      </w:tr>
      <w:tr w:rsidR="009823F0" w:rsidRPr="00443C86" w14:paraId="2DDD0E4A" w14:textId="77777777" w:rsidTr="00086787">
        <w:trPr>
          <w:trHeight w:val="302"/>
        </w:trPr>
        <w:tc>
          <w:tcPr>
            <w:tcW w:w="1560" w:type="dxa"/>
            <w:shd w:val="clear" w:color="auto" w:fill="C6EFCE"/>
            <w:noWrap/>
            <w:vAlign w:val="center"/>
          </w:tcPr>
          <w:p w14:paraId="31C3F875"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3C-4</w:t>
            </w:r>
          </w:p>
        </w:tc>
        <w:tc>
          <w:tcPr>
            <w:tcW w:w="3543" w:type="dxa"/>
            <w:shd w:val="clear" w:color="auto" w:fill="C6EFCE"/>
            <w:noWrap/>
            <w:vAlign w:val="center"/>
          </w:tcPr>
          <w:p w14:paraId="461F740D"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shd w:val="clear" w:color="auto" w:fill="C6EFCE"/>
            <w:noWrap/>
            <w:vAlign w:val="center"/>
          </w:tcPr>
          <w:p w14:paraId="3FB3DE81"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726BD526"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 xml:space="preserve">Vertical risk assessment in the area of terrorist financing </w:t>
            </w:r>
          </w:p>
        </w:tc>
      </w:tr>
      <w:tr w:rsidR="009823F0" w:rsidRPr="00443C86" w14:paraId="492D8EC0" w14:textId="77777777" w:rsidTr="00086787">
        <w:trPr>
          <w:trHeight w:val="302"/>
        </w:trPr>
        <w:tc>
          <w:tcPr>
            <w:tcW w:w="1560" w:type="dxa"/>
            <w:shd w:val="clear" w:color="auto" w:fill="C6EFCE"/>
            <w:noWrap/>
            <w:vAlign w:val="center"/>
          </w:tcPr>
          <w:p w14:paraId="1479ED8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1C-1</w:t>
            </w:r>
          </w:p>
        </w:tc>
        <w:tc>
          <w:tcPr>
            <w:tcW w:w="3543" w:type="dxa"/>
            <w:shd w:val="clear" w:color="auto" w:fill="C6EFCE"/>
            <w:noWrap/>
            <w:vAlign w:val="center"/>
          </w:tcPr>
          <w:p w14:paraId="249AE456" w14:textId="77777777" w:rsidR="009823F0" w:rsidRPr="00C82A63" w:rsidRDefault="009823F0" w:rsidP="00CF6BC5">
            <w:pPr>
              <w:spacing w:after="0" w:line="240" w:lineRule="auto"/>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1C: Reform – Housing Pact 2.0</w:t>
            </w:r>
          </w:p>
        </w:tc>
        <w:tc>
          <w:tcPr>
            <w:tcW w:w="1809" w:type="dxa"/>
            <w:shd w:val="clear" w:color="auto" w:fill="C6EFCE"/>
            <w:noWrap/>
            <w:vAlign w:val="center"/>
          </w:tcPr>
          <w:p w14:paraId="65366DDD"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7421A115"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Entry into force of the Housing Pact 2.0 Law</w:t>
            </w:r>
          </w:p>
        </w:tc>
      </w:tr>
      <w:tr w:rsidR="009823F0" w:rsidRPr="00443C86" w14:paraId="7A15C06B" w14:textId="77777777" w:rsidTr="00086787">
        <w:trPr>
          <w:trHeight w:val="302"/>
        </w:trPr>
        <w:tc>
          <w:tcPr>
            <w:tcW w:w="1560" w:type="dxa"/>
            <w:shd w:val="clear" w:color="auto" w:fill="C6EFCE"/>
            <w:noWrap/>
            <w:vAlign w:val="center"/>
          </w:tcPr>
          <w:p w14:paraId="73CA39C8"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2A-1</w:t>
            </w:r>
          </w:p>
        </w:tc>
        <w:tc>
          <w:tcPr>
            <w:tcW w:w="3543" w:type="dxa"/>
            <w:shd w:val="clear" w:color="auto" w:fill="C6EFCE"/>
            <w:noWrap/>
            <w:vAlign w:val="center"/>
          </w:tcPr>
          <w:p w14:paraId="3017AC49"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2A: Reform: Electrification of the fleet of contracting authorities and entities, and of public transport</w:t>
            </w:r>
          </w:p>
        </w:tc>
        <w:tc>
          <w:tcPr>
            <w:tcW w:w="1809" w:type="dxa"/>
            <w:shd w:val="clear" w:color="auto" w:fill="C6EFCE"/>
            <w:noWrap/>
            <w:vAlign w:val="center"/>
          </w:tcPr>
          <w:p w14:paraId="1739457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0B2A8AA6"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 xml:space="preserve">Grand-Ducal Regulation on the procurement of clean vehicles </w:t>
            </w:r>
          </w:p>
        </w:tc>
      </w:tr>
      <w:tr w:rsidR="009823F0" w:rsidRPr="00443C86" w14:paraId="53A2FB9E" w14:textId="77777777" w:rsidTr="00086787">
        <w:trPr>
          <w:trHeight w:val="302"/>
        </w:trPr>
        <w:tc>
          <w:tcPr>
            <w:tcW w:w="1560" w:type="dxa"/>
            <w:shd w:val="clear" w:color="auto" w:fill="C6EFCE"/>
            <w:noWrap/>
            <w:vAlign w:val="center"/>
          </w:tcPr>
          <w:p w14:paraId="2F83B8F7"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2B-1</w:t>
            </w:r>
          </w:p>
        </w:tc>
        <w:tc>
          <w:tcPr>
            <w:tcW w:w="3543" w:type="dxa"/>
            <w:shd w:val="clear" w:color="auto" w:fill="C6EFCE"/>
            <w:noWrap/>
            <w:vAlign w:val="center"/>
          </w:tcPr>
          <w:p w14:paraId="6B5BAB60"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2B: Reform and investment: ‘Naturpakt’</w:t>
            </w:r>
          </w:p>
        </w:tc>
        <w:tc>
          <w:tcPr>
            <w:tcW w:w="1809" w:type="dxa"/>
            <w:shd w:val="clear" w:color="auto" w:fill="C6EFCE"/>
            <w:noWrap/>
            <w:vAlign w:val="center"/>
          </w:tcPr>
          <w:p w14:paraId="36CA854D"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1268A588"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Finalisation of the catalogue of measures</w:t>
            </w:r>
          </w:p>
        </w:tc>
      </w:tr>
      <w:tr w:rsidR="009823F0" w:rsidRPr="00C82A63" w14:paraId="267C910E" w14:textId="77777777" w:rsidTr="00086787">
        <w:trPr>
          <w:trHeight w:val="302"/>
        </w:trPr>
        <w:tc>
          <w:tcPr>
            <w:tcW w:w="1560" w:type="dxa"/>
            <w:shd w:val="clear" w:color="auto" w:fill="C6EFCE"/>
            <w:noWrap/>
            <w:vAlign w:val="center"/>
          </w:tcPr>
          <w:p w14:paraId="2E9BB27E"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3A-3</w:t>
            </w:r>
          </w:p>
        </w:tc>
        <w:tc>
          <w:tcPr>
            <w:tcW w:w="3543" w:type="dxa"/>
            <w:shd w:val="clear" w:color="auto" w:fill="C6EFCE"/>
            <w:noWrap/>
            <w:vAlign w:val="center"/>
          </w:tcPr>
          <w:p w14:paraId="261B5A4D" w14:textId="7436A926"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3A: Investment 1-Development and deployment of test</w:t>
            </w:r>
            <w:r w:rsidR="005F6D93">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infrastructure</w:t>
            </w:r>
            <w:r w:rsidR="005F6D93">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and ultra-secure connectivity solutions</w:t>
            </w:r>
          </w:p>
        </w:tc>
        <w:tc>
          <w:tcPr>
            <w:tcW w:w="1809" w:type="dxa"/>
            <w:shd w:val="clear" w:color="auto" w:fill="C6EFCE"/>
            <w:noWrap/>
            <w:vAlign w:val="center"/>
          </w:tcPr>
          <w:p w14:paraId="0263FD3D"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50F6C8A7"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LuxQCI Laboratory </w:t>
            </w:r>
          </w:p>
        </w:tc>
      </w:tr>
      <w:tr w:rsidR="009823F0" w:rsidRPr="00443C86" w14:paraId="6DADED5B" w14:textId="77777777" w:rsidTr="00086787">
        <w:trPr>
          <w:trHeight w:val="302"/>
        </w:trPr>
        <w:tc>
          <w:tcPr>
            <w:tcW w:w="1560" w:type="dxa"/>
            <w:shd w:val="clear" w:color="auto" w:fill="C6EFCE"/>
            <w:noWrap/>
            <w:vAlign w:val="center"/>
          </w:tcPr>
          <w:p w14:paraId="13D57D29"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3B-9</w:t>
            </w:r>
          </w:p>
        </w:tc>
        <w:tc>
          <w:tcPr>
            <w:tcW w:w="3543" w:type="dxa"/>
            <w:shd w:val="clear" w:color="auto" w:fill="C6EFCE"/>
            <w:noWrap/>
            <w:vAlign w:val="center"/>
          </w:tcPr>
          <w:p w14:paraId="002F54C8"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3B: Investment 2 - Development of MyGuichet - Project 3/3: APP Mobile MyGuichet.lu</w:t>
            </w:r>
          </w:p>
        </w:tc>
        <w:tc>
          <w:tcPr>
            <w:tcW w:w="1809" w:type="dxa"/>
            <w:shd w:val="clear" w:color="auto" w:fill="C6EFCE"/>
            <w:noWrap/>
            <w:vAlign w:val="center"/>
          </w:tcPr>
          <w:p w14:paraId="32D429B0"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10502526"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Deployment of a mobile version of MyGuichet.lu to the general public</w:t>
            </w:r>
          </w:p>
        </w:tc>
      </w:tr>
      <w:tr w:rsidR="009823F0" w:rsidRPr="00443C86" w14:paraId="1F395541" w14:textId="77777777" w:rsidTr="00086787">
        <w:trPr>
          <w:trHeight w:val="302"/>
        </w:trPr>
        <w:tc>
          <w:tcPr>
            <w:tcW w:w="1560" w:type="dxa"/>
            <w:shd w:val="clear" w:color="auto" w:fill="C6EFCE"/>
            <w:noWrap/>
            <w:vAlign w:val="center"/>
          </w:tcPr>
          <w:p w14:paraId="4477B1FF"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1A-4</w:t>
            </w:r>
          </w:p>
        </w:tc>
        <w:tc>
          <w:tcPr>
            <w:tcW w:w="3543" w:type="dxa"/>
            <w:shd w:val="clear" w:color="auto" w:fill="C6EFCE"/>
            <w:noWrap/>
            <w:vAlign w:val="center"/>
          </w:tcPr>
          <w:p w14:paraId="3EF459E1" w14:textId="77777777" w:rsidR="009823F0" w:rsidRPr="00C82A63" w:rsidRDefault="009823F0" w:rsidP="00CF6BC5">
            <w:pPr>
              <w:spacing w:after="0" w:line="240" w:lineRule="auto"/>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1A: Investment 1- FutureSkills</w:t>
            </w:r>
          </w:p>
        </w:tc>
        <w:tc>
          <w:tcPr>
            <w:tcW w:w="1809" w:type="dxa"/>
            <w:shd w:val="clear" w:color="auto" w:fill="C6EFCE"/>
            <w:noWrap/>
            <w:vAlign w:val="center"/>
          </w:tcPr>
          <w:p w14:paraId="3F28E933"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1F8728EA"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Participants of FutureSkills aged more than 45 years</w:t>
            </w:r>
          </w:p>
        </w:tc>
      </w:tr>
      <w:tr w:rsidR="009823F0" w:rsidRPr="00C82A63" w14:paraId="45243BA3" w14:textId="77777777" w:rsidTr="00086787">
        <w:trPr>
          <w:trHeight w:val="302"/>
        </w:trPr>
        <w:tc>
          <w:tcPr>
            <w:tcW w:w="1560" w:type="dxa"/>
            <w:shd w:val="clear" w:color="auto" w:fill="C6EFCE"/>
            <w:noWrap/>
            <w:vAlign w:val="center"/>
          </w:tcPr>
          <w:p w14:paraId="75885396"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1A-5</w:t>
            </w:r>
          </w:p>
        </w:tc>
        <w:tc>
          <w:tcPr>
            <w:tcW w:w="3543" w:type="dxa"/>
            <w:shd w:val="clear" w:color="auto" w:fill="C6EFCE"/>
            <w:noWrap/>
            <w:vAlign w:val="center"/>
          </w:tcPr>
          <w:p w14:paraId="09FB8B72" w14:textId="77777777" w:rsidR="009823F0" w:rsidRPr="00C82A63" w:rsidRDefault="009823F0" w:rsidP="00CF6BC5">
            <w:pPr>
              <w:spacing w:after="0" w:line="240" w:lineRule="auto"/>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1A: Investment 1 - FutureSkills</w:t>
            </w:r>
          </w:p>
        </w:tc>
        <w:tc>
          <w:tcPr>
            <w:tcW w:w="1809" w:type="dxa"/>
            <w:shd w:val="clear" w:color="auto" w:fill="C6EFCE"/>
            <w:noWrap/>
            <w:vAlign w:val="center"/>
          </w:tcPr>
          <w:p w14:paraId="122141E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20E9D1D9"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Participants of FutureSkills</w:t>
            </w:r>
          </w:p>
        </w:tc>
      </w:tr>
      <w:tr w:rsidR="009823F0" w:rsidRPr="00C82A63" w14:paraId="1CF46543" w14:textId="77777777" w:rsidTr="00086787">
        <w:trPr>
          <w:trHeight w:val="302"/>
        </w:trPr>
        <w:tc>
          <w:tcPr>
            <w:tcW w:w="1560" w:type="dxa"/>
            <w:shd w:val="clear" w:color="auto" w:fill="C6EFCE"/>
            <w:noWrap/>
            <w:vAlign w:val="center"/>
          </w:tcPr>
          <w:p w14:paraId="1A10B2D6"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1B-2</w:t>
            </w:r>
          </w:p>
        </w:tc>
        <w:tc>
          <w:tcPr>
            <w:tcW w:w="3543" w:type="dxa"/>
            <w:shd w:val="clear" w:color="auto" w:fill="C6EFCE"/>
            <w:noWrap/>
            <w:vAlign w:val="center"/>
          </w:tcPr>
          <w:p w14:paraId="0DA96E52"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1B: Reform 1 –Strengthening health system resilience — Gesondheetsdësch</w:t>
            </w:r>
          </w:p>
        </w:tc>
        <w:tc>
          <w:tcPr>
            <w:tcW w:w="1809" w:type="dxa"/>
            <w:shd w:val="clear" w:color="auto" w:fill="C6EFCE"/>
            <w:noWrap/>
            <w:vAlign w:val="center"/>
          </w:tcPr>
          <w:p w14:paraId="37FA0A91"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0E744128"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 xml:space="preserve">Work programme </w:t>
            </w:r>
          </w:p>
        </w:tc>
      </w:tr>
      <w:tr w:rsidR="009823F0" w:rsidRPr="00C82A63" w14:paraId="498E3112" w14:textId="77777777" w:rsidTr="00086787">
        <w:trPr>
          <w:trHeight w:val="302"/>
        </w:trPr>
        <w:tc>
          <w:tcPr>
            <w:tcW w:w="1560" w:type="dxa"/>
            <w:shd w:val="clear" w:color="auto" w:fill="C6EFCE"/>
            <w:noWrap/>
            <w:vAlign w:val="center"/>
          </w:tcPr>
          <w:p w14:paraId="66DD8AFD"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2B-2</w:t>
            </w:r>
          </w:p>
        </w:tc>
        <w:tc>
          <w:tcPr>
            <w:tcW w:w="3543" w:type="dxa"/>
            <w:shd w:val="clear" w:color="auto" w:fill="C6EFCE"/>
            <w:noWrap/>
            <w:vAlign w:val="center"/>
          </w:tcPr>
          <w:p w14:paraId="5C29E8F8"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2B: Reform and investment: ‘Naturpakt’</w:t>
            </w:r>
          </w:p>
        </w:tc>
        <w:tc>
          <w:tcPr>
            <w:tcW w:w="1809" w:type="dxa"/>
            <w:shd w:val="clear" w:color="auto" w:fill="C6EFCE"/>
            <w:noWrap/>
            <w:vAlign w:val="center"/>
          </w:tcPr>
          <w:p w14:paraId="4EDB62DC"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516C79EC"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 xml:space="preserve">‘Naturpakt’ Law </w:t>
            </w:r>
          </w:p>
        </w:tc>
      </w:tr>
      <w:tr w:rsidR="009823F0" w:rsidRPr="00443C86" w14:paraId="63DF455F" w14:textId="77777777" w:rsidTr="00086787">
        <w:trPr>
          <w:trHeight w:val="302"/>
        </w:trPr>
        <w:tc>
          <w:tcPr>
            <w:tcW w:w="1560" w:type="dxa"/>
            <w:shd w:val="clear" w:color="auto" w:fill="C6EFCE"/>
            <w:noWrap/>
            <w:vAlign w:val="center"/>
          </w:tcPr>
          <w:p w14:paraId="6EFD4D50"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3B-1</w:t>
            </w:r>
          </w:p>
        </w:tc>
        <w:tc>
          <w:tcPr>
            <w:tcW w:w="3543" w:type="dxa"/>
            <w:shd w:val="clear" w:color="auto" w:fill="C6EFCE"/>
            <w:noWrap/>
            <w:vAlign w:val="center"/>
          </w:tcPr>
          <w:p w14:paraId="068BE4BC"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3B: Investment 1 – Electronic Document Management and Case Management</w:t>
            </w:r>
          </w:p>
        </w:tc>
        <w:tc>
          <w:tcPr>
            <w:tcW w:w="1809" w:type="dxa"/>
            <w:shd w:val="clear" w:color="auto" w:fill="C6EFCE"/>
            <w:noWrap/>
            <w:vAlign w:val="center"/>
          </w:tcPr>
          <w:p w14:paraId="3FD2BEB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12EB31B9"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Entry into operation of a central platform for electronic document management and case management.</w:t>
            </w:r>
          </w:p>
        </w:tc>
      </w:tr>
      <w:tr w:rsidR="009823F0" w:rsidRPr="00443C86" w14:paraId="03A3A580" w14:textId="77777777" w:rsidTr="00086787">
        <w:trPr>
          <w:trHeight w:val="302"/>
        </w:trPr>
        <w:tc>
          <w:tcPr>
            <w:tcW w:w="1560" w:type="dxa"/>
            <w:shd w:val="clear" w:color="auto" w:fill="C6EFCE"/>
            <w:noWrap/>
            <w:vAlign w:val="center"/>
          </w:tcPr>
          <w:p w14:paraId="07752C13"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3B-10</w:t>
            </w:r>
          </w:p>
        </w:tc>
        <w:tc>
          <w:tcPr>
            <w:tcW w:w="3543" w:type="dxa"/>
            <w:shd w:val="clear" w:color="auto" w:fill="C6EFCE"/>
            <w:noWrap/>
            <w:vAlign w:val="center"/>
          </w:tcPr>
          <w:p w14:paraId="35289138" w14:textId="77777777" w:rsidR="009823F0" w:rsidRPr="00C82A63" w:rsidRDefault="009823F0" w:rsidP="00CF6BC5">
            <w:pPr>
              <w:spacing w:after="0" w:line="240" w:lineRule="auto"/>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3B: Investment 3 - ‘eADEM’</w:t>
            </w:r>
          </w:p>
        </w:tc>
        <w:tc>
          <w:tcPr>
            <w:tcW w:w="1809" w:type="dxa"/>
            <w:shd w:val="clear" w:color="auto" w:fill="C6EFCE"/>
            <w:noWrap/>
            <w:vAlign w:val="center"/>
          </w:tcPr>
          <w:p w14:paraId="7057F3A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792B0D21"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Creation of ADEM 2025 Strategy for the analytical phase</w:t>
            </w:r>
          </w:p>
        </w:tc>
      </w:tr>
      <w:tr w:rsidR="009823F0" w:rsidRPr="00443C86" w14:paraId="422F47B8" w14:textId="77777777" w:rsidTr="00086787">
        <w:trPr>
          <w:trHeight w:val="302"/>
        </w:trPr>
        <w:tc>
          <w:tcPr>
            <w:tcW w:w="1560" w:type="dxa"/>
            <w:shd w:val="clear" w:color="auto" w:fill="C6EFCE"/>
            <w:noWrap/>
            <w:vAlign w:val="center"/>
          </w:tcPr>
          <w:p w14:paraId="3810D261"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3C-5</w:t>
            </w:r>
          </w:p>
        </w:tc>
        <w:tc>
          <w:tcPr>
            <w:tcW w:w="3543" w:type="dxa"/>
            <w:shd w:val="clear" w:color="auto" w:fill="C6EFCE"/>
            <w:noWrap/>
            <w:vAlign w:val="center"/>
          </w:tcPr>
          <w:p w14:paraId="78639386"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shd w:val="clear" w:color="auto" w:fill="C6EFCE"/>
            <w:noWrap/>
            <w:vAlign w:val="center"/>
          </w:tcPr>
          <w:p w14:paraId="1F1F760A"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150028F0"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 xml:space="preserve">Sectoral risk assessment of legal persons </w:t>
            </w:r>
          </w:p>
        </w:tc>
      </w:tr>
      <w:tr w:rsidR="009823F0" w:rsidRPr="00443C86" w14:paraId="5E0E2519" w14:textId="77777777" w:rsidTr="00086787">
        <w:trPr>
          <w:trHeight w:val="302"/>
        </w:trPr>
        <w:tc>
          <w:tcPr>
            <w:tcW w:w="1560" w:type="dxa"/>
            <w:shd w:val="clear" w:color="auto" w:fill="C6EFCE"/>
            <w:noWrap/>
            <w:vAlign w:val="center"/>
          </w:tcPr>
          <w:p w14:paraId="2ADF3117"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3C-8</w:t>
            </w:r>
          </w:p>
        </w:tc>
        <w:tc>
          <w:tcPr>
            <w:tcW w:w="3543" w:type="dxa"/>
            <w:shd w:val="clear" w:color="auto" w:fill="C6EFCE"/>
            <w:noWrap/>
            <w:vAlign w:val="center"/>
          </w:tcPr>
          <w:p w14:paraId="4F6B11A0"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shd w:val="clear" w:color="auto" w:fill="C6EFCE"/>
            <w:noWrap/>
            <w:vAlign w:val="center"/>
          </w:tcPr>
          <w:p w14:paraId="599011E6"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070B782E" w14:textId="77777777" w:rsidR="009823F0" w:rsidRPr="00C82A63" w:rsidRDefault="009823F0" w:rsidP="003421F5">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Finalisation of the study on the reinforcement of the regime applicable to trust and company service providers</w:t>
            </w:r>
          </w:p>
        </w:tc>
      </w:tr>
      <w:tr w:rsidR="009823F0" w:rsidRPr="00C82A63" w14:paraId="71632349" w14:textId="77777777" w:rsidTr="00086787">
        <w:trPr>
          <w:trHeight w:val="302"/>
        </w:trPr>
        <w:tc>
          <w:tcPr>
            <w:tcW w:w="1560" w:type="dxa"/>
            <w:shd w:val="clear" w:color="auto" w:fill="C6EFCE"/>
            <w:noWrap/>
            <w:vAlign w:val="center"/>
          </w:tcPr>
          <w:p w14:paraId="5FB2063F"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AC-2</w:t>
            </w:r>
          </w:p>
        </w:tc>
        <w:tc>
          <w:tcPr>
            <w:tcW w:w="3543" w:type="dxa"/>
            <w:shd w:val="clear" w:color="auto" w:fill="C6EFCE"/>
            <w:noWrap/>
            <w:vAlign w:val="center"/>
          </w:tcPr>
          <w:p w14:paraId="4BA69ABE"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AC: Monitoring and implementation of the plan</w:t>
            </w:r>
          </w:p>
        </w:tc>
        <w:tc>
          <w:tcPr>
            <w:tcW w:w="1809" w:type="dxa"/>
            <w:shd w:val="clear" w:color="auto" w:fill="C6EFCE"/>
            <w:noWrap/>
            <w:vAlign w:val="center"/>
          </w:tcPr>
          <w:p w14:paraId="518B4E87" w14:textId="77777777" w:rsidR="009823F0" w:rsidRPr="00C82A63" w:rsidRDefault="009823F0" w:rsidP="003421F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68507346" w14:textId="77777777" w:rsidR="009823F0" w:rsidRPr="00C82A63" w:rsidRDefault="009823F0" w:rsidP="003421F5">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Protection of EU financial interests</w:t>
            </w:r>
          </w:p>
        </w:tc>
      </w:tr>
      <w:tr w:rsidR="009823F0" w:rsidRPr="00C82A63" w14:paraId="31C1F21E" w14:textId="77777777" w:rsidTr="00086787">
        <w:trPr>
          <w:trHeight w:val="302"/>
        </w:trPr>
        <w:tc>
          <w:tcPr>
            <w:tcW w:w="1560" w:type="dxa"/>
            <w:shd w:val="clear" w:color="auto" w:fill="C6EFCE"/>
            <w:noWrap/>
            <w:vAlign w:val="center"/>
          </w:tcPr>
          <w:p w14:paraId="034DA614" w14:textId="77777777" w:rsidR="009823F0" w:rsidRPr="00C82A63" w:rsidRDefault="009823F0" w:rsidP="00CF6BC5">
            <w:pPr>
              <w:spacing w:after="0" w:line="240" w:lineRule="auto"/>
              <w:rPr>
                <w:rFonts w:ascii="Times New Roman" w:eastAsia="Times New Roman" w:hAnsi="Times New Roman" w:cs="Times New Roman"/>
                <w:noProof/>
                <w:color w:val="006100"/>
                <w:lang w:eastAsia="en-GB"/>
              </w:rPr>
            </w:pPr>
          </w:p>
        </w:tc>
        <w:tc>
          <w:tcPr>
            <w:tcW w:w="3543" w:type="dxa"/>
            <w:shd w:val="clear" w:color="auto" w:fill="C6EFCE"/>
            <w:noWrap/>
            <w:vAlign w:val="center"/>
          </w:tcPr>
          <w:p w14:paraId="54E8F8CC" w14:textId="77777777" w:rsidR="009823F0" w:rsidRPr="00C82A63" w:rsidRDefault="009823F0" w:rsidP="00CF6BC5">
            <w:pPr>
              <w:spacing w:after="0" w:line="240" w:lineRule="auto"/>
              <w:rPr>
                <w:rFonts w:ascii="Times New Roman" w:eastAsia="Times New Roman" w:hAnsi="Times New Roman" w:cs="Times New Roman"/>
                <w:noProof/>
                <w:color w:val="006100"/>
                <w:lang w:eastAsia="en-GB"/>
              </w:rPr>
            </w:pPr>
          </w:p>
        </w:tc>
        <w:tc>
          <w:tcPr>
            <w:tcW w:w="1809" w:type="dxa"/>
            <w:shd w:val="clear" w:color="auto" w:fill="C6EFCE"/>
            <w:noWrap/>
            <w:vAlign w:val="center"/>
          </w:tcPr>
          <w:p w14:paraId="089D9869" w14:textId="77777777" w:rsidR="009823F0" w:rsidRPr="00C82A63" w:rsidRDefault="009823F0" w:rsidP="003421F5">
            <w:pPr>
              <w:spacing w:after="0" w:line="240" w:lineRule="auto"/>
              <w:jc w:val="center"/>
              <w:rPr>
                <w:rFonts w:ascii="Times New Roman" w:eastAsia="Times New Roman" w:hAnsi="Times New Roman" w:cs="Times New Roman"/>
                <w:b/>
                <w:noProof/>
                <w:color w:val="006100"/>
                <w:sz w:val="20"/>
                <w:szCs w:val="20"/>
                <w:lang w:eastAsia="en-GB"/>
              </w:rPr>
            </w:pPr>
            <w:r w:rsidRPr="00C82A63">
              <w:rPr>
                <w:rFonts w:ascii="Times New Roman" w:eastAsia="Times New Roman" w:hAnsi="Times New Roman" w:cs="Times New Roman"/>
                <w:b/>
                <w:noProof/>
                <w:color w:val="006100"/>
                <w:sz w:val="20"/>
                <w:szCs w:val="20"/>
                <w:lang w:eastAsia="en-GB"/>
              </w:rPr>
              <w:t>Instalment Amount</w:t>
            </w:r>
          </w:p>
        </w:tc>
        <w:tc>
          <w:tcPr>
            <w:tcW w:w="2869" w:type="dxa"/>
            <w:shd w:val="clear" w:color="auto" w:fill="C6EFCE"/>
            <w:noWrap/>
            <w:vAlign w:val="center"/>
          </w:tcPr>
          <w:p w14:paraId="20ECA6A6"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lang w:eastAsia="en-GB"/>
              </w:rPr>
            </w:pPr>
            <w:r w:rsidRPr="00C82A63">
              <w:rPr>
                <w:rFonts w:ascii="Times New Roman" w:eastAsia="Times New Roman" w:hAnsi="Times New Roman" w:cs="Times New Roman"/>
                <w:b/>
                <w:bCs/>
                <w:noProof/>
                <w:color w:val="006100"/>
                <w:sz w:val="20"/>
                <w:szCs w:val="20"/>
                <w:lang w:eastAsia="en-GB"/>
              </w:rPr>
              <w:t>EUR</w:t>
            </w:r>
            <w:bookmarkStart w:id="3" w:name="_Hlk171064288"/>
            <w:r w:rsidRPr="00C82A63">
              <w:rPr>
                <w:rFonts w:ascii="Times New Roman" w:eastAsia="Times New Roman" w:hAnsi="Times New Roman" w:cs="Times New Roman"/>
                <w:b/>
                <w:bCs/>
                <w:noProof/>
                <w:color w:val="006100"/>
                <w:sz w:val="20"/>
                <w:szCs w:val="20"/>
                <w:lang w:eastAsia="en-GB"/>
              </w:rPr>
              <w:t> </w:t>
            </w:r>
            <w:bookmarkEnd w:id="3"/>
            <w:r w:rsidRPr="00C82A63">
              <w:rPr>
                <w:rFonts w:ascii="Times New Roman" w:eastAsia="Times New Roman" w:hAnsi="Times New Roman" w:cs="Times New Roman"/>
                <w:b/>
                <w:bCs/>
                <w:noProof/>
                <w:color w:val="006100"/>
                <w:sz w:val="20"/>
                <w:szCs w:val="20"/>
                <w:lang w:eastAsia="en-GB"/>
              </w:rPr>
              <w:t>24 858 611</w:t>
            </w:r>
          </w:p>
        </w:tc>
      </w:tr>
    </w:tbl>
    <w:p w14:paraId="78722B22" w14:textId="77777777" w:rsidR="009823F0" w:rsidRPr="00C82A63" w:rsidRDefault="009823F0" w:rsidP="009823F0">
      <w:pPr>
        <w:spacing w:before="120" w:after="120" w:line="240" w:lineRule="auto"/>
        <w:ind w:left="850"/>
        <w:jc w:val="both"/>
        <w:rPr>
          <w:rFonts w:ascii="Times New Roman" w:hAnsi="Times New Roman" w:cs="Times New Roman"/>
          <w:noProof/>
          <w:sz w:val="24"/>
        </w:rPr>
        <w:sectPr w:rsidR="009823F0" w:rsidRPr="00C82A63" w:rsidSect="009823F0">
          <w:headerReference w:type="even" r:id="rId134"/>
          <w:headerReference w:type="default" r:id="rId135"/>
          <w:footerReference w:type="even" r:id="rId136"/>
          <w:footerReference w:type="default" r:id="rId137"/>
          <w:headerReference w:type="first" r:id="rId138"/>
          <w:footerReference w:type="first" r:id="rId139"/>
          <w:pgSz w:w="11906" w:h="16838"/>
          <w:pgMar w:top="1417" w:right="1417" w:bottom="1417" w:left="1417" w:header="708" w:footer="708" w:gutter="0"/>
          <w:cols w:space="708"/>
          <w:docGrid w:linePitch="360"/>
        </w:sectPr>
      </w:pPr>
    </w:p>
    <w:p w14:paraId="4EEDA712" w14:textId="77777777" w:rsidR="009823F0" w:rsidRPr="00C82A63" w:rsidRDefault="009823F0" w:rsidP="009823F0">
      <w:pPr>
        <w:numPr>
          <w:ilvl w:val="1"/>
          <w:numId w:val="6"/>
        </w:numPr>
        <w:spacing w:before="120" w:after="120" w:line="240" w:lineRule="auto"/>
        <w:jc w:val="both"/>
        <w:rPr>
          <w:rFonts w:ascii="Times New Roman" w:hAnsi="Times New Roman" w:cs="Times New Roman"/>
          <w:noProof/>
          <w:sz w:val="24"/>
        </w:rPr>
      </w:pPr>
      <w:r w:rsidRPr="00C82A63">
        <w:rPr>
          <w:rFonts w:ascii="Times New Roman" w:hAnsi="Times New Roman" w:cs="Times New Roman"/>
          <w:noProof/>
          <w:sz w:val="24"/>
        </w:rPr>
        <w:t xml:space="preserve">Second Instalment (non-repayable support):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60"/>
        <w:gridCol w:w="3543"/>
        <w:gridCol w:w="1809"/>
        <w:gridCol w:w="2869"/>
      </w:tblGrid>
      <w:tr w:rsidR="009823F0" w:rsidRPr="00C82A63" w14:paraId="0D84760B" w14:textId="77777777" w:rsidTr="00086787">
        <w:trPr>
          <w:trHeight w:val="906"/>
        </w:trPr>
        <w:tc>
          <w:tcPr>
            <w:tcW w:w="1560" w:type="dxa"/>
            <w:vMerge w:val="restart"/>
            <w:shd w:val="clear" w:color="auto" w:fill="BDD7EE"/>
            <w:vAlign w:val="center"/>
            <w:hideMark/>
          </w:tcPr>
          <w:p w14:paraId="0E2F30CA" w14:textId="77777777" w:rsidR="009823F0" w:rsidRPr="00C82A63" w:rsidRDefault="009823F0" w:rsidP="00CF6BC5">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Sequential Number</w:t>
            </w:r>
          </w:p>
        </w:tc>
        <w:tc>
          <w:tcPr>
            <w:tcW w:w="3543" w:type="dxa"/>
            <w:vMerge w:val="restart"/>
            <w:shd w:val="clear" w:color="auto" w:fill="BDD7EE"/>
            <w:vAlign w:val="center"/>
            <w:hideMark/>
          </w:tcPr>
          <w:p w14:paraId="436F614A" w14:textId="77777777" w:rsidR="009823F0" w:rsidRPr="00C82A63" w:rsidRDefault="009823F0" w:rsidP="00CF6BC5">
            <w:pPr>
              <w:spacing w:after="0" w:line="240" w:lineRule="auto"/>
              <w:jc w:val="center"/>
              <w:rPr>
                <w:rFonts w:ascii="Times New Roman" w:eastAsia="Times New Roman" w:hAnsi="Times New Roman" w:cs="Times New Roman"/>
                <w:b/>
                <w:bCs/>
                <w:noProof/>
                <w:lang w:val="en-IE" w:eastAsia="en-GB"/>
              </w:rPr>
            </w:pPr>
            <w:r w:rsidRPr="00C82A63">
              <w:rPr>
                <w:rFonts w:ascii="Times New Roman" w:eastAsia="Times New Roman" w:hAnsi="Times New Roman" w:cs="Times New Roman"/>
                <w:b/>
                <w:bCs/>
                <w:noProof/>
                <w:lang w:val="en-IE" w:eastAsia="en-GB"/>
              </w:rPr>
              <w:t xml:space="preserve">Related Measure </w:t>
            </w:r>
          </w:p>
          <w:p w14:paraId="22F43EA8" w14:textId="77777777" w:rsidR="009823F0" w:rsidRPr="00C82A63" w:rsidRDefault="009823F0" w:rsidP="00CF6BC5">
            <w:pPr>
              <w:spacing w:after="0" w:line="240" w:lineRule="auto"/>
              <w:jc w:val="center"/>
              <w:rPr>
                <w:rFonts w:ascii="Times New Roman" w:eastAsia="Times New Roman" w:hAnsi="Times New Roman" w:cs="Times New Roman"/>
                <w:b/>
                <w:noProof/>
                <w:lang w:val="en-IE" w:eastAsia="en-GB"/>
              </w:rPr>
            </w:pPr>
            <w:r w:rsidRPr="00C82A63">
              <w:rPr>
                <w:rFonts w:ascii="Times New Roman" w:eastAsia="Times New Roman" w:hAnsi="Times New Roman" w:cs="Times New Roman"/>
                <w:b/>
                <w:bCs/>
                <w:noProof/>
                <w:lang w:val="en-IE" w:eastAsia="en-GB"/>
              </w:rPr>
              <w:t>(Reform or Investment)</w:t>
            </w:r>
          </w:p>
        </w:tc>
        <w:tc>
          <w:tcPr>
            <w:tcW w:w="1809" w:type="dxa"/>
            <w:vMerge w:val="restart"/>
            <w:shd w:val="clear" w:color="auto" w:fill="BDD7EE"/>
            <w:vAlign w:val="center"/>
            <w:hideMark/>
          </w:tcPr>
          <w:p w14:paraId="0F1486A8" w14:textId="2EFA1C18"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Milestone/Target</w:t>
            </w:r>
          </w:p>
        </w:tc>
        <w:tc>
          <w:tcPr>
            <w:tcW w:w="2869" w:type="dxa"/>
            <w:vMerge w:val="restart"/>
            <w:shd w:val="clear" w:color="auto" w:fill="BDD7EE"/>
            <w:vAlign w:val="center"/>
            <w:hideMark/>
          </w:tcPr>
          <w:p w14:paraId="217E836B" w14:textId="77777777"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Name</w:t>
            </w:r>
          </w:p>
        </w:tc>
      </w:tr>
      <w:tr w:rsidR="009823F0" w:rsidRPr="00C82A63" w14:paraId="3E839316" w14:textId="77777777" w:rsidTr="00086787">
        <w:trPr>
          <w:trHeight w:val="509"/>
        </w:trPr>
        <w:tc>
          <w:tcPr>
            <w:tcW w:w="1560" w:type="dxa"/>
            <w:vMerge/>
            <w:vAlign w:val="center"/>
            <w:hideMark/>
          </w:tcPr>
          <w:p w14:paraId="2DB13321"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3543" w:type="dxa"/>
            <w:vMerge/>
            <w:vAlign w:val="center"/>
            <w:hideMark/>
          </w:tcPr>
          <w:p w14:paraId="02033622"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50407238"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536AAD34" w14:textId="77777777" w:rsidR="009823F0" w:rsidRPr="00C82A63" w:rsidRDefault="009823F0" w:rsidP="005F6D93">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575F2B76" w14:textId="77777777" w:rsidTr="00086787">
        <w:trPr>
          <w:trHeight w:val="302"/>
        </w:trPr>
        <w:tc>
          <w:tcPr>
            <w:tcW w:w="1560" w:type="dxa"/>
            <w:shd w:val="clear" w:color="auto" w:fill="C6EFCE"/>
            <w:noWrap/>
            <w:vAlign w:val="center"/>
            <w:hideMark/>
          </w:tcPr>
          <w:p w14:paraId="58AE7BBF"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2A-2</w:t>
            </w:r>
          </w:p>
        </w:tc>
        <w:tc>
          <w:tcPr>
            <w:tcW w:w="3543" w:type="dxa"/>
            <w:shd w:val="clear" w:color="auto" w:fill="C6EFCE"/>
            <w:noWrap/>
            <w:vAlign w:val="center"/>
            <w:hideMark/>
          </w:tcPr>
          <w:p w14:paraId="38CE368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2A: Investment: Support scheme for charging points</w:t>
            </w:r>
          </w:p>
        </w:tc>
        <w:tc>
          <w:tcPr>
            <w:tcW w:w="1809" w:type="dxa"/>
            <w:shd w:val="clear" w:color="auto" w:fill="C6EFCE"/>
            <w:noWrap/>
            <w:vAlign w:val="center"/>
            <w:hideMark/>
          </w:tcPr>
          <w:p w14:paraId="5A0F120A"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hideMark/>
          </w:tcPr>
          <w:p w14:paraId="0F33F588"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Law on the support scheme for charging points</w:t>
            </w:r>
          </w:p>
        </w:tc>
      </w:tr>
      <w:tr w:rsidR="009823F0" w:rsidRPr="00443C86" w14:paraId="3765BE0C" w14:textId="77777777" w:rsidTr="00086787">
        <w:trPr>
          <w:trHeight w:val="302"/>
        </w:trPr>
        <w:tc>
          <w:tcPr>
            <w:tcW w:w="1560" w:type="dxa"/>
            <w:shd w:val="clear" w:color="auto" w:fill="C6EFCE"/>
            <w:noWrap/>
            <w:vAlign w:val="center"/>
          </w:tcPr>
          <w:p w14:paraId="79132B86"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1A-2</w:t>
            </w:r>
          </w:p>
        </w:tc>
        <w:tc>
          <w:tcPr>
            <w:tcW w:w="3543" w:type="dxa"/>
            <w:shd w:val="clear" w:color="auto" w:fill="C6EFCE"/>
            <w:noWrap/>
            <w:vAlign w:val="center"/>
          </w:tcPr>
          <w:p w14:paraId="6F79B5D4"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1A: Reform 1 - Skillsdësch</w:t>
            </w:r>
          </w:p>
        </w:tc>
        <w:tc>
          <w:tcPr>
            <w:tcW w:w="1809" w:type="dxa"/>
            <w:shd w:val="clear" w:color="auto" w:fill="C6EFCE"/>
            <w:noWrap/>
            <w:vAlign w:val="center"/>
          </w:tcPr>
          <w:p w14:paraId="2B41737D"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08F8446D" w14:textId="5BB629D0"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Launch of the vocational trainings («skillsbridges»)</w:t>
            </w:r>
          </w:p>
        </w:tc>
      </w:tr>
      <w:tr w:rsidR="009823F0" w:rsidRPr="00C82A63" w14:paraId="6084393F" w14:textId="77777777" w:rsidTr="00086787">
        <w:trPr>
          <w:trHeight w:val="302"/>
        </w:trPr>
        <w:tc>
          <w:tcPr>
            <w:tcW w:w="1560" w:type="dxa"/>
            <w:shd w:val="clear" w:color="auto" w:fill="C6EFCE"/>
            <w:noWrap/>
            <w:vAlign w:val="center"/>
          </w:tcPr>
          <w:p w14:paraId="5538B1E4"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3A-2</w:t>
            </w:r>
          </w:p>
        </w:tc>
        <w:tc>
          <w:tcPr>
            <w:tcW w:w="3543" w:type="dxa"/>
            <w:shd w:val="clear" w:color="auto" w:fill="C6EFCE"/>
            <w:noWrap/>
            <w:vAlign w:val="center"/>
          </w:tcPr>
          <w:p w14:paraId="7B0D685E" w14:textId="276AB983"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3A: Reform 1 –Boosting</w:t>
            </w:r>
            <w:r w:rsidR="005F6D93">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the</w:t>
            </w:r>
            <w:r w:rsidR="005F6D93">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creation</w:t>
            </w:r>
            <w:r w:rsidR="005F6D93">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of a new</w:t>
            </w:r>
            <w:r w:rsidR="005F6D93">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ecosystem</w:t>
            </w:r>
            <w:r w:rsidR="005F6D93">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in Luxembourg</w:t>
            </w:r>
          </w:p>
        </w:tc>
        <w:tc>
          <w:tcPr>
            <w:tcW w:w="1809" w:type="dxa"/>
            <w:shd w:val="clear" w:color="auto" w:fill="C6EFCE"/>
            <w:noWrap/>
            <w:vAlign w:val="center"/>
          </w:tcPr>
          <w:p w14:paraId="4C69D79B" w14:textId="29681E91"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13814016"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Quantum Key Distribution</w:t>
            </w:r>
          </w:p>
        </w:tc>
      </w:tr>
      <w:tr w:rsidR="009823F0" w:rsidRPr="00443C86" w14:paraId="78CF25DC" w14:textId="77777777" w:rsidTr="00086787">
        <w:trPr>
          <w:trHeight w:val="302"/>
        </w:trPr>
        <w:tc>
          <w:tcPr>
            <w:tcW w:w="1560" w:type="dxa"/>
            <w:shd w:val="clear" w:color="auto" w:fill="C6EFCE"/>
            <w:noWrap/>
            <w:vAlign w:val="center"/>
          </w:tcPr>
          <w:p w14:paraId="4B951B00" w14:textId="77777777" w:rsidR="009823F0" w:rsidRPr="00C82A63" w:rsidRDefault="009823F0" w:rsidP="00CF6BC5">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3B-5</w:t>
            </w:r>
          </w:p>
        </w:tc>
        <w:tc>
          <w:tcPr>
            <w:tcW w:w="3543" w:type="dxa"/>
            <w:shd w:val="clear" w:color="auto" w:fill="C6EFCE"/>
            <w:noWrap/>
            <w:vAlign w:val="center"/>
          </w:tcPr>
          <w:p w14:paraId="3239A52B"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3B: Investment 2 - Development of MyGuichet- Project 1/3: Virtual appointment</w:t>
            </w:r>
          </w:p>
        </w:tc>
        <w:tc>
          <w:tcPr>
            <w:tcW w:w="1809" w:type="dxa"/>
            <w:shd w:val="clear" w:color="auto" w:fill="C6EFCE"/>
            <w:noWrap/>
            <w:vAlign w:val="center"/>
          </w:tcPr>
          <w:p w14:paraId="6882381D"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66AF940A"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Phase 1 of the Exchange via videoconference</w:t>
            </w:r>
          </w:p>
        </w:tc>
      </w:tr>
      <w:tr w:rsidR="009823F0" w:rsidRPr="00443C86" w14:paraId="4352FFF4" w14:textId="77777777" w:rsidTr="00086787">
        <w:trPr>
          <w:trHeight w:val="302"/>
        </w:trPr>
        <w:tc>
          <w:tcPr>
            <w:tcW w:w="1560" w:type="dxa"/>
            <w:shd w:val="clear" w:color="auto" w:fill="C6EFCE"/>
            <w:noWrap/>
            <w:vAlign w:val="center"/>
          </w:tcPr>
          <w:p w14:paraId="3DEC6E25"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1B-6</w:t>
            </w:r>
          </w:p>
        </w:tc>
        <w:tc>
          <w:tcPr>
            <w:tcW w:w="3543" w:type="dxa"/>
            <w:shd w:val="clear" w:color="auto" w:fill="C6EFCE"/>
            <w:noWrap/>
            <w:vAlign w:val="center"/>
          </w:tcPr>
          <w:p w14:paraId="324A59C8"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1B: Investment 1-Strengthening Health System Resilience — Single Digital Register of Health Professions</w:t>
            </w:r>
          </w:p>
        </w:tc>
        <w:tc>
          <w:tcPr>
            <w:tcW w:w="1809" w:type="dxa"/>
            <w:shd w:val="clear" w:color="auto" w:fill="C6EFCE"/>
            <w:noWrap/>
            <w:vAlign w:val="center"/>
          </w:tcPr>
          <w:p w14:paraId="69632D6A"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1CD21A98"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 xml:space="preserve">Making available the new digital register </w:t>
            </w:r>
          </w:p>
        </w:tc>
      </w:tr>
      <w:tr w:rsidR="009823F0" w:rsidRPr="00443C86" w14:paraId="5898F8BF" w14:textId="77777777" w:rsidTr="00086787">
        <w:trPr>
          <w:trHeight w:val="302"/>
        </w:trPr>
        <w:tc>
          <w:tcPr>
            <w:tcW w:w="1560" w:type="dxa"/>
            <w:shd w:val="clear" w:color="auto" w:fill="C6EFCE"/>
            <w:noWrap/>
            <w:vAlign w:val="center"/>
          </w:tcPr>
          <w:p w14:paraId="6231F919" w14:textId="77777777" w:rsidR="009823F0" w:rsidRPr="00C82A63"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1C-3</w:t>
            </w:r>
          </w:p>
        </w:tc>
        <w:tc>
          <w:tcPr>
            <w:tcW w:w="3543" w:type="dxa"/>
            <w:shd w:val="clear" w:color="auto" w:fill="C6EFCE"/>
            <w:noWrap/>
            <w:vAlign w:val="center"/>
          </w:tcPr>
          <w:p w14:paraId="322E1C89" w14:textId="77777777" w:rsidR="009823F0" w:rsidRPr="00C82A63" w:rsidRDefault="009823F0" w:rsidP="00CF6BC5">
            <w:pPr>
              <w:spacing w:after="0" w:line="240" w:lineRule="auto"/>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1C: Reform – Housing Pact 2.0</w:t>
            </w:r>
          </w:p>
        </w:tc>
        <w:tc>
          <w:tcPr>
            <w:tcW w:w="1809" w:type="dxa"/>
            <w:shd w:val="clear" w:color="auto" w:fill="C6EFCE"/>
            <w:noWrap/>
            <w:vAlign w:val="center"/>
          </w:tcPr>
          <w:p w14:paraId="2E096F30"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3AFB5FDA"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Percentage of municipalities signing an implementation agreement</w:t>
            </w:r>
          </w:p>
        </w:tc>
      </w:tr>
      <w:tr w:rsidR="009823F0" w:rsidRPr="00443C86" w14:paraId="40D61A50" w14:textId="77777777" w:rsidTr="00086787">
        <w:trPr>
          <w:trHeight w:val="302"/>
        </w:trPr>
        <w:tc>
          <w:tcPr>
            <w:tcW w:w="1560" w:type="dxa"/>
            <w:shd w:val="clear" w:color="auto" w:fill="C6EFCE"/>
            <w:noWrap/>
            <w:vAlign w:val="center"/>
          </w:tcPr>
          <w:p w14:paraId="7F8BAD52" w14:textId="77777777" w:rsidR="009823F0" w:rsidRPr="00C82A63" w:rsidRDefault="009823F0" w:rsidP="00CF6BC5">
            <w:pPr>
              <w:spacing w:after="0" w:line="240" w:lineRule="auto"/>
              <w:jc w:val="center"/>
              <w:rPr>
                <w:rFonts w:ascii="Times New Roman" w:eastAsia="Times New Roman" w:hAnsi="Times New Roman" w:cs="Times New Roman"/>
                <w:noProof/>
                <w:sz w:val="20"/>
                <w:szCs w:val="20"/>
              </w:rPr>
            </w:pPr>
            <w:r w:rsidRPr="00C82A63">
              <w:rPr>
                <w:rFonts w:ascii="Times New Roman" w:hAnsi="Times New Roman" w:cs="Times New Roman"/>
                <w:noProof/>
                <w:color w:val="006100"/>
                <w:sz w:val="20"/>
                <w:szCs w:val="20"/>
              </w:rPr>
              <w:t>3B-6</w:t>
            </w:r>
          </w:p>
        </w:tc>
        <w:tc>
          <w:tcPr>
            <w:tcW w:w="3543" w:type="dxa"/>
            <w:shd w:val="clear" w:color="auto" w:fill="C6EFCE"/>
            <w:noWrap/>
            <w:vAlign w:val="center"/>
          </w:tcPr>
          <w:p w14:paraId="2C851F3F"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3B: Investment 2 - Development of MyGuichet- Project 1/3: Virtual appointment</w:t>
            </w:r>
          </w:p>
        </w:tc>
        <w:tc>
          <w:tcPr>
            <w:tcW w:w="1809" w:type="dxa"/>
            <w:shd w:val="clear" w:color="auto" w:fill="C6EFCE"/>
            <w:noWrap/>
            <w:vAlign w:val="center"/>
          </w:tcPr>
          <w:p w14:paraId="0A0C827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1CF6BDA5"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Phase 2 of the Exchange via videoconference</w:t>
            </w:r>
          </w:p>
        </w:tc>
      </w:tr>
      <w:tr w:rsidR="009823F0" w:rsidRPr="00C82A63" w14:paraId="26CB4B17" w14:textId="77777777" w:rsidTr="00086787">
        <w:trPr>
          <w:trHeight w:val="302"/>
        </w:trPr>
        <w:tc>
          <w:tcPr>
            <w:tcW w:w="1560" w:type="dxa"/>
            <w:shd w:val="clear" w:color="auto" w:fill="C6EFCE"/>
            <w:noWrap/>
            <w:vAlign w:val="center"/>
          </w:tcPr>
          <w:p w14:paraId="70BC51D1" w14:textId="77777777" w:rsidR="009823F0" w:rsidRPr="00C82A63" w:rsidRDefault="009823F0" w:rsidP="00CF6BC5">
            <w:pPr>
              <w:spacing w:after="0" w:line="240" w:lineRule="auto"/>
              <w:jc w:val="center"/>
              <w:rPr>
                <w:rFonts w:ascii="Times New Roman" w:eastAsia="Times New Roman" w:hAnsi="Times New Roman" w:cs="Times New Roman"/>
                <w:noProof/>
                <w:sz w:val="20"/>
                <w:szCs w:val="20"/>
              </w:rPr>
            </w:pPr>
            <w:r w:rsidRPr="00C82A63">
              <w:rPr>
                <w:rFonts w:ascii="Times New Roman" w:hAnsi="Times New Roman" w:cs="Times New Roman"/>
                <w:noProof/>
                <w:color w:val="006100"/>
                <w:sz w:val="20"/>
                <w:szCs w:val="20"/>
              </w:rPr>
              <w:t>3B-7</w:t>
            </w:r>
          </w:p>
        </w:tc>
        <w:tc>
          <w:tcPr>
            <w:tcW w:w="3543" w:type="dxa"/>
            <w:shd w:val="clear" w:color="auto" w:fill="C6EFCE"/>
            <w:noWrap/>
            <w:vAlign w:val="center"/>
          </w:tcPr>
          <w:p w14:paraId="039BA834"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3B: Investment 2 - Development of MyGuichet- Project 2/3: Various C2G and B2G approaches</w:t>
            </w:r>
          </w:p>
        </w:tc>
        <w:tc>
          <w:tcPr>
            <w:tcW w:w="1809" w:type="dxa"/>
            <w:shd w:val="clear" w:color="auto" w:fill="C6EFCE"/>
            <w:noWrap/>
            <w:vAlign w:val="center"/>
          </w:tcPr>
          <w:p w14:paraId="05908E50"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15B0481D"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12 new services</w:t>
            </w:r>
          </w:p>
        </w:tc>
      </w:tr>
      <w:tr w:rsidR="009823F0" w:rsidRPr="00443C86" w14:paraId="39BFCEF7" w14:textId="77777777" w:rsidTr="00086787">
        <w:trPr>
          <w:trHeight w:val="302"/>
        </w:trPr>
        <w:tc>
          <w:tcPr>
            <w:tcW w:w="1560" w:type="dxa"/>
            <w:shd w:val="clear" w:color="auto" w:fill="C6EFCE"/>
            <w:noWrap/>
            <w:vAlign w:val="center"/>
          </w:tcPr>
          <w:p w14:paraId="600C80ED" w14:textId="77777777" w:rsidR="009823F0" w:rsidRPr="00C82A63" w:rsidDel="00B6485F"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4A-2</w:t>
            </w:r>
          </w:p>
        </w:tc>
        <w:tc>
          <w:tcPr>
            <w:tcW w:w="3543" w:type="dxa"/>
            <w:shd w:val="clear" w:color="auto" w:fill="C6EFCE"/>
            <w:noWrap/>
            <w:vAlign w:val="center"/>
          </w:tcPr>
          <w:p w14:paraId="5ABB008D"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4A: Reform - Promotion of energy efficiency and renewable energy in housing</w:t>
            </w:r>
          </w:p>
        </w:tc>
        <w:tc>
          <w:tcPr>
            <w:tcW w:w="1809" w:type="dxa"/>
            <w:shd w:val="clear" w:color="auto" w:fill="C6EFCE"/>
            <w:noWrap/>
            <w:vAlign w:val="center"/>
          </w:tcPr>
          <w:p w14:paraId="5311161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518A17CC"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Grand-Ducal Regulation laying down guidelines for the aid scheme promoting energy efficiency and renewable energy in housing</w:t>
            </w:r>
          </w:p>
        </w:tc>
      </w:tr>
      <w:tr w:rsidR="009823F0" w:rsidRPr="00443C86" w14:paraId="58E98EF5" w14:textId="77777777" w:rsidTr="00086787">
        <w:trPr>
          <w:trHeight w:val="302"/>
        </w:trPr>
        <w:tc>
          <w:tcPr>
            <w:tcW w:w="1560" w:type="dxa"/>
            <w:shd w:val="clear" w:color="auto" w:fill="C6EFCE"/>
            <w:noWrap/>
            <w:vAlign w:val="center"/>
          </w:tcPr>
          <w:p w14:paraId="0E73BC1D" w14:textId="77777777" w:rsidR="009823F0" w:rsidRPr="00C82A63" w:rsidDel="00B6485F" w:rsidRDefault="009823F0" w:rsidP="00CF6BC5">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4A-4</w:t>
            </w:r>
          </w:p>
        </w:tc>
        <w:tc>
          <w:tcPr>
            <w:tcW w:w="3543" w:type="dxa"/>
            <w:shd w:val="clear" w:color="auto" w:fill="C6EFCE"/>
            <w:noWrap/>
            <w:vAlign w:val="center"/>
          </w:tcPr>
          <w:p w14:paraId="09046AF9"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4A: Promotion of zero-emission and active mobility</w:t>
            </w:r>
          </w:p>
        </w:tc>
        <w:tc>
          <w:tcPr>
            <w:tcW w:w="1809" w:type="dxa"/>
            <w:shd w:val="clear" w:color="auto" w:fill="C6EFCE"/>
            <w:noWrap/>
            <w:vAlign w:val="center"/>
          </w:tcPr>
          <w:p w14:paraId="09887C0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540B8491"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Style w:val="normaltextrun"/>
                <w:rFonts w:ascii="Times New Roman" w:hAnsi="Times New Roman" w:cs="Times New Roman"/>
                <w:noProof/>
                <w:color w:val="006100"/>
                <w:sz w:val="20"/>
                <w:szCs w:val="20"/>
                <w:lang w:val="en-IE"/>
              </w:rPr>
              <w:t>Grand-Ducal Regulation laying down guidelines for the aid scheme supporting the acquisition of zero emission vehicles</w:t>
            </w:r>
            <w:r w:rsidRPr="00C82A63">
              <w:rPr>
                <w:rStyle w:val="eop"/>
                <w:rFonts w:ascii="Times New Roman" w:hAnsi="Times New Roman" w:cs="Times New Roman"/>
                <w:noProof/>
                <w:color w:val="0078D4"/>
                <w:sz w:val="20"/>
                <w:szCs w:val="20"/>
                <w:lang w:val="en-IE"/>
              </w:rPr>
              <w:t> </w:t>
            </w:r>
          </w:p>
        </w:tc>
      </w:tr>
      <w:tr w:rsidR="009823F0" w:rsidRPr="00C82A63" w14:paraId="4DE2C129" w14:textId="77777777" w:rsidTr="00086787">
        <w:trPr>
          <w:trHeight w:val="302"/>
        </w:trPr>
        <w:tc>
          <w:tcPr>
            <w:tcW w:w="1560" w:type="dxa"/>
            <w:shd w:val="clear" w:color="auto" w:fill="C6EFCE"/>
            <w:noWrap/>
            <w:vAlign w:val="center"/>
          </w:tcPr>
          <w:p w14:paraId="131E368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3543" w:type="dxa"/>
            <w:shd w:val="clear" w:color="auto" w:fill="C6EFCE"/>
            <w:noWrap/>
            <w:vAlign w:val="center"/>
          </w:tcPr>
          <w:p w14:paraId="091DC31D"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809" w:type="dxa"/>
            <w:shd w:val="clear" w:color="auto" w:fill="C6EFCE"/>
            <w:noWrap/>
            <w:vAlign w:val="center"/>
          </w:tcPr>
          <w:p w14:paraId="55D2F79D" w14:textId="77777777" w:rsidR="009823F0" w:rsidRPr="00C82A63" w:rsidRDefault="009823F0" w:rsidP="005F6D93">
            <w:pPr>
              <w:spacing w:after="0" w:line="240" w:lineRule="auto"/>
              <w:jc w:val="center"/>
              <w:rPr>
                <w:rFonts w:ascii="Times New Roman" w:eastAsia="Times New Roman" w:hAnsi="Times New Roman" w:cs="Times New Roman"/>
                <w:b/>
                <w:noProof/>
                <w:color w:val="006100"/>
                <w:sz w:val="20"/>
                <w:szCs w:val="20"/>
                <w:lang w:eastAsia="en-GB"/>
              </w:rPr>
            </w:pPr>
            <w:r w:rsidRPr="00C82A63">
              <w:rPr>
                <w:rFonts w:ascii="Times New Roman" w:eastAsia="Times New Roman" w:hAnsi="Times New Roman" w:cs="Times New Roman"/>
                <w:b/>
                <w:noProof/>
                <w:color w:val="006100"/>
                <w:sz w:val="20"/>
                <w:szCs w:val="20"/>
                <w:lang w:eastAsia="en-GB"/>
              </w:rPr>
              <w:t>Instalment Amount</w:t>
            </w:r>
          </w:p>
        </w:tc>
        <w:tc>
          <w:tcPr>
            <w:tcW w:w="2869" w:type="dxa"/>
            <w:shd w:val="clear" w:color="auto" w:fill="C6EFCE"/>
            <w:noWrap/>
            <w:vAlign w:val="center"/>
          </w:tcPr>
          <w:p w14:paraId="19723833"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lang w:eastAsia="en-GB"/>
              </w:rPr>
            </w:pPr>
            <w:r w:rsidRPr="00C82A63">
              <w:rPr>
                <w:rFonts w:ascii="Times New Roman" w:eastAsia="Times New Roman" w:hAnsi="Times New Roman" w:cs="Times New Roman"/>
                <w:b/>
                <w:bCs/>
                <w:noProof/>
                <w:color w:val="006100"/>
                <w:sz w:val="20"/>
                <w:szCs w:val="20"/>
                <w:lang w:eastAsia="en-GB"/>
              </w:rPr>
              <w:t>EUR 59 891 672</w:t>
            </w:r>
          </w:p>
        </w:tc>
      </w:tr>
    </w:tbl>
    <w:p w14:paraId="0F192A6C" w14:textId="77777777" w:rsidR="009823F0" w:rsidRPr="00C82A63" w:rsidRDefault="009823F0" w:rsidP="009823F0">
      <w:pPr>
        <w:spacing w:before="120" w:after="120" w:line="240" w:lineRule="auto"/>
        <w:ind w:left="850"/>
        <w:jc w:val="both"/>
        <w:rPr>
          <w:rFonts w:ascii="Times New Roman" w:hAnsi="Times New Roman" w:cs="Times New Roman"/>
          <w:noProof/>
          <w:sz w:val="24"/>
        </w:rPr>
        <w:sectPr w:rsidR="009823F0" w:rsidRPr="00C82A63" w:rsidSect="009823F0">
          <w:headerReference w:type="even" r:id="rId140"/>
          <w:headerReference w:type="default" r:id="rId141"/>
          <w:footerReference w:type="even" r:id="rId142"/>
          <w:footerReference w:type="default" r:id="rId143"/>
          <w:headerReference w:type="first" r:id="rId144"/>
          <w:footerReference w:type="first" r:id="rId145"/>
          <w:pgSz w:w="11906" w:h="16838"/>
          <w:pgMar w:top="1417" w:right="1417" w:bottom="1417" w:left="1417" w:header="708" w:footer="708" w:gutter="0"/>
          <w:cols w:space="708"/>
          <w:docGrid w:linePitch="360"/>
        </w:sectPr>
      </w:pPr>
    </w:p>
    <w:p w14:paraId="0532320F" w14:textId="77777777" w:rsidR="009823F0" w:rsidRPr="00C82A63" w:rsidRDefault="009823F0" w:rsidP="009823F0">
      <w:pPr>
        <w:numPr>
          <w:ilvl w:val="1"/>
          <w:numId w:val="6"/>
        </w:numPr>
        <w:tabs>
          <w:tab w:val="clear" w:pos="850"/>
        </w:tabs>
        <w:spacing w:before="120" w:after="120" w:line="240" w:lineRule="auto"/>
        <w:ind w:hanging="566"/>
        <w:jc w:val="both"/>
        <w:rPr>
          <w:rFonts w:ascii="Times New Roman" w:hAnsi="Times New Roman" w:cs="Times New Roman"/>
          <w:noProof/>
          <w:sz w:val="24"/>
        </w:rPr>
      </w:pPr>
      <w:r w:rsidRPr="00C82A63">
        <w:rPr>
          <w:rFonts w:ascii="Times New Roman" w:hAnsi="Times New Roman" w:cs="Times New Roman"/>
          <w:noProof/>
          <w:sz w:val="24"/>
        </w:rPr>
        <w:t>Third Instalment (non-repayable support):</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3543"/>
        <w:gridCol w:w="1809"/>
        <w:gridCol w:w="2869"/>
      </w:tblGrid>
      <w:tr w:rsidR="009823F0" w:rsidRPr="00C82A63" w14:paraId="2F04163D" w14:textId="77777777" w:rsidTr="00086787">
        <w:trPr>
          <w:trHeight w:val="906"/>
        </w:trPr>
        <w:tc>
          <w:tcPr>
            <w:tcW w:w="1555" w:type="dxa"/>
            <w:vMerge w:val="restart"/>
            <w:shd w:val="clear" w:color="auto" w:fill="BDD7EE"/>
            <w:vAlign w:val="center"/>
            <w:hideMark/>
          </w:tcPr>
          <w:p w14:paraId="71B70E03" w14:textId="77777777"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Sequential Number</w:t>
            </w:r>
          </w:p>
        </w:tc>
        <w:tc>
          <w:tcPr>
            <w:tcW w:w="3543" w:type="dxa"/>
            <w:vMerge w:val="restart"/>
            <w:shd w:val="clear" w:color="auto" w:fill="BDD7EE"/>
            <w:vAlign w:val="center"/>
            <w:hideMark/>
          </w:tcPr>
          <w:p w14:paraId="16A17B82" w14:textId="77777777" w:rsidR="009823F0" w:rsidRPr="00C82A63" w:rsidRDefault="009823F0" w:rsidP="00CF6BC5">
            <w:pPr>
              <w:spacing w:after="0" w:line="240" w:lineRule="auto"/>
              <w:jc w:val="center"/>
              <w:rPr>
                <w:rFonts w:ascii="Times New Roman" w:eastAsia="Times New Roman" w:hAnsi="Times New Roman" w:cs="Times New Roman"/>
                <w:b/>
                <w:bCs/>
                <w:noProof/>
                <w:lang w:eastAsia="en-GB"/>
              </w:rPr>
            </w:pPr>
            <w:r w:rsidRPr="00C82A63">
              <w:rPr>
                <w:rFonts w:ascii="Times New Roman" w:eastAsia="Times New Roman" w:hAnsi="Times New Roman" w:cs="Times New Roman"/>
                <w:b/>
                <w:bCs/>
                <w:noProof/>
                <w:lang w:eastAsia="en-GB"/>
              </w:rPr>
              <w:t xml:space="preserve">Related Measure </w:t>
            </w:r>
          </w:p>
          <w:p w14:paraId="4C0BEBCA" w14:textId="77777777" w:rsidR="009823F0" w:rsidRPr="00C82A63" w:rsidRDefault="009823F0" w:rsidP="00CF6BC5">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(Reform or Investment)</w:t>
            </w:r>
          </w:p>
        </w:tc>
        <w:tc>
          <w:tcPr>
            <w:tcW w:w="1809" w:type="dxa"/>
            <w:vMerge w:val="restart"/>
            <w:shd w:val="clear" w:color="auto" w:fill="BDD7EE"/>
            <w:vAlign w:val="center"/>
            <w:hideMark/>
          </w:tcPr>
          <w:p w14:paraId="00617BC1" w14:textId="04EA48A5"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Milestone/Target</w:t>
            </w:r>
          </w:p>
        </w:tc>
        <w:tc>
          <w:tcPr>
            <w:tcW w:w="2869" w:type="dxa"/>
            <w:vMerge w:val="restart"/>
            <w:shd w:val="clear" w:color="auto" w:fill="BDD7EE"/>
            <w:vAlign w:val="center"/>
            <w:hideMark/>
          </w:tcPr>
          <w:p w14:paraId="36D546A6" w14:textId="77777777"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Name</w:t>
            </w:r>
          </w:p>
        </w:tc>
      </w:tr>
      <w:tr w:rsidR="009823F0" w:rsidRPr="00C82A63" w14:paraId="00FF5B78" w14:textId="77777777" w:rsidTr="00086787">
        <w:trPr>
          <w:trHeight w:val="517"/>
        </w:trPr>
        <w:tc>
          <w:tcPr>
            <w:tcW w:w="1555" w:type="dxa"/>
            <w:vMerge/>
            <w:vAlign w:val="center"/>
            <w:hideMark/>
          </w:tcPr>
          <w:p w14:paraId="4AD5F268"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3543" w:type="dxa"/>
            <w:vMerge/>
            <w:vAlign w:val="center"/>
            <w:hideMark/>
          </w:tcPr>
          <w:p w14:paraId="0CC16E3B"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73AE76DE"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07130DA6" w14:textId="77777777" w:rsidR="009823F0" w:rsidRPr="00C82A63" w:rsidRDefault="009823F0" w:rsidP="005F6D93">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14696D19" w14:textId="77777777" w:rsidTr="00086787">
        <w:trPr>
          <w:trHeight w:val="302"/>
        </w:trPr>
        <w:tc>
          <w:tcPr>
            <w:tcW w:w="1555" w:type="dxa"/>
            <w:shd w:val="clear" w:color="auto" w:fill="C6EFCE"/>
            <w:noWrap/>
            <w:vAlign w:val="center"/>
          </w:tcPr>
          <w:p w14:paraId="5F64CCF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1B-4</w:t>
            </w:r>
          </w:p>
        </w:tc>
        <w:tc>
          <w:tcPr>
            <w:tcW w:w="3543" w:type="dxa"/>
            <w:shd w:val="clear" w:color="auto" w:fill="C6EFCE"/>
            <w:noWrap/>
            <w:vAlign w:val="center"/>
          </w:tcPr>
          <w:p w14:paraId="3918907A"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1B: Reform 2 – Strengthening Health System Resilience — Reforming the remits of health professionals</w:t>
            </w:r>
          </w:p>
        </w:tc>
        <w:tc>
          <w:tcPr>
            <w:tcW w:w="1809" w:type="dxa"/>
            <w:shd w:val="clear" w:color="auto" w:fill="C6EFCE"/>
            <w:noWrap/>
            <w:vAlign w:val="center"/>
          </w:tcPr>
          <w:p w14:paraId="7E6B6EB6"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7A832683"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Revising healthcare professions and introducing new measures within hospital structures</w:t>
            </w:r>
          </w:p>
        </w:tc>
      </w:tr>
      <w:tr w:rsidR="009823F0" w:rsidRPr="00C82A63" w14:paraId="104AF6AE" w14:textId="77777777" w:rsidTr="00086787">
        <w:trPr>
          <w:trHeight w:val="302"/>
        </w:trPr>
        <w:tc>
          <w:tcPr>
            <w:tcW w:w="1555" w:type="dxa"/>
            <w:shd w:val="clear" w:color="auto" w:fill="C6EFCE"/>
            <w:noWrap/>
            <w:vAlign w:val="center"/>
            <w:hideMark/>
          </w:tcPr>
          <w:p w14:paraId="2B8B1526"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1B-8</w:t>
            </w:r>
          </w:p>
        </w:tc>
        <w:tc>
          <w:tcPr>
            <w:tcW w:w="3543" w:type="dxa"/>
            <w:shd w:val="clear" w:color="auto" w:fill="C6EFCE"/>
            <w:noWrap/>
            <w:vAlign w:val="center"/>
            <w:hideMark/>
          </w:tcPr>
          <w:p w14:paraId="11B72E1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1B: Investment 2-Strengthening health system resilience – Telemedicine solution for remote medical follow-up</w:t>
            </w:r>
          </w:p>
        </w:tc>
        <w:tc>
          <w:tcPr>
            <w:tcW w:w="1809" w:type="dxa"/>
            <w:shd w:val="clear" w:color="auto" w:fill="C6EFCE"/>
            <w:noWrap/>
            <w:vAlign w:val="center"/>
            <w:hideMark/>
          </w:tcPr>
          <w:p w14:paraId="3B6F2528"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hideMark/>
          </w:tcPr>
          <w:p w14:paraId="31F14759"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An integrated solution</w:t>
            </w:r>
          </w:p>
        </w:tc>
      </w:tr>
      <w:tr w:rsidR="009823F0" w:rsidRPr="00C82A63" w14:paraId="6F2B1E5A" w14:textId="77777777" w:rsidTr="00086787">
        <w:trPr>
          <w:trHeight w:val="302"/>
        </w:trPr>
        <w:tc>
          <w:tcPr>
            <w:tcW w:w="1555" w:type="dxa"/>
            <w:shd w:val="clear" w:color="auto" w:fill="C6EFCE"/>
            <w:noWrap/>
            <w:vAlign w:val="center"/>
          </w:tcPr>
          <w:p w14:paraId="26E6206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2B-5</w:t>
            </w:r>
          </w:p>
        </w:tc>
        <w:tc>
          <w:tcPr>
            <w:tcW w:w="3543" w:type="dxa"/>
            <w:shd w:val="clear" w:color="auto" w:fill="C6EFCE"/>
            <w:noWrap/>
            <w:vAlign w:val="center"/>
          </w:tcPr>
          <w:p w14:paraId="65766CFB"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2B: Reform and investment: ‘Naturpakt’</w:t>
            </w:r>
          </w:p>
        </w:tc>
        <w:tc>
          <w:tcPr>
            <w:tcW w:w="1809" w:type="dxa"/>
            <w:shd w:val="clear" w:color="auto" w:fill="C6EFCE"/>
            <w:noWrap/>
            <w:vAlign w:val="center"/>
          </w:tcPr>
          <w:p w14:paraId="0B3FB74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2667977B" w14:textId="77777777" w:rsidR="009823F0" w:rsidRPr="00C82A63" w:rsidRDefault="009823F0" w:rsidP="005F6D93">
            <w:pPr>
              <w:spacing w:after="0" w:line="240" w:lineRule="auto"/>
              <w:jc w:val="both"/>
              <w:rPr>
                <w:rFonts w:ascii="Times New Roman" w:hAnsi="Times New Roman" w:cs="Times New Roman"/>
                <w:noProof/>
                <w:color w:val="006100"/>
                <w:sz w:val="20"/>
                <w:szCs w:val="20"/>
              </w:rPr>
            </w:pPr>
            <w:r w:rsidRPr="00C82A63">
              <w:rPr>
                <w:rFonts w:ascii="Times New Roman" w:eastAsia="Times New Roman" w:hAnsi="Times New Roman" w:cs="Times New Roman"/>
                <w:i/>
                <w:iCs/>
                <w:noProof/>
                <w:color w:val="006100"/>
                <w:sz w:val="20"/>
                <w:szCs w:val="20"/>
                <w:lang w:val="en-US" w:eastAsia="en-GB"/>
              </w:rPr>
              <w:t>‘Naturpakt’</w:t>
            </w:r>
            <w:r w:rsidRPr="00C82A63">
              <w:rPr>
                <w:rFonts w:ascii="Times New Roman" w:eastAsia="Times New Roman" w:hAnsi="Times New Roman" w:cs="Times New Roman"/>
                <w:noProof/>
                <w:color w:val="006100"/>
                <w:sz w:val="20"/>
                <w:szCs w:val="20"/>
                <w:lang w:val="en-US" w:eastAsia="en-GB"/>
              </w:rPr>
              <w:t xml:space="preserve"> certification of 50 municipalities</w:t>
            </w:r>
          </w:p>
        </w:tc>
      </w:tr>
      <w:tr w:rsidR="009823F0" w:rsidRPr="00C82A63" w14:paraId="2A8D6D0B" w14:textId="77777777" w:rsidTr="00086787">
        <w:trPr>
          <w:trHeight w:val="302"/>
        </w:trPr>
        <w:tc>
          <w:tcPr>
            <w:tcW w:w="1555" w:type="dxa"/>
            <w:shd w:val="clear" w:color="auto" w:fill="C6EFCE"/>
            <w:noWrap/>
            <w:vAlign w:val="center"/>
          </w:tcPr>
          <w:p w14:paraId="64384646"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3A-4</w:t>
            </w:r>
          </w:p>
        </w:tc>
        <w:tc>
          <w:tcPr>
            <w:tcW w:w="3543" w:type="dxa"/>
            <w:shd w:val="clear" w:color="auto" w:fill="C6EFCE"/>
            <w:noWrap/>
            <w:vAlign w:val="center"/>
          </w:tcPr>
          <w:p w14:paraId="5DECD4B4"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3A: Investment 1 -Development and deployment of test infrastructure and ultra-secure connectivity solutions </w:t>
            </w:r>
          </w:p>
        </w:tc>
        <w:tc>
          <w:tcPr>
            <w:tcW w:w="1809" w:type="dxa"/>
            <w:shd w:val="clear" w:color="auto" w:fill="C6EFCE"/>
            <w:noWrap/>
            <w:vAlign w:val="center"/>
          </w:tcPr>
          <w:p w14:paraId="61A8DF18" w14:textId="445BA2B8"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213287B8" w14:textId="0A7E354E" w:rsidR="009823F0" w:rsidRPr="00C82A63" w:rsidRDefault="009823F0" w:rsidP="005F6D93">
            <w:pPr>
              <w:spacing w:after="0" w:line="240" w:lineRule="auto"/>
              <w:jc w:val="both"/>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lang w:val="en-IE"/>
              </w:rPr>
              <w:t xml:space="preserve">Ex-post report on the cross-border quantum key distribution </w:t>
            </w:r>
            <w:r w:rsidRPr="00C82A63">
              <w:rPr>
                <w:rFonts w:ascii="Times New Roman" w:hAnsi="Times New Roman" w:cs="Times New Roman"/>
                <w:noProof/>
                <w:color w:val="006100"/>
                <w:sz w:val="20"/>
                <w:szCs w:val="20"/>
              </w:rPr>
              <w:t xml:space="preserve">terrestrial connection demonstration </w:t>
            </w:r>
          </w:p>
        </w:tc>
      </w:tr>
      <w:tr w:rsidR="009823F0" w:rsidRPr="00443C86" w14:paraId="4571294D" w14:textId="77777777" w:rsidTr="00086787">
        <w:trPr>
          <w:trHeight w:val="690"/>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D189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3B-4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C5FBCD"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 xml:space="preserve">3B: Investment 1 – Electronic Document Management and Case Management </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59CD3A"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F72C" w14:textId="11402832"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eastAsia="Times New Roman" w:hAnsi="Times New Roman" w:cs="Times New Roman"/>
                <w:noProof/>
                <w:color w:val="006100"/>
                <w:sz w:val="20"/>
                <w:szCs w:val="20"/>
                <w:lang w:val="en-IE" w:eastAsia="en-GB"/>
              </w:rPr>
              <w:t>Five government entities granted access to the “Hive” platform</w:t>
            </w:r>
            <w:r w:rsidR="00A17CDD">
              <w:rPr>
                <w:rFonts w:ascii="Times New Roman" w:hAnsi="Times New Roman" w:cs="Times New Roman"/>
                <w:noProof/>
                <w:color w:val="006100"/>
                <w:sz w:val="20"/>
                <w:szCs w:val="20"/>
                <w:lang w:val="en-IE"/>
              </w:rPr>
              <w:t xml:space="preserve"> </w:t>
            </w:r>
          </w:p>
        </w:tc>
      </w:tr>
      <w:tr w:rsidR="009823F0" w:rsidRPr="00443C86" w14:paraId="0C167677" w14:textId="77777777" w:rsidTr="00086787">
        <w:trPr>
          <w:trHeight w:val="302"/>
        </w:trPr>
        <w:tc>
          <w:tcPr>
            <w:tcW w:w="1555" w:type="dxa"/>
            <w:shd w:val="clear" w:color="auto" w:fill="C6EFCE"/>
            <w:noWrap/>
            <w:vAlign w:val="center"/>
          </w:tcPr>
          <w:p w14:paraId="3D1B91A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3C-9</w:t>
            </w:r>
          </w:p>
        </w:tc>
        <w:tc>
          <w:tcPr>
            <w:tcW w:w="3543" w:type="dxa"/>
            <w:shd w:val="clear" w:color="auto" w:fill="C6EFCE"/>
            <w:noWrap/>
            <w:vAlign w:val="center"/>
          </w:tcPr>
          <w:p w14:paraId="65B01833"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shd w:val="clear" w:color="auto" w:fill="C6EFCE"/>
            <w:noWrap/>
            <w:vAlign w:val="center"/>
          </w:tcPr>
          <w:p w14:paraId="2F9D3684"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3D414590"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 xml:space="preserve">Entry into force of the act reinforcing the regime applicable to trust and company service providers </w:t>
            </w:r>
          </w:p>
        </w:tc>
      </w:tr>
      <w:tr w:rsidR="009823F0" w:rsidRPr="00443C86" w14:paraId="18BBFEF7" w14:textId="77777777" w:rsidTr="00086787">
        <w:trPr>
          <w:trHeight w:val="302"/>
        </w:trPr>
        <w:tc>
          <w:tcPr>
            <w:tcW w:w="1555" w:type="dxa"/>
            <w:shd w:val="clear" w:color="auto" w:fill="C6EFCE"/>
            <w:noWrap/>
          </w:tcPr>
          <w:p w14:paraId="54CB5BD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eastAsia="Times New Roman" w:hAnsi="Times New Roman" w:cs="Times New Roman"/>
                <w:noProof/>
                <w:color w:val="006100"/>
                <w:sz w:val="20"/>
                <w:szCs w:val="20"/>
                <w:lang w:val="en-IE" w:eastAsia="en-GB"/>
              </w:rPr>
              <w:t>4A-5</w:t>
            </w:r>
          </w:p>
        </w:tc>
        <w:tc>
          <w:tcPr>
            <w:tcW w:w="3543" w:type="dxa"/>
            <w:shd w:val="clear" w:color="auto" w:fill="C6EFCE"/>
            <w:noWrap/>
          </w:tcPr>
          <w:p w14:paraId="188F322E"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eastAsia="Times New Roman" w:hAnsi="Times New Roman" w:cs="Times New Roman"/>
                <w:noProof/>
                <w:color w:val="006100"/>
                <w:sz w:val="20"/>
                <w:szCs w:val="20"/>
                <w:lang w:val="en-IE" w:eastAsia="en-GB"/>
              </w:rPr>
              <w:t xml:space="preserve">4A: Investment 2 – Promotion of zero-emission and active mobility </w:t>
            </w:r>
          </w:p>
        </w:tc>
        <w:tc>
          <w:tcPr>
            <w:tcW w:w="1809" w:type="dxa"/>
            <w:shd w:val="clear" w:color="auto" w:fill="C6EFCE"/>
            <w:noWrap/>
            <w:vAlign w:val="center"/>
          </w:tcPr>
          <w:p w14:paraId="4884D7D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2B5937BC"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Number of zero-emission vehicles acquired through purchase, lease or rental</w:t>
            </w:r>
          </w:p>
        </w:tc>
      </w:tr>
      <w:tr w:rsidR="009823F0" w:rsidRPr="00443C86" w14:paraId="4973221F" w14:textId="77777777" w:rsidTr="00086787">
        <w:trPr>
          <w:trHeight w:val="302"/>
        </w:trPr>
        <w:tc>
          <w:tcPr>
            <w:tcW w:w="1555" w:type="dxa"/>
            <w:shd w:val="clear" w:color="auto" w:fill="C6EFCE"/>
            <w:noWrap/>
          </w:tcPr>
          <w:p w14:paraId="7F311122"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fr-FR" w:eastAsia="en-GB"/>
              </w:rPr>
              <w:t>4A-1</w:t>
            </w:r>
          </w:p>
        </w:tc>
        <w:tc>
          <w:tcPr>
            <w:tcW w:w="3543" w:type="dxa"/>
            <w:shd w:val="clear" w:color="auto" w:fill="C6EFCE"/>
            <w:noWrap/>
          </w:tcPr>
          <w:p w14:paraId="186B498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 xml:space="preserve"> </w:t>
            </w:r>
            <w:r w:rsidRPr="00C82A63">
              <w:rPr>
                <w:rFonts w:ascii="Times New Roman" w:eastAsia="Times New Roman" w:hAnsi="Times New Roman" w:cs="Times New Roman"/>
                <w:noProof/>
                <w:color w:val="006100"/>
                <w:sz w:val="20"/>
                <w:szCs w:val="20"/>
                <w:lang w:val="en-IE" w:eastAsia="en-GB"/>
              </w:rPr>
              <w:t xml:space="preserve">4A: </w:t>
            </w:r>
            <w:r w:rsidRPr="00C82A63">
              <w:rPr>
                <w:rFonts w:ascii="Times New Roman" w:hAnsi="Times New Roman" w:cs="Times New Roman"/>
                <w:noProof/>
                <w:color w:val="006100"/>
                <w:sz w:val="20"/>
                <w:szCs w:val="20"/>
                <w:lang w:val="en-IE"/>
              </w:rPr>
              <w:t>Reform 1 - Promotion of sustainable biogas production</w:t>
            </w:r>
          </w:p>
        </w:tc>
        <w:tc>
          <w:tcPr>
            <w:tcW w:w="1809" w:type="dxa"/>
            <w:shd w:val="clear" w:color="auto" w:fill="C6EFCE"/>
            <w:noWrap/>
            <w:vAlign w:val="center"/>
          </w:tcPr>
          <w:p w14:paraId="66F0836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shd w:val="clear" w:color="auto" w:fill="C6EFCE"/>
            <w:noWrap/>
            <w:vAlign w:val="center"/>
          </w:tcPr>
          <w:p w14:paraId="33EDEB92" w14:textId="34D055E9"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Grand-Ducal Regulation</w:t>
            </w:r>
            <w:r w:rsidR="00A17CDD">
              <w:rPr>
                <w:rFonts w:ascii="Times New Roman" w:hAnsi="Times New Roman" w:cs="Times New Roman"/>
                <w:noProof/>
                <w:color w:val="006100"/>
                <w:sz w:val="20"/>
                <w:szCs w:val="20"/>
                <w:lang w:val="en-IE"/>
              </w:rPr>
              <w:t xml:space="preserve"> </w:t>
            </w:r>
            <w:r w:rsidRPr="00C82A63">
              <w:rPr>
                <w:rFonts w:ascii="Times New Roman" w:hAnsi="Times New Roman" w:cs="Times New Roman"/>
                <w:noProof/>
                <w:color w:val="006100"/>
                <w:sz w:val="20"/>
                <w:szCs w:val="20"/>
                <w:lang w:val="en-IE"/>
              </w:rPr>
              <w:t>reforming the sustainable biogas support scheme</w:t>
            </w:r>
          </w:p>
        </w:tc>
      </w:tr>
      <w:tr w:rsidR="009823F0" w:rsidRPr="00443C86" w14:paraId="37CAE617" w14:textId="77777777" w:rsidTr="00086787">
        <w:trPr>
          <w:trHeight w:val="302"/>
        </w:trPr>
        <w:tc>
          <w:tcPr>
            <w:tcW w:w="1555" w:type="dxa"/>
            <w:shd w:val="clear" w:color="auto" w:fill="C6EFCE"/>
            <w:noWrap/>
          </w:tcPr>
          <w:p w14:paraId="60F0D02F"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4A-6</w:t>
            </w:r>
          </w:p>
        </w:tc>
        <w:tc>
          <w:tcPr>
            <w:tcW w:w="3543" w:type="dxa"/>
            <w:shd w:val="clear" w:color="auto" w:fill="C6EFCE"/>
            <w:noWrap/>
          </w:tcPr>
          <w:p w14:paraId="116F7B83"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US" w:eastAsia="en-GB"/>
              </w:rPr>
              <w:t xml:space="preserve">4A: Investment 3: Construction of photovoltaic power generation units in business premises </w:t>
            </w:r>
          </w:p>
        </w:tc>
        <w:tc>
          <w:tcPr>
            <w:tcW w:w="1809" w:type="dxa"/>
            <w:shd w:val="clear" w:color="auto" w:fill="C6EFCE"/>
            <w:noWrap/>
            <w:vAlign w:val="center"/>
          </w:tcPr>
          <w:p w14:paraId="7CE1FB4C"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shd w:val="clear" w:color="auto" w:fill="C6EFCE"/>
            <w:noWrap/>
            <w:vAlign w:val="center"/>
          </w:tcPr>
          <w:p w14:paraId="047280FC"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eastAsia="Times New Roman" w:hAnsi="Times New Roman" w:cs="Times New Roman"/>
                <w:noProof/>
                <w:color w:val="006100"/>
                <w:sz w:val="20"/>
                <w:szCs w:val="20"/>
                <w:lang w:val="en-IE" w:eastAsia="en-GB"/>
              </w:rPr>
              <w:t>Installed photovoltaic capacity of power generation units in business premises</w:t>
            </w:r>
          </w:p>
        </w:tc>
      </w:tr>
      <w:tr w:rsidR="009823F0" w:rsidRPr="00C82A63" w14:paraId="01BE66C0" w14:textId="77777777" w:rsidTr="00086787">
        <w:trPr>
          <w:trHeight w:val="302"/>
        </w:trPr>
        <w:tc>
          <w:tcPr>
            <w:tcW w:w="1555" w:type="dxa"/>
            <w:shd w:val="clear" w:color="auto" w:fill="C6EFCE"/>
            <w:noWrap/>
            <w:vAlign w:val="center"/>
          </w:tcPr>
          <w:p w14:paraId="7DE9D013" w14:textId="77777777" w:rsidR="009823F0" w:rsidRPr="00C82A63" w:rsidRDefault="009823F0" w:rsidP="005F6D93">
            <w:pPr>
              <w:spacing w:after="0" w:line="240" w:lineRule="auto"/>
              <w:jc w:val="center"/>
              <w:rPr>
                <w:rFonts w:ascii="Times New Roman" w:hAnsi="Times New Roman" w:cs="Times New Roman"/>
                <w:noProof/>
                <w:color w:val="006100"/>
                <w:sz w:val="20"/>
                <w:szCs w:val="20"/>
                <w:lang w:val="en-IE"/>
              </w:rPr>
            </w:pPr>
          </w:p>
        </w:tc>
        <w:tc>
          <w:tcPr>
            <w:tcW w:w="3543" w:type="dxa"/>
            <w:shd w:val="clear" w:color="auto" w:fill="C6EFCE"/>
            <w:noWrap/>
            <w:vAlign w:val="center"/>
          </w:tcPr>
          <w:p w14:paraId="0DE0734C"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p>
        </w:tc>
        <w:tc>
          <w:tcPr>
            <w:tcW w:w="1809" w:type="dxa"/>
            <w:shd w:val="clear" w:color="auto" w:fill="C6EFCE"/>
            <w:noWrap/>
            <w:vAlign w:val="center"/>
          </w:tcPr>
          <w:p w14:paraId="76B3F0F7"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eastAsia="Times New Roman" w:hAnsi="Times New Roman" w:cs="Times New Roman"/>
                <w:b/>
                <w:noProof/>
                <w:color w:val="006100"/>
                <w:sz w:val="20"/>
                <w:szCs w:val="20"/>
                <w:lang w:eastAsia="en-GB"/>
              </w:rPr>
              <w:t>Instalment Amount</w:t>
            </w:r>
          </w:p>
        </w:tc>
        <w:tc>
          <w:tcPr>
            <w:tcW w:w="2869" w:type="dxa"/>
            <w:shd w:val="clear" w:color="auto" w:fill="C6EFCE"/>
            <w:noWrap/>
            <w:vAlign w:val="center"/>
          </w:tcPr>
          <w:p w14:paraId="70302312"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eastAsia="Times New Roman" w:hAnsi="Times New Roman" w:cs="Times New Roman"/>
                <w:b/>
                <w:bCs/>
                <w:noProof/>
                <w:color w:val="006100"/>
                <w:sz w:val="20"/>
                <w:szCs w:val="20"/>
                <w:lang w:eastAsia="en-GB"/>
              </w:rPr>
              <w:t>EUR 95</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b/>
                <w:bCs/>
                <w:noProof/>
                <w:color w:val="006100"/>
                <w:sz w:val="20"/>
                <w:szCs w:val="20"/>
                <w:lang w:eastAsia="en-GB"/>
              </w:rPr>
              <w:t>560</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b/>
                <w:bCs/>
                <w:noProof/>
                <w:color w:val="006100"/>
                <w:sz w:val="20"/>
                <w:szCs w:val="20"/>
                <w:lang w:eastAsia="en-GB"/>
              </w:rPr>
              <w:t>498</w:t>
            </w:r>
          </w:p>
        </w:tc>
      </w:tr>
    </w:tbl>
    <w:p w14:paraId="1B75B517" w14:textId="24DC78BA" w:rsidR="009823F0" w:rsidRPr="00C82A63" w:rsidRDefault="009823F0" w:rsidP="00086787">
      <w:pPr>
        <w:spacing w:before="120" w:after="120" w:line="240" w:lineRule="auto"/>
        <w:ind w:left="850"/>
        <w:jc w:val="both"/>
        <w:rPr>
          <w:rFonts w:ascii="Times New Roman" w:hAnsi="Times New Roman" w:cs="Times New Roman"/>
          <w:noProof/>
          <w:sz w:val="24"/>
        </w:rPr>
      </w:pPr>
    </w:p>
    <w:p w14:paraId="0DB0FD0D" w14:textId="77777777" w:rsidR="009823F0" w:rsidRPr="00C82A63" w:rsidRDefault="009823F0" w:rsidP="009823F0">
      <w:pPr>
        <w:spacing w:before="120" w:after="120" w:line="240" w:lineRule="auto"/>
        <w:jc w:val="both"/>
        <w:rPr>
          <w:rFonts w:ascii="Times New Roman" w:hAnsi="Times New Roman" w:cs="Times New Roman"/>
          <w:noProof/>
          <w:sz w:val="24"/>
        </w:rPr>
        <w:sectPr w:rsidR="009823F0" w:rsidRPr="00C82A63" w:rsidSect="009823F0">
          <w:headerReference w:type="even" r:id="rId146"/>
          <w:headerReference w:type="default" r:id="rId147"/>
          <w:footerReference w:type="even" r:id="rId148"/>
          <w:footerReference w:type="default" r:id="rId149"/>
          <w:headerReference w:type="first" r:id="rId150"/>
          <w:footerReference w:type="first" r:id="rId151"/>
          <w:pgSz w:w="11906" w:h="16838"/>
          <w:pgMar w:top="1417" w:right="1417" w:bottom="1417" w:left="1417" w:header="708" w:footer="708" w:gutter="0"/>
          <w:cols w:space="708"/>
          <w:docGrid w:linePitch="360"/>
        </w:sectPr>
      </w:pPr>
    </w:p>
    <w:p w14:paraId="4A9DAFB2" w14:textId="77777777" w:rsidR="009823F0" w:rsidRPr="00C82A63" w:rsidRDefault="009823F0" w:rsidP="009823F0">
      <w:pPr>
        <w:numPr>
          <w:ilvl w:val="1"/>
          <w:numId w:val="6"/>
        </w:numPr>
        <w:tabs>
          <w:tab w:val="clear" w:pos="850"/>
        </w:tabs>
        <w:spacing w:before="120" w:after="120" w:line="240" w:lineRule="auto"/>
        <w:ind w:hanging="566"/>
        <w:jc w:val="both"/>
        <w:rPr>
          <w:rFonts w:ascii="Times New Roman" w:hAnsi="Times New Roman" w:cs="Times New Roman"/>
          <w:noProof/>
          <w:sz w:val="24"/>
        </w:rPr>
      </w:pPr>
      <w:r w:rsidRPr="00C82A63">
        <w:rPr>
          <w:rFonts w:ascii="Times New Roman" w:hAnsi="Times New Roman" w:cs="Times New Roman"/>
          <w:noProof/>
          <w:sz w:val="24"/>
        </w:rPr>
        <w:t xml:space="preserve">Fourth Instalment (non-repayable support): </w:t>
      </w:r>
    </w:p>
    <w:tbl>
      <w:tblPr>
        <w:tblW w:w="97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555"/>
        <w:gridCol w:w="3543"/>
        <w:gridCol w:w="1809"/>
        <w:gridCol w:w="2869"/>
      </w:tblGrid>
      <w:tr w:rsidR="009823F0" w:rsidRPr="00C82A63" w14:paraId="6B81ADFB" w14:textId="77777777" w:rsidTr="00086787">
        <w:trPr>
          <w:trHeight w:val="906"/>
        </w:trPr>
        <w:tc>
          <w:tcPr>
            <w:tcW w:w="1555" w:type="dxa"/>
            <w:vMerge w:val="restart"/>
            <w:shd w:val="clear" w:color="auto" w:fill="BDD7EE"/>
            <w:vAlign w:val="center"/>
            <w:hideMark/>
          </w:tcPr>
          <w:p w14:paraId="1E6A09D8" w14:textId="77777777"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Sequential Number</w:t>
            </w:r>
          </w:p>
        </w:tc>
        <w:tc>
          <w:tcPr>
            <w:tcW w:w="3543" w:type="dxa"/>
            <w:vMerge w:val="restart"/>
            <w:shd w:val="clear" w:color="auto" w:fill="BDD7EE"/>
            <w:vAlign w:val="center"/>
            <w:hideMark/>
          </w:tcPr>
          <w:p w14:paraId="65087690" w14:textId="77777777" w:rsidR="009823F0" w:rsidRPr="00C82A63" w:rsidRDefault="009823F0" w:rsidP="00CF6BC5">
            <w:pPr>
              <w:spacing w:after="0" w:line="240" w:lineRule="auto"/>
              <w:jc w:val="center"/>
              <w:rPr>
                <w:rFonts w:ascii="Times New Roman" w:eastAsia="Times New Roman" w:hAnsi="Times New Roman" w:cs="Times New Roman"/>
                <w:b/>
                <w:bCs/>
                <w:noProof/>
                <w:lang w:eastAsia="en-GB"/>
              </w:rPr>
            </w:pPr>
            <w:r w:rsidRPr="00C82A63">
              <w:rPr>
                <w:rFonts w:ascii="Times New Roman" w:eastAsia="Times New Roman" w:hAnsi="Times New Roman" w:cs="Times New Roman"/>
                <w:b/>
                <w:bCs/>
                <w:noProof/>
                <w:lang w:eastAsia="en-GB"/>
              </w:rPr>
              <w:t xml:space="preserve">Related Measure </w:t>
            </w:r>
          </w:p>
          <w:p w14:paraId="10B95D03" w14:textId="77777777" w:rsidR="009823F0" w:rsidRPr="00C82A63" w:rsidRDefault="009823F0" w:rsidP="00CF6BC5">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(Reform or Investment)</w:t>
            </w:r>
          </w:p>
        </w:tc>
        <w:tc>
          <w:tcPr>
            <w:tcW w:w="1809" w:type="dxa"/>
            <w:vMerge w:val="restart"/>
            <w:shd w:val="clear" w:color="auto" w:fill="BDD7EE"/>
            <w:vAlign w:val="center"/>
            <w:hideMark/>
          </w:tcPr>
          <w:p w14:paraId="323208BE" w14:textId="13793EF7"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Milestone/Target</w:t>
            </w:r>
          </w:p>
        </w:tc>
        <w:tc>
          <w:tcPr>
            <w:tcW w:w="2869" w:type="dxa"/>
            <w:vMerge w:val="restart"/>
            <w:shd w:val="clear" w:color="auto" w:fill="BDD7EE"/>
            <w:vAlign w:val="center"/>
            <w:hideMark/>
          </w:tcPr>
          <w:p w14:paraId="448633E5" w14:textId="77777777" w:rsidR="009823F0" w:rsidRPr="00C82A63" w:rsidRDefault="009823F0" w:rsidP="005F6D93">
            <w:pPr>
              <w:spacing w:after="0" w:line="240" w:lineRule="auto"/>
              <w:jc w:val="center"/>
              <w:rPr>
                <w:rFonts w:ascii="Times New Roman" w:eastAsia="Times New Roman" w:hAnsi="Times New Roman" w:cs="Times New Roman"/>
                <w:b/>
                <w:noProof/>
                <w:lang w:eastAsia="en-GB"/>
              </w:rPr>
            </w:pPr>
            <w:r w:rsidRPr="00C82A63">
              <w:rPr>
                <w:rFonts w:ascii="Times New Roman" w:eastAsia="Times New Roman" w:hAnsi="Times New Roman" w:cs="Times New Roman"/>
                <w:b/>
                <w:bCs/>
                <w:noProof/>
                <w:lang w:eastAsia="en-GB"/>
              </w:rPr>
              <w:t>Name</w:t>
            </w:r>
          </w:p>
        </w:tc>
      </w:tr>
      <w:tr w:rsidR="009823F0" w:rsidRPr="00C82A63" w14:paraId="67098976" w14:textId="77777777" w:rsidTr="00086787">
        <w:trPr>
          <w:trHeight w:val="509"/>
        </w:trPr>
        <w:tc>
          <w:tcPr>
            <w:tcW w:w="1555" w:type="dxa"/>
            <w:vMerge/>
            <w:vAlign w:val="center"/>
            <w:hideMark/>
          </w:tcPr>
          <w:p w14:paraId="68FC758F"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3543" w:type="dxa"/>
            <w:vMerge/>
            <w:vAlign w:val="center"/>
            <w:hideMark/>
          </w:tcPr>
          <w:p w14:paraId="3836E70F" w14:textId="77777777" w:rsidR="009823F0" w:rsidRPr="00C82A63" w:rsidRDefault="009823F0" w:rsidP="00CF6BC5">
            <w:pPr>
              <w:spacing w:after="0" w:line="240" w:lineRule="auto"/>
              <w:rPr>
                <w:rFonts w:ascii="Times New Roman" w:eastAsia="Times New Roman" w:hAnsi="Times New Roman" w:cs="Times New Roman"/>
                <w:b/>
                <w:bCs/>
                <w:noProof/>
                <w:sz w:val="24"/>
                <w:szCs w:val="24"/>
                <w:lang w:eastAsia="en-GB"/>
              </w:rPr>
            </w:pPr>
          </w:p>
        </w:tc>
        <w:tc>
          <w:tcPr>
            <w:tcW w:w="1809" w:type="dxa"/>
            <w:vMerge/>
            <w:vAlign w:val="center"/>
            <w:hideMark/>
          </w:tcPr>
          <w:p w14:paraId="2D4B0ACF" w14:textId="77777777" w:rsidR="009823F0" w:rsidRPr="00C82A63" w:rsidRDefault="009823F0" w:rsidP="005F6D93">
            <w:pPr>
              <w:spacing w:after="0" w:line="240" w:lineRule="auto"/>
              <w:jc w:val="center"/>
              <w:rPr>
                <w:rFonts w:ascii="Times New Roman" w:eastAsia="Times New Roman" w:hAnsi="Times New Roman" w:cs="Times New Roman"/>
                <w:b/>
                <w:bCs/>
                <w:noProof/>
                <w:sz w:val="24"/>
                <w:szCs w:val="24"/>
                <w:lang w:eastAsia="en-GB"/>
              </w:rPr>
            </w:pPr>
          </w:p>
        </w:tc>
        <w:tc>
          <w:tcPr>
            <w:tcW w:w="2869" w:type="dxa"/>
            <w:vMerge/>
            <w:vAlign w:val="center"/>
            <w:hideMark/>
          </w:tcPr>
          <w:p w14:paraId="32EA714E" w14:textId="77777777" w:rsidR="009823F0" w:rsidRPr="00C82A63" w:rsidRDefault="009823F0" w:rsidP="005F6D93">
            <w:pPr>
              <w:spacing w:after="0" w:line="240" w:lineRule="auto"/>
              <w:jc w:val="both"/>
              <w:rPr>
                <w:rFonts w:ascii="Times New Roman" w:eastAsia="Times New Roman" w:hAnsi="Times New Roman" w:cs="Times New Roman"/>
                <w:b/>
                <w:bCs/>
                <w:noProof/>
                <w:sz w:val="24"/>
                <w:szCs w:val="24"/>
                <w:lang w:eastAsia="en-GB"/>
              </w:rPr>
            </w:pPr>
          </w:p>
        </w:tc>
      </w:tr>
      <w:tr w:rsidR="009823F0" w:rsidRPr="00443C86" w14:paraId="154AF592"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EB62AF"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2A-4</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35C637"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2A: Investment: Support scheme for charging points</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020286"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Target</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27A0A8"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 xml:space="preserve">Number of installed charging points </w:t>
            </w:r>
          </w:p>
        </w:tc>
      </w:tr>
      <w:tr w:rsidR="009823F0" w:rsidRPr="00443C86" w14:paraId="267E06DB"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B9FC7"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1B-5</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D88E8"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1B: Reform 2 – Strengthening Health System Resilience — Reforming the remits of health professionals</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A109B"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Milestone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C12E7"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Responsibilities of general care nurses</w:t>
            </w:r>
          </w:p>
        </w:tc>
      </w:tr>
      <w:tr w:rsidR="009823F0" w:rsidRPr="00443C86" w14:paraId="3853D352" w14:textId="77777777" w:rsidTr="00086787">
        <w:trPr>
          <w:trHeight w:val="607"/>
        </w:trPr>
        <w:tc>
          <w:tcPr>
            <w:tcW w:w="1555" w:type="dxa"/>
            <w:tcBorders>
              <w:top w:val="nil"/>
              <w:left w:val="single" w:sz="4" w:space="0" w:color="auto"/>
              <w:bottom w:val="single" w:sz="4" w:space="0" w:color="auto"/>
              <w:right w:val="single" w:sz="4" w:space="0" w:color="auto"/>
            </w:tcBorders>
            <w:shd w:val="clear" w:color="auto" w:fill="C6EFCE"/>
            <w:noWrap/>
            <w:vAlign w:val="center"/>
          </w:tcPr>
          <w:p w14:paraId="4BD9B85B"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eastAsia="en-GB"/>
              </w:rPr>
            </w:pPr>
            <w:r w:rsidRPr="00C82A63">
              <w:rPr>
                <w:rFonts w:ascii="Times New Roman" w:hAnsi="Times New Roman" w:cs="Times New Roman"/>
                <w:noProof/>
                <w:color w:val="006100"/>
                <w:sz w:val="20"/>
                <w:szCs w:val="20"/>
              </w:rPr>
              <w:t>3C-7</w:t>
            </w:r>
          </w:p>
        </w:tc>
        <w:tc>
          <w:tcPr>
            <w:tcW w:w="3543" w:type="dxa"/>
            <w:tcBorders>
              <w:top w:val="nil"/>
              <w:left w:val="nil"/>
              <w:bottom w:val="single" w:sz="4" w:space="0" w:color="auto"/>
              <w:right w:val="single" w:sz="4" w:space="0" w:color="auto"/>
            </w:tcBorders>
            <w:shd w:val="clear" w:color="auto" w:fill="C6EFCE"/>
            <w:noWrap/>
            <w:vAlign w:val="center"/>
          </w:tcPr>
          <w:p w14:paraId="7A8248C2"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3C: Reform 2 – Fight of money laundering and terrorist financing</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E222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E2012C"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Transformation of Luxembourg Business Register</w:t>
            </w:r>
          </w:p>
        </w:tc>
      </w:tr>
      <w:tr w:rsidR="009823F0" w:rsidRPr="00443C86" w14:paraId="30A98907" w14:textId="77777777" w:rsidTr="00086787">
        <w:trPr>
          <w:trHeight w:val="302"/>
        </w:trPr>
        <w:tc>
          <w:tcPr>
            <w:tcW w:w="1555" w:type="dxa"/>
            <w:tcBorders>
              <w:top w:val="nil"/>
              <w:left w:val="single" w:sz="4" w:space="0" w:color="auto"/>
              <w:bottom w:val="single" w:sz="4" w:space="0" w:color="auto"/>
              <w:right w:val="single" w:sz="4" w:space="0" w:color="auto"/>
            </w:tcBorders>
            <w:shd w:val="clear" w:color="auto" w:fill="C6EFCE"/>
            <w:noWrap/>
          </w:tcPr>
          <w:p w14:paraId="02DEBE92"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eastAsia="Times New Roman" w:hAnsi="Times New Roman" w:cs="Times New Roman"/>
                <w:noProof/>
                <w:color w:val="006100"/>
                <w:sz w:val="20"/>
                <w:szCs w:val="20"/>
                <w:lang w:eastAsia="en-GB"/>
              </w:rPr>
              <w:t>4A-3</w:t>
            </w:r>
          </w:p>
        </w:tc>
        <w:tc>
          <w:tcPr>
            <w:tcW w:w="3543" w:type="dxa"/>
            <w:tcBorders>
              <w:top w:val="nil"/>
              <w:left w:val="nil"/>
              <w:bottom w:val="single" w:sz="4" w:space="0" w:color="auto"/>
              <w:right w:val="single" w:sz="4" w:space="0" w:color="auto"/>
            </w:tcBorders>
            <w:shd w:val="clear" w:color="auto" w:fill="C6EFCE"/>
            <w:noWrap/>
          </w:tcPr>
          <w:p w14:paraId="364188FC" w14:textId="34FDB28B"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eastAsia="Times New Roman" w:hAnsi="Times New Roman" w:cs="Times New Roman"/>
                <w:noProof/>
                <w:color w:val="006100"/>
                <w:sz w:val="20"/>
                <w:szCs w:val="20"/>
                <w:lang w:val="en-IE" w:eastAsia="en-GB"/>
              </w:rPr>
              <w:t xml:space="preserve">4A: </w:t>
            </w:r>
            <w:r w:rsidRPr="00C82A63">
              <w:rPr>
                <w:rFonts w:ascii="Times New Roman" w:eastAsia="Times New Roman" w:hAnsi="Times New Roman" w:cs="Times New Roman"/>
                <w:noProof/>
                <w:color w:val="006100"/>
                <w:sz w:val="20"/>
                <w:szCs w:val="20"/>
                <w:lang w:val="en-US" w:eastAsia="en-GB"/>
              </w:rPr>
              <w:t>Investment 1 -</w:t>
            </w:r>
            <w:r w:rsidR="00A17CDD">
              <w:rPr>
                <w:rFonts w:ascii="Times New Roman" w:eastAsia="Times New Roman" w:hAnsi="Times New Roman" w:cs="Times New Roman"/>
                <w:noProof/>
                <w:color w:val="006100"/>
                <w:sz w:val="20"/>
                <w:szCs w:val="20"/>
                <w:lang w:val="en-US" w:eastAsia="en-GB"/>
              </w:rPr>
              <w:t xml:space="preserve"> </w:t>
            </w:r>
            <w:r w:rsidRPr="00C82A63">
              <w:rPr>
                <w:rFonts w:ascii="Times New Roman" w:eastAsia="Times New Roman" w:hAnsi="Times New Roman" w:cs="Times New Roman"/>
                <w:noProof/>
                <w:color w:val="006100"/>
                <w:sz w:val="20"/>
                <w:szCs w:val="20"/>
                <w:lang w:val="en-US" w:eastAsia="en-GB"/>
              </w:rPr>
              <w:t>Promotion of energy efficiency and renewable energy in housing</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0E9E5"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99F1A" w14:textId="77777777" w:rsidR="009823F0" w:rsidRPr="00C82A63" w:rsidRDefault="009823F0" w:rsidP="005F6D93">
            <w:pPr>
              <w:spacing w:after="0" w:line="240" w:lineRule="auto"/>
              <w:jc w:val="both"/>
              <w:rPr>
                <w:rFonts w:ascii="Times New Roman" w:hAnsi="Times New Roman" w:cs="Times New Roman"/>
                <w:noProof/>
                <w:color w:val="006100"/>
                <w:sz w:val="20"/>
                <w:szCs w:val="20"/>
                <w:lang w:val="en-IE"/>
              </w:rPr>
            </w:pPr>
            <w:r w:rsidRPr="00C82A63">
              <w:rPr>
                <w:rFonts w:ascii="Times New Roman" w:hAnsi="Times New Roman" w:cs="Times New Roman"/>
                <w:noProof/>
                <w:color w:val="006100"/>
                <w:sz w:val="20"/>
                <w:szCs w:val="20"/>
                <w:lang w:val="en-IE"/>
              </w:rPr>
              <w:t>Number of grant approvals for energy projects</w:t>
            </w:r>
          </w:p>
        </w:tc>
      </w:tr>
      <w:tr w:rsidR="009823F0" w:rsidRPr="00443C86" w14:paraId="77298B88"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tcPr>
          <w:p w14:paraId="72FAB0A0"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eastAsia="Times New Roman" w:hAnsi="Times New Roman" w:cs="Times New Roman"/>
                <w:noProof/>
                <w:color w:val="006100"/>
                <w:sz w:val="20"/>
                <w:szCs w:val="20"/>
                <w:lang w:val="en-US" w:eastAsia="en-GB"/>
              </w:rPr>
              <w:t>4A-7</w:t>
            </w:r>
          </w:p>
        </w:tc>
        <w:tc>
          <w:tcPr>
            <w:tcW w:w="3543" w:type="dxa"/>
            <w:tcBorders>
              <w:top w:val="single" w:sz="4" w:space="0" w:color="auto"/>
              <w:left w:val="nil"/>
              <w:bottom w:val="single" w:sz="4" w:space="0" w:color="auto"/>
              <w:right w:val="single" w:sz="4" w:space="0" w:color="auto"/>
            </w:tcBorders>
            <w:shd w:val="clear" w:color="auto" w:fill="C6EFCE"/>
            <w:noWrap/>
          </w:tcPr>
          <w:p w14:paraId="1656D739" w14:textId="77777777" w:rsidR="009823F0" w:rsidRPr="00C82A63" w:rsidRDefault="009823F0" w:rsidP="00CF6BC5">
            <w:pPr>
              <w:spacing w:after="0" w:line="240" w:lineRule="auto"/>
              <w:rPr>
                <w:rFonts w:ascii="Times New Roman" w:hAnsi="Times New Roman" w:cs="Times New Roman"/>
                <w:noProof/>
                <w:color w:val="006100"/>
                <w:sz w:val="20"/>
                <w:szCs w:val="20"/>
                <w:lang w:val="en-IE"/>
              </w:rPr>
            </w:pPr>
            <w:r w:rsidRPr="00C82A63">
              <w:rPr>
                <w:rFonts w:ascii="Times New Roman" w:eastAsia="Times New Roman" w:hAnsi="Times New Roman" w:cs="Times New Roman"/>
                <w:noProof/>
                <w:color w:val="006100"/>
                <w:sz w:val="20"/>
                <w:szCs w:val="20"/>
                <w:lang w:val="en-US" w:eastAsia="en-GB"/>
              </w:rPr>
              <w:t xml:space="preserve">4A: </w:t>
            </w:r>
            <w:r w:rsidRPr="00C82A63">
              <w:rPr>
                <w:rFonts w:ascii="Times New Roman" w:eastAsia="Times New Roman" w:hAnsi="Times New Roman" w:cs="Times New Roman"/>
                <w:noProof/>
                <w:color w:val="006100"/>
                <w:sz w:val="20"/>
                <w:szCs w:val="20"/>
                <w:lang w:val="en-IE" w:eastAsia="en-GB"/>
              </w:rPr>
              <w:t>Investment 3: Construction of photovoltaic power generation units in business premises</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B6B2B"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Target</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B12B6"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eastAsia="Times New Roman" w:hAnsi="Times New Roman" w:cs="Times New Roman"/>
                <w:noProof/>
                <w:color w:val="006100"/>
                <w:sz w:val="20"/>
                <w:szCs w:val="20"/>
                <w:lang w:val="en-IE" w:eastAsia="en-GB"/>
              </w:rPr>
              <w:t>Installed photovoltaic capacity of power generation units in business premises</w:t>
            </w:r>
          </w:p>
        </w:tc>
      </w:tr>
      <w:tr w:rsidR="009823F0" w:rsidRPr="00443C86" w14:paraId="2F161CCF"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tcPr>
          <w:p w14:paraId="0FDAE22F"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US" w:eastAsia="en-GB"/>
              </w:rPr>
              <w:t>4A-8</w:t>
            </w:r>
          </w:p>
        </w:tc>
        <w:tc>
          <w:tcPr>
            <w:tcW w:w="3543" w:type="dxa"/>
            <w:tcBorders>
              <w:top w:val="single" w:sz="4" w:space="0" w:color="auto"/>
              <w:left w:val="nil"/>
              <w:bottom w:val="single" w:sz="4" w:space="0" w:color="auto"/>
              <w:right w:val="single" w:sz="4" w:space="0" w:color="auto"/>
            </w:tcBorders>
            <w:shd w:val="clear" w:color="auto" w:fill="C6EFCE"/>
            <w:noWrap/>
          </w:tcPr>
          <w:p w14:paraId="5B23EFA0" w14:textId="2B37D341"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eastAsia="Times New Roman" w:hAnsi="Times New Roman" w:cs="Times New Roman"/>
                <w:noProof/>
                <w:color w:val="006100"/>
                <w:sz w:val="20"/>
                <w:szCs w:val="20"/>
                <w:lang w:val="en-IE" w:eastAsia="en-GB"/>
              </w:rPr>
              <w:t>Investment 4: Scaled-up measure:</w:t>
            </w:r>
            <w:r w:rsidR="00A17CDD">
              <w:rPr>
                <w:rFonts w:ascii="Times New Roman" w:eastAsia="Times New Roman" w:hAnsi="Times New Roman" w:cs="Times New Roman"/>
                <w:noProof/>
                <w:color w:val="006100"/>
                <w:sz w:val="20"/>
                <w:szCs w:val="20"/>
                <w:lang w:val="en-IE" w:eastAsia="en-GB"/>
              </w:rPr>
              <w:t xml:space="preserve"> </w:t>
            </w:r>
            <w:r w:rsidRPr="00C82A63">
              <w:rPr>
                <w:rFonts w:ascii="Times New Roman" w:eastAsia="Times New Roman" w:hAnsi="Times New Roman" w:cs="Times New Roman"/>
                <w:noProof/>
                <w:color w:val="006100"/>
                <w:sz w:val="20"/>
                <w:szCs w:val="20"/>
                <w:lang w:val="en-IE" w:eastAsia="en-GB"/>
              </w:rPr>
              <w:t>Investment [2A-4]: Support scheme for charging points</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CC311" w14:textId="77777777" w:rsidR="009823F0" w:rsidRPr="00C82A63" w:rsidRDefault="009823F0" w:rsidP="005F6D93">
            <w:pPr>
              <w:spacing w:after="0" w:line="240" w:lineRule="auto"/>
              <w:jc w:val="center"/>
              <w:rPr>
                <w:rFonts w:ascii="Times New Roman" w:hAnsi="Times New Roman" w:cs="Times New Roman"/>
                <w:noProof/>
                <w:color w:val="006100"/>
                <w:sz w:val="20"/>
                <w:szCs w:val="20"/>
                <w:lang w:val="en-US"/>
              </w:rPr>
            </w:pPr>
            <w:r w:rsidRPr="00C82A63">
              <w:rPr>
                <w:rFonts w:ascii="Times New Roman" w:hAnsi="Times New Roman" w:cs="Times New Roman"/>
                <w:noProof/>
                <w:color w:val="006100"/>
                <w:sz w:val="20"/>
                <w:szCs w:val="20"/>
                <w:lang w:val="en-US"/>
              </w:rPr>
              <w:t>Target</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412E7" w14:textId="77777777" w:rsidR="009823F0" w:rsidRPr="00C82A63" w:rsidRDefault="009823F0" w:rsidP="005F6D93">
            <w:pPr>
              <w:spacing w:after="0" w:line="240" w:lineRule="auto"/>
              <w:jc w:val="both"/>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Number of installed charging points</w:t>
            </w:r>
          </w:p>
        </w:tc>
      </w:tr>
      <w:tr w:rsidR="009823F0" w:rsidRPr="00443C86" w14:paraId="06A33A9E" w14:textId="77777777" w:rsidTr="00086787">
        <w:trPr>
          <w:trHeight w:val="302"/>
        </w:trPr>
        <w:tc>
          <w:tcPr>
            <w:tcW w:w="155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BF275"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val="en-US" w:eastAsia="en-GB"/>
              </w:rPr>
            </w:pPr>
            <w:r w:rsidRPr="00C82A63">
              <w:rPr>
                <w:rFonts w:ascii="Times New Roman" w:hAnsi="Times New Roman" w:cs="Times New Roman"/>
                <w:noProof/>
                <w:color w:val="006100"/>
                <w:sz w:val="20"/>
                <w:szCs w:val="20"/>
              </w:rPr>
              <w:t>3B-12</w:t>
            </w:r>
          </w:p>
        </w:tc>
        <w:tc>
          <w:tcPr>
            <w:tcW w:w="3543" w:type="dxa"/>
            <w:tcBorders>
              <w:top w:val="single" w:sz="4" w:space="0" w:color="auto"/>
              <w:left w:val="nil"/>
              <w:bottom w:val="single" w:sz="4" w:space="0" w:color="auto"/>
              <w:right w:val="single" w:sz="4" w:space="0" w:color="auto"/>
            </w:tcBorders>
            <w:shd w:val="clear" w:color="auto" w:fill="C6EFCE"/>
            <w:noWrap/>
            <w:vAlign w:val="center"/>
          </w:tcPr>
          <w:p w14:paraId="28717ABA"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US" w:eastAsia="en-GB"/>
              </w:rPr>
            </w:pPr>
            <w:r w:rsidRPr="00C82A63">
              <w:rPr>
                <w:rFonts w:ascii="Times New Roman" w:hAnsi="Times New Roman" w:cs="Times New Roman"/>
                <w:noProof/>
                <w:color w:val="006100"/>
                <w:sz w:val="20"/>
                <w:szCs w:val="20"/>
              </w:rPr>
              <w:t>3B: Investment 3 - ‘MyADEM’</w:t>
            </w:r>
          </w:p>
        </w:tc>
        <w:tc>
          <w:tcPr>
            <w:tcW w:w="18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7DEDBD" w14:textId="77777777" w:rsidR="009823F0" w:rsidRPr="00C82A63" w:rsidRDefault="009823F0" w:rsidP="005F6D93">
            <w:pPr>
              <w:spacing w:after="0" w:line="240" w:lineRule="auto"/>
              <w:jc w:val="center"/>
              <w:rPr>
                <w:rFonts w:ascii="Times New Roman" w:hAnsi="Times New Roman" w:cs="Times New Roman"/>
                <w:noProof/>
                <w:color w:val="006100"/>
                <w:sz w:val="20"/>
                <w:szCs w:val="20"/>
              </w:rPr>
            </w:pPr>
            <w:r w:rsidRPr="00C82A63">
              <w:rPr>
                <w:rFonts w:ascii="Times New Roman" w:hAnsi="Times New Roman" w:cs="Times New Roman"/>
                <w:noProof/>
                <w:color w:val="006100"/>
                <w:sz w:val="20"/>
                <w:szCs w:val="20"/>
              </w:rPr>
              <w:t>Milestone</w:t>
            </w:r>
          </w:p>
        </w:tc>
        <w:tc>
          <w:tcPr>
            <w:tcW w:w="28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164008" w14:textId="77777777" w:rsidR="009823F0" w:rsidRPr="00C82A63" w:rsidRDefault="009823F0" w:rsidP="00150784">
            <w:pPr>
              <w:spacing w:after="0" w:line="240" w:lineRule="auto"/>
              <w:rPr>
                <w:rFonts w:ascii="Times New Roman" w:eastAsia="Times New Roman" w:hAnsi="Times New Roman" w:cs="Times New Roman"/>
                <w:noProof/>
                <w:color w:val="006100"/>
                <w:sz w:val="20"/>
                <w:szCs w:val="20"/>
                <w:lang w:val="en-IE" w:eastAsia="en-GB"/>
              </w:rPr>
            </w:pPr>
            <w:r w:rsidRPr="00C82A63">
              <w:rPr>
                <w:rFonts w:ascii="Times New Roman" w:hAnsi="Times New Roman" w:cs="Times New Roman"/>
                <w:noProof/>
                <w:color w:val="006100"/>
                <w:sz w:val="20"/>
                <w:szCs w:val="20"/>
                <w:lang w:val="en-IE"/>
              </w:rPr>
              <w:t>Digital administrative procedures linked to MyADEM</w:t>
            </w:r>
          </w:p>
        </w:tc>
      </w:tr>
      <w:tr w:rsidR="009823F0" w:rsidRPr="00C82A63" w14:paraId="270D0679" w14:textId="77777777" w:rsidTr="00086787">
        <w:trPr>
          <w:trHeight w:val="302"/>
        </w:trPr>
        <w:tc>
          <w:tcPr>
            <w:tcW w:w="1555" w:type="dxa"/>
            <w:shd w:val="clear" w:color="auto" w:fill="C6EFCE"/>
            <w:noWrap/>
            <w:vAlign w:val="center"/>
          </w:tcPr>
          <w:p w14:paraId="3F0C6C5B" w14:textId="77777777" w:rsidR="009823F0" w:rsidRPr="00C82A63" w:rsidRDefault="009823F0" w:rsidP="005F6D93">
            <w:pPr>
              <w:spacing w:after="0" w:line="240" w:lineRule="auto"/>
              <w:jc w:val="center"/>
              <w:rPr>
                <w:rFonts w:ascii="Times New Roman" w:eastAsia="Times New Roman" w:hAnsi="Times New Roman" w:cs="Times New Roman"/>
                <w:noProof/>
                <w:color w:val="006100"/>
                <w:sz w:val="20"/>
                <w:szCs w:val="20"/>
                <w:lang w:val="en-IE" w:eastAsia="en-GB"/>
              </w:rPr>
            </w:pPr>
          </w:p>
        </w:tc>
        <w:tc>
          <w:tcPr>
            <w:tcW w:w="3543" w:type="dxa"/>
            <w:shd w:val="clear" w:color="auto" w:fill="C6EFCE"/>
            <w:noWrap/>
            <w:vAlign w:val="center"/>
          </w:tcPr>
          <w:p w14:paraId="5AA5B84C" w14:textId="77777777" w:rsidR="009823F0" w:rsidRPr="00C82A63" w:rsidRDefault="009823F0" w:rsidP="00CF6BC5">
            <w:pPr>
              <w:spacing w:after="0" w:line="240" w:lineRule="auto"/>
              <w:rPr>
                <w:rFonts w:ascii="Times New Roman" w:eastAsia="Times New Roman" w:hAnsi="Times New Roman" w:cs="Times New Roman"/>
                <w:noProof/>
                <w:color w:val="006100"/>
                <w:sz w:val="20"/>
                <w:szCs w:val="20"/>
                <w:lang w:val="en-IE" w:eastAsia="en-GB"/>
              </w:rPr>
            </w:pPr>
          </w:p>
        </w:tc>
        <w:tc>
          <w:tcPr>
            <w:tcW w:w="1809" w:type="dxa"/>
            <w:shd w:val="clear" w:color="auto" w:fill="C6EFCE"/>
            <w:noWrap/>
            <w:vAlign w:val="center"/>
          </w:tcPr>
          <w:p w14:paraId="229C2243"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lang w:eastAsia="en-GB"/>
              </w:rPr>
            </w:pPr>
            <w:r w:rsidRPr="00C82A63">
              <w:rPr>
                <w:rFonts w:ascii="Times New Roman" w:eastAsia="Times New Roman" w:hAnsi="Times New Roman" w:cs="Times New Roman"/>
                <w:b/>
                <w:bCs/>
                <w:noProof/>
                <w:color w:val="006100"/>
                <w:sz w:val="20"/>
                <w:szCs w:val="20"/>
                <w:lang w:eastAsia="en-GB"/>
              </w:rPr>
              <w:t>Instalment Amount</w:t>
            </w:r>
          </w:p>
        </w:tc>
        <w:tc>
          <w:tcPr>
            <w:tcW w:w="2869" w:type="dxa"/>
            <w:shd w:val="clear" w:color="auto" w:fill="C6EFCE"/>
            <w:noWrap/>
            <w:vAlign w:val="center"/>
          </w:tcPr>
          <w:p w14:paraId="5ADB3855" w14:textId="77777777" w:rsidR="009823F0" w:rsidRPr="00C82A63" w:rsidRDefault="009823F0" w:rsidP="005F6D93">
            <w:pPr>
              <w:spacing w:after="0" w:line="240" w:lineRule="auto"/>
              <w:jc w:val="center"/>
              <w:rPr>
                <w:rFonts w:ascii="Times New Roman" w:eastAsia="Times New Roman" w:hAnsi="Times New Roman" w:cs="Times New Roman"/>
                <w:b/>
                <w:bCs/>
                <w:noProof/>
                <w:color w:val="006100"/>
                <w:sz w:val="20"/>
                <w:szCs w:val="20"/>
                <w:lang w:eastAsia="en-GB"/>
              </w:rPr>
            </w:pPr>
            <w:r w:rsidRPr="00C82A63">
              <w:rPr>
                <w:rFonts w:ascii="Times New Roman" w:eastAsia="Times New Roman" w:hAnsi="Times New Roman" w:cs="Times New Roman"/>
                <w:b/>
                <w:bCs/>
                <w:noProof/>
                <w:color w:val="006100"/>
                <w:sz w:val="20"/>
                <w:szCs w:val="20"/>
                <w:lang w:eastAsia="en-GB"/>
              </w:rPr>
              <w:t>EUR 60</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b/>
                <w:bCs/>
                <w:noProof/>
                <w:color w:val="006100"/>
                <w:sz w:val="20"/>
                <w:szCs w:val="20"/>
                <w:lang w:eastAsia="en-GB"/>
              </w:rPr>
              <w:t>789</w:t>
            </w:r>
            <w:r w:rsidRPr="00C82A63">
              <w:rPr>
                <w:rFonts w:ascii="Times New Roman" w:eastAsia="Times New Roman" w:hAnsi="Times New Roman" w:cs="Times New Roman"/>
                <w:noProof/>
                <w:color w:val="006100"/>
                <w:sz w:val="20"/>
                <w:szCs w:val="20"/>
                <w:lang w:val="en-IE" w:eastAsia="en-GB"/>
              </w:rPr>
              <w:t> </w:t>
            </w:r>
            <w:r w:rsidRPr="00C82A63">
              <w:rPr>
                <w:rFonts w:ascii="Times New Roman" w:eastAsia="Times New Roman" w:hAnsi="Times New Roman" w:cs="Times New Roman"/>
                <w:b/>
                <w:bCs/>
                <w:noProof/>
                <w:color w:val="006100"/>
                <w:sz w:val="20"/>
                <w:szCs w:val="20"/>
                <w:lang w:eastAsia="en-GB"/>
              </w:rPr>
              <w:t>995</w:t>
            </w:r>
          </w:p>
        </w:tc>
      </w:tr>
    </w:tbl>
    <w:p w14:paraId="39BE1185" w14:textId="77777777" w:rsidR="009823F0" w:rsidRPr="00C82A63" w:rsidRDefault="009823F0" w:rsidP="009823F0">
      <w:pPr>
        <w:spacing w:before="120" w:after="120" w:line="240" w:lineRule="auto"/>
        <w:jc w:val="both"/>
        <w:rPr>
          <w:rFonts w:ascii="Times New Roman" w:hAnsi="Times New Roman" w:cs="Times New Roman"/>
          <w:noProof/>
          <w:sz w:val="24"/>
        </w:rPr>
        <w:sectPr w:rsidR="009823F0" w:rsidRPr="00C82A63" w:rsidSect="009823F0">
          <w:headerReference w:type="even" r:id="rId152"/>
          <w:headerReference w:type="default" r:id="rId153"/>
          <w:footerReference w:type="even" r:id="rId154"/>
          <w:footerReference w:type="default" r:id="rId155"/>
          <w:headerReference w:type="first" r:id="rId156"/>
          <w:footerReference w:type="first" r:id="rId157"/>
          <w:pgSz w:w="11906" w:h="16838"/>
          <w:pgMar w:top="1417" w:right="1417" w:bottom="1417" w:left="1417" w:header="708" w:footer="708" w:gutter="0"/>
          <w:cols w:space="708"/>
          <w:docGrid w:linePitch="360"/>
        </w:sectPr>
      </w:pPr>
    </w:p>
    <w:p w14:paraId="4BB2F2AF" w14:textId="77777777" w:rsidR="009823F0" w:rsidRPr="00C82A63" w:rsidRDefault="009823F0" w:rsidP="009823F0">
      <w:pPr>
        <w:spacing w:before="120" w:after="120" w:line="240" w:lineRule="auto"/>
        <w:rPr>
          <w:rFonts w:ascii="Times New Roman" w:hAnsi="Times New Roman" w:cs="Times New Roman"/>
          <w:noProof/>
          <w:sz w:val="24"/>
        </w:rPr>
      </w:pPr>
      <w:r w:rsidRPr="00C82A63">
        <w:rPr>
          <w:rFonts w:ascii="Times New Roman" w:hAnsi="Times New Roman" w:cs="Times New Roman"/>
          <w:b/>
          <w:bCs/>
          <w:noProof/>
          <w:sz w:val="24"/>
        </w:rPr>
        <w:t xml:space="preserve">SECTION 3: ADDITIONAL ARRANGEMENTS </w:t>
      </w:r>
    </w:p>
    <w:p w14:paraId="2B14F579" w14:textId="77777777" w:rsidR="009823F0" w:rsidRPr="00C82A63" w:rsidRDefault="009823F0" w:rsidP="005F6D93">
      <w:pPr>
        <w:numPr>
          <w:ilvl w:val="0"/>
          <w:numId w:val="20"/>
        </w:numPr>
        <w:tabs>
          <w:tab w:val="clear" w:pos="850"/>
        </w:tabs>
        <w:spacing w:after="0" w:line="240" w:lineRule="auto"/>
        <w:ind w:left="284" w:hanging="284"/>
        <w:jc w:val="both"/>
        <w:rPr>
          <w:rFonts w:ascii="Times New Roman" w:hAnsi="Times New Roman" w:cs="Times New Roman"/>
          <w:b/>
          <w:noProof/>
          <w:sz w:val="24"/>
          <w:u w:val="single"/>
          <w:lang w:val="en-IE"/>
        </w:rPr>
      </w:pPr>
      <w:r w:rsidRPr="00C82A63">
        <w:rPr>
          <w:rFonts w:ascii="Times New Roman" w:hAnsi="Times New Roman" w:cs="Times New Roman"/>
          <w:b/>
          <w:noProof/>
          <w:sz w:val="24"/>
          <w:u w:val="single"/>
          <w:lang w:val="en-IE"/>
        </w:rPr>
        <w:t>Arrangements for monitoring and implementation of the recovery and resilience plan</w:t>
      </w:r>
    </w:p>
    <w:p w14:paraId="5E19EAE3" w14:textId="61D94661"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The monitoring and implementation of the recovery and resilience plan of Luxembourg shall take place in accordance with the following arrangements.</w:t>
      </w:r>
      <w:r w:rsidR="00A17CDD">
        <w:rPr>
          <w:rFonts w:ascii="Times New Roman" w:hAnsi="Times New Roman" w:cs="Times New Roman"/>
          <w:noProof/>
          <w:sz w:val="24"/>
          <w:lang w:val="en-IE"/>
        </w:rPr>
        <w:t xml:space="preserve"> </w:t>
      </w:r>
    </w:p>
    <w:p w14:paraId="2354EEB1"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eastAsia="Times New Roman" w:hAnsi="Times New Roman" w:cs="Times New Roman"/>
          <w:noProof/>
          <w:sz w:val="24"/>
          <w:szCs w:val="24"/>
          <w:lang w:val="en-IE"/>
        </w:rPr>
        <w:t>The Directorate for Economic and Budgetary Affairs within the Ministry of Finance shall have overall responsibility for the implementation of the plan and act as a managing department and a single point of contact for the Commission. This service shall also be responsible for drawing up the payment requests and management declarations and shall coordinate and monitor the implementation of the plan. It shall also collect the data on the indicators as submitted by the final recipients, and carry out the management verifications.</w:t>
      </w:r>
    </w:p>
    <w:p w14:paraId="0C55C92E"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eastAsia="Times New Roman" w:hAnsi="Times New Roman" w:cs="Times New Roman"/>
          <w:noProof/>
          <w:sz w:val="24"/>
          <w:szCs w:val="24"/>
          <w:lang w:val="en-IE"/>
        </w:rPr>
        <w:t xml:space="preserve">The managing department shall be responsible for aggregating all the information relating to the indicators for which it shall also carry out a consistency check and, more generally, a quality control. The managing department shall also be responsible for communicating and making use of these monitoring data, both in the coordination committees and in the annual implementation report. </w:t>
      </w:r>
    </w:p>
    <w:p w14:paraId="5213AB1F"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eastAsia="Times New Roman" w:hAnsi="Times New Roman" w:cs="Times New Roman"/>
          <w:noProof/>
          <w:sz w:val="24"/>
          <w:szCs w:val="24"/>
          <w:lang w:val="en-IE"/>
        </w:rPr>
        <w:t xml:space="preserve">The managing department shall carry out checks (including on-the-spot) on the administrative, financial, technical and physical aspects of the operations, in all stages of the management of a measure included in the recovery and resilience plan. Such checks shall be carried out when financing sheets are examined, during the implementation and monitoring of the measures, when applications for reimbursement of grants to final recipients are submitted and when payments are made to final recipients. </w:t>
      </w:r>
    </w:p>
    <w:p w14:paraId="5798B40E"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eastAsia="Times New Roman" w:hAnsi="Times New Roman" w:cs="Times New Roman"/>
          <w:noProof/>
          <w:sz w:val="24"/>
          <w:szCs w:val="24"/>
          <w:lang w:val="en-IE"/>
        </w:rPr>
        <w:t xml:space="preserve">In addition, specific measures shall be implemented to check compliance with the rules relating to public procurement, to prevent corruption, and to protect financial interests of the EU. </w:t>
      </w:r>
    </w:p>
    <w:p w14:paraId="1840573A" w14:textId="7DBDDE1F"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eastAsia="Times New Roman" w:hAnsi="Times New Roman" w:cs="Times New Roman"/>
          <w:noProof/>
          <w:sz w:val="24"/>
          <w:szCs w:val="24"/>
          <w:lang w:val="en-IE"/>
        </w:rPr>
        <w:t>The General Finance Inspectorate (IGF) shall be the audit authority for the recovery and resilience plan.</w:t>
      </w:r>
      <w:r w:rsidR="00A17CDD">
        <w:rPr>
          <w:rFonts w:ascii="Times New Roman" w:eastAsia="Times New Roman" w:hAnsi="Times New Roman" w:cs="Times New Roman"/>
          <w:noProof/>
          <w:sz w:val="24"/>
          <w:szCs w:val="24"/>
          <w:lang w:val="en-IE"/>
        </w:rPr>
        <w:t xml:space="preserve"> </w:t>
      </w:r>
    </w:p>
    <w:p w14:paraId="775F1340"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eastAsia="Times New Roman" w:hAnsi="Times New Roman" w:cs="Times New Roman"/>
          <w:noProof/>
          <w:sz w:val="24"/>
          <w:szCs w:val="24"/>
          <w:lang w:val="en-IE"/>
        </w:rPr>
        <w:t xml:space="preserve">The audit authority shall follow an audit approach based on the following principles: annual system audit (covering the system in place for the reporting of the milestones and targets and covering also the internal control system for preventing, detecting and correcting fraud, conflict of interest, corruption and double financing) and annual audits of operations (based on an adequate sample). </w:t>
      </w:r>
    </w:p>
    <w:p w14:paraId="15726D85" w14:textId="77777777" w:rsidR="009823F0" w:rsidRPr="00C82A63" w:rsidRDefault="009823F0" w:rsidP="009823F0">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eastAsia="Times New Roman" w:hAnsi="Times New Roman" w:cs="Times New Roman"/>
          <w:noProof/>
          <w:sz w:val="24"/>
          <w:szCs w:val="24"/>
          <w:lang w:val="en-IE"/>
        </w:rPr>
        <w:t xml:space="preserve">The data relating to final recipients shall be collected as soon as they enter the operation, which is done either by entering data directly by the managing department or by importing data via an import Excel file. The data collected in this manner shall then be entered either directly into the information system or imported via files. </w:t>
      </w:r>
    </w:p>
    <w:p w14:paraId="02D62243" w14:textId="2D7146B9" w:rsidR="009823F0" w:rsidRPr="00C82A63" w:rsidRDefault="00C82A63" w:rsidP="005F6D93">
      <w:pPr>
        <w:rPr>
          <w:rFonts w:ascii="Times New Roman" w:hAnsi="Times New Roman" w:cs="Times New Roman"/>
          <w:noProof/>
          <w:sz w:val="24"/>
          <w:lang w:val="en-IE"/>
        </w:rPr>
      </w:pPr>
      <w:r>
        <w:rPr>
          <w:rFonts w:ascii="Times New Roman" w:hAnsi="Times New Roman" w:cs="Times New Roman"/>
          <w:noProof/>
          <w:sz w:val="24"/>
          <w:lang w:val="en-IE"/>
        </w:rPr>
        <w:br w:type="page"/>
      </w:r>
    </w:p>
    <w:p w14:paraId="767ADE88" w14:textId="77777777" w:rsidR="009823F0" w:rsidRPr="00C82A63" w:rsidRDefault="009823F0" w:rsidP="005F6D93">
      <w:pPr>
        <w:pStyle w:val="NumPar1"/>
        <w:numPr>
          <w:ilvl w:val="0"/>
          <w:numId w:val="20"/>
        </w:numPr>
        <w:spacing w:before="0" w:after="0"/>
        <w:ind w:left="284" w:hanging="284"/>
        <w:rPr>
          <w:b/>
          <w:noProof/>
          <w:u w:val="single"/>
        </w:rPr>
      </w:pPr>
      <w:r w:rsidRPr="00C82A63">
        <w:rPr>
          <w:b/>
          <w:noProof/>
          <w:u w:val="single"/>
        </w:rPr>
        <w:t>Arrangements for providing full access by the Commission to the underlying data</w:t>
      </w:r>
    </w:p>
    <w:p w14:paraId="62B7EFEE" w14:textId="77777777" w:rsidR="009823F0" w:rsidRPr="00C82A63" w:rsidRDefault="009823F0" w:rsidP="009823F0">
      <w:pPr>
        <w:spacing w:before="120" w:after="120" w:line="240" w:lineRule="auto"/>
        <w:jc w:val="both"/>
        <w:rPr>
          <w:rFonts w:ascii="Times New Roman" w:hAnsi="Times New Roman" w:cs="Times New Roman"/>
          <w:noProof/>
          <w:sz w:val="24"/>
          <w:lang w:val="en-IE"/>
        </w:rPr>
      </w:pPr>
      <w:r w:rsidRPr="00C82A63">
        <w:rPr>
          <w:rFonts w:ascii="Times New Roman" w:hAnsi="Times New Roman" w:cs="Times New Roman"/>
          <w:noProof/>
          <w:sz w:val="24"/>
          <w:lang w:val="en-IE"/>
        </w:rPr>
        <w:t>The Directorate for Economic and Budgetary Affairs within the Ministry of Finance, as the central coordinating body for Luxembourg’s recovery and resilience plan and its implementation, is responsible for overall coordination and monitoring of the plan. In particular, it acts as a coordinating body for monitoring progress on milestones and targets, for monitoring and, where appropriate, implementing control activities and as a single point of contact for the Commission. This service shall also be responsible for drawing up the payment requests and management declarations. It shall</w:t>
      </w:r>
      <w:r w:rsidRPr="00C82A63">
        <w:rPr>
          <w:rFonts w:ascii="Times New Roman" w:hAnsi="Times New Roman" w:cs="Times New Roman"/>
          <w:noProof/>
          <w:lang w:val="en-IE"/>
        </w:rPr>
        <w:t xml:space="preserve"> </w:t>
      </w:r>
      <w:r w:rsidRPr="00C82A63">
        <w:rPr>
          <w:rFonts w:ascii="Times New Roman" w:hAnsi="Times New Roman" w:cs="Times New Roman"/>
          <w:noProof/>
          <w:sz w:val="24"/>
          <w:lang w:val="en-IE"/>
        </w:rPr>
        <w:t xml:space="preserve">coordinate the reporting of milestones and targets, relevant indicators, but also qualitative financial information and other data, such as the data on the indicators as submitted by the </w:t>
      </w:r>
      <w:r w:rsidRPr="00C82A63">
        <w:rPr>
          <w:rFonts w:ascii="Times New Roman" w:eastAsia="Times New Roman" w:hAnsi="Times New Roman" w:cs="Times New Roman"/>
          <w:noProof/>
          <w:sz w:val="24"/>
          <w:szCs w:val="24"/>
          <w:lang w:val="en-IE"/>
        </w:rPr>
        <w:t>final recipients</w:t>
      </w:r>
      <w:r w:rsidRPr="00C82A63">
        <w:rPr>
          <w:rFonts w:ascii="Times New Roman" w:hAnsi="Times New Roman" w:cs="Times New Roman"/>
          <w:noProof/>
          <w:sz w:val="24"/>
          <w:lang w:val="en-IE"/>
        </w:rPr>
        <w:t xml:space="preserve"> through a dedicated IT system, and carry out the management verifications. The General Finance Inspectorate (IGF) shall be the audit authority for the recovery and resilience plan.</w:t>
      </w:r>
    </w:p>
    <w:p w14:paraId="09F1644F" w14:textId="55DA79AE" w:rsidR="007328BA" w:rsidRPr="005F6D93" w:rsidRDefault="009823F0" w:rsidP="005F6D93">
      <w:pPr>
        <w:spacing w:before="120" w:after="120" w:line="240" w:lineRule="auto"/>
        <w:jc w:val="both"/>
        <w:rPr>
          <w:rFonts w:ascii="Times New Roman" w:eastAsia="Times New Roman" w:hAnsi="Times New Roman" w:cs="Times New Roman"/>
          <w:noProof/>
          <w:sz w:val="24"/>
          <w:szCs w:val="24"/>
          <w:lang w:val="en-IE"/>
        </w:rPr>
      </w:pPr>
      <w:r w:rsidRPr="00C82A63">
        <w:rPr>
          <w:rFonts w:ascii="Times New Roman" w:eastAsia="Times New Roman" w:hAnsi="Times New Roman" w:cs="Times New Roman"/>
          <w:noProof/>
          <w:sz w:val="24"/>
          <w:szCs w:val="24"/>
          <w:lang w:val="en-IE"/>
        </w:rPr>
        <w:t>In accordance with Article 24(2) of Regulation (EU) 2021/241, upon completion of the relevant agreed milestones and targets in Section 2.1 of this Annex, Luxembourg shall submit to the Commission a duly justified request for payment of the financial contribution. Luxembourg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7328BA" w:rsidRPr="005F6D93" w:rsidSect="009823F0">
      <w:headerReference w:type="even" r:id="rId158"/>
      <w:headerReference w:type="default" r:id="rId159"/>
      <w:footerReference w:type="even" r:id="rId160"/>
      <w:footerReference w:type="default" r:id="rId161"/>
      <w:headerReference w:type="first" r:id="rId162"/>
      <w:footerReference w:type="first" r:id="rId1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E7F8B" w14:textId="77777777" w:rsidR="009823F0" w:rsidRDefault="009823F0" w:rsidP="009823F0">
      <w:pPr>
        <w:spacing w:after="0" w:line="240" w:lineRule="auto"/>
      </w:pPr>
      <w:r>
        <w:separator/>
      </w:r>
    </w:p>
  </w:endnote>
  <w:endnote w:type="continuationSeparator" w:id="0">
    <w:p w14:paraId="6DE187CB" w14:textId="77777777" w:rsidR="009823F0" w:rsidRDefault="009823F0" w:rsidP="00982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5CAB0" w14:textId="30D83380" w:rsidR="00CB50F7" w:rsidRPr="00CB50F7" w:rsidRDefault="00CB50F7" w:rsidP="00CB50F7">
    <w:pPr>
      <w:pStyle w:val="FooterCoverPage"/>
      <w:rPr>
        <w:rFonts w:ascii="Arial" w:hAnsi="Arial" w:cs="Arial"/>
        <w:b/>
        <w:sz w:val="48"/>
      </w:rPr>
    </w:pPr>
    <w:r w:rsidRPr="00CB50F7">
      <w:rPr>
        <w:rFonts w:ascii="Arial" w:hAnsi="Arial" w:cs="Arial"/>
        <w:b/>
        <w:sz w:val="48"/>
      </w:rPr>
      <w:t>EN</w:t>
    </w:r>
    <w:r w:rsidRPr="00CB50F7">
      <w:rPr>
        <w:rFonts w:ascii="Arial" w:hAnsi="Arial" w:cs="Arial"/>
        <w:b/>
        <w:sz w:val="48"/>
      </w:rPr>
      <w:tab/>
    </w:r>
    <w:r w:rsidRPr="00CB50F7">
      <w:rPr>
        <w:rFonts w:ascii="Arial" w:hAnsi="Arial" w:cs="Arial"/>
        <w:b/>
        <w:sz w:val="48"/>
      </w:rPr>
      <w:tab/>
    </w:r>
    <w:r w:rsidRPr="00CB50F7">
      <w:tab/>
    </w:r>
    <w:r w:rsidRPr="00CB50F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6FA73" w14:textId="05EC0649" w:rsidR="00CB50F7" w:rsidRPr="00CB50F7" w:rsidRDefault="00CB50F7" w:rsidP="00CB50F7">
    <w:pPr>
      <w:pStyle w:val="FooterCoverPage"/>
      <w:rPr>
        <w:rFonts w:ascii="Arial" w:hAnsi="Arial" w:cs="Arial"/>
        <w:b/>
        <w:sz w:val="48"/>
      </w:rPr>
    </w:pPr>
    <w:r w:rsidRPr="00CB50F7">
      <w:rPr>
        <w:rFonts w:ascii="Arial" w:hAnsi="Arial" w:cs="Arial"/>
        <w:b/>
        <w:sz w:val="48"/>
      </w:rPr>
      <w:t>EN</w:t>
    </w:r>
    <w:r w:rsidRPr="00CB50F7">
      <w:rPr>
        <w:rFonts w:ascii="Arial" w:hAnsi="Arial" w:cs="Arial"/>
        <w:b/>
        <w:sz w:val="48"/>
      </w:rPr>
      <w:tab/>
    </w:r>
    <w:r w:rsidRPr="00CB50F7">
      <w:rPr>
        <w:rFonts w:ascii="Arial" w:hAnsi="Arial" w:cs="Arial"/>
        <w:b/>
        <w:sz w:val="48"/>
      </w:rPr>
      <w:tab/>
    </w:r>
    <w:r w:rsidRPr="00CB50F7">
      <w:tab/>
    </w:r>
    <w:r w:rsidRPr="00CB50F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EF34A" w14:textId="77777777" w:rsidR="00CB50F7" w:rsidRPr="00CB50F7" w:rsidRDefault="00CB50F7" w:rsidP="00CB50F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2A4B1" w14:textId="77777777" w:rsidR="009823F0" w:rsidRDefault="009823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653"/>
      <w:docPartObj>
        <w:docPartGallery w:val="Page Numbers (Bottom of Page)"/>
        <w:docPartUnique/>
      </w:docPartObj>
    </w:sdtPr>
    <w:sdtEndPr>
      <w:rPr>
        <w:noProof/>
      </w:rPr>
    </w:sdtEndPr>
    <w:sdtContent>
      <w:p w14:paraId="7BC82A86" w14:textId="65A5ED62"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00CB50F7">
          <w:rPr>
            <w:rFonts w:ascii="Times New Roman" w:hAnsi="Times New Roman" w:cs="Times New Roman"/>
            <w:noProof/>
          </w:rPr>
          <w:t>1</w:t>
        </w:r>
        <w:r w:rsidRPr="00C82A63">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F1A3" w14:textId="77777777" w:rsidR="009823F0" w:rsidRDefault="009823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BE14C" w14:textId="77777777" w:rsidR="009823F0" w:rsidRDefault="009823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075615"/>
      <w:docPartObj>
        <w:docPartGallery w:val="Page Numbers (Bottom of Page)"/>
        <w:docPartUnique/>
      </w:docPartObj>
    </w:sdtPr>
    <w:sdtEndPr>
      <w:rPr>
        <w:noProof/>
      </w:rPr>
    </w:sdtEndPr>
    <w:sdtContent>
      <w:p w14:paraId="62E65EEE" w14:textId="1D0CA813"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00CB50F7">
          <w:rPr>
            <w:rFonts w:ascii="Times New Roman" w:hAnsi="Times New Roman" w:cs="Times New Roman"/>
            <w:noProof/>
          </w:rPr>
          <w:t>2</w:t>
        </w:r>
        <w:r w:rsidRPr="00C82A63">
          <w:rPr>
            <w:rFonts w:ascii="Times New Roman" w:hAnsi="Times New Roman" w:cs="Times New Roman"/>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5118" w14:textId="77777777" w:rsidR="009823F0" w:rsidRDefault="009823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0A43D" w14:textId="77777777" w:rsidR="009823F0" w:rsidRDefault="009823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83330"/>
      <w:docPartObj>
        <w:docPartGallery w:val="Page Numbers (Bottom of Page)"/>
        <w:docPartUnique/>
      </w:docPartObj>
    </w:sdtPr>
    <w:sdtEndPr>
      <w:rPr>
        <w:noProof/>
      </w:rPr>
    </w:sdtEndPr>
    <w:sdtContent>
      <w:p w14:paraId="5548B04B" w14:textId="4A7DF9D3"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00CB50F7">
          <w:rPr>
            <w:rFonts w:ascii="Times New Roman" w:hAnsi="Times New Roman" w:cs="Times New Roman"/>
            <w:noProof/>
          </w:rPr>
          <w:t>3</w:t>
        </w:r>
        <w:r w:rsidRPr="00C82A63">
          <w:rPr>
            <w:rFonts w:ascii="Times New Roman" w:hAnsi="Times New Roman" w:cs="Times New Roman"/>
            <w:noProof/>
          </w:rPr>
          <w:fldChar w:fldCharType="end"/>
        </w:r>
      </w:p>
    </w:sdtContent>
  </w:sdt>
  <w:p w14:paraId="60A00A01" w14:textId="77777777" w:rsidR="009823F0" w:rsidRPr="00FD57B0" w:rsidRDefault="009823F0">
    <w:pPr>
      <w:pStyle w:val="Footer"/>
      <w:rPr>
        <w:b/>
        <w:bCs/>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4C10C" w14:textId="77777777" w:rsidR="009823F0" w:rsidRDefault="009823F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2A419" w14:textId="77777777" w:rsidR="009823F0" w:rsidRDefault="009823F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4619D" w14:textId="77777777" w:rsidR="00A17CDD" w:rsidRPr="00A17CDD" w:rsidRDefault="00A17CDD">
    <w:pPr>
      <w:pStyle w:val="Footer"/>
      <w:jc w:val="center"/>
      <w:rPr>
        <w:rFonts w:ascii="Times New Roman" w:hAnsi="Times New Roman" w:cs="Times New Roman"/>
        <w:caps/>
        <w:noProof/>
      </w:rPr>
    </w:pPr>
    <w:r w:rsidRPr="00A17CDD">
      <w:rPr>
        <w:rFonts w:ascii="Times New Roman" w:hAnsi="Times New Roman" w:cs="Times New Roman"/>
        <w:caps/>
      </w:rPr>
      <w:fldChar w:fldCharType="begin"/>
    </w:r>
    <w:r w:rsidRPr="00A17CDD">
      <w:rPr>
        <w:rFonts w:ascii="Times New Roman" w:hAnsi="Times New Roman" w:cs="Times New Roman"/>
        <w:caps/>
      </w:rPr>
      <w:instrText xml:space="preserve"> PAGE   \* MERGEFORMAT </w:instrText>
    </w:r>
    <w:r w:rsidRPr="00A17CDD">
      <w:rPr>
        <w:rFonts w:ascii="Times New Roman" w:hAnsi="Times New Roman" w:cs="Times New Roman"/>
        <w:caps/>
      </w:rPr>
      <w:fldChar w:fldCharType="separate"/>
    </w:r>
    <w:r w:rsidRPr="00A17CDD">
      <w:rPr>
        <w:rFonts w:ascii="Times New Roman" w:hAnsi="Times New Roman" w:cs="Times New Roman"/>
        <w:caps/>
        <w:noProof/>
      </w:rPr>
      <w:t>2</w:t>
    </w:r>
    <w:r w:rsidRPr="00A17CDD">
      <w:rPr>
        <w:rFonts w:ascii="Times New Roman" w:hAnsi="Times New Roman" w:cs="Times New Roman"/>
        <w:caps/>
        <w:noProof/>
      </w:rPr>
      <w:fldChar w:fldCharType="end"/>
    </w:r>
  </w:p>
  <w:p w14:paraId="76800C5D" w14:textId="4A2BA4F7" w:rsidR="009823F0" w:rsidRDefault="009823F0">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5FEED" w14:textId="77777777" w:rsidR="009823F0" w:rsidRDefault="009823F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0D15E" w14:textId="77777777" w:rsidR="009823F0" w:rsidRDefault="009823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56562531"/>
      <w:docPartObj>
        <w:docPartGallery w:val="Page Numbers (Bottom of Page)"/>
        <w:docPartUnique/>
      </w:docPartObj>
    </w:sdtPr>
    <w:sdtEndPr>
      <w:rPr>
        <w:noProof/>
      </w:rPr>
    </w:sdtEndPr>
    <w:sdtContent>
      <w:p w14:paraId="4FE74EBF" w14:textId="363A3739" w:rsidR="00A17CDD" w:rsidRPr="00A17CDD" w:rsidRDefault="00A17CDD">
        <w:pPr>
          <w:pStyle w:val="Footer"/>
          <w:jc w:val="center"/>
          <w:rPr>
            <w:rFonts w:ascii="Times New Roman" w:hAnsi="Times New Roman" w:cs="Times New Roman"/>
          </w:rPr>
        </w:pPr>
        <w:r w:rsidRPr="00FC00B3">
          <w:rPr>
            <w:rFonts w:ascii="Times New Roman" w:hAnsi="Times New Roman" w:cs="Times New Roman"/>
            <w:sz w:val="24"/>
            <w:szCs w:val="24"/>
          </w:rPr>
          <w:fldChar w:fldCharType="begin"/>
        </w:r>
        <w:r w:rsidRPr="00FC00B3">
          <w:rPr>
            <w:rFonts w:ascii="Times New Roman" w:hAnsi="Times New Roman" w:cs="Times New Roman"/>
            <w:sz w:val="24"/>
            <w:szCs w:val="24"/>
          </w:rPr>
          <w:instrText xml:space="preserve"> PAGE   \* MERGEFORMAT </w:instrText>
        </w:r>
        <w:r w:rsidRPr="00FC00B3">
          <w:rPr>
            <w:rFonts w:ascii="Times New Roman" w:hAnsi="Times New Roman" w:cs="Times New Roman"/>
            <w:sz w:val="24"/>
            <w:szCs w:val="24"/>
          </w:rPr>
          <w:fldChar w:fldCharType="separate"/>
        </w:r>
        <w:r w:rsidRPr="00FC00B3">
          <w:rPr>
            <w:rFonts w:ascii="Times New Roman" w:hAnsi="Times New Roman" w:cs="Times New Roman"/>
            <w:noProof/>
            <w:sz w:val="24"/>
            <w:szCs w:val="24"/>
          </w:rPr>
          <w:t>2</w:t>
        </w:r>
        <w:r w:rsidRPr="00FC00B3">
          <w:rPr>
            <w:rFonts w:ascii="Times New Roman" w:hAnsi="Times New Roman" w:cs="Times New Roman"/>
            <w:noProof/>
            <w:sz w:val="24"/>
            <w:szCs w:val="24"/>
          </w:rPr>
          <w:fldChar w:fldCharType="end"/>
        </w:r>
      </w:p>
    </w:sdtContent>
  </w:sdt>
  <w:p w14:paraId="427BB508" w14:textId="3E081B15" w:rsidR="009823F0" w:rsidRPr="00A17CDD" w:rsidRDefault="009823F0" w:rsidP="00A17CD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928F6" w14:textId="77777777" w:rsidR="009823F0" w:rsidRDefault="009823F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4B1ED" w14:textId="77777777" w:rsidR="009823F0" w:rsidRDefault="009823F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15793"/>
      <w:docPartObj>
        <w:docPartGallery w:val="Page Numbers (Bottom of Page)"/>
        <w:docPartUnique/>
      </w:docPartObj>
    </w:sdtPr>
    <w:sdtEndPr>
      <w:rPr>
        <w:noProof/>
      </w:rPr>
    </w:sdtEndPr>
    <w:sdtContent>
      <w:p w14:paraId="739458F8" w14:textId="77777777" w:rsidR="009823F0" w:rsidRDefault="009823F0">
        <w:pPr>
          <w:pStyle w:val="Footer"/>
          <w:jc w:val="center"/>
        </w:pPr>
        <w:r w:rsidRPr="00FC00B3">
          <w:rPr>
            <w:rFonts w:ascii="Times New Roman" w:hAnsi="Times New Roman" w:cs="Times New Roman"/>
          </w:rPr>
          <w:fldChar w:fldCharType="begin"/>
        </w:r>
        <w:r w:rsidRPr="00FC00B3">
          <w:rPr>
            <w:rFonts w:ascii="Times New Roman" w:hAnsi="Times New Roman" w:cs="Times New Roman"/>
          </w:rPr>
          <w:instrText xml:space="preserve"> PAGE   \* MERGEFORMAT </w:instrText>
        </w:r>
        <w:r w:rsidRPr="00FC00B3">
          <w:rPr>
            <w:rFonts w:ascii="Times New Roman" w:hAnsi="Times New Roman" w:cs="Times New Roman"/>
          </w:rPr>
          <w:fldChar w:fldCharType="separate"/>
        </w:r>
        <w:r w:rsidRPr="00FC00B3">
          <w:rPr>
            <w:rFonts w:ascii="Times New Roman" w:hAnsi="Times New Roman" w:cs="Times New Roman"/>
            <w:noProof/>
          </w:rPr>
          <w:t>10</w:t>
        </w:r>
        <w:r w:rsidRPr="00FC00B3">
          <w:rPr>
            <w:rFonts w:ascii="Times New Roman" w:hAnsi="Times New Roman" w:cs="Times New Roman"/>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50398" w14:textId="77777777" w:rsidR="009823F0" w:rsidRDefault="009823F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4228" w14:textId="77777777" w:rsidR="009823F0" w:rsidRDefault="009823F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781307"/>
      <w:docPartObj>
        <w:docPartGallery w:val="Page Numbers (Bottom of Page)"/>
        <w:docPartUnique/>
      </w:docPartObj>
    </w:sdtPr>
    <w:sdtEndPr>
      <w:rPr>
        <w:noProof/>
      </w:rPr>
    </w:sdtEndPr>
    <w:sdtContent>
      <w:p w14:paraId="70E3487E" w14:textId="77777777" w:rsidR="009823F0" w:rsidRDefault="009823F0">
        <w:pPr>
          <w:pStyle w:val="Footer"/>
          <w:jc w:val="center"/>
        </w:pPr>
        <w:r w:rsidRPr="00A17CDD">
          <w:rPr>
            <w:rFonts w:ascii="Times New Roman" w:hAnsi="Times New Roman" w:cs="Times New Roman"/>
          </w:rPr>
          <w:fldChar w:fldCharType="begin"/>
        </w:r>
        <w:r w:rsidRPr="00A17CDD">
          <w:rPr>
            <w:rFonts w:ascii="Times New Roman" w:hAnsi="Times New Roman" w:cs="Times New Roman"/>
          </w:rPr>
          <w:instrText xml:space="preserve"> PAGE   \* MERGEFORMAT </w:instrText>
        </w:r>
        <w:r w:rsidRPr="00A17CDD">
          <w:rPr>
            <w:rFonts w:ascii="Times New Roman" w:hAnsi="Times New Roman" w:cs="Times New Roman"/>
          </w:rPr>
          <w:fldChar w:fldCharType="separate"/>
        </w:r>
        <w:r w:rsidRPr="00A17CDD">
          <w:rPr>
            <w:rFonts w:ascii="Times New Roman" w:hAnsi="Times New Roman" w:cs="Times New Roman"/>
            <w:noProof/>
          </w:rPr>
          <w:t>11</w:t>
        </w:r>
        <w:r w:rsidRPr="00A17CDD">
          <w:rPr>
            <w:rFonts w:ascii="Times New Roman" w:hAnsi="Times New Roman" w:cs="Times New Roman"/>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72E0E" w14:textId="77777777" w:rsidR="009823F0" w:rsidRDefault="009823F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C18F8" w14:textId="77777777" w:rsidR="009823F0" w:rsidRDefault="009823F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983336"/>
      <w:docPartObj>
        <w:docPartGallery w:val="Page Numbers (Bottom of Page)"/>
        <w:docPartUnique/>
      </w:docPartObj>
    </w:sdtPr>
    <w:sdtEndPr>
      <w:rPr>
        <w:noProof/>
      </w:rPr>
    </w:sdtEndPr>
    <w:sdtContent>
      <w:p w14:paraId="4F5BE33B"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12</w:t>
        </w:r>
        <w:r w:rsidRPr="00A17CDD">
          <w:rPr>
            <w:rFonts w:ascii="Times New Roman" w:hAnsi="Times New Roman" w:cs="Times New Roman"/>
            <w:noProof/>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E8CE" w14:textId="77777777" w:rsidR="009823F0" w:rsidRDefault="009823F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2E1F5" w14:textId="77777777" w:rsidR="009823F0" w:rsidRDefault="009823F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960059"/>
      <w:docPartObj>
        <w:docPartGallery w:val="Page Numbers (Bottom of Page)"/>
        <w:docPartUnique/>
      </w:docPartObj>
    </w:sdtPr>
    <w:sdtEndPr>
      <w:rPr>
        <w:noProof/>
      </w:rPr>
    </w:sdtEndPr>
    <w:sdtContent>
      <w:p w14:paraId="71E822EE"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13</w:t>
        </w:r>
        <w:r w:rsidRPr="00A17CDD">
          <w:rPr>
            <w:rFonts w:ascii="Times New Roman" w:hAnsi="Times New Roman" w:cs="Times New Roman"/>
            <w:noProof/>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7B3E" w14:textId="77777777" w:rsidR="009823F0" w:rsidRDefault="009823F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A24D6" w14:textId="77777777" w:rsidR="009823F0" w:rsidRDefault="009823F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152335"/>
      <w:docPartObj>
        <w:docPartGallery w:val="Page Numbers (Bottom of Page)"/>
        <w:docPartUnique/>
      </w:docPartObj>
    </w:sdtPr>
    <w:sdtEndPr>
      <w:rPr>
        <w:noProof/>
      </w:rPr>
    </w:sdtEndPr>
    <w:sdtContent>
      <w:p w14:paraId="1BFA4C5E"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14</w:t>
        </w:r>
        <w:r w:rsidRPr="00A17CDD">
          <w:rPr>
            <w:rFonts w:ascii="Times New Roman" w:hAnsi="Times New Roman" w:cs="Times New Roman"/>
            <w:noProof/>
          </w:rP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FE8D" w14:textId="77777777" w:rsidR="009823F0" w:rsidRDefault="009823F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4158F" w14:textId="77777777" w:rsidR="009823F0" w:rsidRDefault="009823F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93928"/>
      <w:docPartObj>
        <w:docPartGallery w:val="Page Numbers (Bottom of Page)"/>
        <w:docPartUnique/>
      </w:docPartObj>
    </w:sdtPr>
    <w:sdtEndPr>
      <w:rPr>
        <w:noProof/>
      </w:rPr>
    </w:sdtEndPr>
    <w:sdtContent>
      <w:p w14:paraId="73F304EE"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15</w:t>
        </w:r>
        <w:r w:rsidRPr="00A17CDD">
          <w:rPr>
            <w:rFonts w:ascii="Times New Roman" w:hAnsi="Times New Roman" w:cs="Times New Roman"/>
            <w:noProof/>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A0501" w14:textId="77777777" w:rsidR="009823F0" w:rsidRDefault="009823F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666F" w14:textId="77777777" w:rsidR="009823F0" w:rsidRDefault="009823F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8356761"/>
      <w:docPartObj>
        <w:docPartGallery w:val="Page Numbers (Bottom of Page)"/>
        <w:docPartUnique/>
      </w:docPartObj>
    </w:sdtPr>
    <w:sdtEndPr>
      <w:rPr>
        <w:noProof/>
      </w:rPr>
    </w:sdtEndPr>
    <w:sdtContent>
      <w:p w14:paraId="00ACF972"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16</w:t>
        </w:r>
        <w:r w:rsidRPr="00A17CDD">
          <w:rPr>
            <w:rFonts w:ascii="Times New Roman" w:hAnsi="Times New Roman" w:cs="Times New Roman"/>
            <w:noProof/>
          </w:rP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D5E2E" w14:textId="77777777" w:rsidR="009823F0" w:rsidRDefault="009823F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BB00" w14:textId="77777777" w:rsidR="009823F0" w:rsidRDefault="009823F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4339308"/>
      <w:docPartObj>
        <w:docPartGallery w:val="Page Numbers (Bottom of Page)"/>
        <w:docPartUnique/>
      </w:docPartObj>
    </w:sdtPr>
    <w:sdtEndPr>
      <w:rPr>
        <w:noProof/>
      </w:rPr>
    </w:sdtEndPr>
    <w:sdtContent>
      <w:p w14:paraId="2307EFF8"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18</w:t>
        </w:r>
        <w:r w:rsidRPr="00A17CDD">
          <w:rPr>
            <w:rFonts w:ascii="Times New Roman" w:hAnsi="Times New Roman" w:cs="Times New Roman"/>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787BE" w14:textId="77777777" w:rsidR="009823F0" w:rsidRDefault="009823F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C148" w14:textId="77777777" w:rsidR="009823F0" w:rsidRDefault="009823F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530248"/>
      <w:docPartObj>
        <w:docPartGallery w:val="Page Numbers (Bottom of Page)"/>
        <w:docPartUnique/>
      </w:docPartObj>
    </w:sdtPr>
    <w:sdtEndPr>
      <w:rPr>
        <w:noProof/>
      </w:rPr>
    </w:sdtEndPr>
    <w:sdtContent>
      <w:p w14:paraId="26976912"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21</w:t>
        </w:r>
        <w:r w:rsidRPr="00A17CDD">
          <w:rPr>
            <w:rFonts w:ascii="Times New Roman" w:hAnsi="Times New Roman" w:cs="Times New Roman"/>
            <w:noProof/>
          </w:rPr>
          <w:fldChar w:fldCharType="end"/>
        </w:r>
      </w:p>
    </w:sdtContent>
  </w:sdt>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2B254" w14:textId="77777777" w:rsidR="009823F0" w:rsidRDefault="009823F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A2CA9" w14:textId="77777777" w:rsidR="009823F0" w:rsidRDefault="009823F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415745"/>
      <w:docPartObj>
        <w:docPartGallery w:val="Page Numbers (Bottom of Page)"/>
        <w:docPartUnique/>
      </w:docPartObj>
    </w:sdtPr>
    <w:sdtEndPr>
      <w:rPr>
        <w:noProof/>
      </w:rPr>
    </w:sdtEndPr>
    <w:sdtContent>
      <w:p w14:paraId="04368F4D"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22</w:t>
        </w:r>
        <w:r w:rsidRPr="00A17CDD">
          <w:rPr>
            <w:rFonts w:ascii="Times New Roman" w:hAnsi="Times New Roman" w:cs="Times New Roman"/>
            <w:noProof/>
          </w:rPr>
          <w:fldChar w:fldCharType="end"/>
        </w:r>
      </w:p>
    </w:sdtContent>
  </w:sdt>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E4DFA" w14:textId="77777777" w:rsidR="009823F0" w:rsidRDefault="009823F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34CB" w14:textId="77777777" w:rsidR="009823F0" w:rsidRDefault="009823F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85612"/>
      <w:docPartObj>
        <w:docPartGallery w:val="Page Numbers (Bottom of Page)"/>
        <w:docPartUnique/>
      </w:docPartObj>
    </w:sdtPr>
    <w:sdtEndPr>
      <w:rPr>
        <w:noProof/>
      </w:rPr>
    </w:sdtEndPr>
    <w:sdtContent>
      <w:p w14:paraId="145E565B"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24</w:t>
        </w:r>
        <w:r w:rsidRPr="00A17CDD">
          <w:rPr>
            <w:rFonts w:ascii="Times New Roman" w:hAnsi="Times New Roman" w:cs="Times New Roman"/>
            <w:noProof/>
          </w:rPr>
          <w:fldChar w:fldCharType="end"/>
        </w:r>
      </w:p>
    </w:sdtContent>
  </w:sdt>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2E0EF" w14:textId="77777777" w:rsidR="009823F0" w:rsidRDefault="009823F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D9E17" w14:textId="77777777" w:rsidR="009823F0" w:rsidRDefault="009823F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89118"/>
      <w:docPartObj>
        <w:docPartGallery w:val="Page Numbers (Bottom of Page)"/>
        <w:docPartUnique/>
      </w:docPartObj>
    </w:sdtPr>
    <w:sdtEndPr>
      <w:rPr>
        <w:noProof/>
      </w:rPr>
    </w:sdtEndPr>
    <w:sdtContent>
      <w:p w14:paraId="2BCB783B"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37</w:t>
        </w:r>
        <w:r w:rsidRPr="00A17CDD">
          <w:rPr>
            <w:rFonts w:ascii="Times New Roman" w:hAnsi="Times New Roman" w:cs="Times New Roman"/>
            <w:noProof/>
          </w:rPr>
          <w:fldChar w:fldCharType="end"/>
        </w:r>
      </w:p>
    </w:sdtContent>
  </w:sdt>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83A48" w14:textId="77777777" w:rsidR="009823F0" w:rsidRDefault="009823F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8C505" w14:textId="77777777" w:rsidR="009823F0" w:rsidRDefault="009823F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733897"/>
      <w:docPartObj>
        <w:docPartGallery w:val="Page Numbers (Bottom of Page)"/>
        <w:docPartUnique/>
      </w:docPartObj>
    </w:sdtPr>
    <w:sdtEndPr>
      <w:rPr>
        <w:noProof/>
      </w:rPr>
    </w:sdtEndPr>
    <w:sdtContent>
      <w:p w14:paraId="47F926C8"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40</w:t>
        </w:r>
        <w:r w:rsidRPr="00A17CDD">
          <w:rPr>
            <w:rFonts w:ascii="Times New Roman" w:hAnsi="Times New Roman" w:cs="Times New Roman"/>
            <w:noProof/>
          </w:rPr>
          <w:fldChar w:fldCharType="end"/>
        </w:r>
      </w:p>
    </w:sdtContent>
  </w:sdt>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F89EF" w14:textId="77777777" w:rsidR="009823F0" w:rsidRDefault="009823F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697EC" w14:textId="77777777" w:rsidR="009823F0" w:rsidRDefault="009823F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130048"/>
      <w:docPartObj>
        <w:docPartGallery w:val="Page Numbers (Bottom of Page)"/>
        <w:docPartUnique/>
      </w:docPartObj>
    </w:sdtPr>
    <w:sdtEndPr>
      <w:rPr>
        <w:noProof/>
      </w:rPr>
    </w:sdtEndPr>
    <w:sdtContent>
      <w:p w14:paraId="0B4E8EA5"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41</w:t>
        </w:r>
        <w:r w:rsidRPr="00A17CDD">
          <w:rPr>
            <w:rFonts w:ascii="Times New Roman" w:hAnsi="Times New Roman" w:cs="Times New Roman"/>
            <w:noProof/>
          </w:rPr>
          <w:fldChar w:fldCharType="end"/>
        </w:r>
      </w:p>
    </w:sdtContent>
  </w:sdt>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664F" w14:textId="77777777" w:rsidR="009823F0" w:rsidRDefault="009823F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396E1" w14:textId="77777777" w:rsidR="009823F0" w:rsidRDefault="009823F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042846"/>
      <w:docPartObj>
        <w:docPartGallery w:val="Page Numbers (Bottom of Page)"/>
        <w:docPartUnique/>
      </w:docPartObj>
    </w:sdtPr>
    <w:sdtEndPr>
      <w:rPr>
        <w:noProof/>
      </w:rPr>
    </w:sdtEndPr>
    <w:sdtContent>
      <w:p w14:paraId="14D0048C"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42</w:t>
        </w:r>
        <w:r w:rsidRPr="00A17CDD">
          <w:rPr>
            <w:rFonts w:ascii="Times New Roman" w:hAnsi="Times New Roman" w:cs="Times New Roman"/>
            <w:noProof/>
          </w:rPr>
          <w:fldChar w:fldCharType="end"/>
        </w:r>
      </w:p>
    </w:sdtContent>
  </w:sdt>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67A1E" w14:textId="77777777" w:rsidR="009823F0" w:rsidRDefault="009823F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F9DEA" w14:textId="77777777" w:rsidR="009823F0" w:rsidRDefault="009823F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095001"/>
      <w:docPartObj>
        <w:docPartGallery w:val="Page Numbers (Bottom of Page)"/>
        <w:docPartUnique/>
      </w:docPartObj>
    </w:sdtPr>
    <w:sdtEndPr>
      <w:rPr>
        <w:noProof/>
      </w:rPr>
    </w:sdtEndPr>
    <w:sdtContent>
      <w:p w14:paraId="10D07C49"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47</w:t>
        </w:r>
        <w:r w:rsidRPr="00A17CDD">
          <w:rPr>
            <w:rFonts w:ascii="Times New Roman" w:hAnsi="Times New Roman" w:cs="Times New Roman"/>
            <w:noProof/>
          </w:rPr>
          <w:fldChar w:fldCharType="end"/>
        </w:r>
      </w:p>
    </w:sdtContent>
  </w:sdt>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DD2B" w14:textId="77777777" w:rsidR="009823F0" w:rsidRDefault="009823F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4239B" w14:textId="77777777" w:rsidR="009823F0" w:rsidRDefault="009823F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227276"/>
      <w:docPartObj>
        <w:docPartGallery w:val="Page Numbers (Bottom of Page)"/>
        <w:docPartUnique/>
      </w:docPartObj>
    </w:sdtPr>
    <w:sdtEndPr>
      <w:rPr>
        <w:noProof/>
      </w:rPr>
    </w:sdtEndPr>
    <w:sdtContent>
      <w:p w14:paraId="3B37FC33"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47</w:t>
        </w:r>
        <w:r w:rsidRPr="00A17CDD">
          <w:rPr>
            <w:rFonts w:ascii="Times New Roman" w:hAnsi="Times New Roman" w:cs="Times New Roman"/>
            <w:noProof/>
          </w:rPr>
          <w:fldChar w:fldCharType="end"/>
        </w:r>
      </w:p>
    </w:sdtContent>
  </w:sdt>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D388" w14:textId="77777777" w:rsidR="009823F0" w:rsidRDefault="009823F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B745D" w14:textId="77777777" w:rsidR="009823F0" w:rsidRDefault="009823F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942413"/>
      <w:docPartObj>
        <w:docPartGallery w:val="Page Numbers (Bottom of Page)"/>
        <w:docPartUnique/>
      </w:docPartObj>
    </w:sdtPr>
    <w:sdtEndPr>
      <w:rPr>
        <w:noProof/>
      </w:rPr>
    </w:sdtEndPr>
    <w:sdtContent>
      <w:p w14:paraId="72C534AF" w14:textId="77777777" w:rsidR="009823F0" w:rsidRDefault="009823F0">
        <w:pPr>
          <w:pStyle w:val="Footer"/>
          <w:jc w:val="center"/>
        </w:pPr>
        <w:r w:rsidRPr="00C82A63">
          <w:rPr>
            <w:rFonts w:ascii="Times New Roman" w:hAnsi="Times New Roman" w:cs="Times New Roman"/>
            <w:noProof/>
          </w:rPr>
          <w:fldChar w:fldCharType="begin"/>
        </w:r>
        <w:r w:rsidRPr="00C82A63">
          <w:rPr>
            <w:rFonts w:ascii="Times New Roman" w:hAnsi="Times New Roman" w:cs="Times New Roman"/>
            <w:noProof/>
          </w:rPr>
          <w:instrText xml:space="preserve"> PAGE   \* MERGEFORMAT </w:instrText>
        </w:r>
        <w:r w:rsidRPr="00C82A63">
          <w:rPr>
            <w:rFonts w:ascii="Times New Roman" w:hAnsi="Times New Roman" w:cs="Times New Roman"/>
            <w:noProof/>
          </w:rPr>
          <w:fldChar w:fldCharType="separate"/>
        </w:r>
        <w:r w:rsidRPr="00C82A63">
          <w:rPr>
            <w:rFonts w:ascii="Times New Roman" w:hAnsi="Times New Roman" w:cs="Times New Roman"/>
            <w:noProof/>
          </w:rPr>
          <w:t>47</w:t>
        </w:r>
        <w:r w:rsidRPr="00C82A63">
          <w:rPr>
            <w:rFonts w:ascii="Times New Roman" w:hAnsi="Times New Roman" w:cs="Times New Roman"/>
            <w:noProof/>
          </w:rPr>
          <w:fldChar w:fldCharType="end"/>
        </w:r>
      </w:p>
    </w:sdtContent>
  </w:sdt>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81538" w14:textId="77777777" w:rsidR="009823F0" w:rsidRDefault="009823F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11B4D" w14:textId="77777777" w:rsidR="009823F0" w:rsidRDefault="009823F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776325"/>
      <w:docPartObj>
        <w:docPartGallery w:val="Page Numbers (Bottom of Page)"/>
        <w:docPartUnique/>
      </w:docPartObj>
    </w:sdtPr>
    <w:sdtEndPr>
      <w:rPr>
        <w:noProof/>
      </w:rPr>
    </w:sdtEndPr>
    <w:sdtContent>
      <w:p w14:paraId="6F76C18F" w14:textId="77777777" w:rsidR="009823F0" w:rsidRDefault="009823F0">
        <w:pPr>
          <w:pStyle w:val="Footer"/>
          <w:jc w:val="center"/>
        </w:pPr>
        <w:r w:rsidRPr="00C82A63">
          <w:rPr>
            <w:rFonts w:ascii="Times New Roman" w:hAnsi="Times New Roman" w:cs="Times New Roman"/>
          </w:rPr>
          <w:fldChar w:fldCharType="begin"/>
        </w:r>
        <w:r w:rsidRPr="00C82A63">
          <w:rPr>
            <w:rFonts w:ascii="Times New Roman" w:hAnsi="Times New Roman" w:cs="Times New Roman"/>
          </w:rPr>
          <w:instrText xml:space="preserve"> PAGE   \* MERGEFORMAT </w:instrText>
        </w:r>
        <w:r w:rsidRPr="00C82A63">
          <w:rPr>
            <w:rFonts w:ascii="Times New Roman" w:hAnsi="Times New Roman" w:cs="Times New Roman"/>
          </w:rPr>
          <w:fldChar w:fldCharType="separate"/>
        </w:r>
        <w:r w:rsidRPr="00C82A63">
          <w:rPr>
            <w:rFonts w:ascii="Times New Roman" w:hAnsi="Times New Roman" w:cs="Times New Roman"/>
            <w:noProof/>
          </w:rPr>
          <w:t>50</w:t>
        </w:r>
        <w:r w:rsidRPr="00C82A63">
          <w:rPr>
            <w:rFonts w:ascii="Times New Roman" w:hAnsi="Times New Roman" w:cs="Times New Roman"/>
            <w:noProof/>
          </w:rPr>
          <w:fldChar w:fldCharType="end"/>
        </w:r>
      </w:p>
    </w:sdtContent>
  </w:sdt>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67DC6" w14:textId="00DB92E4" w:rsidR="009823F0" w:rsidRDefault="009823F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2BE69" w14:textId="77777777" w:rsidR="009823F0" w:rsidRDefault="009823F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440744"/>
      <w:docPartObj>
        <w:docPartGallery w:val="Page Numbers (Bottom of Page)"/>
        <w:docPartUnique/>
      </w:docPartObj>
    </w:sdtPr>
    <w:sdtEndPr>
      <w:rPr>
        <w:noProof/>
      </w:rPr>
    </w:sdtEndPr>
    <w:sdtContent>
      <w:p w14:paraId="50CCDEFD" w14:textId="77777777" w:rsidR="009823F0" w:rsidRDefault="009823F0">
        <w:pPr>
          <w:pStyle w:val="Footer"/>
          <w:jc w:val="center"/>
        </w:pPr>
        <w:r w:rsidRPr="00A17CDD">
          <w:rPr>
            <w:rFonts w:ascii="Times New Roman" w:hAnsi="Times New Roman" w:cs="Times New Roman"/>
            <w:noProof/>
          </w:rPr>
          <w:fldChar w:fldCharType="begin"/>
        </w:r>
        <w:r w:rsidRPr="00A17CDD">
          <w:rPr>
            <w:rFonts w:ascii="Times New Roman" w:hAnsi="Times New Roman" w:cs="Times New Roman"/>
            <w:noProof/>
          </w:rPr>
          <w:instrText xml:space="preserve"> PAGE   \* MERGEFORMAT </w:instrText>
        </w:r>
        <w:r w:rsidRPr="00A17CDD">
          <w:rPr>
            <w:rFonts w:ascii="Times New Roman" w:hAnsi="Times New Roman" w:cs="Times New Roman"/>
            <w:noProof/>
          </w:rPr>
          <w:fldChar w:fldCharType="separate"/>
        </w:r>
        <w:r w:rsidRPr="00A17CDD">
          <w:rPr>
            <w:rFonts w:ascii="Times New Roman" w:hAnsi="Times New Roman" w:cs="Times New Roman"/>
            <w:noProof/>
          </w:rPr>
          <w:t>50</w:t>
        </w:r>
        <w:r w:rsidRPr="00A17CDD">
          <w:rPr>
            <w:rFonts w:ascii="Times New Roman" w:hAnsi="Times New Roman" w:cs="Times New Roman"/>
            <w:noProof/>
          </w:rPr>
          <w:fldChar w:fldCharType="end"/>
        </w:r>
      </w:p>
    </w:sdtContent>
  </w:sdt>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453AA" w14:textId="77777777" w:rsidR="009823F0" w:rsidRDefault="00982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4A218" w14:textId="77777777" w:rsidR="009823F0" w:rsidRDefault="009823F0" w:rsidP="009823F0">
      <w:pPr>
        <w:spacing w:after="0" w:line="240" w:lineRule="auto"/>
      </w:pPr>
      <w:r>
        <w:separator/>
      </w:r>
    </w:p>
  </w:footnote>
  <w:footnote w:type="continuationSeparator" w:id="0">
    <w:p w14:paraId="2C01F92A" w14:textId="77777777" w:rsidR="009823F0" w:rsidRDefault="009823F0" w:rsidP="009823F0">
      <w:pPr>
        <w:spacing w:after="0" w:line="240" w:lineRule="auto"/>
      </w:pPr>
      <w:r>
        <w:continuationSeparator/>
      </w:r>
    </w:p>
  </w:footnote>
  <w:footnote w:id="1">
    <w:p w14:paraId="7B5EAB76" w14:textId="77850D60" w:rsidR="009823F0" w:rsidRDefault="009823F0" w:rsidP="009823F0">
      <w:pPr>
        <w:pStyle w:val="FootnoteText"/>
      </w:pPr>
      <w:r>
        <w:rPr>
          <w:rStyle w:val="FootnoteReference"/>
        </w:rPr>
        <w:footnoteRef/>
      </w:r>
      <w:r>
        <w:t xml:space="preserve"> Source: European Environment Agency, greenhouse gases data viewer</w:t>
      </w:r>
      <w:r w:rsidR="00086787">
        <w:t>.</w:t>
      </w:r>
    </w:p>
  </w:footnote>
  <w:footnote w:id="2">
    <w:p w14:paraId="79E4C0A7" w14:textId="33C04B66" w:rsidR="009823F0" w:rsidRDefault="009823F0" w:rsidP="009823F0">
      <w:pPr>
        <w:pStyle w:val="NormalWeb"/>
        <w:spacing w:before="0" w:beforeAutospacing="0" w:after="0" w:afterAutospacing="0"/>
        <w:rPr>
          <w:sz w:val="20"/>
          <w:szCs w:val="20"/>
        </w:rPr>
      </w:pPr>
      <w:r>
        <w:rPr>
          <w:rStyle w:val="FootnoteReference"/>
          <w:sz w:val="20"/>
          <w:szCs w:val="20"/>
        </w:rPr>
        <w:footnoteRef/>
      </w:r>
      <w:r>
        <w:rPr>
          <w:sz w:val="20"/>
          <w:szCs w:val="20"/>
        </w:rPr>
        <w:t xml:space="preserve"> Directive (EU) 2019/1161 of the European Parliament and of the Council of 20</w:t>
      </w:r>
      <w:r w:rsidR="00086787" w:rsidRPr="00086787">
        <w:rPr>
          <w:sz w:val="20"/>
          <w:szCs w:val="20"/>
        </w:rPr>
        <w:t> </w:t>
      </w:r>
      <w:r>
        <w:rPr>
          <w:sz w:val="20"/>
          <w:szCs w:val="20"/>
        </w:rPr>
        <w:t>June</w:t>
      </w:r>
      <w:r w:rsidR="00086787" w:rsidRPr="00086787">
        <w:rPr>
          <w:sz w:val="20"/>
          <w:szCs w:val="20"/>
        </w:rPr>
        <w:t> </w:t>
      </w:r>
      <w:r>
        <w:rPr>
          <w:sz w:val="20"/>
          <w:szCs w:val="20"/>
        </w:rPr>
        <w:t>2019 amending Directive 2009/33/EC on the promotion of clean and energy-efficient road transport vehicles. OJ L 188, 12.7.2019, p. 116–130</w:t>
      </w:r>
      <w:r w:rsidR="00086787">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5424B" w14:textId="77777777" w:rsidR="00CB50F7" w:rsidRPr="00CB50F7" w:rsidRDefault="00CB50F7" w:rsidP="00CB50F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2ED53" w14:textId="77777777" w:rsidR="00CB50F7" w:rsidRPr="00CB50F7" w:rsidRDefault="00CB50F7" w:rsidP="00CB50F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05340" w14:textId="77777777" w:rsidR="00CB50F7" w:rsidRPr="00CB50F7" w:rsidRDefault="00CB50F7" w:rsidP="00CB50F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DBC1B" w14:textId="204EB72E" w:rsidR="009823F0" w:rsidRDefault="009823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D2A06" w14:textId="77777777" w:rsidR="009823F0" w:rsidRDefault="009823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FE7A4" w14:textId="77777777" w:rsidR="009823F0" w:rsidRDefault="009823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7BF1B" w14:textId="77777777" w:rsidR="009823F0" w:rsidRDefault="009823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0388F" w14:textId="77777777" w:rsidR="009823F0" w:rsidRDefault="009823F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C38A9" w14:textId="77777777" w:rsidR="009823F0" w:rsidRDefault="009823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2E988" w14:textId="77777777" w:rsidR="009823F0" w:rsidRDefault="009823F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318BB" w14:textId="77777777" w:rsidR="009823F0" w:rsidRDefault="009823F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97CE2" w14:textId="77777777" w:rsidR="009823F0" w:rsidRDefault="009823F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CDF6C" w14:textId="77777777" w:rsidR="009823F0" w:rsidRDefault="009823F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6CB61" w14:textId="77777777" w:rsidR="009823F0" w:rsidRDefault="009823F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ACF2" w14:textId="77777777" w:rsidR="009823F0" w:rsidRDefault="009823F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9A5AD" w14:textId="77777777" w:rsidR="009823F0" w:rsidRDefault="009823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B61C" w14:textId="77777777" w:rsidR="009823F0" w:rsidRDefault="009823F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9F75" w14:textId="77777777" w:rsidR="009823F0" w:rsidRDefault="009823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22129" w14:textId="77777777" w:rsidR="009823F0" w:rsidRDefault="009823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62C6" w14:textId="77777777" w:rsidR="009823F0" w:rsidRDefault="009823F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0D7E4" w14:textId="77777777" w:rsidR="009823F0" w:rsidRDefault="009823F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51CE8" w14:textId="77777777" w:rsidR="009823F0" w:rsidRDefault="009823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09CDE" w14:textId="77777777" w:rsidR="009823F0" w:rsidRDefault="009823F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B0189" w14:textId="77777777" w:rsidR="009823F0" w:rsidRDefault="009823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A26D3" w14:textId="77777777" w:rsidR="009823F0" w:rsidRDefault="009823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8C209" w14:textId="77777777" w:rsidR="009823F0" w:rsidRDefault="009823F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E5EDD" w14:textId="77777777" w:rsidR="009823F0" w:rsidRDefault="009823F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5F76D" w14:textId="77777777" w:rsidR="009823F0" w:rsidRDefault="009823F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1A4C2" w14:textId="77777777" w:rsidR="009823F0" w:rsidRDefault="009823F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58AA0" w14:textId="77777777" w:rsidR="009823F0" w:rsidRDefault="009823F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8CC15" w14:textId="77777777" w:rsidR="009823F0" w:rsidRDefault="009823F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35AEA" w14:textId="77777777" w:rsidR="009823F0" w:rsidRDefault="009823F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279BF" w14:textId="77777777" w:rsidR="009823F0" w:rsidRDefault="009823F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8ADFB" w14:textId="77777777" w:rsidR="009823F0" w:rsidRDefault="009823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33499" w14:textId="77777777" w:rsidR="009823F0" w:rsidRDefault="009823F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BE095" w14:textId="77777777" w:rsidR="009823F0" w:rsidRDefault="009823F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FE5CF" w14:textId="77777777" w:rsidR="009823F0" w:rsidRDefault="009823F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9077F" w14:textId="77777777" w:rsidR="009823F0" w:rsidRDefault="009823F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384DA" w14:textId="77777777" w:rsidR="009823F0" w:rsidRDefault="009823F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0E1CC" w14:textId="77777777" w:rsidR="009823F0" w:rsidRDefault="009823F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FB02F" w14:textId="77777777" w:rsidR="009823F0" w:rsidRDefault="009823F0">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482A4" w14:textId="77777777" w:rsidR="009823F0" w:rsidRDefault="009823F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7166" w14:textId="77777777" w:rsidR="009823F0" w:rsidRDefault="009823F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E8299" w14:textId="77777777" w:rsidR="009823F0" w:rsidRDefault="009823F0">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36BBC" w14:textId="77777777" w:rsidR="009823F0" w:rsidRDefault="009823F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BE297" w14:textId="77777777" w:rsidR="009823F0" w:rsidRDefault="009823F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9D9B" w14:textId="77777777" w:rsidR="009823F0" w:rsidRDefault="009823F0">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98E0F" w14:textId="77777777" w:rsidR="009823F0" w:rsidRDefault="009823F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73D34" w14:textId="77777777" w:rsidR="009823F0" w:rsidRDefault="009823F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715A1" w14:textId="77777777" w:rsidR="009823F0" w:rsidRDefault="009823F0">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99F0D" w14:textId="77777777" w:rsidR="009823F0" w:rsidRDefault="009823F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9246" w14:textId="77777777" w:rsidR="009823F0" w:rsidRDefault="009823F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1A20C" w14:textId="77777777" w:rsidR="009823F0" w:rsidRDefault="009823F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E26ED" w14:textId="77777777" w:rsidR="009823F0" w:rsidRDefault="009823F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7C93" w14:textId="77777777" w:rsidR="009823F0" w:rsidRDefault="009823F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2535E" w14:textId="77777777" w:rsidR="009823F0" w:rsidRDefault="009823F0">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D975A" w14:textId="77777777" w:rsidR="009823F0" w:rsidRDefault="009823F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3C5CD" w14:textId="77777777" w:rsidR="009823F0" w:rsidRDefault="009823F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63E3C" w14:textId="77777777" w:rsidR="009823F0" w:rsidRDefault="009823F0">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F082" w14:textId="77777777" w:rsidR="009823F0" w:rsidRDefault="009823F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4CA63" w14:textId="77777777" w:rsidR="009823F0" w:rsidRDefault="009823F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14B9D" w14:textId="77777777" w:rsidR="009823F0" w:rsidRDefault="009823F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4D1A" w14:textId="77777777" w:rsidR="009823F0" w:rsidRDefault="009823F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D9DB3" w14:textId="77777777" w:rsidR="009823F0" w:rsidRDefault="009823F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D6864" w14:textId="77777777" w:rsidR="009823F0" w:rsidRDefault="009823F0">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8F695" w14:textId="77777777" w:rsidR="009823F0" w:rsidRDefault="009823F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6182" w14:textId="77777777" w:rsidR="009823F0" w:rsidRDefault="009823F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E43B" w14:textId="77777777" w:rsidR="009823F0" w:rsidRDefault="009823F0">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7BB8A" w14:textId="77777777" w:rsidR="009823F0" w:rsidRDefault="009823F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0180D" w14:textId="77777777" w:rsidR="009823F0" w:rsidRDefault="009823F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5C18F" w14:textId="77777777" w:rsidR="009823F0" w:rsidRDefault="009823F0">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26B3B" w14:textId="77777777" w:rsidR="009823F0" w:rsidRDefault="009823F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72A4C" w14:textId="77777777" w:rsidR="009823F0" w:rsidRDefault="009823F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23CCF" w14:textId="77777777" w:rsidR="009823F0" w:rsidRDefault="009823F0">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6E5D" w14:textId="77777777" w:rsidR="009823F0" w:rsidRDefault="009823F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12500" w14:textId="77777777" w:rsidR="009823F0" w:rsidRDefault="009823F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08CD" w14:textId="77777777" w:rsidR="009823F0" w:rsidRDefault="009823F0">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4D8C" w14:textId="77777777" w:rsidR="009823F0" w:rsidRDefault="009823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0,62882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3140A8D"/>
    <w:multiLevelType w:val="hybridMultilevel"/>
    <w:tmpl w:val="D7F2FB3E"/>
    <w:lvl w:ilvl="0" w:tplc="9864DD8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num>
  <w:num w:numId="2">
    <w:abstractNumId w:val="10"/>
  </w:num>
  <w:num w:numId="3">
    <w:abstractNumId w:val="17"/>
  </w:num>
  <w:num w:numId="4">
    <w:abstractNumId w:val="8"/>
  </w:num>
  <w:num w:numId="5">
    <w:abstractNumId w:val="11"/>
  </w:num>
  <w:num w:numId="6">
    <w:abstractNumId w:val="6"/>
  </w:num>
  <w:num w:numId="7">
    <w:abstractNumId w:val="5"/>
  </w:num>
  <w:num w:numId="8">
    <w:abstractNumId w:val="12"/>
  </w:num>
  <w:num w:numId="9">
    <w:abstractNumId w:val="14"/>
  </w:num>
  <w:num w:numId="10">
    <w:abstractNumId w:val="15"/>
  </w:num>
  <w:num w:numId="11">
    <w:abstractNumId w:val="7"/>
  </w:num>
  <w:num w:numId="12">
    <w:abstractNumId w:val="13"/>
  </w:num>
  <w:num w:numId="13">
    <w:abstractNumId w:val="19"/>
  </w:num>
  <w:num w:numId="14">
    <w:abstractNumId w:val="4"/>
  </w:num>
  <w:num w:numId="15">
    <w:abstractNumId w:val="2"/>
  </w:num>
  <w:num w:numId="16">
    <w:abstractNumId w:val="1"/>
  </w:num>
  <w:num w:numId="17">
    <w:abstractNumId w:val="0"/>
  </w:num>
  <w:num w:numId="18">
    <w:abstractNumId w:val="3"/>
  </w:num>
  <w:num w:numId="19">
    <w:abstractNumId w:val="1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5A32D79A-7F38-4C79-92D9-7CEDB61D1B4A"/>
    <w:docVar w:name="LW_COVERPAGE_TYPE" w:val="1"/>
    <w:docVar w:name="LW_CROSSREFERENCE" w:val="{SWD(2026) 167 final}"/>
    <w:docVar w:name="LW_DocType" w:val="NORMAL"/>
    <w:docVar w:name="LW_EMISSION" w:val="18.6.2026"/>
    <w:docVar w:name="LW_EMISSION_ISODATE" w:val="2026-06-1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lt;FMT:Bold&gt;amending the Implementing Decision of 13 July 2021 on the approval of the assessment of the recovery and resilience plan for Luxembourg&lt;/FMT&gt;"/>
    <w:docVar w:name="LW_PART_NBR" w:val="1"/>
    <w:docVar w:name="LW_PART_NBR_TOTAL" w:val="1"/>
    <w:docVar w:name="LW_REF.INST.NEW" w:val="COM"/>
    <w:docVar w:name="LW_REF.INST.NEW_ADOPTED" w:val="final"/>
    <w:docVar w:name="LW_REF.INST.NEW_TEXT" w:val="(2026) 3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9823F0"/>
    <w:rsid w:val="000167A4"/>
    <w:rsid w:val="00016814"/>
    <w:rsid w:val="0003271F"/>
    <w:rsid w:val="0007763B"/>
    <w:rsid w:val="00086781"/>
    <w:rsid w:val="00086787"/>
    <w:rsid w:val="00093B99"/>
    <w:rsid w:val="000B2889"/>
    <w:rsid w:val="000D31C4"/>
    <w:rsid w:val="000E5ACC"/>
    <w:rsid w:val="000F2603"/>
    <w:rsid w:val="00105381"/>
    <w:rsid w:val="00112875"/>
    <w:rsid w:val="001233EA"/>
    <w:rsid w:val="00150784"/>
    <w:rsid w:val="001768BF"/>
    <w:rsid w:val="00176EBF"/>
    <w:rsid w:val="0018115A"/>
    <w:rsid w:val="00191256"/>
    <w:rsid w:val="00195C16"/>
    <w:rsid w:val="001A490D"/>
    <w:rsid w:val="001B7936"/>
    <w:rsid w:val="001C670D"/>
    <w:rsid w:val="0022140A"/>
    <w:rsid w:val="002231BB"/>
    <w:rsid w:val="002365D5"/>
    <w:rsid w:val="00254C2B"/>
    <w:rsid w:val="00260F2B"/>
    <w:rsid w:val="0028607F"/>
    <w:rsid w:val="002905BA"/>
    <w:rsid w:val="002B37FC"/>
    <w:rsid w:val="002C400C"/>
    <w:rsid w:val="002D2C3D"/>
    <w:rsid w:val="002E1712"/>
    <w:rsid w:val="00323B6F"/>
    <w:rsid w:val="003421F5"/>
    <w:rsid w:val="00342827"/>
    <w:rsid w:val="00342D38"/>
    <w:rsid w:val="003672B9"/>
    <w:rsid w:val="00370833"/>
    <w:rsid w:val="00376197"/>
    <w:rsid w:val="003874AE"/>
    <w:rsid w:val="00391F75"/>
    <w:rsid w:val="00394459"/>
    <w:rsid w:val="003A0728"/>
    <w:rsid w:val="003A5A0B"/>
    <w:rsid w:val="003B11C5"/>
    <w:rsid w:val="003B5207"/>
    <w:rsid w:val="00424458"/>
    <w:rsid w:val="00437FC8"/>
    <w:rsid w:val="00443C86"/>
    <w:rsid w:val="00465190"/>
    <w:rsid w:val="0048701D"/>
    <w:rsid w:val="00490F62"/>
    <w:rsid w:val="004B17AC"/>
    <w:rsid w:val="004E1C1A"/>
    <w:rsid w:val="004E5AB6"/>
    <w:rsid w:val="00500505"/>
    <w:rsid w:val="00506596"/>
    <w:rsid w:val="00576A5B"/>
    <w:rsid w:val="005B1D20"/>
    <w:rsid w:val="005C7143"/>
    <w:rsid w:val="005E3533"/>
    <w:rsid w:val="005F6D93"/>
    <w:rsid w:val="005F7341"/>
    <w:rsid w:val="0060048C"/>
    <w:rsid w:val="00604CBD"/>
    <w:rsid w:val="00612EED"/>
    <w:rsid w:val="00612F34"/>
    <w:rsid w:val="00623EF7"/>
    <w:rsid w:val="00625FD6"/>
    <w:rsid w:val="00632F2B"/>
    <w:rsid w:val="00656B0B"/>
    <w:rsid w:val="0066087F"/>
    <w:rsid w:val="007319A1"/>
    <w:rsid w:val="007328BA"/>
    <w:rsid w:val="0074643C"/>
    <w:rsid w:val="00751E39"/>
    <w:rsid w:val="00751FB1"/>
    <w:rsid w:val="00755BAA"/>
    <w:rsid w:val="00757371"/>
    <w:rsid w:val="00760B4D"/>
    <w:rsid w:val="00764BDB"/>
    <w:rsid w:val="007714AE"/>
    <w:rsid w:val="00787A60"/>
    <w:rsid w:val="0079352F"/>
    <w:rsid w:val="007D76E4"/>
    <w:rsid w:val="007E627A"/>
    <w:rsid w:val="007E72DC"/>
    <w:rsid w:val="008003B9"/>
    <w:rsid w:val="00817253"/>
    <w:rsid w:val="00834002"/>
    <w:rsid w:val="00843041"/>
    <w:rsid w:val="00845F25"/>
    <w:rsid w:val="00846E0F"/>
    <w:rsid w:val="00854B82"/>
    <w:rsid w:val="00857276"/>
    <w:rsid w:val="00882121"/>
    <w:rsid w:val="008879A2"/>
    <w:rsid w:val="00893413"/>
    <w:rsid w:val="008958EC"/>
    <w:rsid w:val="0089675E"/>
    <w:rsid w:val="008B0ACA"/>
    <w:rsid w:val="008B170E"/>
    <w:rsid w:val="008B666F"/>
    <w:rsid w:val="008E373E"/>
    <w:rsid w:val="008E3BF4"/>
    <w:rsid w:val="008E3E1F"/>
    <w:rsid w:val="00903498"/>
    <w:rsid w:val="00904334"/>
    <w:rsid w:val="00922B2F"/>
    <w:rsid w:val="00945A96"/>
    <w:rsid w:val="00946A78"/>
    <w:rsid w:val="009534A5"/>
    <w:rsid w:val="009814E8"/>
    <w:rsid w:val="009823F0"/>
    <w:rsid w:val="009D22CD"/>
    <w:rsid w:val="009E6941"/>
    <w:rsid w:val="009F7510"/>
    <w:rsid w:val="00A12871"/>
    <w:rsid w:val="00A1791B"/>
    <w:rsid w:val="00A17CDD"/>
    <w:rsid w:val="00A437B5"/>
    <w:rsid w:val="00A52CB9"/>
    <w:rsid w:val="00A54149"/>
    <w:rsid w:val="00A54481"/>
    <w:rsid w:val="00A8719C"/>
    <w:rsid w:val="00B43FBE"/>
    <w:rsid w:val="00B93CCC"/>
    <w:rsid w:val="00B9453F"/>
    <w:rsid w:val="00BB260C"/>
    <w:rsid w:val="00BC4C0E"/>
    <w:rsid w:val="00BD2985"/>
    <w:rsid w:val="00BE49E5"/>
    <w:rsid w:val="00C0691D"/>
    <w:rsid w:val="00C14EA0"/>
    <w:rsid w:val="00C16C6C"/>
    <w:rsid w:val="00C215B9"/>
    <w:rsid w:val="00C27AD6"/>
    <w:rsid w:val="00C42D72"/>
    <w:rsid w:val="00C64DF4"/>
    <w:rsid w:val="00C82A63"/>
    <w:rsid w:val="00C82DC3"/>
    <w:rsid w:val="00CB50F7"/>
    <w:rsid w:val="00CB62DD"/>
    <w:rsid w:val="00D14094"/>
    <w:rsid w:val="00D16AB8"/>
    <w:rsid w:val="00D176F4"/>
    <w:rsid w:val="00D333BB"/>
    <w:rsid w:val="00D47F7F"/>
    <w:rsid w:val="00D64890"/>
    <w:rsid w:val="00D80587"/>
    <w:rsid w:val="00D85BA1"/>
    <w:rsid w:val="00DB0376"/>
    <w:rsid w:val="00DC61B0"/>
    <w:rsid w:val="00E11E3D"/>
    <w:rsid w:val="00E22B0C"/>
    <w:rsid w:val="00EA0D33"/>
    <w:rsid w:val="00EA0E9C"/>
    <w:rsid w:val="00EB7B1F"/>
    <w:rsid w:val="00ED467C"/>
    <w:rsid w:val="00EE2C7A"/>
    <w:rsid w:val="00EE3E6A"/>
    <w:rsid w:val="00F056C6"/>
    <w:rsid w:val="00F21D85"/>
    <w:rsid w:val="00F25E48"/>
    <w:rsid w:val="00F406B7"/>
    <w:rsid w:val="00F51817"/>
    <w:rsid w:val="00F90EBD"/>
    <w:rsid w:val="00FA79F6"/>
    <w:rsid w:val="00FC00B3"/>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DDD23"/>
  <w15:chartTrackingRefBased/>
  <w15:docId w15:val="{8F4DA695-E7C2-4404-B9FD-FBCF048D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2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2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23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823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3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3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3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3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3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2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23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823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3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3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3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3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3F0"/>
    <w:rPr>
      <w:rFonts w:eastAsiaTheme="majorEastAsia" w:cstheme="majorBidi"/>
      <w:color w:val="272727" w:themeColor="text1" w:themeTint="D8"/>
    </w:rPr>
  </w:style>
  <w:style w:type="paragraph" w:styleId="Title">
    <w:name w:val="Title"/>
    <w:basedOn w:val="Normal"/>
    <w:next w:val="Normal"/>
    <w:link w:val="TitleChar"/>
    <w:uiPriority w:val="10"/>
    <w:qFormat/>
    <w:rsid w:val="00982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3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3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3F0"/>
    <w:pPr>
      <w:spacing w:before="160"/>
      <w:jc w:val="center"/>
    </w:pPr>
    <w:rPr>
      <w:i/>
      <w:iCs/>
      <w:color w:val="404040" w:themeColor="text1" w:themeTint="BF"/>
    </w:rPr>
  </w:style>
  <w:style w:type="character" w:customStyle="1" w:styleId="QuoteChar">
    <w:name w:val="Quote Char"/>
    <w:basedOn w:val="DefaultParagraphFont"/>
    <w:link w:val="Quote"/>
    <w:uiPriority w:val="29"/>
    <w:rsid w:val="009823F0"/>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9823F0"/>
    <w:pPr>
      <w:ind w:left="720"/>
      <w:contextualSpacing/>
    </w:pPr>
  </w:style>
  <w:style w:type="character" w:styleId="IntenseEmphasis">
    <w:name w:val="Intense Emphasis"/>
    <w:basedOn w:val="DefaultParagraphFont"/>
    <w:uiPriority w:val="21"/>
    <w:qFormat/>
    <w:rsid w:val="009823F0"/>
    <w:rPr>
      <w:i/>
      <w:iCs/>
      <w:color w:val="0F4761" w:themeColor="accent1" w:themeShade="BF"/>
    </w:rPr>
  </w:style>
  <w:style w:type="paragraph" w:styleId="IntenseQuote">
    <w:name w:val="Intense Quote"/>
    <w:basedOn w:val="Normal"/>
    <w:next w:val="Normal"/>
    <w:link w:val="IntenseQuoteChar"/>
    <w:uiPriority w:val="30"/>
    <w:qFormat/>
    <w:rsid w:val="00982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3F0"/>
    <w:rPr>
      <w:i/>
      <w:iCs/>
      <w:color w:val="0F4761" w:themeColor="accent1" w:themeShade="BF"/>
    </w:rPr>
  </w:style>
  <w:style w:type="character" w:styleId="IntenseReference">
    <w:name w:val="Intense Reference"/>
    <w:basedOn w:val="DefaultParagraphFont"/>
    <w:uiPriority w:val="32"/>
    <w:qFormat/>
    <w:rsid w:val="009823F0"/>
    <w:rPr>
      <w:b/>
      <w:bCs/>
      <w:smallCaps/>
      <w:color w:val="0F4761" w:themeColor="accent1" w:themeShade="BF"/>
      <w:spacing w:val="5"/>
    </w:rPr>
  </w:style>
  <w:style w:type="character" w:customStyle="1" w:styleId="Marker">
    <w:name w:val="Marker"/>
    <w:basedOn w:val="DefaultParagraphFont"/>
    <w:rsid w:val="009823F0"/>
    <w:rPr>
      <w:color w:val="0000FF"/>
      <w:shd w:val="clear" w:color="auto" w:fill="auto"/>
    </w:rPr>
  </w:style>
  <w:style w:type="paragraph" w:styleId="Header">
    <w:name w:val="header"/>
    <w:basedOn w:val="Normal"/>
    <w:link w:val="HeaderChar"/>
    <w:uiPriority w:val="99"/>
    <w:unhideWhenUsed/>
    <w:rsid w:val="009823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23F0"/>
  </w:style>
  <w:style w:type="paragraph" w:styleId="Footer">
    <w:name w:val="footer"/>
    <w:basedOn w:val="Normal"/>
    <w:link w:val="FooterChar"/>
    <w:uiPriority w:val="99"/>
    <w:unhideWhenUsed/>
    <w:rsid w:val="00982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23F0"/>
  </w:style>
  <w:style w:type="paragraph" w:customStyle="1" w:styleId="Pagedecouverture">
    <w:name w:val="Page de couverture"/>
    <w:basedOn w:val="Normal"/>
    <w:next w:val="Normal"/>
    <w:rsid w:val="009823F0"/>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823F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823F0"/>
    <w:rPr>
      <w:rFonts w:ascii="Times New Roman" w:hAnsi="Times New Roman" w:cs="Times New Roman"/>
      <w:sz w:val="24"/>
    </w:rPr>
  </w:style>
  <w:style w:type="paragraph" w:customStyle="1" w:styleId="FooterSensitivity">
    <w:name w:val="Footer Sensitivity"/>
    <w:basedOn w:val="Normal"/>
    <w:link w:val="FooterSensitivityChar"/>
    <w:rsid w:val="009823F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823F0"/>
    <w:rPr>
      <w:rFonts w:ascii="Times New Roman" w:hAnsi="Times New Roman" w:cs="Times New Roman"/>
      <w:b/>
      <w:sz w:val="32"/>
    </w:rPr>
  </w:style>
  <w:style w:type="paragraph" w:customStyle="1" w:styleId="HeaderCoverPage">
    <w:name w:val="Header Cover Page"/>
    <w:basedOn w:val="Normal"/>
    <w:link w:val="HeaderCoverPageChar"/>
    <w:rsid w:val="009823F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823F0"/>
    <w:rPr>
      <w:rFonts w:ascii="Times New Roman" w:hAnsi="Times New Roman" w:cs="Times New Roman"/>
      <w:sz w:val="24"/>
    </w:rPr>
  </w:style>
  <w:style w:type="paragraph" w:customStyle="1" w:styleId="HeaderSensitivity">
    <w:name w:val="Header Sensitivity"/>
    <w:basedOn w:val="Normal"/>
    <w:link w:val="HeaderSensitivityChar"/>
    <w:rsid w:val="009823F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823F0"/>
    <w:rPr>
      <w:rFonts w:ascii="Times New Roman" w:hAnsi="Times New Roman" w:cs="Times New Roman"/>
      <w:b/>
      <w:sz w:val="32"/>
    </w:rPr>
  </w:style>
  <w:style w:type="paragraph" w:customStyle="1" w:styleId="HeaderSensitivityRight">
    <w:name w:val="Header Sensitivity Right"/>
    <w:basedOn w:val="Normal"/>
    <w:link w:val="HeaderSensitivityRightChar"/>
    <w:rsid w:val="009823F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823F0"/>
    <w:rPr>
      <w:rFonts w:ascii="Times New Roman" w:hAnsi="Times New Roman" w:cs="Times New Roman"/>
      <w:sz w:val="28"/>
    </w:rPr>
  </w:style>
  <w:style w:type="paragraph" w:customStyle="1" w:styleId="TechnicalBlockBase">
    <w:name w:val="TechnicalBlockBase"/>
    <w:link w:val="TechnicalBlockBaseChar"/>
    <w:rsid w:val="009823F0"/>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TechnicalBlockBaseChar">
    <w:name w:val="TechnicalBlockBase Char"/>
    <w:basedOn w:val="EntInstitChar"/>
    <w:link w:val="TechnicalBlockBase"/>
    <w:rsid w:val="009823F0"/>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9823F0"/>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9823F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9823F0"/>
    <w:pPr>
      <w:tabs>
        <w:tab w:val="left" w:pos="2262"/>
      </w:tabs>
    </w:pPr>
    <w:rPr>
      <w:i/>
      <w:iCs/>
      <w:szCs w:val="23"/>
    </w:rPr>
  </w:style>
  <w:style w:type="paragraph" w:customStyle="1" w:styleId="TBEntACP">
    <w:name w:val="TBEntACP"/>
    <w:basedOn w:val="TechnicalBlockBase"/>
    <w:rsid w:val="009823F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9823F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9823F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9823F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9823F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823F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823F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823F0"/>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9823F0"/>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9823F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9823F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9823F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9823F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9823F0"/>
    <w:pPr>
      <w:widowControl/>
      <w:spacing w:before="40" w:after="40" w:line="240" w:lineRule="auto"/>
      <w:ind w:left="0" w:right="0"/>
    </w:pPr>
    <w:rPr>
      <w:rFonts w:ascii="Arial" w:hAnsi="Arial"/>
      <w:b w:val="0"/>
      <w:i w:val="0"/>
      <w:dstrike w:val="0"/>
      <w:color w:val="auto"/>
      <w:w w:val="100"/>
      <w:sz w:val="23"/>
      <w:u w:val="none"/>
    </w:rPr>
  </w:style>
  <w:style w:type="paragraph" w:customStyle="1" w:styleId="EntText">
    <w:name w:val="EntText"/>
    <w:basedOn w:val="Normal"/>
    <w:uiPriority w:val="99"/>
    <w:unhideWhenUsed/>
    <w:rsid w:val="009823F0"/>
    <w:pPr>
      <w:spacing w:after="200" w:line="360" w:lineRule="auto"/>
    </w:pPr>
    <w:rPr>
      <w:rFonts w:ascii="Times New Roman" w:hAnsi="Times New Roman"/>
      <w:kern w:val="0"/>
      <w:sz w:val="24"/>
      <w:lang w:val="en-GB"/>
    </w:rPr>
  </w:style>
  <w:style w:type="paragraph" w:customStyle="1" w:styleId="Lignefinal">
    <w:name w:val="Ligne final"/>
    <w:basedOn w:val="Normal"/>
    <w:uiPriority w:val="99"/>
    <w:unhideWhenUsed/>
    <w:rsid w:val="009823F0"/>
    <w:pPr>
      <w:pBdr>
        <w:bottom w:val="single" w:sz="4" w:space="0" w:color="000000"/>
      </w:pBdr>
      <w:spacing w:before="360" w:after="120" w:line="276" w:lineRule="auto"/>
      <w:ind w:left="3400" w:right="3400"/>
      <w:jc w:val="center"/>
    </w:pPr>
    <w:rPr>
      <w:rFonts w:ascii="Times New Roman" w:hAnsi="Times New Roman"/>
      <w:kern w:val="0"/>
      <w:lang w:val="en-GB"/>
    </w:rPr>
  </w:style>
  <w:style w:type="paragraph" w:customStyle="1" w:styleId="pj">
    <w:name w:val="p.j."/>
    <w:basedOn w:val="Normal"/>
    <w:uiPriority w:val="99"/>
    <w:unhideWhenUsed/>
    <w:rsid w:val="009823F0"/>
    <w:pPr>
      <w:spacing w:before="1200" w:after="120" w:line="276" w:lineRule="auto"/>
      <w:ind w:left="1440" w:hanging="1440"/>
    </w:pPr>
    <w:rPr>
      <w:rFonts w:ascii="Times New Roman" w:hAnsi="Times New Roman"/>
      <w:kern w:val="0"/>
      <w:sz w:val="24"/>
      <w:lang w:val="en-GB"/>
    </w:rPr>
  </w:style>
  <w:style w:type="paragraph" w:customStyle="1" w:styleId="HeaderCouncil">
    <w:name w:val="Header Council"/>
    <w:basedOn w:val="Normal"/>
    <w:uiPriority w:val="99"/>
    <w:unhideWhenUsed/>
    <w:rsid w:val="009823F0"/>
    <w:pPr>
      <w:spacing w:after="0" w:line="276" w:lineRule="auto"/>
    </w:pPr>
    <w:rPr>
      <w:rFonts w:ascii="Times New Roman" w:hAnsi="Times New Roman"/>
      <w:kern w:val="0"/>
      <w:sz w:val="2"/>
      <w:lang w:val="en-GB"/>
    </w:rPr>
  </w:style>
  <w:style w:type="paragraph" w:customStyle="1" w:styleId="HeaderCouncilLarge">
    <w:name w:val="Header Council Large"/>
    <w:basedOn w:val="Normal"/>
    <w:uiPriority w:val="99"/>
    <w:unhideWhenUsed/>
    <w:rsid w:val="009823F0"/>
    <w:pPr>
      <w:spacing w:after="440" w:line="276" w:lineRule="auto"/>
    </w:pPr>
    <w:rPr>
      <w:rFonts w:ascii="Times New Roman" w:hAnsi="Times New Roman"/>
      <w:kern w:val="0"/>
      <w:sz w:val="2"/>
      <w:lang w:val="en-GB"/>
    </w:rPr>
  </w:style>
  <w:style w:type="paragraph" w:customStyle="1" w:styleId="FooterCouncil">
    <w:name w:val="Footer Council"/>
    <w:basedOn w:val="Normal"/>
    <w:uiPriority w:val="99"/>
    <w:unhideWhenUsed/>
    <w:rsid w:val="009823F0"/>
    <w:pPr>
      <w:spacing w:after="0" w:line="276" w:lineRule="auto"/>
    </w:pPr>
    <w:rPr>
      <w:rFonts w:ascii="Times New Roman" w:hAnsi="Times New Roman"/>
      <w:kern w:val="0"/>
      <w:sz w:val="2"/>
      <w:lang w:val="en-GB"/>
    </w:rPr>
  </w:style>
  <w:style w:type="paragraph" w:customStyle="1" w:styleId="FooterText">
    <w:name w:val="Footer Text"/>
    <w:basedOn w:val="Normal"/>
    <w:uiPriority w:val="99"/>
    <w:unhideWhenUsed/>
    <w:rsid w:val="009823F0"/>
    <w:pPr>
      <w:spacing w:after="0" w:line="240" w:lineRule="auto"/>
    </w:pPr>
    <w:rPr>
      <w:rFonts w:ascii="Times New Roman" w:hAnsi="Times New Roman"/>
      <w:kern w:val="0"/>
      <w:sz w:val="24"/>
      <w:lang w:val="en-GB"/>
    </w:rPr>
  </w:style>
  <w:style w:type="numbering" w:customStyle="1" w:styleId="NoList1">
    <w:name w:val="No List1"/>
    <w:next w:val="NoList"/>
    <w:uiPriority w:val="99"/>
    <w:semiHidden/>
    <w:unhideWhenUsed/>
    <w:rsid w:val="009823F0"/>
  </w:style>
  <w:style w:type="paragraph" w:styleId="FootnoteText">
    <w:name w:val="footnote text"/>
    <w:basedOn w:val="Normal"/>
    <w:link w:val="FootnoteTextChar"/>
    <w:uiPriority w:val="99"/>
    <w:semiHidden/>
    <w:unhideWhenUsed/>
    <w:rsid w:val="009823F0"/>
    <w:pPr>
      <w:spacing w:after="0" w:line="240" w:lineRule="auto"/>
      <w:ind w:left="720" w:hanging="720"/>
      <w:jc w:val="both"/>
    </w:pPr>
    <w:rPr>
      <w:rFonts w:ascii="Times New Roman" w:hAnsi="Times New Roman" w:cs="Times New Roman"/>
      <w:kern w:val="0"/>
      <w:sz w:val="20"/>
      <w:szCs w:val="20"/>
      <w:lang w:val="en-GB"/>
    </w:rPr>
  </w:style>
  <w:style w:type="character" w:customStyle="1" w:styleId="FootnoteTextChar">
    <w:name w:val="Footnote Text Char"/>
    <w:basedOn w:val="DefaultParagraphFont"/>
    <w:link w:val="FootnoteText"/>
    <w:uiPriority w:val="99"/>
    <w:semiHidden/>
    <w:rsid w:val="009823F0"/>
    <w:rPr>
      <w:rFonts w:ascii="Times New Roman" w:hAnsi="Times New Roman" w:cs="Times New Roman"/>
      <w:kern w:val="0"/>
      <w:sz w:val="20"/>
      <w:szCs w:val="20"/>
      <w:lang w:val="en-GB"/>
    </w:rPr>
  </w:style>
  <w:style w:type="paragraph" w:styleId="TOCHeading">
    <w:name w:val="TOC Heading"/>
    <w:basedOn w:val="Normal"/>
    <w:next w:val="Normal"/>
    <w:uiPriority w:val="39"/>
    <w:semiHidden/>
    <w:unhideWhenUsed/>
    <w:qFormat/>
    <w:rsid w:val="009823F0"/>
    <w:pPr>
      <w:spacing w:before="120" w:after="240" w:line="240" w:lineRule="auto"/>
      <w:jc w:val="center"/>
    </w:pPr>
    <w:rPr>
      <w:rFonts w:ascii="Times New Roman" w:hAnsi="Times New Roman" w:cs="Times New Roman"/>
      <w:b/>
      <w:kern w:val="0"/>
      <w:sz w:val="28"/>
      <w:lang w:val="en-GB"/>
    </w:rPr>
  </w:style>
  <w:style w:type="paragraph" w:styleId="TOC1">
    <w:name w:val="toc 1"/>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2">
    <w:name w:val="toc 2"/>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3">
    <w:name w:val="toc 3"/>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4">
    <w:name w:val="toc 4"/>
    <w:basedOn w:val="Normal"/>
    <w:next w:val="Normal"/>
    <w:uiPriority w:val="39"/>
    <w:semiHidden/>
    <w:unhideWhenUsed/>
    <w:rsid w:val="009823F0"/>
    <w:pPr>
      <w:tabs>
        <w:tab w:val="right" w:leader="dot" w:pos="9071"/>
      </w:tabs>
      <w:spacing w:before="60" w:after="120" w:line="240" w:lineRule="auto"/>
      <w:ind w:left="850" w:hanging="850"/>
    </w:pPr>
    <w:rPr>
      <w:rFonts w:ascii="Times New Roman" w:hAnsi="Times New Roman" w:cs="Times New Roman"/>
      <w:kern w:val="0"/>
      <w:sz w:val="24"/>
      <w:lang w:val="en-GB"/>
    </w:rPr>
  </w:style>
  <w:style w:type="paragraph" w:styleId="TOC5">
    <w:name w:val="toc 5"/>
    <w:basedOn w:val="Normal"/>
    <w:next w:val="Normal"/>
    <w:uiPriority w:val="39"/>
    <w:semiHidden/>
    <w:unhideWhenUsed/>
    <w:rsid w:val="009823F0"/>
    <w:pPr>
      <w:tabs>
        <w:tab w:val="right" w:leader="dot" w:pos="9071"/>
      </w:tabs>
      <w:spacing w:before="300" w:after="120" w:line="240" w:lineRule="auto"/>
    </w:pPr>
    <w:rPr>
      <w:rFonts w:ascii="Times New Roman" w:hAnsi="Times New Roman" w:cs="Times New Roman"/>
      <w:kern w:val="0"/>
      <w:sz w:val="24"/>
      <w:lang w:val="en-GB"/>
    </w:rPr>
  </w:style>
  <w:style w:type="paragraph" w:styleId="TOC6">
    <w:name w:val="toc 6"/>
    <w:basedOn w:val="Normal"/>
    <w:next w:val="Normal"/>
    <w:uiPriority w:val="39"/>
    <w:semiHidden/>
    <w:unhideWhenUsed/>
    <w:rsid w:val="009823F0"/>
    <w:pPr>
      <w:tabs>
        <w:tab w:val="right" w:leader="dot" w:pos="9071"/>
      </w:tabs>
      <w:spacing w:before="240" w:after="120" w:line="240" w:lineRule="auto"/>
    </w:pPr>
    <w:rPr>
      <w:rFonts w:ascii="Times New Roman" w:hAnsi="Times New Roman" w:cs="Times New Roman"/>
      <w:kern w:val="0"/>
      <w:sz w:val="24"/>
      <w:lang w:val="en-GB"/>
    </w:rPr>
  </w:style>
  <w:style w:type="paragraph" w:styleId="TOC7">
    <w:name w:val="toc 7"/>
    <w:basedOn w:val="Normal"/>
    <w:next w:val="Normal"/>
    <w:uiPriority w:val="39"/>
    <w:semiHidden/>
    <w:unhideWhenUsed/>
    <w:rsid w:val="009823F0"/>
    <w:pPr>
      <w:tabs>
        <w:tab w:val="right" w:leader="dot" w:pos="9071"/>
      </w:tabs>
      <w:spacing w:before="180" w:after="120" w:line="240" w:lineRule="auto"/>
    </w:pPr>
    <w:rPr>
      <w:rFonts w:ascii="Times New Roman" w:hAnsi="Times New Roman" w:cs="Times New Roman"/>
      <w:kern w:val="0"/>
      <w:sz w:val="24"/>
      <w:lang w:val="en-GB"/>
    </w:rPr>
  </w:style>
  <w:style w:type="paragraph" w:styleId="TOC8">
    <w:name w:val="toc 8"/>
    <w:basedOn w:val="Normal"/>
    <w:next w:val="Normal"/>
    <w:uiPriority w:val="39"/>
    <w:semiHidden/>
    <w:unhideWhenUsed/>
    <w:rsid w:val="009823F0"/>
    <w:pPr>
      <w:tabs>
        <w:tab w:val="right" w:leader="dot" w:pos="9071"/>
      </w:tabs>
      <w:spacing w:before="120" w:after="120" w:line="240" w:lineRule="auto"/>
    </w:pPr>
    <w:rPr>
      <w:rFonts w:ascii="Times New Roman" w:hAnsi="Times New Roman" w:cs="Times New Roman"/>
      <w:kern w:val="0"/>
      <w:sz w:val="24"/>
      <w:lang w:val="en-GB"/>
    </w:rPr>
  </w:style>
  <w:style w:type="paragraph" w:styleId="TOC9">
    <w:name w:val="toc 9"/>
    <w:basedOn w:val="Normal"/>
    <w:next w:val="Normal"/>
    <w:uiPriority w:val="39"/>
    <w:semiHidden/>
    <w:unhideWhenUsed/>
    <w:rsid w:val="009823F0"/>
    <w:pPr>
      <w:tabs>
        <w:tab w:val="right" w:leader="dot" w:pos="9071"/>
      </w:tabs>
      <w:spacing w:before="120" w:after="120" w:line="240" w:lineRule="auto"/>
      <w:jc w:val="both"/>
    </w:pPr>
    <w:rPr>
      <w:rFonts w:ascii="Times New Roman" w:hAnsi="Times New Roman" w:cs="Times New Roman"/>
      <w:kern w:val="0"/>
      <w:sz w:val="24"/>
      <w:lang w:val="en-GB"/>
    </w:rPr>
  </w:style>
  <w:style w:type="paragraph" w:customStyle="1" w:styleId="HeaderLandscape">
    <w:name w:val="HeaderLandscape"/>
    <w:basedOn w:val="Normal"/>
    <w:rsid w:val="009823F0"/>
    <w:pPr>
      <w:tabs>
        <w:tab w:val="center" w:pos="7285"/>
        <w:tab w:val="right" w:pos="14003"/>
      </w:tabs>
      <w:spacing w:after="120" w:line="240" w:lineRule="auto"/>
      <w:jc w:val="both"/>
    </w:pPr>
    <w:rPr>
      <w:rFonts w:ascii="Times New Roman" w:hAnsi="Times New Roman" w:cs="Times New Roman"/>
      <w:kern w:val="0"/>
      <w:sz w:val="24"/>
      <w:lang w:val="en-GB"/>
    </w:rPr>
  </w:style>
  <w:style w:type="paragraph" w:customStyle="1" w:styleId="FooterLandscape">
    <w:name w:val="FooterLandscape"/>
    <w:basedOn w:val="Normal"/>
    <w:rsid w:val="009823F0"/>
    <w:pPr>
      <w:tabs>
        <w:tab w:val="center" w:pos="7285"/>
        <w:tab w:val="center" w:pos="10913"/>
        <w:tab w:val="right" w:pos="15137"/>
      </w:tabs>
      <w:spacing w:before="360" w:after="0" w:line="240" w:lineRule="auto"/>
      <w:ind w:left="-567" w:right="-567"/>
    </w:pPr>
    <w:rPr>
      <w:rFonts w:ascii="Times New Roman" w:hAnsi="Times New Roman" w:cs="Times New Roman"/>
      <w:kern w:val="0"/>
      <w:sz w:val="24"/>
      <w:lang w:val="en-GB"/>
    </w:rPr>
  </w:style>
  <w:style w:type="character" w:styleId="FootnoteReference">
    <w:name w:val="footnote reference"/>
    <w:basedOn w:val="DefaultParagraphFont"/>
    <w:uiPriority w:val="99"/>
    <w:semiHidden/>
    <w:unhideWhenUsed/>
    <w:rsid w:val="009823F0"/>
    <w:rPr>
      <w:shd w:val="clear" w:color="auto" w:fill="auto"/>
      <w:vertAlign w:val="superscript"/>
    </w:rPr>
  </w:style>
  <w:style w:type="paragraph" w:customStyle="1" w:styleId="Text1">
    <w:name w:val="Text 1"/>
    <w:basedOn w:val="Normal"/>
    <w:rsid w:val="009823F0"/>
    <w:pPr>
      <w:spacing w:before="120" w:after="120" w:line="240" w:lineRule="auto"/>
      <w:ind w:left="850"/>
      <w:jc w:val="both"/>
    </w:pPr>
    <w:rPr>
      <w:rFonts w:ascii="Times New Roman" w:hAnsi="Times New Roman" w:cs="Times New Roman"/>
      <w:kern w:val="0"/>
      <w:sz w:val="24"/>
      <w:lang w:val="en-GB"/>
    </w:rPr>
  </w:style>
  <w:style w:type="paragraph" w:customStyle="1" w:styleId="Text2">
    <w:name w:val="Text 2"/>
    <w:basedOn w:val="Normal"/>
    <w:rsid w:val="009823F0"/>
    <w:pPr>
      <w:spacing w:before="120" w:after="120" w:line="240" w:lineRule="auto"/>
      <w:ind w:left="1417"/>
      <w:jc w:val="both"/>
    </w:pPr>
    <w:rPr>
      <w:rFonts w:ascii="Times New Roman" w:hAnsi="Times New Roman" w:cs="Times New Roman"/>
      <w:kern w:val="0"/>
      <w:sz w:val="24"/>
      <w:lang w:val="en-GB"/>
    </w:rPr>
  </w:style>
  <w:style w:type="paragraph" w:customStyle="1" w:styleId="Text3">
    <w:name w:val="Text 3"/>
    <w:basedOn w:val="Normal"/>
    <w:rsid w:val="009823F0"/>
    <w:pPr>
      <w:spacing w:before="120" w:after="120" w:line="240" w:lineRule="auto"/>
      <w:ind w:left="1984"/>
      <w:jc w:val="both"/>
    </w:pPr>
    <w:rPr>
      <w:rFonts w:ascii="Times New Roman" w:hAnsi="Times New Roman" w:cs="Times New Roman"/>
      <w:kern w:val="0"/>
      <w:sz w:val="24"/>
      <w:lang w:val="en-GB"/>
    </w:rPr>
  </w:style>
  <w:style w:type="paragraph" w:customStyle="1" w:styleId="Text4">
    <w:name w:val="Text 4"/>
    <w:basedOn w:val="Normal"/>
    <w:rsid w:val="009823F0"/>
    <w:pPr>
      <w:spacing w:before="120" w:after="120" w:line="240" w:lineRule="auto"/>
      <w:ind w:left="2551"/>
      <w:jc w:val="both"/>
    </w:pPr>
    <w:rPr>
      <w:rFonts w:ascii="Times New Roman" w:hAnsi="Times New Roman" w:cs="Times New Roman"/>
      <w:kern w:val="0"/>
      <w:sz w:val="24"/>
      <w:lang w:val="en-GB"/>
    </w:rPr>
  </w:style>
  <w:style w:type="paragraph" w:customStyle="1" w:styleId="NormalCentered">
    <w:name w:val="Normal Centered"/>
    <w:basedOn w:val="Normal"/>
    <w:rsid w:val="009823F0"/>
    <w:pPr>
      <w:spacing w:before="120" w:after="120" w:line="240" w:lineRule="auto"/>
      <w:jc w:val="center"/>
    </w:pPr>
    <w:rPr>
      <w:rFonts w:ascii="Times New Roman" w:hAnsi="Times New Roman" w:cs="Times New Roman"/>
      <w:kern w:val="0"/>
      <w:sz w:val="24"/>
      <w:lang w:val="en-GB"/>
    </w:rPr>
  </w:style>
  <w:style w:type="paragraph" w:customStyle="1" w:styleId="NormalLeft">
    <w:name w:val="Normal Left"/>
    <w:basedOn w:val="Normal"/>
    <w:rsid w:val="009823F0"/>
    <w:pPr>
      <w:spacing w:before="120" w:after="120" w:line="240" w:lineRule="auto"/>
    </w:pPr>
    <w:rPr>
      <w:rFonts w:ascii="Times New Roman" w:hAnsi="Times New Roman" w:cs="Times New Roman"/>
      <w:kern w:val="0"/>
      <w:sz w:val="24"/>
      <w:lang w:val="en-GB"/>
    </w:rPr>
  </w:style>
  <w:style w:type="paragraph" w:customStyle="1" w:styleId="NormalRight">
    <w:name w:val="Normal Right"/>
    <w:basedOn w:val="Normal"/>
    <w:rsid w:val="009823F0"/>
    <w:pPr>
      <w:spacing w:before="120" w:after="120" w:line="240" w:lineRule="auto"/>
      <w:jc w:val="right"/>
    </w:pPr>
    <w:rPr>
      <w:rFonts w:ascii="Times New Roman" w:hAnsi="Times New Roman" w:cs="Times New Roman"/>
      <w:kern w:val="0"/>
      <w:sz w:val="24"/>
      <w:lang w:val="en-GB"/>
    </w:rPr>
  </w:style>
  <w:style w:type="paragraph" w:customStyle="1" w:styleId="QuotedText">
    <w:name w:val="Quoted Text"/>
    <w:basedOn w:val="Normal"/>
    <w:rsid w:val="009823F0"/>
    <w:pPr>
      <w:spacing w:before="120" w:after="120" w:line="240" w:lineRule="auto"/>
      <w:ind w:left="1417"/>
      <w:jc w:val="both"/>
    </w:pPr>
    <w:rPr>
      <w:rFonts w:ascii="Times New Roman" w:hAnsi="Times New Roman" w:cs="Times New Roman"/>
      <w:kern w:val="0"/>
      <w:sz w:val="24"/>
      <w:lang w:val="en-GB"/>
    </w:rPr>
  </w:style>
  <w:style w:type="paragraph" w:customStyle="1" w:styleId="Point0">
    <w:name w:val="Point 0"/>
    <w:basedOn w:val="Normal"/>
    <w:rsid w:val="009823F0"/>
    <w:pPr>
      <w:spacing w:before="120" w:after="120" w:line="240" w:lineRule="auto"/>
      <w:ind w:left="850" w:hanging="850"/>
      <w:jc w:val="both"/>
    </w:pPr>
    <w:rPr>
      <w:rFonts w:ascii="Times New Roman" w:hAnsi="Times New Roman" w:cs="Times New Roman"/>
      <w:kern w:val="0"/>
      <w:sz w:val="24"/>
      <w:lang w:val="en-GB"/>
    </w:rPr>
  </w:style>
  <w:style w:type="paragraph" w:customStyle="1" w:styleId="Point1">
    <w:name w:val="Point 1"/>
    <w:basedOn w:val="Normal"/>
    <w:rsid w:val="009823F0"/>
    <w:pPr>
      <w:spacing w:before="120" w:after="120" w:line="240" w:lineRule="auto"/>
      <w:ind w:left="1417" w:hanging="567"/>
      <w:jc w:val="both"/>
    </w:pPr>
    <w:rPr>
      <w:rFonts w:ascii="Times New Roman" w:hAnsi="Times New Roman" w:cs="Times New Roman"/>
      <w:kern w:val="0"/>
      <w:sz w:val="24"/>
      <w:lang w:val="en-GB"/>
    </w:rPr>
  </w:style>
  <w:style w:type="paragraph" w:customStyle="1" w:styleId="Point2">
    <w:name w:val="Point 2"/>
    <w:basedOn w:val="Normal"/>
    <w:rsid w:val="009823F0"/>
    <w:pPr>
      <w:spacing w:before="120" w:after="120" w:line="240" w:lineRule="auto"/>
      <w:ind w:left="1984" w:hanging="567"/>
      <w:jc w:val="both"/>
    </w:pPr>
    <w:rPr>
      <w:rFonts w:ascii="Times New Roman" w:hAnsi="Times New Roman" w:cs="Times New Roman"/>
      <w:kern w:val="0"/>
      <w:sz w:val="24"/>
      <w:lang w:val="en-GB"/>
    </w:rPr>
  </w:style>
  <w:style w:type="paragraph" w:customStyle="1" w:styleId="Point3">
    <w:name w:val="Point 3"/>
    <w:basedOn w:val="Normal"/>
    <w:rsid w:val="009823F0"/>
    <w:pPr>
      <w:spacing w:before="120" w:after="120" w:line="240" w:lineRule="auto"/>
      <w:ind w:left="2551" w:hanging="567"/>
      <w:jc w:val="both"/>
    </w:pPr>
    <w:rPr>
      <w:rFonts w:ascii="Times New Roman" w:hAnsi="Times New Roman" w:cs="Times New Roman"/>
      <w:kern w:val="0"/>
      <w:sz w:val="24"/>
      <w:lang w:val="en-GB"/>
    </w:rPr>
  </w:style>
  <w:style w:type="paragraph" w:customStyle="1" w:styleId="Point4">
    <w:name w:val="Point 4"/>
    <w:basedOn w:val="Normal"/>
    <w:rsid w:val="009823F0"/>
    <w:pPr>
      <w:spacing w:before="120" w:after="120" w:line="240" w:lineRule="auto"/>
      <w:ind w:left="3118" w:hanging="567"/>
      <w:jc w:val="both"/>
    </w:pPr>
    <w:rPr>
      <w:rFonts w:ascii="Times New Roman" w:hAnsi="Times New Roman" w:cs="Times New Roman"/>
      <w:kern w:val="0"/>
      <w:sz w:val="24"/>
      <w:lang w:val="en-GB"/>
    </w:rPr>
  </w:style>
  <w:style w:type="paragraph" w:customStyle="1" w:styleId="Tiret0">
    <w:name w:val="Tiret 0"/>
    <w:basedOn w:val="Point0"/>
    <w:rsid w:val="009823F0"/>
    <w:pPr>
      <w:numPr>
        <w:numId w:val="1"/>
      </w:numPr>
      <w:tabs>
        <w:tab w:val="clear" w:pos="850"/>
      </w:tabs>
      <w:ind w:left="0" w:firstLine="0"/>
    </w:pPr>
  </w:style>
  <w:style w:type="paragraph" w:customStyle="1" w:styleId="Tiret1">
    <w:name w:val="Tiret 1"/>
    <w:basedOn w:val="Point1"/>
    <w:rsid w:val="009823F0"/>
    <w:pPr>
      <w:numPr>
        <w:numId w:val="2"/>
      </w:numPr>
      <w:tabs>
        <w:tab w:val="clear" w:pos="1417"/>
      </w:tabs>
      <w:ind w:left="0" w:firstLine="0"/>
    </w:pPr>
  </w:style>
  <w:style w:type="paragraph" w:customStyle="1" w:styleId="Tiret2">
    <w:name w:val="Tiret 2"/>
    <w:basedOn w:val="Point2"/>
    <w:rsid w:val="009823F0"/>
    <w:pPr>
      <w:numPr>
        <w:numId w:val="3"/>
      </w:numPr>
      <w:tabs>
        <w:tab w:val="clear" w:pos="1984"/>
      </w:tabs>
      <w:ind w:left="0" w:firstLine="0"/>
    </w:pPr>
  </w:style>
  <w:style w:type="paragraph" w:customStyle="1" w:styleId="Tiret3">
    <w:name w:val="Tiret 3"/>
    <w:basedOn w:val="Point3"/>
    <w:rsid w:val="009823F0"/>
    <w:pPr>
      <w:numPr>
        <w:numId w:val="4"/>
      </w:numPr>
      <w:tabs>
        <w:tab w:val="clear" w:pos="2551"/>
      </w:tabs>
      <w:ind w:left="0" w:firstLine="0"/>
    </w:pPr>
  </w:style>
  <w:style w:type="paragraph" w:customStyle="1" w:styleId="Tiret4">
    <w:name w:val="Tiret 4"/>
    <w:basedOn w:val="Point4"/>
    <w:rsid w:val="009823F0"/>
    <w:pPr>
      <w:numPr>
        <w:numId w:val="5"/>
      </w:numPr>
      <w:tabs>
        <w:tab w:val="clear" w:pos="3118"/>
      </w:tabs>
      <w:ind w:left="0" w:firstLine="0"/>
    </w:pPr>
  </w:style>
  <w:style w:type="paragraph" w:customStyle="1" w:styleId="PointDouble0">
    <w:name w:val="PointDouble 0"/>
    <w:basedOn w:val="Normal"/>
    <w:rsid w:val="009823F0"/>
    <w:pPr>
      <w:tabs>
        <w:tab w:val="left" w:pos="850"/>
      </w:tabs>
      <w:spacing w:before="120" w:after="120" w:line="240" w:lineRule="auto"/>
      <w:ind w:left="1417" w:hanging="1417"/>
      <w:jc w:val="both"/>
    </w:pPr>
    <w:rPr>
      <w:rFonts w:ascii="Times New Roman" w:hAnsi="Times New Roman" w:cs="Times New Roman"/>
      <w:kern w:val="0"/>
      <w:sz w:val="24"/>
      <w:lang w:val="en-GB"/>
    </w:rPr>
  </w:style>
  <w:style w:type="paragraph" w:customStyle="1" w:styleId="PointDouble1">
    <w:name w:val="PointDouble 1"/>
    <w:basedOn w:val="Normal"/>
    <w:rsid w:val="009823F0"/>
    <w:pPr>
      <w:tabs>
        <w:tab w:val="left" w:pos="1417"/>
      </w:tabs>
      <w:spacing w:before="120" w:after="120" w:line="240" w:lineRule="auto"/>
      <w:ind w:left="1984" w:hanging="1134"/>
      <w:jc w:val="both"/>
    </w:pPr>
    <w:rPr>
      <w:rFonts w:ascii="Times New Roman" w:hAnsi="Times New Roman" w:cs="Times New Roman"/>
      <w:kern w:val="0"/>
      <w:sz w:val="24"/>
      <w:lang w:val="en-GB"/>
    </w:rPr>
  </w:style>
  <w:style w:type="paragraph" w:customStyle="1" w:styleId="PointDouble2">
    <w:name w:val="PointDouble 2"/>
    <w:basedOn w:val="Normal"/>
    <w:rsid w:val="009823F0"/>
    <w:pPr>
      <w:tabs>
        <w:tab w:val="left" w:pos="1984"/>
      </w:tabs>
      <w:spacing w:before="120" w:after="120" w:line="240" w:lineRule="auto"/>
      <w:ind w:left="2551" w:hanging="1134"/>
      <w:jc w:val="both"/>
    </w:pPr>
    <w:rPr>
      <w:rFonts w:ascii="Times New Roman" w:hAnsi="Times New Roman" w:cs="Times New Roman"/>
      <w:kern w:val="0"/>
      <w:sz w:val="24"/>
      <w:lang w:val="en-GB"/>
    </w:rPr>
  </w:style>
  <w:style w:type="paragraph" w:customStyle="1" w:styleId="PointDouble3">
    <w:name w:val="PointDouble 3"/>
    <w:basedOn w:val="Normal"/>
    <w:rsid w:val="009823F0"/>
    <w:pPr>
      <w:tabs>
        <w:tab w:val="left" w:pos="2551"/>
      </w:tabs>
      <w:spacing w:before="120" w:after="120" w:line="240" w:lineRule="auto"/>
      <w:ind w:left="3118" w:hanging="1134"/>
      <w:jc w:val="both"/>
    </w:pPr>
    <w:rPr>
      <w:rFonts w:ascii="Times New Roman" w:hAnsi="Times New Roman" w:cs="Times New Roman"/>
      <w:kern w:val="0"/>
      <w:sz w:val="24"/>
      <w:lang w:val="en-GB"/>
    </w:rPr>
  </w:style>
  <w:style w:type="paragraph" w:customStyle="1" w:styleId="PointDouble4">
    <w:name w:val="PointDouble 4"/>
    <w:basedOn w:val="Normal"/>
    <w:rsid w:val="009823F0"/>
    <w:pPr>
      <w:tabs>
        <w:tab w:val="left" w:pos="3118"/>
      </w:tabs>
      <w:spacing w:before="120" w:after="120" w:line="240" w:lineRule="auto"/>
      <w:ind w:left="3685" w:hanging="1134"/>
      <w:jc w:val="both"/>
    </w:pPr>
    <w:rPr>
      <w:rFonts w:ascii="Times New Roman" w:hAnsi="Times New Roman" w:cs="Times New Roman"/>
      <w:kern w:val="0"/>
      <w:sz w:val="24"/>
      <w:lang w:val="en-GB"/>
    </w:rPr>
  </w:style>
  <w:style w:type="paragraph" w:customStyle="1" w:styleId="PointTriple0">
    <w:name w:val="PointTriple 0"/>
    <w:basedOn w:val="Normal"/>
    <w:rsid w:val="009823F0"/>
    <w:pPr>
      <w:tabs>
        <w:tab w:val="left" w:pos="850"/>
        <w:tab w:val="left" w:pos="1417"/>
      </w:tabs>
      <w:spacing w:before="120" w:after="120" w:line="240" w:lineRule="auto"/>
      <w:ind w:left="1984" w:hanging="1984"/>
      <w:jc w:val="both"/>
    </w:pPr>
    <w:rPr>
      <w:rFonts w:ascii="Times New Roman" w:hAnsi="Times New Roman" w:cs="Times New Roman"/>
      <w:kern w:val="0"/>
      <w:sz w:val="24"/>
      <w:lang w:val="en-GB"/>
    </w:rPr>
  </w:style>
  <w:style w:type="paragraph" w:customStyle="1" w:styleId="PointTriple1">
    <w:name w:val="PointTriple 1"/>
    <w:basedOn w:val="Normal"/>
    <w:rsid w:val="009823F0"/>
    <w:pPr>
      <w:tabs>
        <w:tab w:val="left" w:pos="1417"/>
        <w:tab w:val="left" w:pos="1984"/>
      </w:tabs>
      <w:spacing w:before="120" w:after="120" w:line="240" w:lineRule="auto"/>
      <w:ind w:left="2551" w:hanging="1701"/>
      <w:jc w:val="both"/>
    </w:pPr>
    <w:rPr>
      <w:rFonts w:ascii="Times New Roman" w:hAnsi="Times New Roman" w:cs="Times New Roman"/>
      <w:kern w:val="0"/>
      <w:sz w:val="24"/>
      <w:lang w:val="en-GB"/>
    </w:rPr>
  </w:style>
  <w:style w:type="paragraph" w:customStyle="1" w:styleId="PointTriple2">
    <w:name w:val="PointTriple 2"/>
    <w:basedOn w:val="Normal"/>
    <w:rsid w:val="009823F0"/>
    <w:pPr>
      <w:tabs>
        <w:tab w:val="left" w:pos="1984"/>
        <w:tab w:val="left" w:pos="2551"/>
      </w:tabs>
      <w:spacing w:before="120" w:after="120" w:line="240" w:lineRule="auto"/>
      <w:ind w:left="3118" w:hanging="1701"/>
      <w:jc w:val="both"/>
    </w:pPr>
    <w:rPr>
      <w:rFonts w:ascii="Times New Roman" w:hAnsi="Times New Roman" w:cs="Times New Roman"/>
      <w:kern w:val="0"/>
      <w:sz w:val="24"/>
      <w:lang w:val="en-GB"/>
    </w:rPr>
  </w:style>
  <w:style w:type="paragraph" w:customStyle="1" w:styleId="PointTriple3">
    <w:name w:val="PointTriple 3"/>
    <w:basedOn w:val="Normal"/>
    <w:rsid w:val="009823F0"/>
    <w:pPr>
      <w:tabs>
        <w:tab w:val="left" w:pos="2551"/>
        <w:tab w:val="left" w:pos="3118"/>
      </w:tabs>
      <w:spacing w:before="120" w:after="120" w:line="240" w:lineRule="auto"/>
      <w:ind w:left="3685" w:hanging="1701"/>
      <w:jc w:val="both"/>
    </w:pPr>
    <w:rPr>
      <w:rFonts w:ascii="Times New Roman" w:hAnsi="Times New Roman" w:cs="Times New Roman"/>
      <w:kern w:val="0"/>
      <w:sz w:val="24"/>
      <w:lang w:val="en-GB"/>
    </w:rPr>
  </w:style>
  <w:style w:type="paragraph" w:customStyle="1" w:styleId="PointTriple4">
    <w:name w:val="PointTriple 4"/>
    <w:basedOn w:val="Normal"/>
    <w:rsid w:val="009823F0"/>
    <w:pPr>
      <w:tabs>
        <w:tab w:val="left" w:pos="3118"/>
        <w:tab w:val="left" w:pos="3685"/>
      </w:tabs>
      <w:spacing w:before="120" w:after="120" w:line="240" w:lineRule="auto"/>
      <w:ind w:left="4252" w:hanging="1701"/>
      <w:jc w:val="both"/>
    </w:pPr>
    <w:rPr>
      <w:rFonts w:ascii="Times New Roman" w:hAnsi="Times New Roman" w:cs="Times New Roman"/>
      <w:kern w:val="0"/>
      <w:sz w:val="24"/>
      <w:lang w:val="en-GB"/>
    </w:rPr>
  </w:style>
  <w:style w:type="paragraph" w:customStyle="1" w:styleId="NumPar1">
    <w:name w:val="NumPar 1"/>
    <w:basedOn w:val="Normal"/>
    <w:next w:val="Text1"/>
    <w:rsid w:val="009823F0"/>
    <w:pPr>
      <w:numPr>
        <w:numId w:val="6"/>
      </w:numPr>
      <w:tabs>
        <w:tab w:val="clear" w:pos="850"/>
      </w:tabs>
      <w:spacing w:before="120" w:after="120" w:line="240" w:lineRule="auto"/>
      <w:ind w:left="0" w:firstLine="0"/>
      <w:jc w:val="both"/>
    </w:pPr>
    <w:rPr>
      <w:rFonts w:ascii="Times New Roman" w:hAnsi="Times New Roman" w:cs="Times New Roman"/>
      <w:kern w:val="0"/>
      <w:sz w:val="24"/>
      <w:lang w:val="en-GB"/>
    </w:rPr>
  </w:style>
  <w:style w:type="paragraph" w:customStyle="1" w:styleId="NumPar2">
    <w:name w:val="NumPar 2"/>
    <w:basedOn w:val="Normal"/>
    <w:next w:val="Text1"/>
    <w:rsid w:val="009823F0"/>
    <w:pPr>
      <w:numPr>
        <w:ilvl w:val="1"/>
        <w:numId w:val="6"/>
      </w:numPr>
      <w:tabs>
        <w:tab w:val="clear" w:pos="850"/>
      </w:tabs>
      <w:spacing w:before="120" w:after="120" w:line="240" w:lineRule="auto"/>
      <w:ind w:left="0" w:firstLine="0"/>
      <w:jc w:val="both"/>
    </w:pPr>
    <w:rPr>
      <w:rFonts w:ascii="Times New Roman" w:hAnsi="Times New Roman" w:cs="Times New Roman"/>
      <w:kern w:val="0"/>
      <w:sz w:val="24"/>
      <w:lang w:val="en-GB"/>
    </w:rPr>
  </w:style>
  <w:style w:type="paragraph" w:customStyle="1" w:styleId="NumPar3">
    <w:name w:val="NumPar 3"/>
    <w:basedOn w:val="Normal"/>
    <w:next w:val="Text1"/>
    <w:rsid w:val="009823F0"/>
    <w:pPr>
      <w:numPr>
        <w:ilvl w:val="2"/>
        <w:numId w:val="6"/>
      </w:numPr>
      <w:tabs>
        <w:tab w:val="clear" w:pos="850"/>
      </w:tabs>
      <w:spacing w:before="120" w:after="120" w:line="240" w:lineRule="auto"/>
      <w:ind w:left="0" w:firstLine="0"/>
      <w:jc w:val="both"/>
    </w:pPr>
    <w:rPr>
      <w:rFonts w:ascii="Times New Roman" w:hAnsi="Times New Roman" w:cs="Times New Roman"/>
      <w:kern w:val="0"/>
      <w:sz w:val="24"/>
      <w:lang w:val="en-GB"/>
    </w:rPr>
  </w:style>
  <w:style w:type="paragraph" w:customStyle="1" w:styleId="NumPar4">
    <w:name w:val="NumPar 4"/>
    <w:basedOn w:val="Normal"/>
    <w:next w:val="Text1"/>
    <w:rsid w:val="009823F0"/>
    <w:pPr>
      <w:numPr>
        <w:ilvl w:val="3"/>
        <w:numId w:val="6"/>
      </w:numPr>
      <w:tabs>
        <w:tab w:val="clear" w:pos="850"/>
      </w:tabs>
      <w:spacing w:before="120" w:after="120" w:line="240" w:lineRule="auto"/>
      <w:ind w:left="0" w:firstLine="0"/>
      <w:jc w:val="both"/>
    </w:pPr>
    <w:rPr>
      <w:rFonts w:ascii="Times New Roman" w:hAnsi="Times New Roman" w:cs="Times New Roman"/>
      <w:kern w:val="0"/>
      <w:sz w:val="24"/>
      <w:lang w:val="en-GB"/>
    </w:rPr>
  </w:style>
  <w:style w:type="paragraph" w:customStyle="1" w:styleId="ManualNumPar1">
    <w:name w:val="Manual NumPar 1"/>
    <w:basedOn w:val="Normal"/>
    <w:next w:val="Text1"/>
    <w:rsid w:val="009823F0"/>
    <w:pPr>
      <w:spacing w:before="120" w:after="120" w:line="240" w:lineRule="auto"/>
      <w:ind w:left="850" w:hanging="850"/>
      <w:jc w:val="both"/>
    </w:pPr>
    <w:rPr>
      <w:rFonts w:ascii="Times New Roman" w:hAnsi="Times New Roman" w:cs="Times New Roman"/>
      <w:kern w:val="0"/>
      <w:sz w:val="24"/>
      <w:lang w:val="en-GB"/>
    </w:rPr>
  </w:style>
  <w:style w:type="paragraph" w:customStyle="1" w:styleId="ManualNumPar2">
    <w:name w:val="Manual NumPar 2"/>
    <w:basedOn w:val="Normal"/>
    <w:next w:val="Text1"/>
    <w:rsid w:val="009823F0"/>
    <w:pPr>
      <w:spacing w:before="120" w:after="120" w:line="240" w:lineRule="auto"/>
      <w:ind w:left="850" w:hanging="850"/>
      <w:jc w:val="both"/>
    </w:pPr>
    <w:rPr>
      <w:rFonts w:ascii="Times New Roman" w:hAnsi="Times New Roman" w:cs="Times New Roman"/>
      <w:kern w:val="0"/>
      <w:sz w:val="24"/>
      <w:lang w:val="en-GB"/>
    </w:rPr>
  </w:style>
  <w:style w:type="paragraph" w:customStyle="1" w:styleId="ManualNumPar3">
    <w:name w:val="Manual NumPar 3"/>
    <w:basedOn w:val="Normal"/>
    <w:next w:val="Text1"/>
    <w:rsid w:val="009823F0"/>
    <w:pPr>
      <w:spacing w:before="120" w:after="120" w:line="240" w:lineRule="auto"/>
      <w:ind w:left="850" w:hanging="850"/>
      <w:jc w:val="both"/>
    </w:pPr>
    <w:rPr>
      <w:rFonts w:ascii="Times New Roman" w:hAnsi="Times New Roman" w:cs="Times New Roman"/>
      <w:kern w:val="0"/>
      <w:sz w:val="24"/>
      <w:lang w:val="en-GB"/>
    </w:rPr>
  </w:style>
  <w:style w:type="paragraph" w:customStyle="1" w:styleId="ManualNumPar4">
    <w:name w:val="Manual NumPar 4"/>
    <w:basedOn w:val="Normal"/>
    <w:next w:val="Text1"/>
    <w:rsid w:val="009823F0"/>
    <w:pPr>
      <w:spacing w:before="120" w:after="120" w:line="240" w:lineRule="auto"/>
      <w:ind w:left="850" w:hanging="850"/>
      <w:jc w:val="both"/>
    </w:pPr>
    <w:rPr>
      <w:rFonts w:ascii="Times New Roman" w:hAnsi="Times New Roman" w:cs="Times New Roman"/>
      <w:kern w:val="0"/>
      <w:sz w:val="24"/>
      <w:lang w:val="en-GB"/>
    </w:rPr>
  </w:style>
  <w:style w:type="paragraph" w:customStyle="1" w:styleId="QuotedNumPar">
    <w:name w:val="Quoted NumPar"/>
    <w:basedOn w:val="Normal"/>
    <w:rsid w:val="009823F0"/>
    <w:pPr>
      <w:spacing w:before="120" w:after="120" w:line="240" w:lineRule="auto"/>
      <w:ind w:left="1417" w:hanging="567"/>
      <w:jc w:val="both"/>
    </w:pPr>
    <w:rPr>
      <w:rFonts w:ascii="Times New Roman" w:hAnsi="Times New Roman" w:cs="Times New Roman"/>
      <w:kern w:val="0"/>
      <w:sz w:val="24"/>
      <w:lang w:val="en-GB"/>
    </w:rPr>
  </w:style>
  <w:style w:type="paragraph" w:customStyle="1" w:styleId="ManualHeading1">
    <w:name w:val="Manual Heading 1"/>
    <w:basedOn w:val="Normal"/>
    <w:next w:val="Text1"/>
    <w:rsid w:val="009823F0"/>
    <w:pPr>
      <w:keepNext/>
      <w:tabs>
        <w:tab w:val="left" w:pos="850"/>
      </w:tabs>
      <w:spacing w:before="360" w:after="120" w:line="240" w:lineRule="auto"/>
      <w:ind w:left="850" w:hanging="850"/>
      <w:jc w:val="both"/>
      <w:outlineLvl w:val="0"/>
    </w:pPr>
    <w:rPr>
      <w:rFonts w:ascii="Times New Roman" w:hAnsi="Times New Roman" w:cs="Times New Roman"/>
      <w:b/>
      <w:smallCaps/>
      <w:kern w:val="0"/>
      <w:sz w:val="24"/>
      <w:lang w:val="en-GB"/>
    </w:rPr>
  </w:style>
  <w:style w:type="paragraph" w:customStyle="1" w:styleId="ManualHeading2">
    <w:name w:val="Manual Heading 2"/>
    <w:basedOn w:val="Normal"/>
    <w:next w:val="Text1"/>
    <w:rsid w:val="009823F0"/>
    <w:pPr>
      <w:keepNext/>
      <w:tabs>
        <w:tab w:val="left" w:pos="850"/>
      </w:tabs>
      <w:spacing w:before="120" w:after="120" w:line="240" w:lineRule="auto"/>
      <w:ind w:left="850" w:hanging="850"/>
      <w:jc w:val="both"/>
      <w:outlineLvl w:val="1"/>
    </w:pPr>
    <w:rPr>
      <w:rFonts w:ascii="Times New Roman" w:hAnsi="Times New Roman" w:cs="Times New Roman"/>
      <w:b/>
      <w:kern w:val="0"/>
      <w:sz w:val="24"/>
      <w:lang w:val="en-GB"/>
    </w:rPr>
  </w:style>
  <w:style w:type="paragraph" w:customStyle="1" w:styleId="ManualHeading3">
    <w:name w:val="Manual Heading 3"/>
    <w:basedOn w:val="Normal"/>
    <w:next w:val="Text1"/>
    <w:rsid w:val="009823F0"/>
    <w:pPr>
      <w:keepNext/>
      <w:tabs>
        <w:tab w:val="left" w:pos="850"/>
      </w:tabs>
      <w:spacing w:before="120" w:after="120" w:line="240" w:lineRule="auto"/>
      <w:ind w:left="850" w:hanging="850"/>
      <w:jc w:val="both"/>
      <w:outlineLvl w:val="2"/>
    </w:pPr>
    <w:rPr>
      <w:rFonts w:ascii="Times New Roman" w:hAnsi="Times New Roman" w:cs="Times New Roman"/>
      <w:i/>
      <w:kern w:val="0"/>
      <w:sz w:val="24"/>
      <w:lang w:val="en-GB"/>
    </w:rPr>
  </w:style>
  <w:style w:type="paragraph" w:customStyle="1" w:styleId="ManualHeading4">
    <w:name w:val="Manual Heading 4"/>
    <w:basedOn w:val="Normal"/>
    <w:next w:val="Text1"/>
    <w:rsid w:val="009823F0"/>
    <w:pPr>
      <w:keepNext/>
      <w:tabs>
        <w:tab w:val="left" w:pos="850"/>
      </w:tabs>
      <w:spacing w:before="120" w:after="120" w:line="240" w:lineRule="auto"/>
      <w:ind w:left="850" w:hanging="850"/>
      <w:jc w:val="both"/>
      <w:outlineLvl w:val="3"/>
    </w:pPr>
    <w:rPr>
      <w:rFonts w:ascii="Times New Roman" w:hAnsi="Times New Roman" w:cs="Times New Roman"/>
      <w:kern w:val="0"/>
      <w:sz w:val="24"/>
      <w:lang w:val="en-GB"/>
    </w:rPr>
  </w:style>
  <w:style w:type="paragraph" w:customStyle="1" w:styleId="ChapterTitle">
    <w:name w:val="ChapterTitle"/>
    <w:basedOn w:val="Normal"/>
    <w:next w:val="Normal"/>
    <w:rsid w:val="009823F0"/>
    <w:pPr>
      <w:keepNext/>
      <w:spacing w:before="120" w:after="360" w:line="240" w:lineRule="auto"/>
      <w:jc w:val="center"/>
    </w:pPr>
    <w:rPr>
      <w:rFonts w:ascii="Times New Roman" w:hAnsi="Times New Roman" w:cs="Times New Roman"/>
      <w:b/>
      <w:kern w:val="0"/>
      <w:sz w:val="32"/>
      <w:lang w:val="en-GB"/>
    </w:rPr>
  </w:style>
  <w:style w:type="paragraph" w:customStyle="1" w:styleId="PartTitle">
    <w:name w:val="PartTitle"/>
    <w:basedOn w:val="Normal"/>
    <w:next w:val="ChapterTitle"/>
    <w:rsid w:val="009823F0"/>
    <w:pPr>
      <w:keepNext/>
      <w:pageBreakBefore/>
      <w:spacing w:before="120" w:after="360" w:line="240" w:lineRule="auto"/>
      <w:jc w:val="center"/>
    </w:pPr>
    <w:rPr>
      <w:rFonts w:ascii="Times New Roman" w:hAnsi="Times New Roman" w:cs="Times New Roman"/>
      <w:b/>
      <w:kern w:val="0"/>
      <w:sz w:val="36"/>
      <w:lang w:val="en-GB"/>
    </w:rPr>
  </w:style>
  <w:style w:type="paragraph" w:customStyle="1" w:styleId="SectionTitle">
    <w:name w:val="SectionTitle"/>
    <w:basedOn w:val="Normal"/>
    <w:next w:val="Heading1"/>
    <w:rsid w:val="009823F0"/>
    <w:pPr>
      <w:keepNext/>
      <w:spacing w:before="120" w:after="360" w:line="240" w:lineRule="auto"/>
      <w:jc w:val="center"/>
    </w:pPr>
    <w:rPr>
      <w:rFonts w:ascii="Times New Roman" w:hAnsi="Times New Roman" w:cs="Times New Roman"/>
      <w:b/>
      <w:smallCaps/>
      <w:kern w:val="0"/>
      <w:sz w:val="28"/>
      <w:lang w:val="en-GB"/>
    </w:rPr>
  </w:style>
  <w:style w:type="paragraph" w:customStyle="1" w:styleId="TableTitle">
    <w:name w:val="Table Title"/>
    <w:basedOn w:val="Normal"/>
    <w:next w:val="Normal"/>
    <w:rsid w:val="009823F0"/>
    <w:pPr>
      <w:spacing w:before="120" w:after="120" w:line="240" w:lineRule="auto"/>
      <w:jc w:val="center"/>
    </w:pPr>
    <w:rPr>
      <w:rFonts w:ascii="Times New Roman" w:hAnsi="Times New Roman" w:cs="Times New Roman"/>
      <w:b/>
      <w:kern w:val="0"/>
      <w:sz w:val="24"/>
      <w:lang w:val="en-GB"/>
    </w:rPr>
  </w:style>
  <w:style w:type="character" w:customStyle="1" w:styleId="Marker1">
    <w:name w:val="Marker1"/>
    <w:basedOn w:val="DefaultParagraphFont"/>
    <w:rsid w:val="009823F0"/>
    <w:rPr>
      <w:color w:val="008000"/>
      <w:shd w:val="clear" w:color="auto" w:fill="auto"/>
    </w:rPr>
  </w:style>
  <w:style w:type="character" w:customStyle="1" w:styleId="Marker2">
    <w:name w:val="Marker2"/>
    <w:basedOn w:val="DefaultParagraphFont"/>
    <w:rsid w:val="009823F0"/>
    <w:rPr>
      <w:color w:val="FF0000"/>
      <w:shd w:val="clear" w:color="auto" w:fill="auto"/>
    </w:rPr>
  </w:style>
  <w:style w:type="paragraph" w:customStyle="1" w:styleId="Point0number">
    <w:name w:val="Point 0 (number)"/>
    <w:basedOn w:val="Normal"/>
    <w:rsid w:val="009823F0"/>
    <w:pPr>
      <w:numPr>
        <w:numId w:val="7"/>
      </w:numPr>
      <w:tabs>
        <w:tab w:val="clear" w:pos="850"/>
      </w:tabs>
      <w:spacing w:before="120" w:after="120" w:line="240" w:lineRule="auto"/>
      <w:ind w:left="0" w:firstLine="0"/>
      <w:jc w:val="both"/>
    </w:pPr>
    <w:rPr>
      <w:rFonts w:ascii="Times New Roman" w:hAnsi="Times New Roman" w:cs="Times New Roman"/>
      <w:kern w:val="0"/>
      <w:sz w:val="24"/>
      <w:lang w:val="en-GB"/>
    </w:rPr>
  </w:style>
  <w:style w:type="paragraph" w:customStyle="1" w:styleId="Point1number">
    <w:name w:val="Point 1 (number)"/>
    <w:basedOn w:val="Normal"/>
    <w:rsid w:val="009823F0"/>
    <w:pPr>
      <w:numPr>
        <w:ilvl w:val="2"/>
        <w:numId w:val="7"/>
      </w:numPr>
      <w:tabs>
        <w:tab w:val="clear" w:pos="1417"/>
      </w:tabs>
      <w:spacing w:before="120" w:after="120" w:line="240" w:lineRule="auto"/>
      <w:ind w:left="0" w:firstLine="0"/>
      <w:jc w:val="both"/>
    </w:pPr>
    <w:rPr>
      <w:rFonts w:ascii="Times New Roman" w:hAnsi="Times New Roman" w:cs="Times New Roman"/>
      <w:kern w:val="0"/>
      <w:sz w:val="24"/>
      <w:lang w:val="en-GB"/>
    </w:rPr>
  </w:style>
  <w:style w:type="paragraph" w:customStyle="1" w:styleId="Point2number">
    <w:name w:val="Point 2 (number)"/>
    <w:basedOn w:val="Normal"/>
    <w:rsid w:val="009823F0"/>
    <w:pPr>
      <w:numPr>
        <w:ilvl w:val="4"/>
        <w:numId w:val="7"/>
      </w:numPr>
      <w:tabs>
        <w:tab w:val="clear" w:pos="1984"/>
      </w:tabs>
      <w:spacing w:before="120" w:after="120" w:line="240" w:lineRule="auto"/>
      <w:ind w:left="0" w:firstLine="0"/>
      <w:jc w:val="both"/>
    </w:pPr>
    <w:rPr>
      <w:rFonts w:ascii="Times New Roman" w:hAnsi="Times New Roman" w:cs="Times New Roman"/>
      <w:kern w:val="0"/>
      <w:sz w:val="24"/>
      <w:lang w:val="en-GB"/>
    </w:rPr>
  </w:style>
  <w:style w:type="paragraph" w:customStyle="1" w:styleId="Point3number">
    <w:name w:val="Point 3 (number)"/>
    <w:basedOn w:val="Normal"/>
    <w:rsid w:val="009823F0"/>
    <w:pPr>
      <w:numPr>
        <w:ilvl w:val="6"/>
        <w:numId w:val="7"/>
      </w:numPr>
      <w:tabs>
        <w:tab w:val="clear" w:pos="2551"/>
      </w:tabs>
      <w:spacing w:before="120" w:after="120" w:line="240" w:lineRule="auto"/>
      <w:ind w:left="0" w:firstLine="0"/>
      <w:jc w:val="both"/>
    </w:pPr>
    <w:rPr>
      <w:rFonts w:ascii="Times New Roman" w:hAnsi="Times New Roman" w:cs="Times New Roman"/>
      <w:kern w:val="0"/>
      <w:sz w:val="24"/>
      <w:lang w:val="en-GB"/>
    </w:rPr>
  </w:style>
  <w:style w:type="paragraph" w:customStyle="1" w:styleId="Point0letter">
    <w:name w:val="Point 0 (letter)"/>
    <w:basedOn w:val="Normal"/>
    <w:rsid w:val="009823F0"/>
    <w:pPr>
      <w:numPr>
        <w:ilvl w:val="1"/>
        <w:numId w:val="7"/>
      </w:numPr>
      <w:tabs>
        <w:tab w:val="clear" w:pos="850"/>
      </w:tabs>
      <w:spacing w:before="120" w:after="120" w:line="240" w:lineRule="auto"/>
      <w:ind w:left="0" w:firstLine="0"/>
      <w:jc w:val="both"/>
    </w:pPr>
    <w:rPr>
      <w:rFonts w:ascii="Times New Roman" w:hAnsi="Times New Roman" w:cs="Times New Roman"/>
      <w:kern w:val="0"/>
      <w:sz w:val="24"/>
      <w:lang w:val="en-GB"/>
    </w:rPr>
  </w:style>
  <w:style w:type="paragraph" w:customStyle="1" w:styleId="Point1letter">
    <w:name w:val="Point 1 (letter)"/>
    <w:basedOn w:val="Normal"/>
    <w:rsid w:val="009823F0"/>
    <w:pPr>
      <w:numPr>
        <w:ilvl w:val="3"/>
        <w:numId w:val="7"/>
      </w:numPr>
      <w:tabs>
        <w:tab w:val="clear" w:pos="1417"/>
      </w:tabs>
      <w:spacing w:before="120" w:after="120" w:line="240" w:lineRule="auto"/>
      <w:ind w:left="0" w:firstLine="0"/>
      <w:jc w:val="both"/>
    </w:pPr>
    <w:rPr>
      <w:rFonts w:ascii="Times New Roman" w:hAnsi="Times New Roman" w:cs="Times New Roman"/>
      <w:kern w:val="0"/>
      <w:sz w:val="24"/>
      <w:lang w:val="en-GB"/>
    </w:rPr>
  </w:style>
  <w:style w:type="paragraph" w:customStyle="1" w:styleId="Point2letter">
    <w:name w:val="Point 2 (letter)"/>
    <w:basedOn w:val="Normal"/>
    <w:rsid w:val="009823F0"/>
    <w:pPr>
      <w:numPr>
        <w:ilvl w:val="5"/>
        <w:numId w:val="7"/>
      </w:numPr>
      <w:tabs>
        <w:tab w:val="clear" w:pos="1984"/>
      </w:tabs>
      <w:spacing w:before="120" w:after="120" w:line="240" w:lineRule="auto"/>
      <w:ind w:left="0" w:firstLine="0"/>
      <w:jc w:val="both"/>
    </w:pPr>
    <w:rPr>
      <w:rFonts w:ascii="Times New Roman" w:hAnsi="Times New Roman" w:cs="Times New Roman"/>
      <w:kern w:val="0"/>
      <w:sz w:val="24"/>
      <w:lang w:val="en-GB"/>
    </w:rPr>
  </w:style>
  <w:style w:type="paragraph" w:customStyle="1" w:styleId="Point3letter">
    <w:name w:val="Point 3 (letter)"/>
    <w:basedOn w:val="Normal"/>
    <w:rsid w:val="009823F0"/>
    <w:pPr>
      <w:numPr>
        <w:ilvl w:val="7"/>
        <w:numId w:val="7"/>
      </w:numPr>
      <w:tabs>
        <w:tab w:val="clear" w:pos="2551"/>
      </w:tabs>
      <w:spacing w:before="120" w:after="120" w:line="240" w:lineRule="auto"/>
      <w:ind w:left="0" w:firstLine="0"/>
      <w:jc w:val="both"/>
    </w:pPr>
    <w:rPr>
      <w:rFonts w:ascii="Times New Roman" w:hAnsi="Times New Roman" w:cs="Times New Roman"/>
      <w:kern w:val="0"/>
      <w:sz w:val="24"/>
      <w:lang w:val="en-GB"/>
    </w:rPr>
  </w:style>
  <w:style w:type="paragraph" w:customStyle="1" w:styleId="Point4letter">
    <w:name w:val="Point 4 (letter)"/>
    <w:basedOn w:val="Normal"/>
    <w:rsid w:val="009823F0"/>
    <w:pPr>
      <w:numPr>
        <w:ilvl w:val="8"/>
        <w:numId w:val="7"/>
      </w:numPr>
      <w:tabs>
        <w:tab w:val="clear" w:pos="3118"/>
      </w:tabs>
      <w:spacing w:before="120" w:after="120" w:line="240" w:lineRule="auto"/>
      <w:ind w:left="0" w:firstLine="0"/>
      <w:jc w:val="both"/>
    </w:pPr>
    <w:rPr>
      <w:rFonts w:ascii="Times New Roman" w:hAnsi="Times New Roman" w:cs="Times New Roman"/>
      <w:kern w:val="0"/>
      <w:sz w:val="24"/>
      <w:lang w:val="en-GB"/>
    </w:rPr>
  </w:style>
  <w:style w:type="paragraph" w:customStyle="1" w:styleId="Bullet0">
    <w:name w:val="Bullet 0"/>
    <w:basedOn w:val="Normal"/>
    <w:rsid w:val="009823F0"/>
    <w:pPr>
      <w:numPr>
        <w:numId w:val="8"/>
      </w:numPr>
      <w:tabs>
        <w:tab w:val="clear" w:pos="850"/>
      </w:tabs>
      <w:spacing w:before="120" w:after="120" w:line="240" w:lineRule="auto"/>
      <w:ind w:left="0" w:firstLine="0"/>
      <w:jc w:val="both"/>
    </w:pPr>
    <w:rPr>
      <w:rFonts w:ascii="Times New Roman" w:hAnsi="Times New Roman" w:cs="Times New Roman"/>
      <w:kern w:val="0"/>
      <w:sz w:val="24"/>
      <w:lang w:val="en-GB"/>
    </w:rPr>
  </w:style>
  <w:style w:type="paragraph" w:customStyle="1" w:styleId="Bullet1">
    <w:name w:val="Bullet 1"/>
    <w:basedOn w:val="Normal"/>
    <w:rsid w:val="009823F0"/>
    <w:pPr>
      <w:numPr>
        <w:numId w:val="9"/>
      </w:numPr>
      <w:tabs>
        <w:tab w:val="clear" w:pos="1417"/>
      </w:tabs>
      <w:spacing w:before="120" w:after="120" w:line="240" w:lineRule="auto"/>
      <w:ind w:left="0" w:firstLine="0"/>
      <w:jc w:val="both"/>
    </w:pPr>
    <w:rPr>
      <w:rFonts w:ascii="Times New Roman" w:hAnsi="Times New Roman" w:cs="Times New Roman"/>
      <w:kern w:val="0"/>
      <w:sz w:val="24"/>
      <w:lang w:val="en-GB"/>
    </w:rPr>
  </w:style>
  <w:style w:type="paragraph" w:customStyle="1" w:styleId="Bullet2">
    <w:name w:val="Bullet 2"/>
    <w:basedOn w:val="Normal"/>
    <w:rsid w:val="009823F0"/>
    <w:pPr>
      <w:numPr>
        <w:numId w:val="10"/>
      </w:numPr>
      <w:tabs>
        <w:tab w:val="clear" w:pos="1984"/>
      </w:tabs>
      <w:spacing w:before="120" w:after="120" w:line="240" w:lineRule="auto"/>
      <w:ind w:left="0" w:firstLine="0"/>
      <w:jc w:val="both"/>
    </w:pPr>
    <w:rPr>
      <w:rFonts w:ascii="Times New Roman" w:hAnsi="Times New Roman" w:cs="Times New Roman"/>
      <w:kern w:val="0"/>
      <w:sz w:val="24"/>
      <w:lang w:val="en-GB"/>
    </w:rPr>
  </w:style>
  <w:style w:type="paragraph" w:customStyle="1" w:styleId="Bullet3">
    <w:name w:val="Bullet 3"/>
    <w:basedOn w:val="Normal"/>
    <w:rsid w:val="009823F0"/>
    <w:pPr>
      <w:numPr>
        <w:numId w:val="11"/>
      </w:numPr>
      <w:tabs>
        <w:tab w:val="clear" w:pos="2551"/>
      </w:tabs>
      <w:spacing w:before="120" w:after="120" w:line="240" w:lineRule="auto"/>
      <w:ind w:left="0" w:firstLine="0"/>
      <w:jc w:val="both"/>
    </w:pPr>
    <w:rPr>
      <w:rFonts w:ascii="Times New Roman" w:hAnsi="Times New Roman" w:cs="Times New Roman"/>
      <w:kern w:val="0"/>
      <w:sz w:val="24"/>
      <w:lang w:val="en-GB"/>
    </w:rPr>
  </w:style>
  <w:style w:type="paragraph" w:customStyle="1" w:styleId="Bullet4">
    <w:name w:val="Bullet 4"/>
    <w:basedOn w:val="Normal"/>
    <w:rsid w:val="009823F0"/>
    <w:pPr>
      <w:numPr>
        <w:numId w:val="12"/>
      </w:numPr>
      <w:tabs>
        <w:tab w:val="clear" w:pos="3118"/>
      </w:tabs>
      <w:spacing w:before="120" w:after="120" w:line="240" w:lineRule="auto"/>
      <w:ind w:left="0" w:firstLine="0"/>
      <w:jc w:val="both"/>
    </w:pPr>
    <w:rPr>
      <w:rFonts w:ascii="Times New Roman" w:hAnsi="Times New Roman" w:cs="Times New Roman"/>
      <w:kern w:val="0"/>
      <w:sz w:val="24"/>
      <w:lang w:val="en-GB"/>
    </w:rPr>
  </w:style>
  <w:style w:type="paragraph" w:customStyle="1" w:styleId="Langue">
    <w:name w:val="Langue"/>
    <w:basedOn w:val="Normal"/>
    <w:next w:val="Rfrenceinterne"/>
    <w:rsid w:val="009823F0"/>
    <w:pPr>
      <w:framePr w:wrap="around" w:vAnchor="page" w:hAnchor="text" w:xAlign="center" w:y="14741"/>
      <w:spacing w:after="600" w:line="240" w:lineRule="auto"/>
      <w:jc w:val="center"/>
    </w:pPr>
    <w:rPr>
      <w:rFonts w:ascii="Times New Roman" w:hAnsi="Times New Roman" w:cs="Times New Roman"/>
      <w:b/>
      <w:caps/>
      <w:kern w:val="0"/>
      <w:sz w:val="24"/>
      <w:lang w:val="en-GB"/>
    </w:rPr>
  </w:style>
  <w:style w:type="paragraph" w:customStyle="1" w:styleId="Nomdelinstitution">
    <w:name w:val="Nom de l'institution"/>
    <w:basedOn w:val="Normal"/>
    <w:next w:val="Emission"/>
    <w:rsid w:val="009823F0"/>
    <w:pPr>
      <w:spacing w:after="0" w:line="240" w:lineRule="auto"/>
    </w:pPr>
    <w:rPr>
      <w:rFonts w:ascii="Arial" w:hAnsi="Arial" w:cs="Arial"/>
      <w:kern w:val="0"/>
      <w:sz w:val="24"/>
      <w:lang w:val="en-GB"/>
    </w:rPr>
  </w:style>
  <w:style w:type="paragraph" w:customStyle="1" w:styleId="Emission">
    <w:name w:val="Emission"/>
    <w:basedOn w:val="Normal"/>
    <w:next w:val="Rfrenceinstitutionnelle"/>
    <w:rsid w:val="009823F0"/>
    <w:pPr>
      <w:spacing w:after="0" w:line="240" w:lineRule="auto"/>
      <w:ind w:left="5103"/>
    </w:pPr>
    <w:rPr>
      <w:rFonts w:ascii="Times New Roman" w:hAnsi="Times New Roman" w:cs="Times New Roman"/>
      <w:kern w:val="0"/>
      <w:sz w:val="24"/>
      <w:lang w:val="en-GB"/>
    </w:rPr>
  </w:style>
  <w:style w:type="paragraph" w:customStyle="1" w:styleId="Rfrenceinstitutionnelle">
    <w:name w:val="Référence institutionnelle"/>
    <w:basedOn w:val="Normal"/>
    <w:next w:val="Confidentialit"/>
    <w:rsid w:val="009823F0"/>
    <w:pPr>
      <w:spacing w:after="240" w:line="240" w:lineRule="auto"/>
      <w:ind w:left="5103"/>
    </w:pPr>
    <w:rPr>
      <w:rFonts w:ascii="Times New Roman" w:hAnsi="Times New Roman" w:cs="Times New Roman"/>
      <w:kern w:val="0"/>
      <w:sz w:val="24"/>
      <w:lang w:val="en-GB"/>
    </w:rPr>
  </w:style>
  <w:style w:type="paragraph" w:customStyle="1" w:styleId="Declassification">
    <w:name w:val="Declassification"/>
    <w:basedOn w:val="Normal"/>
    <w:next w:val="Normal"/>
    <w:rsid w:val="009823F0"/>
    <w:pPr>
      <w:spacing w:after="0" w:line="240" w:lineRule="auto"/>
      <w:jc w:val="both"/>
    </w:pPr>
    <w:rPr>
      <w:rFonts w:ascii="Times New Roman" w:hAnsi="Times New Roman" w:cs="Times New Roman"/>
      <w:kern w:val="0"/>
      <w:sz w:val="24"/>
      <w:lang w:val="en-GB"/>
    </w:rPr>
  </w:style>
  <w:style w:type="paragraph" w:customStyle="1" w:styleId="Disclaimer">
    <w:name w:val="Disclaimer"/>
    <w:basedOn w:val="Normal"/>
    <w:rsid w:val="009823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lang w:val="en-GB"/>
    </w:rPr>
  </w:style>
  <w:style w:type="paragraph" w:customStyle="1" w:styleId="SecurityMarking">
    <w:name w:val="SecurityMarking"/>
    <w:basedOn w:val="Normal"/>
    <w:rsid w:val="009823F0"/>
    <w:pPr>
      <w:spacing w:after="0" w:line="276" w:lineRule="auto"/>
      <w:ind w:left="5103"/>
    </w:pPr>
    <w:rPr>
      <w:rFonts w:ascii="Times New Roman" w:hAnsi="Times New Roman" w:cs="Times New Roman"/>
      <w:kern w:val="0"/>
      <w:sz w:val="28"/>
      <w:lang w:val="en-GB"/>
    </w:rPr>
  </w:style>
  <w:style w:type="paragraph" w:customStyle="1" w:styleId="DateMarking">
    <w:name w:val="DateMarking"/>
    <w:basedOn w:val="Normal"/>
    <w:rsid w:val="009823F0"/>
    <w:pPr>
      <w:spacing w:after="0" w:line="276" w:lineRule="auto"/>
      <w:ind w:left="5103"/>
    </w:pPr>
    <w:rPr>
      <w:rFonts w:ascii="Times New Roman" w:hAnsi="Times New Roman" w:cs="Times New Roman"/>
      <w:i/>
      <w:kern w:val="0"/>
      <w:sz w:val="28"/>
      <w:lang w:val="en-GB"/>
    </w:rPr>
  </w:style>
  <w:style w:type="paragraph" w:customStyle="1" w:styleId="ReleasableTo">
    <w:name w:val="ReleasableTo"/>
    <w:basedOn w:val="Normal"/>
    <w:rsid w:val="009823F0"/>
    <w:pPr>
      <w:spacing w:after="0" w:line="276" w:lineRule="auto"/>
      <w:ind w:left="5103"/>
    </w:pPr>
    <w:rPr>
      <w:rFonts w:ascii="Times New Roman" w:hAnsi="Times New Roman" w:cs="Times New Roman"/>
      <w:i/>
      <w:kern w:val="0"/>
      <w:sz w:val="28"/>
      <w:lang w:val="en-GB"/>
    </w:rPr>
  </w:style>
  <w:style w:type="paragraph" w:customStyle="1" w:styleId="Annexetitreexpos">
    <w:name w:val="Annexe titre (exposé)"/>
    <w:basedOn w:val="Normal"/>
    <w:next w:val="Normal"/>
    <w:rsid w:val="009823F0"/>
    <w:pPr>
      <w:spacing w:before="120" w:after="120" w:line="240" w:lineRule="auto"/>
      <w:jc w:val="center"/>
    </w:pPr>
    <w:rPr>
      <w:rFonts w:ascii="Times New Roman" w:hAnsi="Times New Roman" w:cs="Times New Roman"/>
      <w:b/>
      <w:kern w:val="0"/>
      <w:sz w:val="24"/>
      <w:u w:val="single"/>
      <w:lang w:val="en-GB"/>
    </w:rPr>
  </w:style>
  <w:style w:type="paragraph" w:customStyle="1" w:styleId="Annexetitre">
    <w:name w:val="Annexe titre"/>
    <w:basedOn w:val="Normal"/>
    <w:next w:val="Normal"/>
    <w:rsid w:val="009823F0"/>
    <w:pPr>
      <w:spacing w:before="120" w:after="120" w:line="240" w:lineRule="auto"/>
      <w:jc w:val="center"/>
    </w:pPr>
    <w:rPr>
      <w:rFonts w:ascii="Times New Roman" w:hAnsi="Times New Roman" w:cs="Times New Roman"/>
      <w:b/>
      <w:kern w:val="0"/>
      <w:sz w:val="24"/>
      <w:u w:val="single"/>
      <w:lang w:val="en-GB"/>
    </w:rPr>
  </w:style>
  <w:style w:type="paragraph" w:customStyle="1" w:styleId="Annexetitrefichefinancire">
    <w:name w:val="Annexe titre (fiche financière)"/>
    <w:basedOn w:val="Normal"/>
    <w:next w:val="Normal"/>
    <w:rsid w:val="009823F0"/>
    <w:pPr>
      <w:spacing w:before="120" w:after="120" w:line="240" w:lineRule="auto"/>
      <w:jc w:val="center"/>
    </w:pPr>
    <w:rPr>
      <w:rFonts w:ascii="Times New Roman" w:hAnsi="Times New Roman" w:cs="Times New Roman"/>
      <w:b/>
      <w:kern w:val="0"/>
      <w:sz w:val="24"/>
      <w:u w:val="single"/>
      <w:lang w:val="en-GB"/>
    </w:rPr>
  </w:style>
  <w:style w:type="paragraph" w:customStyle="1" w:styleId="Applicationdirecte">
    <w:name w:val="Application directe"/>
    <w:basedOn w:val="Normal"/>
    <w:next w:val="Fait"/>
    <w:rsid w:val="009823F0"/>
    <w:pPr>
      <w:spacing w:before="480" w:after="120" w:line="240" w:lineRule="auto"/>
      <w:jc w:val="both"/>
    </w:pPr>
    <w:rPr>
      <w:rFonts w:ascii="Times New Roman" w:hAnsi="Times New Roman" w:cs="Times New Roman"/>
      <w:kern w:val="0"/>
      <w:sz w:val="24"/>
      <w:lang w:val="en-GB"/>
    </w:rPr>
  </w:style>
  <w:style w:type="paragraph" w:customStyle="1" w:styleId="Avertissementtitre">
    <w:name w:val="Avertissement titre"/>
    <w:basedOn w:val="Normal"/>
    <w:next w:val="Normal"/>
    <w:rsid w:val="009823F0"/>
    <w:pPr>
      <w:keepNext/>
      <w:spacing w:before="480" w:after="120" w:line="240" w:lineRule="auto"/>
      <w:jc w:val="both"/>
    </w:pPr>
    <w:rPr>
      <w:rFonts w:ascii="Times New Roman" w:hAnsi="Times New Roman" w:cs="Times New Roman"/>
      <w:kern w:val="0"/>
      <w:sz w:val="24"/>
      <w:u w:val="single"/>
      <w:lang w:val="en-GB"/>
    </w:rPr>
  </w:style>
  <w:style w:type="paragraph" w:customStyle="1" w:styleId="Confidence">
    <w:name w:val="Confidence"/>
    <w:basedOn w:val="Normal"/>
    <w:next w:val="Normal"/>
    <w:rsid w:val="009823F0"/>
    <w:pPr>
      <w:spacing w:before="360" w:after="120" w:line="240" w:lineRule="auto"/>
      <w:jc w:val="center"/>
    </w:pPr>
    <w:rPr>
      <w:rFonts w:ascii="Times New Roman" w:hAnsi="Times New Roman" w:cs="Times New Roman"/>
      <w:kern w:val="0"/>
      <w:sz w:val="24"/>
      <w:lang w:val="en-GB"/>
    </w:rPr>
  </w:style>
  <w:style w:type="paragraph" w:customStyle="1" w:styleId="Confidentialit">
    <w:name w:val="Confidentialité"/>
    <w:basedOn w:val="Normal"/>
    <w:next w:val="TypedudocumentPagedecouverture"/>
    <w:rsid w:val="009823F0"/>
    <w:pPr>
      <w:spacing w:before="240" w:after="240" w:line="240" w:lineRule="auto"/>
      <w:ind w:left="5103"/>
    </w:pPr>
    <w:rPr>
      <w:rFonts w:ascii="Times New Roman" w:hAnsi="Times New Roman" w:cs="Times New Roman"/>
      <w:i/>
      <w:kern w:val="0"/>
      <w:sz w:val="32"/>
      <w:lang w:val="en-GB"/>
    </w:rPr>
  </w:style>
  <w:style w:type="paragraph" w:customStyle="1" w:styleId="Considrant">
    <w:name w:val="Considérant"/>
    <w:basedOn w:val="Normal"/>
    <w:rsid w:val="009823F0"/>
    <w:pPr>
      <w:numPr>
        <w:numId w:val="13"/>
      </w:numPr>
      <w:tabs>
        <w:tab w:val="clear" w:pos="709"/>
      </w:tabs>
      <w:spacing w:before="120" w:after="120" w:line="240" w:lineRule="auto"/>
      <w:ind w:left="0" w:firstLine="0"/>
      <w:jc w:val="both"/>
    </w:pPr>
    <w:rPr>
      <w:rFonts w:ascii="Times New Roman" w:hAnsi="Times New Roman" w:cs="Times New Roman"/>
      <w:kern w:val="0"/>
      <w:sz w:val="24"/>
      <w:lang w:val="en-GB"/>
    </w:rPr>
  </w:style>
  <w:style w:type="paragraph" w:customStyle="1" w:styleId="Corrigendum">
    <w:name w:val="Corrigendum"/>
    <w:basedOn w:val="Normal"/>
    <w:next w:val="Normal"/>
    <w:rsid w:val="009823F0"/>
    <w:pPr>
      <w:spacing w:after="240" w:line="240" w:lineRule="auto"/>
    </w:pPr>
    <w:rPr>
      <w:rFonts w:ascii="Times New Roman" w:hAnsi="Times New Roman" w:cs="Times New Roman"/>
      <w:kern w:val="0"/>
      <w:sz w:val="24"/>
      <w:lang w:val="en-GB"/>
    </w:rPr>
  </w:style>
  <w:style w:type="paragraph" w:customStyle="1" w:styleId="Datedadoption">
    <w:name w:val="Date d'adoption"/>
    <w:basedOn w:val="Normal"/>
    <w:next w:val="IntrtEEE"/>
    <w:rsid w:val="009823F0"/>
    <w:pPr>
      <w:spacing w:before="360" w:after="0" w:line="240" w:lineRule="auto"/>
      <w:jc w:val="center"/>
    </w:pPr>
    <w:rPr>
      <w:rFonts w:ascii="Times New Roman" w:hAnsi="Times New Roman" w:cs="Times New Roman"/>
      <w:b/>
      <w:kern w:val="0"/>
      <w:sz w:val="24"/>
      <w:lang w:val="en-GB"/>
    </w:rPr>
  </w:style>
  <w:style w:type="paragraph" w:customStyle="1" w:styleId="Exposdesmotifstitre">
    <w:name w:val="Exposé des motifs titre"/>
    <w:basedOn w:val="Normal"/>
    <w:next w:val="Normal"/>
    <w:rsid w:val="009823F0"/>
    <w:pPr>
      <w:spacing w:before="120" w:after="120" w:line="240" w:lineRule="auto"/>
      <w:jc w:val="center"/>
    </w:pPr>
    <w:rPr>
      <w:rFonts w:ascii="Times New Roman" w:hAnsi="Times New Roman" w:cs="Times New Roman"/>
      <w:b/>
      <w:kern w:val="0"/>
      <w:sz w:val="24"/>
      <w:u w:val="single"/>
      <w:lang w:val="en-GB"/>
    </w:rPr>
  </w:style>
  <w:style w:type="paragraph" w:customStyle="1" w:styleId="Fait">
    <w:name w:val="Fait à"/>
    <w:basedOn w:val="Normal"/>
    <w:next w:val="Institutionquisigne"/>
    <w:rsid w:val="009823F0"/>
    <w:pPr>
      <w:keepNext/>
      <w:spacing w:before="120" w:after="0" w:line="240" w:lineRule="auto"/>
      <w:jc w:val="both"/>
    </w:pPr>
    <w:rPr>
      <w:rFonts w:ascii="Times New Roman" w:hAnsi="Times New Roman" w:cs="Times New Roman"/>
      <w:kern w:val="0"/>
      <w:sz w:val="24"/>
      <w:lang w:val="en-GB"/>
    </w:rPr>
  </w:style>
  <w:style w:type="paragraph" w:customStyle="1" w:styleId="Formuledadoption">
    <w:name w:val="Formule d'adoption"/>
    <w:basedOn w:val="Normal"/>
    <w:next w:val="Titrearticle"/>
    <w:rsid w:val="009823F0"/>
    <w:pPr>
      <w:keepNext/>
      <w:spacing w:before="120" w:after="120" w:line="240" w:lineRule="auto"/>
      <w:jc w:val="both"/>
    </w:pPr>
    <w:rPr>
      <w:rFonts w:ascii="Times New Roman" w:hAnsi="Times New Roman" w:cs="Times New Roman"/>
      <w:kern w:val="0"/>
      <w:sz w:val="24"/>
      <w:lang w:val="en-GB"/>
    </w:rPr>
  </w:style>
  <w:style w:type="paragraph" w:customStyle="1" w:styleId="Institutionquiagit">
    <w:name w:val="Institution qui agit"/>
    <w:basedOn w:val="Normal"/>
    <w:next w:val="Normal"/>
    <w:rsid w:val="009823F0"/>
    <w:pPr>
      <w:keepNext/>
      <w:spacing w:before="600" w:after="120" w:line="240" w:lineRule="auto"/>
      <w:jc w:val="both"/>
    </w:pPr>
    <w:rPr>
      <w:rFonts w:ascii="Times New Roman" w:hAnsi="Times New Roman" w:cs="Times New Roman"/>
      <w:kern w:val="0"/>
      <w:sz w:val="24"/>
      <w:lang w:val="en-GB"/>
    </w:rPr>
  </w:style>
  <w:style w:type="paragraph" w:customStyle="1" w:styleId="Institutionquisigne">
    <w:name w:val="Institution qui signe"/>
    <w:basedOn w:val="Normal"/>
    <w:next w:val="Personnequisigne"/>
    <w:rsid w:val="009823F0"/>
    <w:pPr>
      <w:keepNext/>
      <w:tabs>
        <w:tab w:val="left" w:pos="4252"/>
      </w:tabs>
      <w:spacing w:before="720" w:after="0" w:line="240" w:lineRule="auto"/>
      <w:jc w:val="both"/>
    </w:pPr>
    <w:rPr>
      <w:rFonts w:ascii="Times New Roman" w:hAnsi="Times New Roman" w:cs="Times New Roman"/>
      <w:i/>
      <w:kern w:val="0"/>
      <w:sz w:val="24"/>
      <w:lang w:val="en-GB"/>
    </w:rPr>
  </w:style>
  <w:style w:type="paragraph" w:customStyle="1" w:styleId="ManualConsidrant">
    <w:name w:val="Manual Considérant"/>
    <w:basedOn w:val="Normal"/>
    <w:rsid w:val="009823F0"/>
    <w:pPr>
      <w:spacing w:before="120" w:after="120" w:line="240" w:lineRule="auto"/>
      <w:ind w:left="709" w:hanging="709"/>
      <w:jc w:val="both"/>
    </w:pPr>
    <w:rPr>
      <w:rFonts w:ascii="Times New Roman" w:hAnsi="Times New Roman" w:cs="Times New Roman"/>
      <w:kern w:val="0"/>
      <w:sz w:val="24"/>
      <w:lang w:val="en-GB"/>
    </w:rPr>
  </w:style>
  <w:style w:type="paragraph" w:customStyle="1" w:styleId="Personnequisigne">
    <w:name w:val="Personne qui signe"/>
    <w:basedOn w:val="Normal"/>
    <w:next w:val="Institutionquisigne"/>
    <w:rsid w:val="009823F0"/>
    <w:pPr>
      <w:tabs>
        <w:tab w:val="left" w:pos="4252"/>
      </w:tabs>
      <w:spacing w:after="0" w:line="240" w:lineRule="auto"/>
    </w:pPr>
    <w:rPr>
      <w:rFonts w:ascii="Times New Roman" w:hAnsi="Times New Roman" w:cs="Times New Roman"/>
      <w:i/>
      <w:kern w:val="0"/>
      <w:sz w:val="24"/>
      <w:lang w:val="en-GB"/>
    </w:rPr>
  </w:style>
  <w:style w:type="paragraph" w:customStyle="1" w:styleId="Rfrenceinterinstitutionnelle">
    <w:name w:val="Référence interinstitutionnelle"/>
    <w:basedOn w:val="Normal"/>
    <w:next w:val="Statut"/>
    <w:rsid w:val="009823F0"/>
    <w:pPr>
      <w:spacing w:after="0" w:line="240" w:lineRule="auto"/>
      <w:ind w:left="5103"/>
    </w:pPr>
    <w:rPr>
      <w:rFonts w:ascii="Times New Roman" w:hAnsi="Times New Roman" w:cs="Times New Roman"/>
      <w:kern w:val="0"/>
      <w:sz w:val="24"/>
      <w:lang w:val="en-GB"/>
    </w:rPr>
  </w:style>
  <w:style w:type="paragraph" w:customStyle="1" w:styleId="Rfrenceinterne">
    <w:name w:val="Référence interne"/>
    <w:basedOn w:val="Normal"/>
    <w:next w:val="Rfrenceinterinstitutionnelle"/>
    <w:rsid w:val="009823F0"/>
    <w:pPr>
      <w:spacing w:after="0" w:line="240" w:lineRule="auto"/>
      <w:ind w:left="5103"/>
    </w:pPr>
    <w:rPr>
      <w:rFonts w:ascii="Times New Roman" w:hAnsi="Times New Roman" w:cs="Times New Roman"/>
      <w:kern w:val="0"/>
      <w:sz w:val="24"/>
      <w:lang w:val="en-GB"/>
    </w:rPr>
  </w:style>
  <w:style w:type="paragraph" w:customStyle="1" w:styleId="Statut">
    <w:name w:val="Statut"/>
    <w:basedOn w:val="Normal"/>
    <w:next w:val="Typedudocument"/>
    <w:rsid w:val="009823F0"/>
    <w:pPr>
      <w:spacing w:after="240" w:line="240" w:lineRule="auto"/>
      <w:jc w:val="center"/>
    </w:pPr>
    <w:rPr>
      <w:rFonts w:ascii="Times New Roman" w:hAnsi="Times New Roman" w:cs="Times New Roman"/>
      <w:kern w:val="0"/>
      <w:sz w:val="24"/>
      <w:lang w:val="en-GB"/>
    </w:rPr>
  </w:style>
  <w:style w:type="paragraph" w:customStyle="1" w:styleId="Titrearticle">
    <w:name w:val="Titre article"/>
    <w:basedOn w:val="Normal"/>
    <w:next w:val="Normal"/>
    <w:rsid w:val="009823F0"/>
    <w:pPr>
      <w:keepNext/>
      <w:spacing w:before="360" w:after="120" w:line="240" w:lineRule="auto"/>
      <w:jc w:val="center"/>
    </w:pPr>
    <w:rPr>
      <w:rFonts w:ascii="Times New Roman" w:hAnsi="Times New Roman" w:cs="Times New Roman"/>
      <w:i/>
      <w:kern w:val="0"/>
      <w:sz w:val="24"/>
      <w:lang w:val="en-GB"/>
    </w:rPr>
  </w:style>
  <w:style w:type="paragraph" w:customStyle="1" w:styleId="Typedudocument">
    <w:name w:val="Type du document"/>
    <w:basedOn w:val="Normal"/>
    <w:next w:val="Accompagnant"/>
    <w:rsid w:val="009823F0"/>
    <w:pPr>
      <w:spacing w:before="360" w:after="180" w:line="240" w:lineRule="auto"/>
      <w:jc w:val="center"/>
    </w:pPr>
    <w:rPr>
      <w:rFonts w:ascii="Times New Roman" w:hAnsi="Times New Roman" w:cs="Times New Roman"/>
      <w:b/>
      <w:kern w:val="0"/>
      <w:sz w:val="24"/>
      <w:lang w:val="en-GB"/>
    </w:rPr>
  </w:style>
  <w:style w:type="character" w:customStyle="1" w:styleId="Added">
    <w:name w:val="Added"/>
    <w:basedOn w:val="DefaultParagraphFont"/>
    <w:rsid w:val="009823F0"/>
    <w:rPr>
      <w:b/>
      <w:u w:val="single"/>
      <w:shd w:val="clear" w:color="auto" w:fill="auto"/>
    </w:rPr>
  </w:style>
  <w:style w:type="character" w:customStyle="1" w:styleId="Deleted">
    <w:name w:val="Deleted"/>
    <w:basedOn w:val="DefaultParagraphFont"/>
    <w:rsid w:val="009823F0"/>
    <w:rPr>
      <w:strike/>
      <w:dstrike w:val="0"/>
      <w:shd w:val="clear" w:color="auto" w:fill="auto"/>
    </w:rPr>
  </w:style>
  <w:style w:type="paragraph" w:customStyle="1" w:styleId="Address">
    <w:name w:val="Address"/>
    <w:basedOn w:val="Normal"/>
    <w:next w:val="Normal"/>
    <w:rsid w:val="009823F0"/>
    <w:pPr>
      <w:keepLines/>
      <w:spacing w:before="120" w:after="120" w:line="360" w:lineRule="auto"/>
      <w:ind w:left="3402"/>
    </w:pPr>
    <w:rPr>
      <w:rFonts w:ascii="Times New Roman" w:hAnsi="Times New Roman" w:cs="Times New Roman"/>
      <w:kern w:val="0"/>
      <w:sz w:val="24"/>
      <w:lang w:val="en-GB"/>
    </w:rPr>
  </w:style>
  <w:style w:type="paragraph" w:customStyle="1" w:styleId="Objetexterne">
    <w:name w:val="Objet externe"/>
    <w:basedOn w:val="Normal"/>
    <w:next w:val="Normal"/>
    <w:rsid w:val="009823F0"/>
    <w:pPr>
      <w:spacing w:before="120" w:after="120" w:line="240" w:lineRule="auto"/>
      <w:jc w:val="both"/>
    </w:pPr>
    <w:rPr>
      <w:rFonts w:ascii="Times New Roman" w:hAnsi="Times New Roman" w:cs="Times New Roman"/>
      <w:i/>
      <w:caps/>
      <w:kern w:val="0"/>
      <w:sz w:val="24"/>
      <w:lang w:val="en-GB"/>
    </w:rPr>
  </w:style>
  <w:style w:type="paragraph" w:customStyle="1" w:styleId="Supertitre">
    <w:name w:val="Supertitre"/>
    <w:basedOn w:val="Normal"/>
    <w:next w:val="Normal"/>
    <w:rsid w:val="009823F0"/>
    <w:pPr>
      <w:spacing w:after="600" w:line="240" w:lineRule="auto"/>
      <w:jc w:val="center"/>
    </w:pPr>
    <w:rPr>
      <w:rFonts w:ascii="Times New Roman" w:hAnsi="Times New Roman" w:cs="Times New Roman"/>
      <w:b/>
      <w:kern w:val="0"/>
      <w:sz w:val="24"/>
      <w:lang w:val="en-GB"/>
    </w:rPr>
  </w:style>
  <w:style w:type="paragraph" w:customStyle="1" w:styleId="Languesfaisantfoi">
    <w:name w:val="Langues faisant foi"/>
    <w:basedOn w:val="Normal"/>
    <w:next w:val="Normal"/>
    <w:rsid w:val="009823F0"/>
    <w:pPr>
      <w:spacing w:before="360" w:after="240" w:line="240" w:lineRule="auto"/>
      <w:jc w:val="center"/>
    </w:pPr>
    <w:rPr>
      <w:rFonts w:ascii="Times New Roman" w:hAnsi="Times New Roman" w:cs="Times New Roman"/>
      <w:kern w:val="0"/>
      <w:sz w:val="24"/>
      <w:lang w:val="en-GB"/>
    </w:rPr>
  </w:style>
  <w:style w:type="paragraph" w:customStyle="1" w:styleId="Rfrencecroise">
    <w:name w:val="Référence croisée"/>
    <w:basedOn w:val="Normal"/>
    <w:rsid w:val="009823F0"/>
    <w:pPr>
      <w:spacing w:after="0" w:line="240" w:lineRule="auto"/>
      <w:jc w:val="center"/>
    </w:pPr>
    <w:rPr>
      <w:rFonts w:ascii="Times New Roman" w:hAnsi="Times New Roman" w:cs="Times New Roman"/>
      <w:kern w:val="0"/>
      <w:sz w:val="24"/>
      <w:lang w:val="en-GB"/>
    </w:rPr>
  </w:style>
  <w:style w:type="paragraph" w:customStyle="1" w:styleId="Fichefinanciretitre">
    <w:name w:val="Fiche financière titre"/>
    <w:basedOn w:val="Normal"/>
    <w:next w:val="Normal"/>
    <w:rsid w:val="009823F0"/>
    <w:pPr>
      <w:spacing w:before="120" w:after="120" w:line="240" w:lineRule="auto"/>
      <w:jc w:val="center"/>
    </w:pPr>
    <w:rPr>
      <w:rFonts w:ascii="Times New Roman" w:hAnsi="Times New Roman" w:cs="Times New Roman"/>
      <w:b/>
      <w:kern w:val="0"/>
      <w:sz w:val="24"/>
      <w:u w:val="single"/>
      <w:lang w:val="en-GB"/>
    </w:rPr>
  </w:style>
  <w:style w:type="paragraph" w:customStyle="1" w:styleId="DatedadoptionPagedecouverture">
    <w:name w:val="Date d'adoption (Page de couverture)"/>
    <w:basedOn w:val="Datedadoption"/>
    <w:next w:val="IntrtEEEPagedecouverture"/>
    <w:rsid w:val="009823F0"/>
  </w:style>
  <w:style w:type="paragraph" w:customStyle="1" w:styleId="RfrenceinterinstitutionnellePagedecouverture">
    <w:name w:val="Référence interinstitutionnelle (Page de couverture)"/>
    <w:basedOn w:val="Rfrenceinterinstitutionnelle"/>
    <w:next w:val="Confidentialit"/>
    <w:rsid w:val="009823F0"/>
  </w:style>
  <w:style w:type="paragraph" w:customStyle="1" w:styleId="StatutPagedecouverture">
    <w:name w:val="Statut (Page de couverture)"/>
    <w:basedOn w:val="Statut"/>
    <w:next w:val="TypedudocumentPagedecouverture"/>
    <w:rsid w:val="009823F0"/>
  </w:style>
  <w:style w:type="paragraph" w:customStyle="1" w:styleId="TypedudocumentPagedecouverture">
    <w:name w:val="Type du document (Page de couverture)"/>
    <w:basedOn w:val="Typedudocument"/>
    <w:next w:val="AccompagnantPagedecouverture"/>
    <w:rsid w:val="009823F0"/>
  </w:style>
  <w:style w:type="paragraph" w:customStyle="1" w:styleId="Volume">
    <w:name w:val="Volume"/>
    <w:basedOn w:val="Normal"/>
    <w:next w:val="Confidentialit"/>
    <w:rsid w:val="009823F0"/>
    <w:pPr>
      <w:spacing w:after="240" w:line="240" w:lineRule="auto"/>
      <w:ind w:left="5103"/>
    </w:pPr>
    <w:rPr>
      <w:rFonts w:ascii="Times New Roman" w:hAnsi="Times New Roman" w:cs="Times New Roman"/>
      <w:kern w:val="0"/>
      <w:sz w:val="24"/>
      <w:lang w:val="en-GB"/>
    </w:rPr>
  </w:style>
  <w:style w:type="paragraph" w:customStyle="1" w:styleId="IntrtEEE">
    <w:name w:val="Intérêt EEE"/>
    <w:basedOn w:val="Languesfaisantfoi"/>
    <w:next w:val="Normal"/>
    <w:rsid w:val="009823F0"/>
    <w:pPr>
      <w:spacing w:after="0"/>
    </w:pPr>
  </w:style>
  <w:style w:type="paragraph" w:customStyle="1" w:styleId="Accompagnant">
    <w:name w:val="Accompagnant"/>
    <w:basedOn w:val="Normal"/>
    <w:next w:val="Typeacteprincipal"/>
    <w:rsid w:val="009823F0"/>
    <w:pPr>
      <w:spacing w:before="180" w:after="240" w:line="240" w:lineRule="auto"/>
      <w:jc w:val="center"/>
    </w:pPr>
    <w:rPr>
      <w:rFonts w:ascii="Times New Roman" w:hAnsi="Times New Roman" w:cs="Times New Roman"/>
      <w:b/>
      <w:kern w:val="0"/>
      <w:sz w:val="24"/>
      <w:lang w:val="en-GB"/>
    </w:rPr>
  </w:style>
  <w:style w:type="paragraph" w:customStyle="1" w:styleId="Typeacteprincipal">
    <w:name w:val="Type acte principal"/>
    <w:basedOn w:val="Normal"/>
    <w:next w:val="Objetacteprincipal"/>
    <w:rsid w:val="009823F0"/>
    <w:pPr>
      <w:spacing w:after="240" w:line="240" w:lineRule="auto"/>
      <w:jc w:val="center"/>
    </w:pPr>
    <w:rPr>
      <w:rFonts w:ascii="Times New Roman" w:hAnsi="Times New Roman" w:cs="Times New Roman"/>
      <w:b/>
      <w:kern w:val="0"/>
      <w:sz w:val="24"/>
      <w:lang w:val="en-GB"/>
    </w:rPr>
  </w:style>
  <w:style w:type="paragraph" w:customStyle="1" w:styleId="Objetacteprincipal">
    <w:name w:val="Objet acte principal"/>
    <w:basedOn w:val="Normal"/>
    <w:next w:val="Titrearticle"/>
    <w:rsid w:val="009823F0"/>
    <w:pPr>
      <w:spacing w:after="360" w:line="240" w:lineRule="auto"/>
      <w:jc w:val="center"/>
    </w:pPr>
    <w:rPr>
      <w:rFonts w:ascii="Times New Roman" w:hAnsi="Times New Roman" w:cs="Times New Roman"/>
      <w:b/>
      <w:kern w:val="0"/>
      <w:sz w:val="24"/>
      <w:lang w:val="en-GB"/>
    </w:rPr>
  </w:style>
  <w:style w:type="paragraph" w:customStyle="1" w:styleId="IntrtEEEPagedecouverture">
    <w:name w:val="Intérêt EEE (Page de couverture)"/>
    <w:basedOn w:val="IntrtEEE"/>
    <w:next w:val="Normal"/>
    <w:rsid w:val="009823F0"/>
  </w:style>
  <w:style w:type="paragraph" w:customStyle="1" w:styleId="AccompagnantPagedecouverture">
    <w:name w:val="Accompagnant (Page de couverture)"/>
    <w:basedOn w:val="Accompagnant"/>
    <w:next w:val="TypeacteprincipalPagedecouverture"/>
    <w:rsid w:val="009823F0"/>
  </w:style>
  <w:style w:type="paragraph" w:customStyle="1" w:styleId="TypeacteprincipalPagedecouverture">
    <w:name w:val="Type acte principal (Page de couverture)"/>
    <w:basedOn w:val="Typeacteprincipal"/>
    <w:next w:val="ObjetacteprincipalPagedecouverture"/>
    <w:rsid w:val="009823F0"/>
  </w:style>
  <w:style w:type="paragraph" w:customStyle="1" w:styleId="ObjetacteprincipalPagedecouverture">
    <w:name w:val="Objet acte principal (Page de couverture)"/>
    <w:basedOn w:val="Objetacteprincipal"/>
    <w:next w:val="Rfrencecroise"/>
    <w:rsid w:val="009823F0"/>
  </w:style>
  <w:style w:type="paragraph" w:customStyle="1" w:styleId="LanguesfaisantfoiPagedecouverture">
    <w:name w:val="Langues faisant foi (Page de couverture)"/>
    <w:basedOn w:val="Normal"/>
    <w:next w:val="Rfrencecroise"/>
    <w:rsid w:val="009823F0"/>
    <w:pPr>
      <w:spacing w:before="360" w:after="240" w:line="240" w:lineRule="auto"/>
      <w:jc w:val="center"/>
    </w:pPr>
    <w:rPr>
      <w:rFonts w:ascii="Times New Roman" w:hAnsi="Times New Roman" w:cs="Times New Roman"/>
      <w:kern w:val="0"/>
      <w:sz w:val="24"/>
      <w:lang w:val="en-GB"/>
    </w:rPr>
  </w:style>
  <w:style w:type="character" w:styleId="CommentReference">
    <w:name w:val="annotation reference"/>
    <w:basedOn w:val="DefaultParagraphFont"/>
    <w:uiPriority w:val="99"/>
    <w:unhideWhenUsed/>
    <w:rsid w:val="009823F0"/>
    <w:rPr>
      <w:sz w:val="16"/>
      <w:szCs w:val="16"/>
    </w:rPr>
  </w:style>
  <w:style w:type="paragraph" w:styleId="CommentText">
    <w:name w:val="annotation text"/>
    <w:basedOn w:val="Normal"/>
    <w:link w:val="CommentTextChar"/>
    <w:uiPriority w:val="99"/>
    <w:unhideWhenUsed/>
    <w:rsid w:val="009823F0"/>
    <w:pPr>
      <w:spacing w:before="120" w:after="120" w:line="240" w:lineRule="auto"/>
      <w:jc w:val="both"/>
    </w:pPr>
    <w:rPr>
      <w:rFonts w:ascii="Times New Roman" w:hAnsi="Times New Roman" w:cs="Times New Roman"/>
      <w:kern w:val="0"/>
      <w:sz w:val="20"/>
      <w:szCs w:val="20"/>
      <w:lang w:val="en-GB"/>
    </w:rPr>
  </w:style>
  <w:style w:type="character" w:customStyle="1" w:styleId="CommentTextChar">
    <w:name w:val="Comment Text Char"/>
    <w:basedOn w:val="DefaultParagraphFont"/>
    <w:link w:val="CommentText"/>
    <w:uiPriority w:val="99"/>
    <w:rsid w:val="009823F0"/>
    <w:rPr>
      <w:rFonts w:ascii="Times New Roman" w:hAnsi="Times New Roman" w:cs="Times New Roman"/>
      <w:kern w:val="0"/>
      <w:sz w:val="20"/>
      <w:szCs w:val="20"/>
      <w:lang w:val="en-GB"/>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9823F0"/>
  </w:style>
  <w:style w:type="paragraph" w:styleId="BalloonText">
    <w:name w:val="Balloon Text"/>
    <w:basedOn w:val="Normal"/>
    <w:link w:val="BalloonTextChar"/>
    <w:uiPriority w:val="99"/>
    <w:semiHidden/>
    <w:unhideWhenUsed/>
    <w:rsid w:val="009823F0"/>
    <w:pPr>
      <w:spacing w:after="0" w:line="240" w:lineRule="auto"/>
      <w:jc w:val="both"/>
    </w:pPr>
    <w:rPr>
      <w:rFonts w:ascii="Segoe UI" w:hAnsi="Segoe UI" w:cs="Segoe UI"/>
      <w:kern w:val="0"/>
      <w:sz w:val="18"/>
      <w:szCs w:val="18"/>
      <w:lang w:val="en-GB"/>
    </w:rPr>
  </w:style>
  <w:style w:type="character" w:customStyle="1" w:styleId="BalloonTextChar">
    <w:name w:val="Balloon Text Char"/>
    <w:basedOn w:val="DefaultParagraphFont"/>
    <w:link w:val="BalloonText"/>
    <w:uiPriority w:val="99"/>
    <w:semiHidden/>
    <w:rsid w:val="009823F0"/>
    <w:rPr>
      <w:rFonts w:ascii="Segoe UI" w:hAnsi="Segoe UI" w:cs="Segoe UI"/>
      <w:kern w:val="0"/>
      <w:sz w:val="18"/>
      <w:szCs w:val="18"/>
      <w:lang w:val="en-GB"/>
    </w:rPr>
  </w:style>
  <w:style w:type="paragraph" w:styleId="ListBullet">
    <w:name w:val="List Bullet"/>
    <w:basedOn w:val="Normal"/>
    <w:uiPriority w:val="99"/>
    <w:unhideWhenUsed/>
    <w:rsid w:val="009823F0"/>
    <w:pPr>
      <w:numPr>
        <w:numId w:val="14"/>
      </w:numPr>
      <w:tabs>
        <w:tab w:val="clear" w:pos="360"/>
      </w:tabs>
      <w:spacing w:before="120" w:after="120" w:line="240" w:lineRule="auto"/>
      <w:ind w:left="0" w:firstLine="0"/>
      <w:contextualSpacing/>
      <w:jc w:val="both"/>
    </w:pPr>
    <w:rPr>
      <w:rFonts w:ascii="Times New Roman" w:hAnsi="Times New Roman" w:cs="Times New Roman"/>
      <w:kern w:val="0"/>
      <w:sz w:val="24"/>
      <w:lang w:val="en-GB"/>
    </w:rPr>
  </w:style>
  <w:style w:type="paragraph" w:styleId="ListBullet2">
    <w:name w:val="List Bullet 2"/>
    <w:basedOn w:val="Normal"/>
    <w:uiPriority w:val="99"/>
    <w:semiHidden/>
    <w:unhideWhenUsed/>
    <w:rsid w:val="009823F0"/>
    <w:pPr>
      <w:numPr>
        <w:numId w:val="15"/>
      </w:numPr>
      <w:tabs>
        <w:tab w:val="clear" w:pos="643"/>
      </w:tabs>
      <w:spacing w:before="120" w:after="120" w:line="240" w:lineRule="auto"/>
      <w:ind w:left="0" w:firstLine="0"/>
      <w:contextualSpacing/>
      <w:jc w:val="both"/>
    </w:pPr>
    <w:rPr>
      <w:rFonts w:ascii="Times New Roman" w:hAnsi="Times New Roman" w:cs="Times New Roman"/>
      <w:kern w:val="0"/>
      <w:sz w:val="24"/>
      <w:lang w:val="en-GB"/>
    </w:rPr>
  </w:style>
  <w:style w:type="paragraph" w:styleId="ListBullet3">
    <w:name w:val="List Bullet 3"/>
    <w:basedOn w:val="Normal"/>
    <w:uiPriority w:val="99"/>
    <w:semiHidden/>
    <w:unhideWhenUsed/>
    <w:rsid w:val="009823F0"/>
    <w:pPr>
      <w:numPr>
        <w:numId w:val="16"/>
      </w:numPr>
      <w:tabs>
        <w:tab w:val="clear" w:pos="926"/>
      </w:tabs>
      <w:spacing w:before="120" w:after="120" w:line="240" w:lineRule="auto"/>
      <w:ind w:left="0" w:firstLine="0"/>
      <w:contextualSpacing/>
      <w:jc w:val="both"/>
    </w:pPr>
    <w:rPr>
      <w:rFonts w:ascii="Times New Roman" w:hAnsi="Times New Roman" w:cs="Times New Roman"/>
      <w:kern w:val="0"/>
      <w:sz w:val="24"/>
      <w:lang w:val="en-GB"/>
    </w:rPr>
  </w:style>
  <w:style w:type="paragraph" w:styleId="ListBullet4">
    <w:name w:val="List Bullet 4"/>
    <w:basedOn w:val="Normal"/>
    <w:uiPriority w:val="99"/>
    <w:semiHidden/>
    <w:unhideWhenUsed/>
    <w:rsid w:val="009823F0"/>
    <w:pPr>
      <w:numPr>
        <w:numId w:val="17"/>
      </w:numPr>
      <w:tabs>
        <w:tab w:val="clear" w:pos="1209"/>
      </w:tabs>
      <w:spacing w:before="120" w:after="120" w:line="240" w:lineRule="auto"/>
      <w:ind w:left="0" w:firstLine="0"/>
      <w:contextualSpacing/>
      <w:jc w:val="both"/>
    </w:pPr>
    <w:rPr>
      <w:rFonts w:ascii="Times New Roman" w:hAnsi="Times New Roman" w:cs="Times New Roman"/>
      <w:kern w:val="0"/>
      <w:sz w:val="24"/>
      <w:lang w:val="en-GB"/>
    </w:rPr>
  </w:style>
  <w:style w:type="paragraph" w:styleId="CommentSubject">
    <w:name w:val="annotation subject"/>
    <w:basedOn w:val="CommentText"/>
    <w:next w:val="CommentText"/>
    <w:link w:val="CommentSubjectChar"/>
    <w:uiPriority w:val="99"/>
    <w:semiHidden/>
    <w:unhideWhenUsed/>
    <w:rsid w:val="009823F0"/>
    <w:rPr>
      <w:b/>
      <w:bCs/>
    </w:rPr>
  </w:style>
  <w:style w:type="character" w:customStyle="1" w:styleId="CommentSubjectChar">
    <w:name w:val="Comment Subject Char"/>
    <w:basedOn w:val="CommentTextChar"/>
    <w:link w:val="CommentSubject"/>
    <w:uiPriority w:val="99"/>
    <w:semiHidden/>
    <w:rsid w:val="009823F0"/>
    <w:rPr>
      <w:rFonts w:ascii="Times New Roman" w:hAnsi="Times New Roman" w:cs="Times New Roman"/>
      <w:b/>
      <w:bCs/>
      <w:kern w:val="0"/>
      <w:sz w:val="20"/>
      <w:szCs w:val="20"/>
      <w:lang w:val="en-GB"/>
    </w:rPr>
  </w:style>
  <w:style w:type="paragraph" w:styleId="Revision">
    <w:name w:val="Revision"/>
    <w:hidden/>
    <w:uiPriority w:val="99"/>
    <w:semiHidden/>
    <w:rsid w:val="009823F0"/>
    <w:pPr>
      <w:spacing w:after="0" w:line="240" w:lineRule="auto"/>
    </w:pPr>
    <w:rPr>
      <w:rFonts w:ascii="Times New Roman" w:hAnsi="Times New Roman" w:cs="Times New Roman"/>
      <w:kern w:val="0"/>
      <w:sz w:val="24"/>
      <w:lang w:val="en-GB"/>
    </w:rPr>
  </w:style>
  <w:style w:type="table" w:styleId="TableGrid">
    <w:name w:val="Table Grid"/>
    <w:basedOn w:val="TableNormal"/>
    <w:uiPriority w:val="39"/>
    <w:rsid w:val="009823F0"/>
    <w:pPr>
      <w:spacing w:after="0" w:line="240" w:lineRule="auto"/>
    </w:pPr>
    <w:rPr>
      <w:rFonts w:ascii="Calibri" w:eastAsia="Calibri" w:hAnsi="Calibri" w:cs="Times New Roman"/>
      <w:kern w:val="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82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fr-FR" w:eastAsia="fr-FR"/>
    </w:rPr>
  </w:style>
  <w:style w:type="character" w:customStyle="1" w:styleId="HTMLPreformattedChar">
    <w:name w:val="HTML Preformatted Char"/>
    <w:basedOn w:val="DefaultParagraphFont"/>
    <w:link w:val="HTMLPreformatted"/>
    <w:uiPriority w:val="99"/>
    <w:semiHidden/>
    <w:rsid w:val="009823F0"/>
    <w:rPr>
      <w:rFonts w:ascii="Courier New" w:eastAsia="Times New Roman" w:hAnsi="Courier New" w:cs="Courier New"/>
      <w:kern w:val="0"/>
      <w:sz w:val="20"/>
      <w:szCs w:val="20"/>
      <w:lang w:val="fr-FR" w:eastAsia="fr-FR"/>
    </w:rPr>
  </w:style>
  <w:style w:type="character" w:styleId="Hyperlink">
    <w:name w:val="Hyperlink"/>
    <w:basedOn w:val="DefaultParagraphFont"/>
    <w:uiPriority w:val="99"/>
    <w:unhideWhenUsed/>
    <w:rsid w:val="009823F0"/>
    <w:rPr>
      <w:color w:val="0000FF"/>
      <w:u w:val="single"/>
    </w:rPr>
  </w:style>
  <w:style w:type="character" w:styleId="HTMLCite">
    <w:name w:val="HTML Cite"/>
    <w:basedOn w:val="DefaultParagraphFont"/>
    <w:uiPriority w:val="99"/>
    <w:semiHidden/>
    <w:unhideWhenUsed/>
    <w:rsid w:val="009823F0"/>
    <w:rPr>
      <w:i/>
      <w:iCs/>
    </w:rPr>
  </w:style>
  <w:style w:type="character" w:customStyle="1" w:styleId="acopre">
    <w:name w:val="acopre"/>
    <w:basedOn w:val="DefaultParagraphFont"/>
    <w:rsid w:val="009823F0"/>
  </w:style>
  <w:style w:type="character" w:styleId="Emphasis">
    <w:name w:val="Emphasis"/>
    <w:basedOn w:val="DefaultParagraphFont"/>
    <w:uiPriority w:val="20"/>
    <w:qFormat/>
    <w:rsid w:val="009823F0"/>
    <w:rPr>
      <w:i/>
      <w:iCs/>
    </w:rPr>
  </w:style>
  <w:style w:type="character" w:customStyle="1" w:styleId="lo8sbd">
    <w:name w:val="lo8sbd"/>
    <w:basedOn w:val="DefaultParagraphFont"/>
    <w:rsid w:val="009823F0"/>
  </w:style>
  <w:style w:type="paragraph" w:customStyle="1" w:styleId="s1fapd">
    <w:name w:val="s1fapd"/>
    <w:basedOn w:val="Normal"/>
    <w:rsid w:val="009823F0"/>
    <w:pPr>
      <w:spacing w:before="100" w:beforeAutospacing="1" w:after="100" w:afterAutospacing="1" w:line="240" w:lineRule="auto"/>
    </w:pPr>
    <w:rPr>
      <w:rFonts w:ascii="Times New Roman" w:eastAsia="Times New Roman" w:hAnsi="Times New Roman" w:cs="Times New Roman"/>
      <w:kern w:val="0"/>
      <w:sz w:val="24"/>
      <w:szCs w:val="24"/>
      <w:lang w:val="fr-FR" w:eastAsia="fr-FR"/>
    </w:rPr>
  </w:style>
  <w:style w:type="character" w:customStyle="1" w:styleId="wurvib">
    <w:name w:val="wurvib"/>
    <w:basedOn w:val="DefaultParagraphFont"/>
    <w:rsid w:val="009823F0"/>
  </w:style>
  <w:style w:type="character" w:customStyle="1" w:styleId="dyjrff">
    <w:name w:val="dyjrff"/>
    <w:basedOn w:val="DefaultParagraphFont"/>
    <w:rsid w:val="009823F0"/>
  </w:style>
  <w:style w:type="character" w:customStyle="1" w:styleId="glpvmc">
    <w:name w:val="glpvmc"/>
    <w:basedOn w:val="DefaultParagraphFont"/>
    <w:rsid w:val="009823F0"/>
  </w:style>
  <w:style w:type="character" w:customStyle="1" w:styleId="f">
    <w:name w:val="f"/>
    <w:basedOn w:val="DefaultParagraphFont"/>
    <w:rsid w:val="009823F0"/>
  </w:style>
  <w:style w:type="character" w:customStyle="1" w:styleId="mfmhoc">
    <w:name w:val="mfmhoc"/>
    <w:basedOn w:val="DefaultParagraphFont"/>
    <w:rsid w:val="009823F0"/>
  </w:style>
  <w:style w:type="character" w:customStyle="1" w:styleId="q8lrlc">
    <w:name w:val="q8lrlc"/>
    <w:basedOn w:val="DefaultParagraphFont"/>
    <w:rsid w:val="009823F0"/>
  </w:style>
  <w:style w:type="character" w:customStyle="1" w:styleId="b4gxfc">
    <w:name w:val="b4gxfc"/>
    <w:basedOn w:val="DefaultParagraphFont"/>
    <w:rsid w:val="009823F0"/>
  </w:style>
  <w:style w:type="character" w:customStyle="1" w:styleId="jlqj4b">
    <w:name w:val="jlqj4b"/>
    <w:basedOn w:val="DefaultParagraphFont"/>
    <w:rsid w:val="009823F0"/>
  </w:style>
  <w:style w:type="paragraph" w:customStyle="1" w:styleId="paragraph">
    <w:name w:val="paragraph"/>
    <w:basedOn w:val="Normal"/>
    <w:rsid w:val="009823F0"/>
    <w:pPr>
      <w:spacing w:before="100" w:beforeAutospacing="1" w:after="100" w:afterAutospacing="1" w:line="240" w:lineRule="auto"/>
    </w:pPr>
    <w:rPr>
      <w:rFonts w:ascii="Times New Roman" w:eastAsia="Times New Roman" w:hAnsi="Times New Roman" w:cs="Times New Roman"/>
      <w:kern w:val="0"/>
      <w:sz w:val="24"/>
      <w:szCs w:val="24"/>
      <w:lang w:val="fr-FR" w:eastAsia="fr-FR"/>
    </w:rPr>
  </w:style>
  <w:style w:type="character" w:customStyle="1" w:styleId="normaltextrun">
    <w:name w:val="normaltextrun"/>
    <w:basedOn w:val="DefaultParagraphFont"/>
    <w:rsid w:val="009823F0"/>
  </w:style>
  <w:style w:type="character" w:customStyle="1" w:styleId="eop">
    <w:name w:val="eop"/>
    <w:basedOn w:val="DefaultParagraphFont"/>
    <w:rsid w:val="009823F0"/>
  </w:style>
  <w:style w:type="character" w:customStyle="1" w:styleId="hgkelc">
    <w:name w:val="hgkelc"/>
    <w:basedOn w:val="DefaultParagraphFont"/>
    <w:rsid w:val="009823F0"/>
  </w:style>
  <w:style w:type="character" w:customStyle="1" w:styleId="y2iqfc">
    <w:name w:val="y2iqfc"/>
    <w:basedOn w:val="DefaultParagraphFont"/>
    <w:rsid w:val="009823F0"/>
  </w:style>
  <w:style w:type="paragraph" w:customStyle="1" w:styleId="Bodytext211">
    <w:name w:val="Body text|211"/>
    <w:basedOn w:val="Normal"/>
    <w:link w:val="Bodytext2"/>
    <w:qFormat/>
    <w:rsid w:val="009823F0"/>
    <w:pPr>
      <w:widowControl w:val="0"/>
      <w:shd w:val="clear" w:color="auto" w:fill="FFFFFF"/>
      <w:spacing w:before="400" w:after="100" w:line="244" w:lineRule="exact"/>
      <w:ind w:hanging="380"/>
    </w:pPr>
    <w:rPr>
      <w:rFonts w:ascii="Calibri" w:eastAsia="Calibri" w:hAnsi="Calibri" w:cs="Calibri"/>
      <w:color w:val="000000"/>
      <w:kern w:val="0"/>
      <w:sz w:val="20"/>
      <w:szCs w:val="20"/>
      <w:lang w:val="en" w:eastAsia="fr-FR" w:bidi="fr-FR"/>
    </w:rPr>
  </w:style>
  <w:style w:type="character" w:customStyle="1" w:styleId="Bodytext2">
    <w:name w:val="Body text|2_"/>
    <w:basedOn w:val="DefaultParagraphFont"/>
    <w:link w:val="Bodytext211"/>
    <w:rsid w:val="009823F0"/>
    <w:rPr>
      <w:rFonts w:ascii="Calibri" w:eastAsia="Calibri" w:hAnsi="Calibri" w:cs="Calibri"/>
      <w:color w:val="000000"/>
      <w:kern w:val="0"/>
      <w:sz w:val="20"/>
      <w:szCs w:val="20"/>
      <w:shd w:val="clear" w:color="auto" w:fill="FFFFFF"/>
      <w:lang w:val="en" w:eastAsia="fr-FR" w:bidi="fr-FR"/>
    </w:rPr>
  </w:style>
  <w:style w:type="character" w:customStyle="1" w:styleId="Bodytext2Italic">
    <w:name w:val="Body text|2 + Italic"/>
    <w:basedOn w:val="Bodytext2"/>
    <w:semiHidden/>
    <w:unhideWhenUsed/>
    <w:rsid w:val="009823F0"/>
    <w:rPr>
      <w:rFonts w:ascii="Calibri" w:eastAsia="Calibri" w:hAnsi="Calibri" w:cs="Calibri"/>
      <w:i/>
      <w:iCs/>
      <w:color w:val="000000"/>
      <w:spacing w:val="0"/>
      <w:w w:val="100"/>
      <w:kern w:val="0"/>
      <w:position w:val="0"/>
      <w:sz w:val="20"/>
      <w:szCs w:val="20"/>
      <w:shd w:val="clear" w:color="auto" w:fill="FFFFFF"/>
      <w:lang w:val="en" w:eastAsia="fr-FR" w:bidi="fr-FR"/>
    </w:rPr>
  </w:style>
  <w:style w:type="character" w:customStyle="1" w:styleId="Bodytext20">
    <w:name w:val="Body text|20"/>
    <w:basedOn w:val="Bodytext2"/>
    <w:semiHidden/>
    <w:unhideWhenUsed/>
    <w:rsid w:val="009823F0"/>
    <w:rPr>
      <w:rFonts w:ascii="Calibri" w:eastAsia="Calibri" w:hAnsi="Calibri" w:cs="Calibri"/>
      <w:color w:val="000000"/>
      <w:spacing w:val="0"/>
      <w:w w:val="100"/>
      <w:kern w:val="0"/>
      <w:position w:val="0"/>
      <w:sz w:val="20"/>
      <w:szCs w:val="20"/>
      <w:u w:val="single"/>
      <w:shd w:val="clear" w:color="auto" w:fill="FFFFFF"/>
      <w:lang w:val="en" w:eastAsia="fr-FR" w:bidi="fr-FR"/>
    </w:rPr>
  </w:style>
  <w:style w:type="character" w:customStyle="1" w:styleId="Footnote1">
    <w:name w:val="Footnote|1_"/>
    <w:basedOn w:val="DefaultParagraphFont"/>
    <w:link w:val="Footnote11"/>
    <w:rsid w:val="009823F0"/>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9823F0"/>
    <w:rPr>
      <w:rFonts w:ascii="Calibri" w:eastAsia="Calibri" w:hAnsi="Calibri" w:cs="Calibri"/>
      <w:color w:val="0563C1"/>
      <w:spacing w:val="0"/>
      <w:w w:val="100"/>
      <w:position w:val="0"/>
      <w:sz w:val="15"/>
      <w:szCs w:val="15"/>
      <w:u w:val="single"/>
      <w:shd w:val="clear" w:color="auto" w:fill="FFFFFF"/>
      <w:lang w:val="en" w:eastAsia="fr-FR" w:bidi="fr-FR"/>
    </w:rPr>
  </w:style>
  <w:style w:type="paragraph" w:customStyle="1" w:styleId="Footnote11">
    <w:name w:val="Footnote|11"/>
    <w:basedOn w:val="Normal"/>
    <w:link w:val="Footnote1"/>
    <w:qFormat/>
    <w:rsid w:val="009823F0"/>
    <w:pPr>
      <w:widowControl w:val="0"/>
      <w:shd w:val="clear" w:color="auto" w:fill="FFFFFF"/>
      <w:spacing w:after="0" w:line="197" w:lineRule="exact"/>
      <w:jc w:val="both"/>
    </w:pPr>
    <w:rPr>
      <w:rFonts w:ascii="Calibri" w:eastAsia="Calibri" w:hAnsi="Calibri" w:cs="Calibri"/>
      <w:sz w:val="15"/>
      <w:szCs w:val="15"/>
    </w:rPr>
  </w:style>
  <w:style w:type="character" w:customStyle="1" w:styleId="Footnote3">
    <w:name w:val="Footnote|3_"/>
    <w:basedOn w:val="DefaultParagraphFont"/>
    <w:link w:val="Footnote30"/>
    <w:rsid w:val="009823F0"/>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9823F0"/>
    <w:rPr>
      <w:rFonts w:ascii="Calibri" w:eastAsia="Calibri" w:hAnsi="Calibri" w:cs="Calibri"/>
      <w:i/>
      <w:iCs/>
      <w:color w:val="000000"/>
      <w:spacing w:val="0"/>
      <w:w w:val="100"/>
      <w:position w:val="0"/>
      <w:sz w:val="15"/>
      <w:szCs w:val="15"/>
      <w:shd w:val="clear" w:color="auto" w:fill="FFFFFF"/>
      <w:lang w:val="en" w:eastAsia="fr-FR" w:bidi="fr-FR"/>
    </w:rPr>
  </w:style>
  <w:style w:type="paragraph" w:customStyle="1" w:styleId="Footnote30">
    <w:name w:val="Footnote|3"/>
    <w:basedOn w:val="Normal"/>
    <w:link w:val="Footnote3"/>
    <w:rsid w:val="009823F0"/>
    <w:pPr>
      <w:widowControl w:val="0"/>
      <w:shd w:val="clear" w:color="auto" w:fill="FFFFFF"/>
      <w:spacing w:after="0" w:line="192" w:lineRule="exact"/>
      <w:jc w:val="both"/>
    </w:pPr>
    <w:rPr>
      <w:rFonts w:ascii="Calibri" w:eastAsia="Calibri" w:hAnsi="Calibri" w:cs="Calibri"/>
      <w:i/>
      <w:iCs/>
      <w:sz w:val="15"/>
      <w:szCs w:val="15"/>
    </w:rPr>
  </w:style>
  <w:style w:type="paragraph" w:styleId="NormalWeb">
    <w:name w:val="Normal (Web)"/>
    <w:basedOn w:val="Normal"/>
    <w:uiPriority w:val="99"/>
    <w:unhideWhenUsed/>
    <w:rsid w:val="009823F0"/>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paragraph" w:styleId="ListNumber">
    <w:name w:val="List Number"/>
    <w:basedOn w:val="Normal"/>
    <w:uiPriority w:val="99"/>
    <w:semiHidden/>
    <w:unhideWhenUsed/>
    <w:rsid w:val="009823F0"/>
    <w:pPr>
      <w:numPr>
        <w:numId w:val="18"/>
      </w:numPr>
      <w:tabs>
        <w:tab w:val="clear" w:pos="360"/>
      </w:tabs>
      <w:spacing w:before="120" w:after="120" w:line="240" w:lineRule="auto"/>
      <w:ind w:left="0" w:firstLine="0"/>
      <w:contextualSpacing/>
      <w:jc w:val="both"/>
    </w:pPr>
    <w:rPr>
      <w:rFonts w:ascii="Times New Roman" w:hAnsi="Times New Roman" w:cs="Times New Roman"/>
      <w:kern w:val="0"/>
      <w:sz w:val="24"/>
      <w:lang w:val="en-GB"/>
    </w:rPr>
  </w:style>
  <w:style w:type="character" w:customStyle="1" w:styleId="viiyi">
    <w:name w:val="viiyi"/>
    <w:basedOn w:val="DefaultParagraphFont"/>
    <w:rsid w:val="009823F0"/>
  </w:style>
  <w:style w:type="character" w:customStyle="1" w:styleId="Mention1">
    <w:name w:val="Mention1"/>
    <w:basedOn w:val="DefaultParagraphFont"/>
    <w:uiPriority w:val="99"/>
    <w:unhideWhenUsed/>
    <w:rsid w:val="009823F0"/>
    <w:rPr>
      <w:color w:val="2B579A"/>
      <w:shd w:val="clear" w:color="auto" w:fill="E6E6E6"/>
    </w:rPr>
  </w:style>
  <w:style w:type="character" w:customStyle="1" w:styleId="Mention2">
    <w:name w:val="Mention2"/>
    <w:basedOn w:val="DefaultParagraphFont"/>
    <w:uiPriority w:val="99"/>
    <w:unhideWhenUsed/>
    <w:rsid w:val="009823F0"/>
    <w:rPr>
      <w:color w:val="2B579A"/>
      <w:shd w:val="clear" w:color="auto" w:fill="E6E6E6"/>
    </w:rPr>
  </w:style>
  <w:style w:type="character" w:customStyle="1" w:styleId="Mention3">
    <w:name w:val="Mention3"/>
    <w:basedOn w:val="DefaultParagraphFont"/>
    <w:uiPriority w:val="99"/>
    <w:unhideWhenUsed/>
    <w:rsid w:val="009823F0"/>
    <w:rPr>
      <w:color w:val="2B579A"/>
      <w:shd w:val="clear" w:color="auto" w:fill="E6E6E6"/>
    </w:rPr>
  </w:style>
  <w:style w:type="character" w:customStyle="1" w:styleId="UnresolvedMention1">
    <w:name w:val="Unresolved Mention1"/>
    <w:basedOn w:val="DefaultParagraphFont"/>
    <w:uiPriority w:val="99"/>
    <w:unhideWhenUsed/>
    <w:rsid w:val="009823F0"/>
    <w:rPr>
      <w:color w:val="605E5C"/>
      <w:shd w:val="clear" w:color="auto" w:fill="E1DFDD"/>
    </w:rPr>
  </w:style>
  <w:style w:type="character" w:customStyle="1" w:styleId="Mention4">
    <w:name w:val="Mention4"/>
    <w:basedOn w:val="DefaultParagraphFont"/>
    <w:uiPriority w:val="99"/>
    <w:unhideWhenUsed/>
    <w:rsid w:val="009823F0"/>
    <w:rPr>
      <w:color w:val="2B579A"/>
      <w:shd w:val="clear" w:color="auto" w:fill="E1DFDD"/>
    </w:rPr>
  </w:style>
  <w:style w:type="character" w:customStyle="1" w:styleId="Mention5">
    <w:name w:val="Mention5"/>
    <w:basedOn w:val="DefaultParagraphFont"/>
    <w:uiPriority w:val="99"/>
    <w:unhideWhenUsed/>
    <w:rsid w:val="009823F0"/>
    <w:rPr>
      <w:color w:val="2B579A"/>
      <w:shd w:val="clear" w:color="auto" w:fill="E6E6E6"/>
    </w:rPr>
  </w:style>
  <w:style w:type="character" w:customStyle="1" w:styleId="UnresolvedMention2">
    <w:name w:val="Unresolved Mention2"/>
    <w:basedOn w:val="DefaultParagraphFont"/>
    <w:uiPriority w:val="99"/>
    <w:semiHidden/>
    <w:unhideWhenUsed/>
    <w:rsid w:val="009823F0"/>
    <w:rPr>
      <w:color w:val="605E5C"/>
      <w:shd w:val="clear" w:color="auto" w:fill="E1DFDD"/>
    </w:rPr>
  </w:style>
  <w:style w:type="character" w:customStyle="1" w:styleId="Mention6">
    <w:name w:val="Mention6"/>
    <w:basedOn w:val="DefaultParagraphFont"/>
    <w:uiPriority w:val="99"/>
    <w:unhideWhenUsed/>
    <w:rsid w:val="009823F0"/>
    <w:rPr>
      <w:color w:val="2B579A"/>
      <w:shd w:val="clear" w:color="auto" w:fill="E1DFDD"/>
    </w:rPr>
  </w:style>
  <w:style w:type="character" w:customStyle="1" w:styleId="UnresolvedMention3">
    <w:name w:val="Unresolved Mention3"/>
    <w:basedOn w:val="DefaultParagraphFont"/>
    <w:uiPriority w:val="99"/>
    <w:semiHidden/>
    <w:unhideWhenUsed/>
    <w:rsid w:val="009823F0"/>
    <w:rPr>
      <w:color w:val="605E5C"/>
      <w:shd w:val="clear" w:color="auto" w:fill="E1DFDD"/>
    </w:rPr>
  </w:style>
  <w:style w:type="character" w:customStyle="1" w:styleId="UnresolvedMention">
    <w:name w:val="Unresolved Mention"/>
    <w:basedOn w:val="DefaultParagraphFont"/>
    <w:uiPriority w:val="99"/>
    <w:semiHidden/>
    <w:unhideWhenUsed/>
    <w:rsid w:val="009823F0"/>
    <w:rPr>
      <w:color w:val="605E5C"/>
      <w:shd w:val="clear" w:color="auto" w:fill="E1DFDD"/>
    </w:rPr>
  </w:style>
  <w:style w:type="character" w:customStyle="1" w:styleId="Mention">
    <w:name w:val="Mention"/>
    <w:basedOn w:val="DefaultParagraphFont"/>
    <w:uiPriority w:val="99"/>
    <w:unhideWhenUsed/>
    <w:rsid w:val="009823F0"/>
    <w:rPr>
      <w:color w:val="2B579A"/>
      <w:shd w:val="clear" w:color="auto" w:fill="E1DFDD"/>
    </w:rPr>
  </w:style>
  <w:style w:type="character" w:styleId="FollowedHyperlink">
    <w:name w:val="FollowedHyperlink"/>
    <w:basedOn w:val="DefaultParagraphFont"/>
    <w:uiPriority w:val="99"/>
    <w:semiHidden/>
    <w:unhideWhenUsed/>
    <w:rsid w:val="009823F0"/>
    <w:rPr>
      <w:color w:val="96607D" w:themeColor="followedHyperlink"/>
      <w:u w:val="single"/>
    </w:rPr>
  </w:style>
  <w:style w:type="paragraph" w:customStyle="1" w:styleId="LegalNumPar">
    <w:name w:val="LegalNumPar"/>
    <w:basedOn w:val="Normal"/>
    <w:rsid w:val="00C82A63"/>
    <w:pPr>
      <w:numPr>
        <w:numId w:val="23"/>
      </w:numPr>
      <w:spacing w:line="360" w:lineRule="auto"/>
    </w:pPr>
    <w:rPr>
      <w:sz w:val="24"/>
    </w:rPr>
  </w:style>
  <w:style w:type="paragraph" w:customStyle="1" w:styleId="LegalNumPar2">
    <w:name w:val="LegalNumPar2"/>
    <w:basedOn w:val="Normal"/>
    <w:rsid w:val="00C82A63"/>
    <w:pPr>
      <w:numPr>
        <w:ilvl w:val="1"/>
        <w:numId w:val="23"/>
      </w:numPr>
      <w:spacing w:line="360" w:lineRule="auto"/>
    </w:pPr>
    <w:rPr>
      <w:sz w:val="24"/>
    </w:rPr>
  </w:style>
  <w:style w:type="paragraph" w:customStyle="1" w:styleId="LegalNumPar3">
    <w:name w:val="LegalNumPar3"/>
    <w:basedOn w:val="Normal"/>
    <w:rsid w:val="00C82A63"/>
    <w:pPr>
      <w:numPr>
        <w:ilvl w:val="2"/>
        <w:numId w:val="23"/>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117" Type="http://schemas.openxmlformats.org/officeDocument/2006/relationships/header" Target="header56.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header" Target="header29.xml"/><Relationship Id="rId68" Type="http://schemas.openxmlformats.org/officeDocument/2006/relationships/header" Target="header31.xml"/><Relationship Id="rId84" Type="http://schemas.openxmlformats.org/officeDocument/2006/relationships/header" Target="header39.xml"/><Relationship Id="rId89" Type="http://schemas.openxmlformats.org/officeDocument/2006/relationships/footer" Target="footer41.xml"/><Relationship Id="rId112" Type="http://schemas.openxmlformats.org/officeDocument/2006/relationships/footer" Target="footer52.xml"/><Relationship Id="rId133" Type="http://schemas.openxmlformats.org/officeDocument/2006/relationships/footer" Target="footer63.xml"/><Relationship Id="rId138" Type="http://schemas.openxmlformats.org/officeDocument/2006/relationships/header" Target="header66.xml"/><Relationship Id="rId154" Type="http://schemas.openxmlformats.org/officeDocument/2006/relationships/footer" Target="footer73.xml"/><Relationship Id="rId159" Type="http://schemas.openxmlformats.org/officeDocument/2006/relationships/header" Target="header77.xml"/><Relationship Id="rId16" Type="http://schemas.openxmlformats.org/officeDocument/2006/relationships/footer" Target="footer4.xml"/><Relationship Id="rId107" Type="http://schemas.openxmlformats.org/officeDocument/2006/relationships/footer" Target="footer50.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header" Target="header34.xml"/><Relationship Id="rId79" Type="http://schemas.openxmlformats.org/officeDocument/2006/relationships/footer" Target="footer36.xml"/><Relationship Id="rId102" Type="http://schemas.openxmlformats.org/officeDocument/2006/relationships/header" Target="header48.xml"/><Relationship Id="rId123" Type="http://schemas.openxmlformats.org/officeDocument/2006/relationships/header" Target="header59.xml"/><Relationship Id="rId128" Type="http://schemas.openxmlformats.org/officeDocument/2006/relationships/header" Target="header61.xml"/><Relationship Id="rId144" Type="http://schemas.openxmlformats.org/officeDocument/2006/relationships/header" Target="header69.xml"/><Relationship Id="rId149" Type="http://schemas.openxmlformats.org/officeDocument/2006/relationships/footer" Target="footer71.xml"/><Relationship Id="rId5" Type="http://schemas.openxmlformats.org/officeDocument/2006/relationships/footnotes" Target="footnotes.xml"/><Relationship Id="rId90" Type="http://schemas.openxmlformats.org/officeDocument/2006/relationships/header" Target="header42.xml"/><Relationship Id="rId95" Type="http://schemas.openxmlformats.org/officeDocument/2006/relationships/footer" Target="footer44.xml"/><Relationship Id="rId160" Type="http://schemas.openxmlformats.org/officeDocument/2006/relationships/footer" Target="footer76.xml"/><Relationship Id="rId165" Type="http://schemas.openxmlformats.org/officeDocument/2006/relationships/theme" Target="theme/theme1.xml"/><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footer" Target="footer18.xml"/><Relationship Id="rId48" Type="http://schemas.openxmlformats.org/officeDocument/2006/relationships/header" Target="header21.xml"/><Relationship Id="rId64" Type="http://schemas.openxmlformats.org/officeDocument/2006/relationships/footer" Target="footer28.xml"/><Relationship Id="rId69" Type="http://schemas.openxmlformats.org/officeDocument/2006/relationships/header" Target="header32.xml"/><Relationship Id="rId113" Type="http://schemas.openxmlformats.org/officeDocument/2006/relationships/footer" Target="footer53.xml"/><Relationship Id="rId118" Type="http://schemas.openxmlformats.org/officeDocument/2006/relationships/footer" Target="footer55.xml"/><Relationship Id="rId134" Type="http://schemas.openxmlformats.org/officeDocument/2006/relationships/header" Target="header64.xml"/><Relationship Id="rId139" Type="http://schemas.openxmlformats.org/officeDocument/2006/relationships/footer" Target="footer66.xml"/><Relationship Id="rId80" Type="http://schemas.openxmlformats.org/officeDocument/2006/relationships/header" Target="header37.xml"/><Relationship Id="rId85" Type="http://schemas.openxmlformats.org/officeDocument/2006/relationships/footer" Target="footer39.xml"/><Relationship Id="rId150" Type="http://schemas.openxmlformats.org/officeDocument/2006/relationships/header" Target="header72.xml"/><Relationship Id="rId155" Type="http://schemas.openxmlformats.org/officeDocument/2006/relationships/footer" Target="footer74.xml"/><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header" Target="header14.xml"/><Relationship Id="rId38" Type="http://schemas.openxmlformats.org/officeDocument/2006/relationships/header" Target="header16.xml"/><Relationship Id="rId59" Type="http://schemas.openxmlformats.org/officeDocument/2006/relationships/footer" Target="footer26.xml"/><Relationship Id="rId103" Type="http://schemas.openxmlformats.org/officeDocument/2006/relationships/footer" Target="footer48.xml"/><Relationship Id="rId108" Type="http://schemas.openxmlformats.org/officeDocument/2006/relationships/header" Target="header51.xml"/><Relationship Id="rId124" Type="http://schemas.openxmlformats.org/officeDocument/2006/relationships/footer" Target="footer58.xml"/><Relationship Id="rId129" Type="http://schemas.openxmlformats.org/officeDocument/2006/relationships/header" Target="header62.xml"/><Relationship Id="rId54" Type="http://schemas.openxmlformats.org/officeDocument/2006/relationships/header" Target="header24.xml"/><Relationship Id="rId70" Type="http://schemas.openxmlformats.org/officeDocument/2006/relationships/footer" Target="footer31.xml"/><Relationship Id="rId75" Type="http://schemas.openxmlformats.org/officeDocument/2006/relationships/header" Target="header35.xml"/><Relationship Id="rId91" Type="http://schemas.openxmlformats.org/officeDocument/2006/relationships/footer" Target="footer42.xml"/><Relationship Id="rId96" Type="http://schemas.openxmlformats.org/officeDocument/2006/relationships/header" Target="header45.xml"/><Relationship Id="rId140" Type="http://schemas.openxmlformats.org/officeDocument/2006/relationships/header" Target="header67.xml"/><Relationship Id="rId145" Type="http://schemas.openxmlformats.org/officeDocument/2006/relationships/footer" Target="footer69.xml"/><Relationship Id="rId161" Type="http://schemas.openxmlformats.org/officeDocument/2006/relationships/footer" Target="footer7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6" Type="http://schemas.openxmlformats.org/officeDocument/2006/relationships/footer" Target="footer49.xml"/><Relationship Id="rId114" Type="http://schemas.openxmlformats.org/officeDocument/2006/relationships/header" Target="header54.xml"/><Relationship Id="rId119" Type="http://schemas.openxmlformats.org/officeDocument/2006/relationships/footer" Target="footer56.xml"/><Relationship Id="rId127" Type="http://schemas.openxmlformats.org/officeDocument/2006/relationships/footer" Target="footer60.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65" Type="http://schemas.openxmlformats.org/officeDocument/2006/relationships/footer" Target="footer29.xml"/><Relationship Id="rId73" Type="http://schemas.openxmlformats.org/officeDocument/2006/relationships/footer" Target="footer33.xml"/><Relationship Id="rId78" Type="http://schemas.openxmlformats.org/officeDocument/2006/relationships/header" Target="header36.xml"/><Relationship Id="rId81" Type="http://schemas.openxmlformats.org/officeDocument/2006/relationships/header" Target="header38.xml"/><Relationship Id="rId86" Type="http://schemas.openxmlformats.org/officeDocument/2006/relationships/header" Target="header40.xml"/><Relationship Id="rId94" Type="http://schemas.openxmlformats.org/officeDocument/2006/relationships/footer" Target="footer43.xml"/><Relationship Id="rId99" Type="http://schemas.openxmlformats.org/officeDocument/2006/relationships/header" Target="header47.xml"/><Relationship Id="rId101" Type="http://schemas.openxmlformats.org/officeDocument/2006/relationships/footer" Target="footer47.xml"/><Relationship Id="rId122" Type="http://schemas.openxmlformats.org/officeDocument/2006/relationships/header" Target="header58.xml"/><Relationship Id="rId130" Type="http://schemas.openxmlformats.org/officeDocument/2006/relationships/footer" Target="footer61.xml"/><Relationship Id="rId135" Type="http://schemas.openxmlformats.org/officeDocument/2006/relationships/header" Target="header65.xml"/><Relationship Id="rId143" Type="http://schemas.openxmlformats.org/officeDocument/2006/relationships/footer" Target="footer68.xml"/><Relationship Id="rId148" Type="http://schemas.openxmlformats.org/officeDocument/2006/relationships/footer" Target="footer70.xml"/><Relationship Id="rId151" Type="http://schemas.openxmlformats.org/officeDocument/2006/relationships/footer" Target="footer72.xml"/><Relationship Id="rId156" Type="http://schemas.openxmlformats.org/officeDocument/2006/relationships/header" Target="header75.xm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109" Type="http://schemas.openxmlformats.org/officeDocument/2006/relationships/footer" Target="footer51.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footer" Target="footer45.xml"/><Relationship Id="rId104" Type="http://schemas.openxmlformats.org/officeDocument/2006/relationships/header" Target="header49.xml"/><Relationship Id="rId120" Type="http://schemas.openxmlformats.org/officeDocument/2006/relationships/header" Target="header57.xml"/><Relationship Id="rId125" Type="http://schemas.openxmlformats.org/officeDocument/2006/relationships/footer" Target="footer59.xml"/><Relationship Id="rId141" Type="http://schemas.openxmlformats.org/officeDocument/2006/relationships/header" Target="header68.xml"/><Relationship Id="rId146" Type="http://schemas.openxmlformats.org/officeDocument/2006/relationships/header" Target="header70.xml"/><Relationship Id="rId7" Type="http://schemas.openxmlformats.org/officeDocument/2006/relationships/image" Target="media/image1.emf"/><Relationship Id="rId71" Type="http://schemas.openxmlformats.org/officeDocument/2006/relationships/footer" Target="footer32.xml"/><Relationship Id="rId92" Type="http://schemas.openxmlformats.org/officeDocument/2006/relationships/header" Target="header43.xml"/><Relationship Id="rId162" Type="http://schemas.openxmlformats.org/officeDocument/2006/relationships/header" Target="header78.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header" Target="header30.xml"/><Relationship Id="rId87" Type="http://schemas.openxmlformats.org/officeDocument/2006/relationships/header" Target="header41.xml"/><Relationship Id="rId110" Type="http://schemas.openxmlformats.org/officeDocument/2006/relationships/header" Target="header52.xml"/><Relationship Id="rId115" Type="http://schemas.openxmlformats.org/officeDocument/2006/relationships/footer" Target="footer54.xml"/><Relationship Id="rId131" Type="http://schemas.openxmlformats.org/officeDocument/2006/relationships/footer" Target="footer62.xml"/><Relationship Id="rId136" Type="http://schemas.openxmlformats.org/officeDocument/2006/relationships/footer" Target="footer64.xml"/><Relationship Id="rId157" Type="http://schemas.openxmlformats.org/officeDocument/2006/relationships/footer" Target="footer75.xml"/><Relationship Id="rId61" Type="http://schemas.openxmlformats.org/officeDocument/2006/relationships/footer" Target="footer27.xml"/><Relationship Id="rId82" Type="http://schemas.openxmlformats.org/officeDocument/2006/relationships/footer" Target="footer37.xml"/><Relationship Id="rId152" Type="http://schemas.openxmlformats.org/officeDocument/2006/relationships/header" Target="header73.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footer" Target="footer35.xml"/><Relationship Id="rId100" Type="http://schemas.openxmlformats.org/officeDocument/2006/relationships/footer" Target="footer46.xml"/><Relationship Id="rId105" Type="http://schemas.openxmlformats.org/officeDocument/2006/relationships/header" Target="header50.xml"/><Relationship Id="rId126" Type="http://schemas.openxmlformats.org/officeDocument/2006/relationships/header" Target="header60.xml"/><Relationship Id="rId147" Type="http://schemas.openxmlformats.org/officeDocument/2006/relationships/header" Target="header71.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header" Target="header33.xml"/><Relationship Id="rId93" Type="http://schemas.openxmlformats.org/officeDocument/2006/relationships/header" Target="header44.xml"/><Relationship Id="rId98" Type="http://schemas.openxmlformats.org/officeDocument/2006/relationships/header" Target="header46.xml"/><Relationship Id="rId121" Type="http://schemas.openxmlformats.org/officeDocument/2006/relationships/footer" Target="footer57.xml"/><Relationship Id="rId142" Type="http://schemas.openxmlformats.org/officeDocument/2006/relationships/footer" Target="footer67.xml"/><Relationship Id="rId163" Type="http://schemas.openxmlformats.org/officeDocument/2006/relationships/footer" Target="footer78.xml"/><Relationship Id="rId3" Type="http://schemas.openxmlformats.org/officeDocument/2006/relationships/settings" Target="settings.xml"/><Relationship Id="rId25" Type="http://schemas.openxmlformats.org/officeDocument/2006/relationships/footer" Target="footer9.xml"/><Relationship Id="rId46" Type="http://schemas.openxmlformats.org/officeDocument/2006/relationships/footer" Target="footer19.xml"/><Relationship Id="rId67" Type="http://schemas.openxmlformats.org/officeDocument/2006/relationships/footer" Target="footer30.xml"/><Relationship Id="rId116" Type="http://schemas.openxmlformats.org/officeDocument/2006/relationships/header" Target="header55.xml"/><Relationship Id="rId137" Type="http://schemas.openxmlformats.org/officeDocument/2006/relationships/footer" Target="footer65.xml"/><Relationship Id="rId158" Type="http://schemas.openxmlformats.org/officeDocument/2006/relationships/header" Target="header76.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header" Target="header28.xml"/><Relationship Id="rId83" Type="http://schemas.openxmlformats.org/officeDocument/2006/relationships/footer" Target="footer38.xml"/><Relationship Id="rId88" Type="http://schemas.openxmlformats.org/officeDocument/2006/relationships/footer" Target="footer40.xml"/><Relationship Id="rId111" Type="http://schemas.openxmlformats.org/officeDocument/2006/relationships/header" Target="header53.xml"/><Relationship Id="rId132" Type="http://schemas.openxmlformats.org/officeDocument/2006/relationships/header" Target="header63.xml"/><Relationship Id="rId153" Type="http://schemas.openxmlformats.org/officeDocument/2006/relationships/header" Target="header7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4</Pages>
  <Words>10197</Words>
  <Characters>58125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2026-06-11T10:21:00Z</dcterms:created>
  <dcterms:modified xsi:type="dcterms:W3CDTF">2026-06-17T14:29:00Z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2026-06-11T10:24:38Z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42288c32-22af-4e19-bef7-18b15cfb0d01</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