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6D4E1" w14:textId="3C5A038B" w:rsidR="008C7FBE" w:rsidRDefault="006B5A3F" w:rsidP="006B5A3F">
      <w:pPr>
        <w:pStyle w:val="Pagedecouverture"/>
        <w:rPr>
          <w:noProof/>
        </w:rPr>
      </w:pPr>
      <w:bookmarkStart w:id="0" w:name="LW_BM_COVERPAGE"/>
      <w:r>
        <w:rPr>
          <w:noProof/>
        </w:rPr>
        <w:pict w14:anchorId="278D07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228EF17-192A-4E35-AD72-132B5DBB1906" style="width:455.25pt;height:342pt">
            <v:imagedata r:id="rId11" o:title=""/>
          </v:shape>
        </w:pict>
      </w:r>
    </w:p>
    <w:bookmarkEnd w:id="0"/>
    <w:p w14:paraId="5F6372E9" w14:textId="77777777" w:rsidR="008C7FBE" w:rsidRDefault="008C7FBE" w:rsidP="008C7FBE">
      <w:pPr>
        <w:rPr>
          <w:noProof/>
        </w:rPr>
        <w:sectPr w:rsidR="008C7FBE" w:rsidSect="006B5A3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7B047F3" w14:textId="3B738E31" w:rsidR="00284B79" w:rsidRPr="0027307A" w:rsidRDefault="00284B79" w:rsidP="00381BC7">
      <w:pPr>
        <w:pStyle w:val="ListParagraph"/>
        <w:numPr>
          <w:ilvl w:val="0"/>
          <w:numId w:val="48"/>
        </w:numPr>
        <w:spacing w:after="140" w:line="276" w:lineRule="auto"/>
        <w:jc w:val="both"/>
        <w:rPr>
          <w:rFonts w:ascii="Times New Roman" w:eastAsiaTheme="minorEastAsia" w:hAnsi="Times New Roman" w:cs="Times New Roman"/>
          <w:b/>
          <w:bCs/>
          <w:smallCaps/>
          <w:noProof/>
          <w:kern w:val="0"/>
          <w:sz w:val="24"/>
          <w:szCs w:val="24"/>
          <w14:ligatures w14:val="none"/>
        </w:rPr>
      </w:pPr>
      <w:bookmarkStart w:id="1" w:name="_GoBack"/>
      <w:bookmarkEnd w:id="1"/>
      <w:r>
        <w:rPr>
          <w:rFonts w:ascii="Times New Roman" w:hAnsi="Times New Roman"/>
          <w:b/>
          <w:smallCaps/>
          <w:noProof/>
          <w:sz w:val="24"/>
        </w:rPr>
        <w:lastRenderedPageBreak/>
        <w:t>Introduction: pourquoi l’Union européenne a-t-elle besoin d’un plan d’action sur les engrais?</w:t>
      </w:r>
    </w:p>
    <w:p w14:paraId="725ACA26" w14:textId="605D2FBB" w:rsidR="00C2508D" w:rsidRPr="0027307A" w:rsidRDefault="00C2508D" w:rsidP="00C05AB8">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Les engrais sont essentiels à la productivité agricole, à la durabilité des exploitations et à la sécurité alimentaire.</w:t>
      </w:r>
      <w:r>
        <w:rPr>
          <w:rFonts w:ascii="Times New Roman" w:hAnsi="Times New Roman"/>
          <w:noProof/>
          <w:sz w:val="24"/>
        </w:rPr>
        <w:t xml:space="preserve"> Ils apportent aux végétaux des nutriments de base – nitrogène (N), phosphore (P) et potassium (K) –  qui sont indispensables à la croissance et à la santé des plantes, au rendement et à la qualité des produits. La production alimentaire mondiale dépend fortement des engrais.</w:t>
      </w:r>
    </w:p>
    <w:p w14:paraId="7E62F1DB" w14:textId="2E3F1260" w:rsidR="0038521A" w:rsidRPr="0027307A" w:rsidRDefault="2EF292EB"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Pour la deuxième fois en moins de cinq ans, le monde et l’Europe assistent à une forte hausse du prix des engrais minéraux</w:t>
      </w:r>
      <w:r>
        <w:rPr>
          <w:rFonts w:ascii="Times New Roman" w:hAnsi="Times New Roman"/>
          <w:noProof/>
          <w:sz w:val="24"/>
        </w:rPr>
        <w:t>. En 2022, la Commission a présenté une communication visant  à «Garantir la disponibilité et le caractère abordable des engrais»</w:t>
      </w:r>
      <w:r>
        <w:rPr>
          <w:rStyle w:val="FootnoteReference"/>
          <w:rFonts w:ascii="Times New Roman" w:eastAsiaTheme="minorEastAsia" w:hAnsi="Times New Roman" w:cs="Times New Roman"/>
          <w:noProof/>
          <w:kern w:val="0"/>
          <w:sz w:val="24"/>
          <w:szCs w:val="24"/>
        </w:rPr>
        <w:footnoteReference w:id="1"/>
      </w:r>
      <w:r>
        <w:rPr>
          <w:rFonts w:ascii="Times New Roman" w:hAnsi="Times New Roman"/>
          <w:noProof/>
          <w:sz w:val="24"/>
        </w:rPr>
        <w:t xml:space="preserve"> (ci-après la «communication de 2022»), qui prévoit des mesures immédiates à cette fin. La persistance depuis de prix élevés et de difficultés structurelles a conduit la Commission à annoncer un plan d’action sur les engrais dans la communication relative à RESourceEU</w:t>
      </w:r>
      <w:r>
        <w:rPr>
          <w:rFonts w:ascii="Times New Roman" w:eastAsia="Aptos" w:hAnsi="Times New Roman" w:cs="Times New Roman"/>
          <w:noProof/>
          <w:kern w:val="0"/>
          <w:sz w:val="24"/>
          <w:szCs w:val="24"/>
          <w:vertAlign w:val="superscript"/>
        </w:rPr>
        <w:footnoteReference w:id="2"/>
      </w:r>
      <w:r>
        <w:rPr>
          <w:rFonts w:ascii="Times New Roman" w:hAnsi="Times New Roman"/>
          <w:noProof/>
          <w:sz w:val="24"/>
        </w:rPr>
        <w:t>, en vue de garantir la disponibilité, à des prix abordables, d’engrais produits dans l’UE et de proposer des actions permettant la transition vers l’utilisation de nutriments recyclés et d’autres solutions de substitution. La crise au Moyen-Orient a mis encore davantage en évidence les vulnérabilités structurelles de l’UE dans l’approvisionnement en engrais.</w:t>
      </w:r>
    </w:p>
    <w:p w14:paraId="2D74B171" w14:textId="7955DCB8" w:rsidR="0099472F" w:rsidRPr="0027307A" w:rsidRDefault="00914314"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À l’heure actuelle, l’UE dépend des importations</w:t>
      </w:r>
      <w:r>
        <w:rPr>
          <w:rFonts w:ascii="Times New Roman" w:hAnsi="Times New Roman"/>
          <w:noProof/>
          <w:sz w:val="24"/>
        </w:rPr>
        <w:t xml:space="preserve"> pour une large part des engrais inorganiques et des matières premières qui les composent (gaz naturel, ammoniac, phosphate naturel)</w:t>
      </w:r>
      <w:r>
        <w:rPr>
          <w:rFonts w:ascii="Times New Roman" w:hAnsi="Times New Roman" w:cs="Times New Roman"/>
          <w:noProof/>
          <w:sz w:val="24"/>
          <w:szCs w:val="24"/>
          <w:vertAlign w:val="superscript"/>
        </w:rPr>
        <w:footnoteReference w:id="3"/>
      </w:r>
      <w:r>
        <w:rPr>
          <w:rFonts w:ascii="Times New Roman" w:hAnsi="Times New Roman"/>
          <w:noProof/>
          <w:sz w:val="24"/>
        </w:rPr>
        <w:t>. Dans le même temps, les prix de l’énergie frappent fortement la production intérieure, en particulier celle d’engrais azotés, le gaz naturel étant à la fois une matière première et une source d’énergie principale dans cette production. De plus, les grandes quantités de gaz à effet de serre (GES) émises lors de la production et la forte dépendance aux combustibles fossiles importés signifient que la production d’engrais doit être décarbonée sans mettre en péril la sécurité alimentaire ni la capacité financière des agriculteurs.</w:t>
      </w:r>
    </w:p>
    <w:p w14:paraId="517ED9AA" w14:textId="5CFE3CA4" w:rsidR="00402DC9" w:rsidRPr="00D16309" w:rsidRDefault="6F68157C" w:rsidP="00381BC7">
      <w:pPr>
        <w:spacing w:after="140" w:line="276" w:lineRule="auto"/>
        <w:jc w:val="both"/>
        <w:rPr>
          <w:rFonts w:ascii="Times New Roman" w:hAnsi="Times New Roman" w:cs="Times New Roman"/>
          <w:b/>
          <w:bCs/>
          <w:noProof/>
          <w:sz w:val="24"/>
          <w:szCs w:val="24"/>
        </w:rPr>
      </w:pPr>
      <w:r>
        <w:rPr>
          <w:rFonts w:ascii="Times New Roman" w:hAnsi="Times New Roman"/>
          <w:b/>
          <w:noProof/>
          <w:sz w:val="24"/>
        </w:rPr>
        <w:t>Une stratégie efficace dans l’UE en matière de fertilisation requiert de l’industrie et des agriculteurs qu’ils travaillent main dans la main, en partenariat, et nécessite une chaîne de valeur transparente: cela permettrait d’assurer à la fois la compétitivité tant des agriculteurs que de l’industrie des engrais et l’autonomie de l’UE, tout en contribuant aux objectifs de l’UE en matière de climat et d’environnement.</w:t>
      </w:r>
      <w:r>
        <w:rPr>
          <w:rFonts w:ascii="Times New Roman" w:hAnsi="Times New Roman"/>
          <w:noProof/>
          <w:sz w:val="24"/>
        </w:rPr>
        <w:t xml:space="preserve"> La récente communication AccelerateEU</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oriente les actions de l’Union et des États membres pour faire face aux effets des prix de l’énergie sur les engrais et l’agriculture, en portant une attention particulière aux effets immédiats, dans une perspective à moyen terme.</w:t>
      </w:r>
      <w:r>
        <w:rPr>
          <w:noProof/>
        </w:rPr>
        <w:t xml:space="preserve"> </w:t>
      </w:r>
      <w:r>
        <w:rPr>
          <w:rFonts w:ascii="Times New Roman" w:hAnsi="Times New Roman"/>
          <w:noProof/>
          <w:sz w:val="24"/>
        </w:rPr>
        <w:t xml:space="preserve">Le présent plan d’action propose un ensemble de mesures à mettre en œuvre en partenariat avec les producteurs d’engrais et les </w:t>
      </w:r>
      <w:r>
        <w:rPr>
          <w:rFonts w:ascii="Times New Roman" w:hAnsi="Times New Roman"/>
          <w:noProof/>
          <w:sz w:val="24"/>
        </w:rPr>
        <w:lastRenderedPageBreak/>
        <w:t xml:space="preserve">agriculteurs afin de réaliser des objectifs se renforçant mutuellement en matière de disponibilité d’engrais à des prix abordables, d’autonomie stratégique et de résilience, ainsi que de transparence et de dialogue.  </w:t>
      </w:r>
    </w:p>
    <w:p w14:paraId="1D345A26" w14:textId="561ACFF2" w:rsidR="006248A3" w:rsidRPr="0027307A" w:rsidRDefault="006248A3" w:rsidP="006359C8">
      <w:pPr>
        <w:pStyle w:val="ListParagraph"/>
        <w:keepNext/>
        <w:keepLines/>
        <w:numPr>
          <w:ilvl w:val="0"/>
          <w:numId w:val="48"/>
        </w:numPr>
        <w:spacing w:after="140" w:line="276" w:lineRule="auto"/>
        <w:jc w:val="both"/>
        <w:rPr>
          <w:rFonts w:ascii="Times New Roman" w:eastAsiaTheme="minorEastAsia" w:hAnsi="Times New Roman" w:cs="Times New Roman"/>
          <w:b/>
          <w:smallCaps/>
          <w:noProof/>
          <w:kern w:val="0"/>
          <w:sz w:val="24"/>
          <w:szCs w:val="24"/>
          <w14:ligatures w14:val="none"/>
        </w:rPr>
      </w:pPr>
      <w:r>
        <w:rPr>
          <w:rFonts w:ascii="Times New Roman" w:hAnsi="Times New Roman"/>
          <w:b/>
          <w:smallCaps/>
          <w:noProof/>
          <w:sz w:val="24"/>
        </w:rPr>
        <w:t>Contexte et défis</w:t>
      </w:r>
    </w:p>
    <w:p w14:paraId="392C07CD" w14:textId="5EE4FBD9" w:rsidR="004D0818" w:rsidRPr="0027307A" w:rsidRDefault="004D0818" w:rsidP="006359C8">
      <w:pPr>
        <w:keepNext/>
        <w:keepLines/>
        <w:spacing w:after="140" w:line="276" w:lineRule="auto"/>
        <w:jc w:val="both"/>
        <w:rPr>
          <w:rFonts w:ascii="Times New Roman" w:hAnsi="Times New Roman" w:cs="Times New Roman"/>
          <w:noProof/>
          <w:sz w:val="24"/>
          <w:szCs w:val="24"/>
        </w:rPr>
      </w:pPr>
      <w:r>
        <w:rPr>
          <w:rFonts w:ascii="Times New Roman" w:hAnsi="Times New Roman"/>
          <w:b/>
          <w:noProof/>
          <w:sz w:val="24"/>
        </w:rPr>
        <w:t xml:space="preserve">2.1. La hausse des prix influe sur la compétitivité agricole de l’UE  </w:t>
      </w:r>
    </w:p>
    <w:p w14:paraId="1332BD2A" w14:textId="2DC76FE0" w:rsidR="006E04D4" w:rsidRDefault="00812147" w:rsidP="006359C8">
      <w:pPr>
        <w:keepNext/>
        <w:keepLines/>
        <w:spacing w:after="0" w:line="276" w:lineRule="auto"/>
        <w:contextualSpacing/>
        <w:jc w:val="both"/>
        <w:rPr>
          <w:rFonts w:ascii="Times New Roman" w:eastAsiaTheme="minorEastAsia" w:hAnsi="Times New Roman" w:cs="Times New Roman"/>
          <w:noProof/>
          <w:sz w:val="24"/>
          <w:szCs w:val="24"/>
        </w:rPr>
      </w:pPr>
      <w:r>
        <w:rPr>
          <w:rFonts w:ascii="Times New Roman" w:hAnsi="Times New Roman"/>
          <w:b/>
          <w:noProof/>
          <w:sz w:val="24"/>
        </w:rPr>
        <w:t>Le coût des engrais a un effet direct sur la production alimentaire étant donné que la fertilisation représente l’une des dépenses les plus élevées pour les agriculteurs</w:t>
      </w:r>
      <w:r>
        <w:rPr>
          <w:rStyle w:val="FootnoteReference"/>
          <w:rFonts w:ascii="Times New Roman" w:eastAsiaTheme="minorEastAsia" w:hAnsi="Times New Roman" w:cs="Times New Roman"/>
          <w:noProof/>
          <w:sz w:val="24"/>
          <w:szCs w:val="24"/>
        </w:rPr>
        <w:footnoteReference w:id="5"/>
      </w:r>
      <w:r>
        <w:rPr>
          <w:rFonts w:ascii="Times New Roman" w:hAnsi="Times New Roman"/>
          <w:b/>
          <w:noProof/>
          <w:sz w:val="24"/>
        </w:rPr>
        <w:t>.</w:t>
      </w:r>
      <w:r>
        <w:rPr>
          <w:rFonts w:ascii="Times New Roman" w:hAnsi="Times New Roman"/>
          <w:noProof/>
          <w:sz w:val="24"/>
        </w:rPr>
        <w:t xml:space="preserve"> Le poids des engrais dans la comptabilité des exploitations est particulièrement élevé pour les producteurs de cultures arables</w:t>
      </w:r>
      <w:r>
        <w:rPr>
          <w:rStyle w:val="FootnoteReference"/>
          <w:rFonts w:ascii="Times New Roman" w:eastAsiaTheme="minorEastAsia" w:hAnsi="Times New Roman" w:cs="Times New Roman"/>
          <w:noProof/>
          <w:sz w:val="24"/>
          <w:szCs w:val="24"/>
        </w:rPr>
        <w:footnoteReference w:id="6"/>
      </w:r>
      <w:r>
        <w:rPr>
          <w:rFonts w:ascii="Times New Roman" w:hAnsi="Times New Roman"/>
          <w:noProof/>
          <w:sz w:val="24"/>
        </w:rPr>
        <w:t>. Au dernier trimestre de 2025, le coût des engrais était encore supérieur de 62 % aux niveaux de 2020 (avant le précédent pic de prix). Au cours des premiers mois de 2026, le prix des engrais produits dans l’UE a augmenté de manière significative, en particulier celui des engrais azotés, en raison de la demande mondiale, des échanges commerciaux et de facteurs géopolitiques. En avril 2026, le prix global des engrais azotés dans l’UE a encore augmenté, pour s’élever de 40 % au-dessus du niveau de décembre 2025.</w:t>
      </w:r>
    </w:p>
    <w:p w14:paraId="01BE6F09" w14:textId="77777777" w:rsidR="00080D71" w:rsidRPr="0027307A" w:rsidRDefault="00080D71" w:rsidP="00381BC7">
      <w:pPr>
        <w:spacing w:after="0" w:line="276" w:lineRule="auto"/>
        <w:contextualSpacing/>
        <w:jc w:val="both"/>
        <w:rPr>
          <w:rFonts w:ascii="Times New Roman" w:eastAsiaTheme="minorEastAsia" w:hAnsi="Times New Roman" w:cs="Times New Roman"/>
          <w:noProof/>
          <w:sz w:val="24"/>
          <w:szCs w:val="24"/>
        </w:rPr>
      </w:pPr>
    </w:p>
    <w:p w14:paraId="6299E9F8" w14:textId="5B50D7AD" w:rsidR="008E7837" w:rsidRPr="0027307A" w:rsidRDefault="004B75C2" w:rsidP="00381BC7">
      <w:pPr>
        <w:spacing w:after="0" w:line="276" w:lineRule="auto"/>
        <w:contextualSpacing/>
        <w:jc w:val="both"/>
        <w:rPr>
          <w:rFonts w:ascii="Times New Roman" w:eastAsiaTheme="minorEastAsia" w:hAnsi="Times New Roman" w:cs="Times New Roman"/>
          <w:noProof/>
          <w:sz w:val="24"/>
          <w:szCs w:val="24"/>
        </w:rPr>
      </w:pPr>
      <w:r>
        <w:rPr>
          <w:rFonts w:ascii="Times New Roman" w:hAnsi="Times New Roman"/>
          <w:b/>
          <w:noProof/>
          <w:sz w:val="24"/>
        </w:rPr>
        <w:t>La hausse des prix des engrais pourrait conduire les agriculteurs à en réduire leur utilisation, ce qui poserait un risque clair de diminution du rendement et de la qualité des récoltes</w:t>
      </w:r>
      <w:r>
        <w:rPr>
          <w:rFonts w:ascii="Times New Roman" w:hAnsi="Times New Roman"/>
          <w:noProof/>
          <w:sz w:val="24"/>
        </w:rPr>
        <w:t>. Elle pourrait également entraîner une réduction de la surface cultivée, ce qui aurait aussi un effet sur la production de l’UE. Elle pourrait en outre pousser les agriculteurs à donner la priorité à une production de court terme, en privilégiant l’azote plutôt que les intrants en phosphore et en potassium, ce qui aurait des conséquences sur la fertilité des sols sur le long terme.</w:t>
      </w:r>
    </w:p>
    <w:p w14:paraId="7338DA2B" w14:textId="77777777" w:rsidR="00071159" w:rsidRPr="0027307A" w:rsidRDefault="00071159" w:rsidP="00381BC7">
      <w:pPr>
        <w:spacing w:after="0" w:line="276" w:lineRule="auto"/>
        <w:contextualSpacing/>
        <w:jc w:val="both"/>
        <w:rPr>
          <w:rFonts w:ascii="Times New Roman" w:eastAsiaTheme="minorEastAsia" w:hAnsi="Times New Roman" w:cs="Times New Roman"/>
          <w:noProof/>
          <w:sz w:val="24"/>
          <w:szCs w:val="24"/>
        </w:rPr>
      </w:pPr>
    </w:p>
    <w:p w14:paraId="491B24D9" w14:textId="476EE2BC" w:rsidR="00F93E8A" w:rsidRPr="0027307A" w:rsidRDefault="004D0818" w:rsidP="00381BC7">
      <w:pPr>
        <w:spacing w:after="140" w:line="276" w:lineRule="auto"/>
        <w:jc w:val="both"/>
        <w:rPr>
          <w:rFonts w:ascii="Times New Roman" w:hAnsi="Times New Roman" w:cs="Times New Roman"/>
          <w:b/>
          <w:bCs/>
          <w:noProof/>
          <w:sz w:val="24"/>
          <w:szCs w:val="24"/>
        </w:rPr>
      </w:pPr>
      <w:r>
        <w:rPr>
          <w:rFonts w:ascii="Times New Roman" w:hAnsi="Times New Roman"/>
          <w:b/>
          <w:noProof/>
          <w:sz w:val="24"/>
        </w:rPr>
        <w:t>2.2. Les défis qui se posent à l’industrie</w:t>
      </w:r>
    </w:p>
    <w:p w14:paraId="51AAD783" w14:textId="06F328B6" w:rsidR="00FD5F83" w:rsidRPr="0027307A" w:rsidRDefault="172EE20A"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La structure des coûts de l’industrie des engrais est dominée par l’énergie, le gaz naturel correspondant à 70-80 % du coût de production des engrais azotés.</w:t>
      </w:r>
      <w:r>
        <w:rPr>
          <w:noProof/>
        </w:rPr>
        <w:t xml:space="preserve"> </w:t>
      </w:r>
      <w:r>
        <w:rPr>
          <w:rFonts w:ascii="Times New Roman" w:hAnsi="Times New Roman"/>
          <w:noProof/>
          <w:sz w:val="24"/>
        </w:rPr>
        <w:t xml:space="preserve">L’Union dépend des importations de gaz naturel, et la production locale d’engrais azotés ne permet pas d’assurer l’autosuffisance. La crise énergétique a également réduit le niveau d’autosuffisance en raison du coût élevé de la production d’ammoniac en Europe, l’un des plus élevés au monde. Les engrais phosphatés et potassiques dépendent principalement de matières premières issues de l’exploitation minière. </w:t>
      </w:r>
    </w:p>
    <w:p w14:paraId="4D9A3E41" w14:textId="0EE405CE" w:rsidR="00FA3854" w:rsidRPr="0027307A" w:rsidRDefault="006213C3"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Si le prix des intrants devait rester élevé, se poserait un risque de désindustrialisation dans l’UE. Développer une capacité de production intérieure revêt donc une importance stratégique pour l’UE:</w:t>
      </w:r>
      <w:r>
        <w:rPr>
          <w:rFonts w:ascii="Times New Roman" w:hAnsi="Times New Roman"/>
          <w:noProof/>
          <w:sz w:val="24"/>
        </w:rPr>
        <w:t xml:space="preserve"> au cours des dernières années, le déclin de la production intérieure d’ammoniac a accéléré, comme l’a montré la fermeture permanente, en 2023, d’usines qui représentaient 9 % de la capacité de l’UE. Plusieurs installations de production d’engrais à travers l’Europe sont à l’arrêt ou fermées.</w:t>
      </w:r>
      <w:r>
        <w:rPr>
          <w:rFonts w:ascii="Times New Roman" w:hAnsi="Times New Roman"/>
          <w:noProof/>
          <w:color w:val="000000" w:themeColor="text1"/>
          <w:sz w:val="24"/>
        </w:rPr>
        <w:t xml:space="preserve"> Les défis sont exacerbés par le fait que le secteur est un contributeur majeur aux émissions de GES</w:t>
      </w:r>
      <w:r>
        <w:rPr>
          <w:rStyle w:val="FootnoteReference"/>
          <w:rFonts w:ascii="Times New Roman" w:hAnsi="Times New Roman" w:cs="Times New Roman"/>
          <w:noProof/>
          <w:color w:val="000000" w:themeColor="text1"/>
          <w:sz w:val="24"/>
          <w:szCs w:val="24"/>
        </w:rPr>
        <w:footnoteReference w:id="7"/>
      </w:r>
      <w:r>
        <w:rPr>
          <w:rFonts w:ascii="Times New Roman" w:hAnsi="Times New Roman"/>
          <w:noProof/>
          <w:color w:val="000000" w:themeColor="text1"/>
          <w:sz w:val="24"/>
        </w:rPr>
        <w:t xml:space="preserve"> et par l’importance des investissements nécessaires à la transition vers une production bas carbone, que les entreprises de l’UE ont des difficultés à mobiliser au moment leur rentabilité est mise à mal par les coûts élevés des intrants, la volatilité au niveau mondial et l’absence de concurrence équitable.</w:t>
      </w:r>
    </w:p>
    <w:p w14:paraId="65E59E14" w14:textId="25F6D12D" w:rsidR="00381BC7" w:rsidRPr="0027307A" w:rsidRDefault="31404653"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La stratégie de l’UE en faveur de la décarbonation et d’une meilleure circularité des nutriments dans les systèmes agricoles vise à réduire les émissions, mais cette transition doit surmonter d’importants obstacles.</w:t>
      </w:r>
      <w:r>
        <w:rPr>
          <w:rFonts w:ascii="Times New Roman" w:hAnsi="Times New Roman"/>
          <w:noProof/>
          <w:sz w:val="24"/>
        </w:rPr>
        <w:t xml:space="preserve"> L’ammoniac vert, produit à partir d’hydrogène obtenu par l’électrolyse d’énergies renouvelables, nécessite encore des investissements considérables. Sa production entraîne des coûts plus élevés que les solutions basées sur les énergies fossiles, y compris l’ammoniac bleu (avec captage et stockage du carbone ou CSC) et les engrais azotés. Parallèlement, les engrais biosourcés rencontrent des barrières réglementaires et à l’entrée sur le marché, notamment des procédures d’approbation longues, des obstacles réglementaires liés aux intrants dérivés de déchets et une utilisation inégale entre les États membres.</w:t>
      </w:r>
    </w:p>
    <w:p w14:paraId="5078106E" w14:textId="5B2AF263" w:rsidR="004D0818" w:rsidRPr="0027307A" w:rsidRDefault="004D0818" w:rsidP="00381BC7">
      <w:pPr>
        <w:spacing w:after="140" w:line="276" w:lineRule="auto"/>
        <w:jc w:val="both"/>
        <w:rPr>
          <w:rFonts w:ascii="Times New Roman" w:hAnsi="Times New Roman" w:cs="Times New Roman"/>
          <w:b/>
          <w:noProof/>
          <w:sz w:val="24"/>
          <w:szCs w:val="24"/>
        </w:rPr>
      </w:pPr>
      <w:r>
        <w:rPr>
          <w:rFonts w:ascii="Times New Roman" w:hAnsi="Times New Roman"/>
          <w:b/>
          <w:noProof/>
          <w:sz w:val="24"/>
        </w:rPr>
        <w:t>2.3. La volatilité du marché des engrais</w:t>
      </w:r>
    </w:p>
    <w:p w14:paraId="61C4560F" w14:textId="19A19769" w:rsidR="00FD5F83" w:rsidRPr="001930F7" w:rsidRDefault="05A2F329" w:rsidP="00381BC7">
      <w:pPr>
        <w:pStyle w:val="ListParagraph"/>
        <w:numPr>
          <w:ilvl w:val="0"/>
          <w:numId w:val="58"/>
        </w:numPr>
        <w:spacing w:after="140" w:line="276" w:lineRule="auto"/>
        <w:jc w:val="both"/>
        <w:rPr>
          <w:rFonts w:ascii="Times New Roman" w:hAnsi="Times New Roman" w:cs="Times New Roman"/>
          <w:i/>
          <w:iCs/>
          <w:noProof/>
          <w:sz w:val="24"/>
          <w:szCs w:val="24"/>
        </w:rPr>
      </w:pPr>
      <w:r>
        <w:rPr>
          <w:rFonts w:ascii="Times New Roman" w:hAnsi="Times New Roman"/>
          <w:b/>
          <w:i/>
          <w:noProof/>
          <w:sz w:val="24"/>
        </w:rPr>
        <w:t>Les marchés mondiaux des engrais connaissent une importante volatilité</w:t>
      </w:r>
    </w:p>
    <w:p w14:paraId="6CD11A6A" w14:textId="22B7336F" w:rsidR="007A17F2" w:rsidRDefault="5C251F5F"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La guerre d’agression illégale menée par la Russie contre l’Ukraine a entraîné une perturbation de l’approvisionnement en engrais, contribuant à augmenter la pression sur les prix. Le 20 juin 2025, la Commission a adopté des mesures tarifaires appropriées afin de faire face à la dépendance économique de l’Union aux importations d’engrais azotés depuis la Fédération de Russie et la Biélorussie. Ces mesures étaient nécessaires pour réduire la dépendance à l’égard des importations depuis la Russie.</w:t>
      </w:r>
    </w:p>
    <w:p w14:paraId="55CA7E00" w14:textId="04472187" w:rsidR="00F80821" w:rsidRPr="0027307A" w:rsidRDefault="457AA119"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En outre, la récente prolongation des droits anti-dumping définitifs sur les importations d’urée et de nitrate d’ammonium depuis la Fédération de Russie, les États-Unis et Trinité-et-Tobago limite encore l’approvisionnement pourtant nécessaire pour protéger l’industrie des engrais de l’UE d’une concurrence déloyale. En décembre 2025, avant l’introduction du mécanisme d’ajustement carbone aux frontières (MACF)</w:t>
      </w:r>
      <w:r>
        <w:rPr>
          <w:rFonts w:ascii="Times New Roman" w:hAnsi="Times New Roman" w:cs="Times New Roman"/>
          <w:noProof/>
          <w:sz w:val="24"/>
          <w:szCs w:val="24"/>
          <w:vertAlign w:val="superscript"/>
        </w:rPr>
        <w:footnoteReference w:id="8"/>
      </w:r>
      <w:r>
        <w:rPr>
          <w:rFonts w:ascii="Times New Roman" w:hAnsi="Times New Roman"/>
          <w:noProof/>
          <w:sz w:val="24"/>
        </w:rPr>
        <w:t>, les attentes du marché concernant les futures conditions d’importations ainsi que d’autres facteurs ont contribué à faire monter les prix des engrais azotés.</w:t>
      </w:r>
    </w:p>
    <w:p w14:paraId="1503A7FA" w14:textId="602C2729" w:rsidR="002568BE" w:rsidRPr="0027307A" w:rsidRDefault="00561A6D" w:rsidP="00381BC7">
      <w:pPr>
        <w:spacing w:after="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L’escalade militaire au Moyen-Orient depuis le 28 février 2026 affecte une région qui joue un rôle important dans l’approvisionnement mondial, puisqu’elle concerne entre 20 et 30 % des exportations mondiales, en particulier celles d’ammoniac et d’urée, ainsi que l’approvisionnement en sulfure utilisé pour la production d’engrais phosphatés. En avril 2026, les prix moyens des engrais azotés ont grimpé fortement, d’environ 40 %, par rapport à février 2026 (et restent d’environ </w:t>
      </w:r>
      <w:r>
        <w:rPr>
          <w:rFonts w:ascii="Times New Roman" w:hAnsi="Times New Roman"/>
          <w:noProof/>
          <w:sz w:val="24"/>
          <w:shd w:val="clear" w:color="auto" w:fill="FFFFFF"/>
        </w:rPr>
        <w:t>70 % supérieurs à la moyenne de 2024</w:t>
      </w:r>
      <w:r>
        <w:rPr>
          <w:rFonts w:ascii="Times New Roman" w:hAnsi="Times New Roman"/>
          <w:noProof/>
          <w:sz w:val="24"/>
        </w:rPr>
        <w:t>). Le prix des engrais phosphatés ont également été affectés.</w:t>
      </w:r>
    </w:p>
    <w:p w14:paraId="7C790DB2" w14:textId="25347C7C" w:rsidR="0007709B" w:rsidRPr="0027307A" w:rsidRDefault="00D30E30" w:rsidP="00C05AB8">
      <w:pPr>
        <w:spacing w:after="0" w:line="276" w:lineRule="auto"/>
        <w:contextualSpacing/>
        <w:jc w:val="both"/>
        <w:rPr>
          <w:rFonts w:ascii="Times New Roman" w:eastAsiaTheme="minorEastAsia" w:hAnsi="Times New Roman" w:cs="Times New Roman"/>
          <w:noProof/>
          <w:sz w:val="24"/>
          <w:szCs w:val="24"/>
        </w:rPr>
      </w:pPr>
      <w:r w:rsidRPr="00D30E30">
        <w:rPr>
          <w:noProof/>
          <w:lang w:val="en-GB" w:eastAsia="en-GB"/>
        </w:rPr>
        <w:drawing>
          <wp:inline distT="0" distB="0" distL="0" distR="0" wp14:anchorId="217F9CDF" wp14:editId="48DF202F">
            <wp:extent cx="5731510" cy="2845435"/>
            <wp:effectExtent l="0" t="0" r="2540" b="0"/>
            <wp:docPr id="1520924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845435"/>
                    </a:xfrm>
                    <a:prstGeom prst="rect">
                      <a:avLst/>
                    </a:prstGeom>
                    <a:noFill/>
                    <a:ln>
                      <a:noFill/>
                    </a:ln>
                  </pic:spPr>
                </pic:pic>
              </a:graphicData>
            </a:graphic>
          </wp:inline>
        </w:drawing>
      </w:r>
      <w:r w:rsidR="00BB57E2">
        <w:rPr>
          <w:rFonts w:ascii="Times New Roman" w:hAnsi="Times New Roman"/>
          <w:i/>
          <w:noProof/>
          <w:sz w:val="18"/>
        </w:rPr>
        <w:t xml:space="preserve">Graphique nº 1: Évolution des prix des engrais et ratio par rapport aux prix des céréales. Un rapport plus élevé entre le prix des engrais et celui des céréales indique un moindre caractère abordable des engrais. </w:t>
      </w:r>
    </w:p>
    <w:p w14:paraId="4FAE52C1" w14:textId="77777777" w:rsidR="00F306F5" w:rsidRPr="0027307A" w:rsidRDefault="00F306F5" w:rsidP="00381BC7">
      <w:pPr>
        <w:spacing w:after="0" w:line="276" w:lineRule="auto"/>
        <w:contextualSpacing/>
        <w:jc w:val="both"/>
        <w:rPr>
          <w:rFonts w:ascii="Times New Roman" w:eastAsiaTheme="minorEastAsia" w:hAnsi="Times New Roman" w:cs="Times New Roman"/>
          <w:noProof/>
          <w:sz w:val="24"/>
          <w:szCs w:val="24"/>
        </w:rPr>
      </w:pPr>
    </w:p>
    <w:p w14:paraId="099A3A44" w14:textId="0F938DDC" w:rsidR="001F10D3" w:rsidRDefault="0A1409F6" w:rsidP="00381BC7">
      <w:pPr>
        <w:spacing w:after="140" w:line="276" w:lineRule="auto"/>
        <w:jc w:val="both"/>
        <w:rPr>
          <w:rFonts w:ascii="Times New Roman" w:eastAsiaTheme="minorEastAsia" w:hAnsi="Times New Roman" w:cs="Times New Roman"/>
          <w:b/>
          <w:bCs/>
          <w:noProof/>
          <w:sz w:val="24"/>
          <w:szCs w:val="24"/>
        </w:rPr>
      </w:pPr>
      <w:r>
        <w:rPr>
          <w:rFonts w:ascii="Times New Roman" w:hAnsi="Times New Roman"/>
          <w:noProof/>
          <w:sz w:val="24"/>
        </w:rPr>
        <w:t>À travers le monde, les pays à revenu faible et intermédiaire qui comptent sur le marché mondial pour s’approvisionner en engrais sont les plus touchés, en particulier les pays d’Asie, d’Afrique et d’Amérique latine qui achètent traditionnellement des engrais azotés au Moyen-Orient. La FAO s’attend à ce que, si la perturbation du détroit d’Ormuz persiste, les risques augmentent de manière significative, ce qui affecteraient les décisions en matière de plantation pour 2026 et au-delà</w:t>
      </w:r>
      <w:r>
        <w:rPr>
          <w:rStyle w:val="FootnoteReference"/>
          <w:rFonts w:ascii="Times New Roman" w:eastAsiaTheme="minorEastAsia" w:hAnsi="Times New Roman" w:cs="Times New Roman"/>
          <w:noProof/>
          <w:kern w:val="0"/>
          <w:sz w:val="24"/>
          <w:szCs w:val="24"/>
        </w:rPr>
        <w:footnoteReference w:id="9"/>
      </w:r>
      <w:r>
        <w:rPr>
          <w:rFonts w:ascii="Times New Roman" w:hAnsi="Times New Roman"/>
          <w:noProof/>
          <w:sz w:val="24"/>
        </w:rPr>
        <w:t xml:space="preserve">. Plusieurs pays (Chine, Inde, Mexique, Russie, États-Unis) ont commencé à adopter des mesures pour faire face à la situation actuelle: puiser dans les réserves stratégiques, imposer des restrictions à l’importation, plafonner les prix pour les agriculteurs ou supprimer les barrières à l’importation. </w:t>
      </w:r>
      <w:r>
        <w:rPr>
          <w:rFonts w:ascii="Times New Roman" w:hAnsi="Times New Roman"/>
          <w:b/>
          <w:noProof/>
          <w:sz w:val="24"/>
        </w:rPr>
        <w:t>L’équilibre du marché mondial et la sécurité alimentaire sont à risque.</w:t>
      </w:r>
    </w:p>
    <w:p w14:paraId="133247E1" w14:textId="213DCD21" w:rsidR="004D0818" w:rsidRPr="001930F7" w:rsidRDefault="00F93E8A" w:rsidP="00381BC7">
      <w:pPr>
        <w:pStyle w:val="ListParagraph"/>
        <w:numPr>
          <w:ilvl w:val="0"/>
          <w:numId w:val="58"/>
        </w:numPr>
        <w:spacing w:after="140" w:line="276" w:lineRule="auto"/>
        <w:jc w:val="both"/>
        <w:rPr>
          <w:rFonts w:ascii="Times New Roman" w:hAnsi="Times New Roman" w:cs="Times New Roman"/>
          <w:b/>
          <w:bCs/>
          <w:i/>
          <w:iCs/>
          <w:noProof/>
          <w:sz w:val="24"/>
          <w:szCs w:val="24"/>
        </w:rPr>
      </w:pPr>
      <w:r>
        <w:rPr>
          <w:rFonts w:ascii="Times New Roman" w:hAnsi="Times New Roman"/>
          <w:b/>
          <w:i/>
          <w:noProof/>
          <w:sz w:val="24"/>
        </w:rPr>
        <w:t>L’UE a besoin d’une chaîne d’approvisionnement transparente, plus développée et qui fonctionne bien efficace</w:t>
      </w:r>
    </w:p>
    <w:p w14:paraId="21B04D24" w14:textId="33FBABCD" w:rsidR="007E5F7A" w:rsidRPr="0027307A" w:rsidRDefault="5C8E3A41" w:rsidP="00381BC7">
      <w:pPr>
        <w:spacing w:beforeAutospacing="1" w:afterAutospacing="1" w:line="276"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Le marché des engrais de l’UE, comparé à d’autres marchés, se caractérise par une asymétrie, une fragmentation, un manque de transparence et une production relativement concentrée.</w:t>
      </w:r>
      <w:r>
        <w:rPr>
          <w:rFonts w:ascii="Times New Roman" w:hAnsi="Times New Roman"/>
          <w:noProof/>
          <w:sz w:val="24"/>
        </w:rPr>
        <w:t xml:space="preserve"> Même lorsque les jeunes agriculteurs se procurent conjointement des intrants au sein des organisations de producteurs, l’asymétrie du pouvoir de négociation et d’accès à l’information persiste. On constate en particulier un manque de données sur les prix fiables et mises à la disposition du public en temps réel, ainsi que d’informations générales relatives au marché sur l’état de l’offre et de la demande.</w:t>
      </w:r>
    </w:p>
    <w:p w14:paraId="365084FE" w14:textId="3A6E0681" w:rsidR="00FD5F83" w:rsidRPr="0027307A" w:rsidRDefault="007E5F7A" w:rsidP="00381BC7">
      <w:pPr>
        <w:spacing w:beforeAutospacing="1" w:afterAutospacing="1" w:line="276"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 xml:space="preserve">Il n’existe pas de marché unique des engrais dans l’UE. </w:t>
      </w:r>
      <w:r>
        <w:rPr>
          <w:rFonts w:ascii="Times New Roman" w:hAnsi="Times New Roman"/>
          <w:noProof/>
          <w:sz w:val="24"/>
        </w:rPr>
        <w:t>Le règlement sur les fertilisants</w:t>
      </w:r>
      <w:r>
        <w:rPr>
          <w:rStyle w:val="FootnoteReference"/>
          <w:rFonts w:ascii="Times New Roman" w:hAnsi="Times New Roman" w:cs="Times New Roman"/>
          <w:noProof/>
          <w:sz w:val="24"/>
          <w:szCs w:val="24"/>
          <w:lang w:eastAsia="en-IE"/>
        </w:rPr>
        <w:footnoteReference w:id="10"/>
      </w:r>
      <w:r>
        <w:rPr>
          <w:rFonts w:ascii="Times New Roman" w:hAnsi="Times New Roman"/>
          <w:noProof/>
          <w:sz w:val="24"/>
        </w:rPr>
        <w:t xml:space="preserve"> prévoient que les engrais circulent librement au sein de l’UE en tant que produits portant le marquage CE. Toutefois, ce règlement suit le modèle de l’harmonisation facultative, laissant les marchés nationaux des engrais coexister avec le marché unique. Cette approche, qui existe depuis 2003 et a été renouvelée en 2019, est vue de manière positive par les producteurs, puisqu’elle permet aux législations nationales de mettre en œuvre des règles en matière de fin du statut de déchet et des mesures nationales concernant l’utilisation de sous-produits animaux, et permet aux agriculteurs de disposer de davantage de fertilisants. Cependant, elle restreint également la capacité d’achat transfrontière de fertilisants sur le marché unique. Le marché unique est encore plus fragmenté pour ce qui est des engrais minéraux à faible teneur en carbone et des engrais biosourcés (organiques), pour lesquels le degré moindre de normalisation des produits, combiné à un contexte réglementaire complexe, est un obstacle supplémentaire.</w:t>
      </w:r>
    </w:p>
    <w:p w14:paraId="799317F1" w14:textId="40181B3B" w:rsidR="00567EB3" w:rsidRPr="0027307A" w:rsidRDefault="72B6492F" w:rsidP="00567EB3">
      <w:pPr>
        <w:spacing w:beforeAutospacing="1" w:afterAutospacing="1" w:line="276" w:lineRule="auto"/>
        <w:jc w:val="both"/>
        <w:rPr>
          <w:rFonts w:ascii="Times New Roman" w:eastAsia="Times New Roman" w:hAnsi="Times New Roman" w:cs="Times New Roman"/>
          <w:noProof/>
          <w:sz w:val="24"/>
          <w:szCs w:val="24"/>
        </w:rPr>
      </w:pPr>
      <w:r>
        <w:rPr>
          <w:rFonts w:ascii="Times New Roman" w:hAnsi="Times New Roman"/>
          <w:noProof/>
          <w:sz w:val="24"/>
        </w:rPr>
        <w:t>En 2022, la Commission a créé un Observatoire du marché des engrais</w:t>
      </w:r>
      <w:r>
        <w:rPr>
          <w:rStyle w:val="FootnoteReference"/>
          <w:rFonts w:ascii="Times New Roman" w:eastAsia="Times New Roman" w:hAnsi="Times New Roman" w:cs="Times New Roman"/>
          <w:noProof/>
          <w:sz w:val="24"/>
          <w:szCs w:val="24"/>
          <w:lang w:eastAsia="en-IE"/>
        </w:rPr>
        <w:footnoteReference w:id="11"/>
      </w:r>
      <w:r>
        <w:rPr>
          <w:rFonts w:ascii="Times New Roman" w:hAnsi="Times New Roman"/>
          <w:noProof/>
          <w:sz w:val="24"/>
        </w:rPr>
        <w:t xml:space="preserve"> qui a permis d’augmenter la transparence du marché, notamment en publiant des données récentes et à jour sur les prix et les échanges d’engrais minéraux dans l’UE. Les progrès réalisés sont toutefois insuffisants pour apporter suffisamment de clarté et de prévisibilité aux agriculteurs dans leurs achats.</w:t>
      </w:r>
    </w:p>
    <w:p w14:paraId="77B7C06B" w14:textId="77D96CB7" w:rsidR="00567EB3" w:rsidRPr="0027307A" w:rsidRDefault="00A110A8" w:rsidP="00567EB3">
      <w:pPr>
        <w:pStyle w:val="ListParagraph"/>
        <w:numPr>
          <w:ilvl w:val="0"/>
          <w:numId w:val="48"/>
        </w:numPr>
        <w:spacing w:after="140" w:line="276" w:lineRule="auto"/>
        <w:jc w:val="both"/>
        <w:rPr>
          <w:rFonts w:ascii="Times New Roman" w:eastAsiaTheme="minorEastAsia" w:hAnsi="Times New Roman" w:cs="Times New Roman"/>
          <w:b/>
          <w:bCs/>
          <w:smallCaps/>
          <w:noProof/>
          <w:kern w:val="0"/>
          <w:sz w:val="24"/>
          <w:szCs w:val="24"/>
          <w14:ligatures w14:val="none"/>
        </w:rPr>
      </w:pPr>
      <w:r>
        <w:rPr>
          <w:rFonts w:ascii="Times New Roman" w:hAnsi="Times New Roman"/>
          <w:b/>
          <w:smallCaps/>
          <w:noProof/>
          <w:sz w:val="24"/>
        </w:rPr>
        <w:t>Objectifs</w:t>
      </w:r>
    </w:p>
    <w:p w14:paraId="397AC380" w14:textId="56E52A7F" w:rsidR="002A3C08" w:rsidRPr="0027307A" w:rsidRDefault="002A3C08" w:rsidP="001C18F0">
      <w:pPr>
        <w:spacing w:after="140" w:line="276" w:lineRule="auto"/>
        <w:jc w:val="both"/>
        <w:rPr>
          <w:rFonts w:ascii="Times New Roman" w:eastAsia="Times New Roman" w:hAnsi="Times New Roman" w:cs="Times New Roman"/>
          <w:noProof/>
          <w:sz w:val="24"/>
          <w:szCs w:val="24"/>
        </w:rPr>
      </w:pPr>
      <w:r>
        <w:rPr>
          <w:rFonts w:ascii="Times New Roman" w:hAnsi="Times New Roman"/>
          <w:noProof/>
          <w:sz w:val="24"/>
        </w:rPr>
        <w:t>Le présent plan d’action s’inscrit dans la continuité de travaux antérieurs dans un contexte géopolitique, commercial et d’économie circulaire désormais plus pressant. Dans le cadre des objectifs plus larges de l’UE en matière de compétitivité, d’autonomie stratégique, de sécurité alimentaire, de durabilité et de neutralité climatique, le plan d’action sur les engrais porte sur toutes les étapes de la chaîne de valeur: depuis la production par l’industrie de l’UE jusqu’à l’utilisation finale par les agriculteurs de l’UE, les deux étant soumis à l’évolution du marché international des intrants. Les réponses proposées doivent couvrir l’ensemble de la chaîne de valeur, de l’offre à la demande.</w:t>
      </w:r>
    </w:p>
    <w:p w14:paraId="4D5E6623" w14:textId="4B2DE4A5" w:rsidR="00FF7C77" w:rsidRPr="00D16309" w:rsidRDefault="0097079E" w:rsidP="00381BC7">
      <w:pPr>
        <w:spacing w:before="100" w:beforeAutospacing="1" w:after="100" w:afterAutospacing="1" w:line="276" w:lineRule="auto"/>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Le plan d’action vise à créer un partenariat entre les producteurs d’engrais et les agriculteurs, mobilisant tous les acteurs aux niveaux national et de l’UE pour proposer à court terme des actions permettant de soutenir le caractère abordable des engrais et la sécurité de l’offre. Il est conçu selon une approche de moyen à long terme dans le but de soutenir la production intérieure, de promouvoir une utilisation plus efficace et plus durable des nutriments et d’encourager la transition vers des engrais bas carbone et circulaires.</w:t>
      </w:r>
    </w:p>
    <w:p w14:paraId="5443B720" w14:textId="1EA4A42C" w:rsidR="00A110A8" w:rsidRPr="0027307A" w:rsidRDefault="00A110A8"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Le plan d’action sur les engrais repose sur </w:t>
      </w:r>
      <w:r>
        <w:rPr>
          <w:rFonts w:ascii="Times New Roman" w:hAnsi="Times New Roman"/>
          <w:b/>
          <w:noProof/>
          <w:sz w:val="24"/>
        </w:rPr>
        <w:t>trois objectifs qui se renforcent mutuellement</w:t>
      </w:r>
      <w:r>
        <w:rPr>
          <w:rFonts w:ascii="Times New Roman" w:hAnsi="Times New Roman"/>
          <w:noProof/>
          <w:sz w:val="24"/>
        </w:rPr>
        <w:t>:</w:t>
      </w:r>
    </w:p>
    <w:p w14:paraId="34294DC4" w14:textId="4BA069BB" w:rsidR="00B902CD" w:rsidRPr="0027307A" w:rsidRDefault="00FE13F5" w:rsidP="00381BC7">
      <w:pPr>
        <w:numPr>
          <w:ilvl w:val="0"/>
          <w:numId w:val="39"/>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accroître la disponibilité d’engrais à des prix abordables dans l’UE;</w:t>
      </w:r>
    </w:p>
    <w:p w14:paraId="421FA650" w14:textId="75AC3FCF" w:rsidR="00A110A8" w:rsidRPr="0027307A" w:rsidRDefault="00FE13F5" w:rsidP="00381BC7">
      <w:pPr>
        <w:numPr>
          <w:ilvl w:val="0"/>
          <w:numId w:val="39"/>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renforcer l’autonomie stratégique et la résilience en consolidant la production intérieure, en diversifiant l’offre, en assurant une gestion durable des nutriments et en accélérant la transition vers la décarbonation; et</w:t>
      </w:r>
    </w:p>
    <w:p w14:paraId="533C21C1" w14:textId="6C18DCB6" w:rsidR="00A110A8" w:rsidRPr="0027307A" w:rsidRDefault="00FE13F5" w:rsidP="00381BC7">
      <w:pPr>
        <w:numPr>
          <w:ilvl w:val="0"/>
          <w:numId w:val="39"/>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renforcer la transparence et le dialogue tout au long de la chaîne d’approvisionnement des engrais.</w:t>
      </w:r>
    </w:p>
    <w:p w14:paraId="4E742204" w14:textId="77777777" w:rsidR="001C7359" w:rsidRPr="0027307A" w:rsidRDefault="001C7359" w:rsidP="00381BC7">
      <w:pPr>
        <w:spacing w:after="140" w:line="276" w:lineRule="auto"/>
        <w:contextualSpacing/>
        <w:jc w:val="both"/>
        <w:rPr>
          <w:rFonts w:ascii="Times New Roman" w:eastAsiaTheme="minorEastAsia" w:hAnsi="Times New Roman" w:cs="Times New Roman"/>
          <w:noProof/>
          <w:kern w:val="0"/>
          <w:sz w:val="24"/>
          <w:szCs w:val="24"/>
          <w14:ligatures w14:val="none"/>
        </w:rPr>
      </w:pPr>
    </w:p>
    <w:p w14:paraId="0B17B1D7" w14:textId="28A039DE" w:rsidR="00A110A8" w:rsidRPr="0027307A" w:rsidRDefault="00A110A8" w:rsidP="004739E9">
      <w:pPr>
        <w:pStyle w:val="ListParagraph"/>
        <w:keepNext/>
        <w:numPr>
          <w:ilvl w:val="0"/>
          <w:numId w:val="48"/>
        </w:numPr>
        <w:spacing w:after="140" w:line="276" w:lineRule="auto"/>
        <w:jc w:val="both"/>
        <w:rPr>
          <w:rFonts w:ascii="Times New Roman" w:eastAsiaTheme="minorEastAsia" w:hAnsi="Times New Roman" w:cs="Times New Roman"/>
          <w:b/>
          <w:bCs/>
          <w:smallCaps/>
          <w:noProof/>
          <w:kern w:val="0"/>
          <w:sz w:val="24"/>
          <w:szCs w:val="24"/>
          <w14:ligatures w14:val="none"/>
        </w:rPr>
      </w:pPr>
      <w:r>
        <w:rPr>
          <w:rFonts w:ascii="Times New Roman" w:hAnsi="Times New Roman"/>
          <w:b/>
          <w:smallCaps/>
          <w:noProof/>
          <w:sz w:val="24"/>
        </w:rPr>
        <w:t>Principaux domaines d’action</w:t>
      </w:r>
    </w:p>
    <w:p w14:paraId="173C01B1" w14:textId="50A2C638" w:rsidR="00E0437F" w:rsidRDefault="002A795D" w:rsidP="004739E9">
      <w:pPr>
        <w:keepNext/>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Le plan d’action permet d’atteindre ces objectifs grâce à deux types de mesures: des mesures à court terme portant sur les soudaines perturbations géopolitiques qui affectent la disponibilité d’engrais à des prix abordables pour les agriculteurs européens, et des mesures à plus long terme entraînant une transformation structurelle de la chaîne de valeur des engrais et de l’utilisation des nutriments.</w:t>
      </w:r>
    </w:p>
    <w:p w14:paraId="488F705F" w14:textId="2BDCB105" w:rsidR="00B15BE4" w:rsidRPr="0027307A" w:rsidRDefault="00B15BE4"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Les mesures visant à accroître la disponibilité et le caractère abordable des engrais à court terme serviront de base pour les efforts futurs.</w:t>
      </w:r>
      <w:r>
        <w:rPr>
          <w:rFonts w:ascii="Times New Roman" w:hAnsi="Times New Roman"/>
          <w:noProof/>
          <w:sz w:val="24"/>
        </w:rPr>
        <w:br/>
      </w:r>
    </w:p>
    <w:p w14:paraId="24A4227A" w14:textId="336A44FC" w:rsidR="00F43A4B" w:rsidRPr="0027307A" w:rsidRDefault="00DF0F97" w:rsidP="00567EB3">
      <w:pPr>
        <w:spacing w:after="140" w:line="276" w:lineRule="auto"/>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4.1. Améliorer l’accès des agriculteurs à des engrais à des prix abordables: mesures à court terme</w:t>
      </w:r>
    </w:p>
    <w:p w14:paraId="26E5E6BD" w14:textId="6478FA84" w:rsidR="0014022A" w:rsidRPr="0027307A" w:rsidRDefault="00297510" w:rsidP="00381BC7">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Dans les prochaines semaines et les prochains mois, les agriculteurs européens feront face, dans des circonstances économiques délicates, à des décisions difficiles concernant la prochaine période d’ensemencement pour la récolte 2027. C’est pourquoi des mesures immédiates sont nécessaires. Afin de réduire la pression sur les prix et les coûts de production des engrais et de garantir un approvisionnement pour les agriculteurs et l’industrie européenne des engrais, les mesures à court terme ci-après sont proposées. </w:t>
      </w:r>
    </w:p>
    <w:p w14:paraId="054ABAA0" w14:textId="77777777" w:rsidR="00417C2F" w:rsidRPr="0027307A" w:rsidRDefault="00417C2F"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5E4DB751" w14:textId="24737D86" w:rsidR="00E074E8" w:rsidRPr="0027307A" w:rsidRDefault="00A33D69" w:rsidP="00381BC7">
      <w:pPr>
        <w:spacing w:after="140" w:line="276" w:lineRule="auto"/>
        <w:contextualSpacing/>
        <w:jc w:val="both"/>
        <w:rPr>
          <w:rFonts w:ascii="Times New Roman" w:hAnsi="Times New Roman" w:cs="Times New Roman"/>
          <w:b/>
          <w:bCs/>
          <w:noProof/>
          <w:kern w:val="0"/>
          <w:sz w:val="24"/>
          <w:szCs w:val="24"/>
          <w14:ligatures w14:val="none"/>
        </w:rPr>
      </w:pPr>
      <w:r>
        <w:rPr>
          <w:rFonts w:ascii="Times New Roman" w:hAnsi="Times New Roman"/>
          <w:b/>
          <w:noProof/>
          <w:sz w:val="24"/>
        </w:rPr>
        <w:t>Pour assurer la disponibilité immédiate de liquidités et pour soutenir la production agricole, il est nécessaire de fournir un soutien exceptionnel ciblé pour les agriculteurs européens les plus touchés</w:t>
      </w:r>
      <w:r>
        <w:rPr>
          <w:noProof/>
        </w:rPr>
        <w:t>,</w:t>
      </w:r>
      <w:r>
        <w:rPr>
          <w:rFonts w:ascii="Times New Roman" w:hAnsi="Times New Roman"/>
          <w:noProof/>
          <w:sz w:val="24"/>
        </w:rPr>
        <w:t xml:space="preserve"> au moyen des instruments de crises existants dans le cadre de la politique agricole commune (PAC). </w:t>
      </w:r>
      <w:r>
        <w:rPr>
          <w:rFonts w:ascii="Times New Roman" w:hAnsi="Times New Roman"/>
          <w:b/>
          <w:noProof/>
          <w:sz w:val="24"/>
        </w:rPr>
        <w:t>La Commission proposera prochainement de mobiliser le budget de l’UE pour augmenter la réserve agricole d’un montant substantiel afin d’apporter un premier soulagement aux agriculteurs.</w:t>
      </w:r>
    </w:p>
    <w:p w14:paraId="21589FD7" w14:textId="77777777" w:rsidR="00417C2F" w:rsidRPr="0027307A" w:rsidRDefault="00417C2F"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3F7B188C" w14:textId="2B950AA3" w:rsidR="005051F3" w:rsidRPr="0027307A" w:rsidRDefault="00AE0280" w:rsidP="00567EB3">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Pour accroître la prévisibilité et la stabilité et pour faciliter la coopération le long de la chaîne de valeur, la</w:t>
      </w:r>
      <w:r>
        <w:rPr>
          <w:rFonts w:ascii="Times New Roman" w:hAnsi="Times New Roman"/>
          <w:noProof/>
          <w:sz w:val="24"/>
        </w:rPr>
        <w:t xml:space="preserve"> </w:t>
      </w:r>
      <w:r>
        <w:rPr>
          <w:rFonts w:ascii="Times New Roman" w:hAnsi="Times New Roman"/>
          <w:b/>
          <w:noProof/>
          <w:sz w:val="24"/>
        </w:rPr>
        <w:t xml:space="preserve">Commission lancera un partenariat de la chaîne de valeur des engrais de l’UE entre les producteurs d’engrais, les agriculteurs, les autres parties prenantes concernées et les États membres. </w:t>
      </w:r>
      <w:r>
        <w:rPr>
          <w:rFonts w:ascii="Times New Roman" w:hAnsi="Times New Roman"/>
          <w:noProof/>
          <w:sz w:val="24"/>
        </w:rPr>
        <w:t xml:space="preserve">Ce partenariat aura pour but: i) d’assurer pour les agriculteurs de l’UE la disponibilité, à un prix abordable, d’engrais produits localement; ii) d’améliorer la prévisibilité à la fois pour les producteurs et pour les utilisateurs; et iii) de soutenir la décarbonation de l’industrie des engrais de l’UE, en tenant compte des objectifs de l’UE en matière d’énergie et de climat. Une fois lancé, ce partenariat prendra la forme de sessions de </w:t>
      </w:r>
      <w:r>
        <w:rPr>
          <w:rFonts w:ascii="Times New Roman" w:hAnsi="Times New Roman"/>
          <w:b/>
          <w:noProof/>
          <w:sz w:val="24"/>
        </w:rPr>
        <w:t>dialogue stratégique</w:t>
      </w:r>
      <w:r>
        <w:rPr>
          <w:rFonts w:ascii="Times New Roman" w:hAnsi="Times New Roman"/>
          <w:noProof/>
          <w:sz w:val="24"/>
        </w:rPr>
        <w:t>. Des garanties appropriées seront mises en place afin d’assurer le respect des règles de l’UE en matière de compétitivité durant ces sessions et en ce qui concerne leurs résultats.</w:t>
      </w:r>
    </w:p>
    <w:p w14:paraId="54E571E6" w14:textId="6B80B3FF" w:rsidR="0082781E" w:rsidRPr="001C18F0" w:rsidRDefault="0082781E" w:rsidP="00567EB3">
      <w:pPr>
        <w:spacing w:after="140" w:line="276" w:lineRule="auto"/>
        <w:contextualSpacing/>
        <w:jc w:val="both"/>
        <w:rPr>
          <w:rFonts w:ascii="Times New Roman" w:eastAsiaTheme="minorEastAsia" w:hAnsi="Times New Roman" w:cs="Times New Roman"/>
          <w:noProof/>
          <w:kern w:val="0"/>
          <w:sz w:val="24"/>
          <w:szCs w:val="24"/>
          <w:u w:val="wavyDouble"/>
          <w:lang w:eastAsia="en-IE"/>
          <w14:ligatures w14:val="none"/>
        </w:rPr>
      </w:pPr>
    </w:p>
    <w:p w14:paraId="2061855F" w14:textId="04477B6B" w:rsidR="00A51AB6" w:rsidRDefault="00AF7136" w:rsidP="00381BC7">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Pour faire face aux effets de la crise au Moyen-Orient sur les secteurs les plus touchés, la Commission a adopté, le 29 avril 2026, un </w:t>
      </w:r>
      <w:r>
        <w:rPr>
          <w:rFonts w:ascii="Times New Roman" w:hAnsi="Times New Roman"/>
          <w:b/>
          <w:noProof/>
          <w:sz w:val="24"/>
        </w:rPr>
        <w:t>encadrement temporaire des aides d’État</w:t>
      </w:r>
      <w:r>
        <w:rPr>
          <w:rFonts w:ascii="Times New Roman" w:hAnsi="Times New Roman"/>
          <w:noProof/>
          <w:sz w:val="24"/>
        </w:rPr>
        <w:t xml:space="preserve"> </w:t>
      </w:r>
      <w:r>
        <w:rPr>
          <w:rStyle w:val="FootnoteReference"/>
          <w:rFonts w:ascii="Times New Roman" w:eastAsiaTheme="minorEastAsia" w:hAnsi="Times New Roman" w:cs="Times New Roman"/>
          <w:noProof/>
          <w:kern w:val="0"/>
          <w:sz w:val="24"/>
          <w:szCs w:val="24"/>
          <w:lang w:eastAsia="en-IE"/>
        </w:rPr>
        <w:footnoteReference w:id="12"/>
      </w:r>
      <w:r>
        <w:rPr>
          <w:rFonts w:ascii="Times New Roman" w:hAnsi="Times New Roman"/>
          <w:noProof/>
          <w:sz w:val="24"/>
        </w:rPr>
        <w:t xml:space="preserve"> afin de compléter les règles existantes en la matière. Les États membres pourront s’appuyer sur cet encadrement temporaire pour soutenir les entreprises actives dans la production primaire de produits agricoles affectées directement ou indirectement par la crise au Moyen-Orient, afin d’alléger les conséquences des hausses exceptionnellement élevées des prix des carburants et des engrais. </w:t>
      </w:r>
    </w:p>
    <w:p w14:paraId="6EA7295D" w14:textId="77777777" w:rsidR="006B3A25" w:rsidRPr="0027307A" w:rsidRDefault="006B3A25"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7E464715" w14:textId="0E252B70" w:rsidR="00E87FAD" w:rsidRPr="0027307A" w:rsidRDefault="00CE2F0F" w:rsidP="00381BC7">
      <w:pPr>
        <w:spacing w:after="140" w:line="276" w:lineRule="auto"/>
        <w:contextualSpacing/>
        <w:jc w:val="both"/>
        <w:rPr>
          <w:rFonts w:ascii="Times New Roman" w:eastAsiaTheme="minorEastAsia" w:hAnsi="Times New Roman" w:cs="Times New Roman"/>
          <w:noProof/>
          <w:kern w:val="0"/>
          <w:sz w:val="24"/>
          <w:szCs w:val="24"/>
          <w14:ligatures w14:val="none"/>
        </w:rPr>
      </w:pPr>
      <w:bookmarkStart w:id="2" w:name="_Hlk228216218"/>
      <w:r>
        <w:rPr>
          <w:rFonts w:ascii="Times New Roman" w:hAnsi="Times New Roman"/>
          <w:b/>
          <w:noProof/>
          <w:sz w:val="24"/>
        </w:rPr>
        <w:t>Afin d’apporter un soutien supplémentaire à court terme, la Commission présentera un train de mesures ciblées de la PAC qui permettra aux États membres d’utiliser pleinement l’aide disponible dans le cadre de leurs plans stratégiques relevant de la PAC actuels.</w:t>
      </w:r>
      <w:r>
        <w:rPr>
          <w:rFonts w:ascii="Times New Roman" w:hAnsi="Times New Roman"/>
          <w:noProof/>
          <w:sz w:val="24"/>
        </w:rPr>
        <w:t xml:space="preserve"> La Commission entend:</w:t>
      </w:r>
    </w:p>
    <w:p w14:paraId="07FEBD1F" w14:textId="444F04E9" w:rsidR="009571BC" w:rsidRPr="009571BC" w:rsidRDefault="002220F1" w:rsidP="001C18F0">
      <w:pPr>
        <w:pStyle w:val="ListParagraph"/>
        <w:numPr>
          <w:ilvl w:val="0"/>
          <w:numId w:val="63"/>
        </w:num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proposer une mesure, dans les limites de l’enveloppe PAC existante, créant un soutien de trésorerie pour les agriculteurs en cas de besoin, et proposer de verser des paiements anticipés aux destinataires de manière plus flexible afin de permettre aux agriculteurs de continuer à répondre à leurs obligations financières envers les banques et les fournisseurs d’intrants dans ces circonstances exceptionnelles;</w:t>
      </w:r>
    </w:p>
    <w:p w14:paraId="06F7E71C" w14:textId="52A9FA78" w:rsidR="00C0697D" w:rsidRPr="001C18F0" w:rsidRDefault="00C0697D" w:rsidP="001C18F0">
      <w:pPr>
        <w:pStyle w:val="ListParagraph"/>
        <w:spacing w:after="140" w:line="276" w:lineRule="auto"/>
        <w:jc w:val="both"/>
        <w:rPr>
          <w:rFonts w:ascii="Times New Roman" w:eastAsiaTheme="minorEastAsia" w:hAnsi="Times New Roman" w:cs="Times New Roman"/>
          <w:noProof/>
          <w:kern w:val="0"/>
          <w:sz w:val="24"/>
          <w:szCs w:val="24"/>
          <w:highlight w:val="yellow"/>
          <w:lang w:eastAsia="en-IE"/>
          <w14:ligatures w14:val="none"/>
        </w:rPr>
      </w:pPr>
    </w:p>
    <w:p w14:paraId="680D6F77" w14:textId="41017D32" w:rsidR="002220F1" w:rsidRPr="0027307A" w:rsidRDefault="002220F1" w:rsidP="00C0697D">
      <w:pPr>
        <w:pStyle w:val="ListParagraph"/>
        <w:numPr>
          <w:ilvl w:val="0"/>
          <w:numId w:val="58"/>
        </w:num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recommander que les États membres élaborent et financent, dans le cadre de leurs plans stratégique relevant de la PAC, la création d’un nouvel éco-régime (ou l’adaptation de l’éco-régime existant) ou d’une mesure agro-environnementale et climatique en vue d’améliorer l’efficience en matière de fertilisation, de stimuler l’utilisation durable de nutriments recyclés et de renforcer la résilience des exploitations, y compris, le cas échéant, par la reprogrammation et la mise au point d’interventions ciblées;</w:t>
      </w:r>
    </w:p>
    <w:p w14:paraId="0BE0571E" w14:textId="050B7825" w:rsidR="00243D3D" w:rsidRPr="005D6316" w:rsidRDefault="002220F1" w:rsidP="00243D3D">
      <w:pPr>
        <w:pStyle w:val="ListParagraph"/>
        <w:numPr>
          <w:ilvl w:val="0"/>
          <w:numId w:val="58"/>
        </w:num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recommander que les États membres augmentent le financement, dans les limites des enveloppes PAC existantes, de mesures d’investissement qui soutiennent une utilisation plus efficiente et plus durable des engrais (par exemple, l’agriculture biologique, l’agriculture de précision, etc.).</w:t>
      </w:r>
    </w:p>
    <w:bookmarkEnd w:id="2"/>
    <w:p w14:paraId="64F54868" w14:textId="3DC93384" w:rsidR="00243D3D" w:rsidRPr="0027307A" w:rsidRDefault="00243D3D" w:rsidP="00243D3D">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Ces propositions permettraient aux États membres d’apporter un soulagement rapide et exceptionnel d’ici la fin de la période actuelle (2027) et d’assurer que les fonds de la PAC apportent effectivement une aide aux agriculteurs dans la crise actuelle.</w:t>
      </w:r>
    </w:p>
    <w:p w14:paraId="38A961A3" w14:textId="38F5F465" w:rsidR="00E4231B" w:rsidRPr="0027307A" w:rsidRDefault="00731EEE" w:rsidP="00381BC7">
      <w:pPr>
        <w:spacing w:after="140" w:line="276" w:lineRule="auto"/>
        <w:contextualSpacing/>
        <w:jc w:val="both"/>
        <w:rPr>
          <w:rFonts w:ascii="Times New Roman" w:eastAsiaTheme="minorEastAsia" w:hAnsi="Times New Roman" w:cs="Times New Roman"/>
          <w:b/>
          <w:noProof/>
          <w:kern w:val="0"/>
          <w:sz w:val="24"/>
          <w:szCs w:val="24"/>
          <w14:ligatures w14:val="none"/>
        </w:rPr>
      </w:pPr>
      <w:r>
        <w:rPr>
          <w:rFonts w:ascii="Times New Roman" w:hAnsi="Times New Roman"/>
          <w:noProof/>
          <w:sz w:val="24"/>
        </w:rPr>
        <w:t>Par ailleurs, la Commission élaborera et mettra à disposition un dossier d’information à l’intention des États membres sur les outils disponible destinés aux agriculteurs, ainsi que des ressources réunissant des connaissances pertinentes au moyen du réseau européen de la PAC</w:t>
      </w:r>
      <w:r>
        <w:rPr>
          <w:rStyle w:val="FootnoteReference"/>
          <w:rFonts w:ascii="Times New Roman" w:hAnsi="Times New Roman" w:cs="Times New Roman"/>
          <w:bCs/>
          <w:noProof/>
          <w:sz w:val="24"/>
          <w:szCs w:val="24"/>
        </w:rPr>
        <w:footnoteReference w:id="13"/>
      </w:r>
      <w:r>
        <w:rPr>
          <w:rFonts w:ascii="Times New Roman" w:hAnsi="Times New Roman"/>
          <w:noProof/>
          <w:sz w:val="24"/>
        </w:rPr>
        <w:t xml:space="preserve"> et d’une publication spécifique sur les résultats de la recherche et de l’innovation d’Horizon Europe liés aux engrais biosourcés. </w:t>
      </w:r>
    </w:p>
    <w:p w14:paraId="51F8D2ED" w14:textId="77777777" w:rsidR="00417C2F" w:rsidRPr="0027307A" w:rsidRDefault="00417C2F"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3A3A0E60" w14:textId="4EAD9F8E" w:rsidR="00E8710E" w:rsidRPr="0027307A" w:rsidRDefault="00656260" w:rsidP="00381BC7">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Les États membres ont la possibilité, dans le cadre des fonds existants, notamment les fonds de cohésion, de soutenir la production durable de biogaz et de biométhane, conformément à la communication «AccelerateEU – Union de l’énergie – Une énergie sûre et abordable grâce à une action accélérée»</w:t>
      </w:r>
      <w:r>
        <w:rPr>
          <w:rStyle w:val="FootnoteReference"/>
          <w:rFonts w:ascii="Times New Roman" w:eastAsiaTheme="minorEastAsia" w:hAnsi="Times New Roman" w:cs="Times New Roman"/>
          <w:bCs/>
          <w:noProof/>
          <w:sz w:val="24"/>
          <w:szCs w:val="24"/>
          <w:lang w:eastAsia="en-IE"/>
        </w:rPr>
        <w:footnoteReference w:id="14"/>
      </w:r>
      <w:r>
        <w:rPr>
          <w:rFonts w:ascii="Times New Roman" w:hAnsi="Times New Roman"/>
          <w:noProof/>
          <w:sz w:val="24"/>
        </w:rPr>
        <w:t>, tout en accélérant la mise en œuvre des mesures pertinentes déjà incluses dans leurs plans pour la reprise et la résilience. Ce soutien peut couvrir des projets dans les exploitations agricoles et les coopératives, la modernisation d’usines existantes, la levée des obstacles restants dans le cadre d’autorisations pour de nouvelles installations, la gestion des digestats et le transport de matières premières durables entre régions. Le biogaz peut réduire la dépendance en matière d’énergie et de nutriments, générer des revenus additionnels pour les agriculteurs, créer de la valeur locale dans les zones rurales et augmenter la résilience grâce à des solutions circulaires liées à l’énergie et aux nutriments recyclés.</w:t>
      </w:r>
    </w:p>
    <w:p w14:paraId="5DA12D80" w14:textId="77777777" w:rsidR="00D004E0" w:rsidRPr="0027307A" w:rsidRDefault="00D004E0" w:rsidP="00381BC7">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56EE5E5D" w14:textId="27076F22" w:rsidR="002639C4" w:rsidRPr="0027307A" w:rsidRDefault="00C024D8" w:rsidP="00381BC7">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En outre, conformément à cette communication, les États membres ont la possibilité de concevoir des mesures temporaires ciblées et en temps utile, y compris des interventions sur les prix, des régimes d’aide au revenu et des incitations fiscales, visant à soutenir les industries à forte intensité énergétique</w:t>
      </w:r>
      <w:r>
        <w:rPr>
          <w:rFonts w:ascii="Times New Roman" w:hAnsi="Times New Roman"/>
          <w:noProof/>
          <w:sz w:val="24"/>
        </w:rPr>
        <w:t>, tout en préservant l’incitation à économiser de l’énergie et à réduire la dépendance vis-à-vis des carburants fossiles importés.</w:t>
      </w:r>
      <w:r>
        <w:rPr>
          <w:noProof/>
        </w:rPr>
        <w:t xml:space="preserve"> </w:t>
      </w:r>
      <w:r>
        <w:rPr>
          <w:rFonts w:ascii="Times New Roman" w:hAnsi="Times New Roman"/>
          <w:noProof/>
          <w:sz w:val="24"/>
        </w:rPr>
        <w:t>Cela pourrait aider à stabiliser les coûts de l’énergie pour les producteurs d’engrais. Cela leur permettrait de continuer à produire ici des engrais à des prix abordables, d’accroître la compétitivité du secteur et de déployer des matériaux circulaires et biosourcés en tant que matières premières de substitution. Cela est conforme à l’action prévue par la Commission de cartographier les capacités européenne et de travailler avec l’industrie pour éliminer les obstacles à court terme.</w:t>
      </w:r>
    </w:p>
    <w:p w14:paraId="6C618699" w14:textId="77777777" w:rsidR="00417C2F" w:rsidRPr="0027307A" w:rsidRDefault="00417C2F" w:rsidP="00567EB3">
      <w:pPr>
        <w:spacing w:after="140" w:line="276" w:lineRule="auto"/>
        <w:contextualSpacing/>
        <w:jc w:val="both"/>
        <w:rPr>
          <w:rFonts w:ascii="Times New Roman" w:eastAsiaTheme="minorEastAsia" w:hAnsi="Times New Roman" w:cs="Times New Roman"/>
          <w:noProof/>
          <w:kern w:val="0"/>
          <w:sz w:val="24"/>
          <w:szCs w:val="24"/>
          <w:lang w:eastAsia="en-IE"/>
          <w14:ligatures w14:val="none"/>
        </w:rPr>
      </w:pPr>
    </w:p>
    <w:p w14:paraId="784D2D9C" w14:textId="3E2FD0B1" w:rsidR="00417C2F" w:rsidRPr="0027307A" w:rsidRDefault="00261FCF" w:rsidP="00567EB3">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Afin de se préparer aux mesures plus structurelles décrites ci-après, </w:t>
      </w:r>
      <w:r>
        <w:rPr>
          <w:rFonts w:ascii="Times New Roman" w:hAnsi="Times New Roman"/>
          <w:b/>
          <w:noProof/>
          <w:sz w:val="24"/>
        </w:rPr>
        <w:t>la Commission examinera des actions à court terme permettant de faciliter l’utilisation de digestats, y compris la proposition et la création d’un bac à sable réglementaire.</w:t>
      </w:r>
    </w:p>
    <w:p w14:paraId="3AEEBC5D" w14:textId="4A36675C" w:rsidR="006B7F8A" w:rsidRPr="0027307A" w:rsidRDefault="008F7F64" w:rsidP="00567EB3">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b/>
          <w:noProof/>
          <w:sz w:val="24"/>
        </w:rPr>
        <w:t>La Commission assurera un suivi régulier des progrès accomplis sur les marchés européen et mondial des engrais et est disposée à envisager des mesures commerciales additionnelles</w:t>
      </w:r>
      <w:r>
        <w:rPr>
          <w:rFonts w:ascii="Times New Roman" w:hAnsi="Times New Roman"/>
          <w:noProof/>
          <w:sz w:val="24"/>
        </w:rPr>
        <w:t>, là où elles sont justifiées économiquement et garanties par les conditions du marché, afin d’améliorer l’accès aux engrais pour une plus large gamme de fournisseurs, tout en considérant également la situation des producteurs européens, ainsi que des pays plus fragiles qui dépendent de l’importation d’engrais. Cela pourrait inclure l’expansion du champ d’application des engrais qui pourraient bénéficier de la suspension temporaire déjà proposée par la Commission</w:t>
      </w:r>
      <w:r>
        <w:rPr>
          <w:rStyle w:val="FootnoteReference"/>
          <w:rFonts w:ascii="Times New Roman" w:eastAsiaTheme="minorEastAsia" w:hAnsi="Times New Roman" w:cs="Times New Roman"/>
          <w:noProof/>
          <w:kern w:val="0"/>
          <w:sz w:val="24"/>
          <w:szCs w:val="24"/>
          <w:lang w:eastAsia="en-IE"/>
        </w:rPr>
        <w:footnoteReference w:id="15"/>
      </w:r>
    </w:p>
    <w:p w14:paraId="27C3183B" w14:textId="77777777" w:rsidR="00B215DC" w:rsidRPr="0027307A" w:rsidRDefault="00B215DC" w:rsidP="00381BC7">
      <w:pPr>
        <w:spacing w:after="140" w:line="276" w:lineRule="auto"/>
        <w:contextualSpacing/>
        <w:jc w:val="both"/>
        <w:rPr>
          <w:rFonts w:ascii="Times New Roman" w:eastAsiaTheme="minorEastAsia" w:hAnsi="Times New Roman" w:cs="Times New Roman"/>
          <w:b/>
          <w:bCs/>
          <w:noProof/>
          <w:kern w:val="0"/>
          <w:sz w:val="24"/>
          <w:szCs w:val="24"/>
          <w:lang w:eastAsia="en-IE"/>
          <w14:ligatures w14:val="none"/>
        </w:rPr>
      </w:pPr>
    </w:p>
    <w:p w14:paraId="59DF2672" w14:textId="14AA90BD" w:rsidR="00E826BD" w:rsidRDefault="00553AFA" w:rsidP="00567EB3">
      <w:pPr>
        <w:spacing w:after="140" w:line="276" w:lineRule="auto"/>
        <w:contextualSpacing/>
        <w:jc w:val="both"/>
        <w:rPr>
          <w:rFonts w:ascii="Times New Roman" w:eastAsiaTheme="minorEastAsia" w:hAnsi="Times New Roman" w:cs="Times New Roman"/>
          <w:noProof/>
          <w:sz w:val="24"/>
          <w:szCs w:val="24"/>
        </w:rPr>
      </w:pPr>
      <w:r>
        <w:rPr>
          <w:rFonts w:ascii="Times New Roman" w:hAnsi="Times New Roman"/>
          <w:noProof/>
          <w:sz w:val="24"/>
        </w:rPr>
        <w:t>La Commission pourrait demander l’activation par le Conseil du règlement sur les situations d’urgence dans le marché intérieur et la résilience du marché intérieur (SURMI)</w:t>
      </w:r>
      <w:r>
        <w:rPr>
          <w:rFonts w:ascii="Times New Roman" w:eastAsiaTheme="minorEastAsia" w:hAnsi="Times New Roman" w:cs="Times New Roman"/>
          <w:noProof/>
          <w:sz w:val="24"/>
          <w:szCs w:val="24"/>
          <w:vertAlign w:val="superscript"/>
          <w:lang w:eastAsia="en-IE"/>
        </w:rPr>
        <w:footnoteReference w:id="16"/>
      </w:r>
      <w:r>
        <w:rPr>
          <w:rFonts w:ascii="Times New Roman" w:hAnsi="Times New Roman"/>
          <w:noProof/>
          <w:sz w:val="24"/>
        </w:rPr>
        <w:t>. Il faudrait pour cela désigner les engrais et les matières premières nécessaires à leur production en tant que biens nécessaires en cas de crise, ce qui permettrait par exemple un suivi renforcé, la passation de marché public par la Commission au nom des États membres, des demandes d’informations ciblées, des demandes prioritaires, des approbations accélérées et des mesures permettant d’accroître les capacités de production, tout en préservant la libre circulation des engrais sur le marché unique.</w:t>
      </w:r>
    </w:p>
    <w:p w14:paraId="7B3B7016" w14:textId="77777777" w:rsidR="005A0883" w:rsidRDefault="005A0883" w:rsidP="00567EB3">
      <w:pPr>
        <w:spacing w:after="140" w:line="276" w:lineRule="auto"/>
        <w:contextualSpacing/>
        <w:jc w:val="both"/>
        <w:rPr>
          <w:rFonts w:ascii="Times New Roman" w:eastAsiaTheme="minorEastAsia" w:hAnsi="Times New Roman" w:cs="Times New Roman"/>
          <w:noProof/>
          <w:sz w:val="24"/>
          <w:szCs w:val="24"/>
          <w:lang w:eastAsia="en-IE"/>
        </w:rPr>
      </w:pPr>
    </w:p>
    <w:p w14:paraId="5011BFA7" w14:textId="6EED2EB8" w:rsidR="005A0883" w:rsidRPr="0027307A" w:rsidRDefault="005A0883" w:rsidP="00567EB3">
      <w:p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Si la situation devait se détériorer encore en termes de disponibilité d’engrais à des prix abordables, la Commission envisagerait d’autres mesures qui pourraient être de nature temporaire.</w:t>
      </w:r>
    </w:p>
    <w:p w14:paraId="3C69A8AB" w14:textId="44ADC0B4" w:rsidR="00FD0036" w:rsidRPr="0027307A" w:rsidRDefault="00FD0036" w:rsidP="00381BC7">
      <w:pPr>
        <w:spacing w:after="140" w:line="276" w:lineRule="auto"/>
        <w:ind w:left="720"/>
        <w:contextualSpacing/>
        <w:jc w:val="both"/>
        <w:rPr>
          <w:rFonts w:ascii="Times New Roman" w:eastAsiaTheme="minorEastAsia" w:hAnsi="Times New Roman" w:cs="Times New Roman"/>
          <w:noProof/>
          <w:kern w:val="0"/>
          <w:sz w:val="24"/>
          <w:szCs w:val="24"/>
          <w:lang w:eastAsia="en-IE"/>
          <w14:ligatures w14:val="none"/>
        </w:rPr>
      </w:pPr>
    </w:p>
    <w:p w14:paraId="7BF820DB" w14:textId="6B74EFDF" w:rsidR="00863E86" w:rsidRPr="0027307A" w:rsidRDefault="0063085B" w:rsidP="00381BC7">
      <w:pPr>
        <w:spacing w:after="140" w:line="276"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En outre, dans le cadre de sa réponse immédiate, la Commission a déjà pris ou annoncé un certain nombre de mesures ciblées.</w:t>
      </w:r>
    </w:p>
    <w:p w14:paraId="79115C8E" w14:textId="41E360D4" w:rsidR="00863E86" w:rsidRPr="0027307A" w:rsidRDefault="00863E86"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En ce qui concerne les </w:t>
      </w:r>
      <w:r>
        <w:rPr>
          <w:rFonts w:ascii="Times New Roman" w:hAnsi="Times New Roman"/>
          <w:b/>
          <w:noProof/>
          <w:sz w:val="24"/>
        </w:rPr>
        <w:t>mesures commerciales</w:t>
      </w:r>
      <w:r>
        <w:rPr>
          <w:rFonts w:ascii="Times New Roman" w:hAnsi="Times New Roman"/>
          <w:noProof/>
          <w:sz w:val="24"/>
        </w:rPr>
        <w:t>, le 20 février 2026, la Commission a adopté une proposition de règlement du Conseil</w:t>
      </w:r>
      <w:r>
        <w:rPr>
          <w:rFonts w:ascii="Times New Roman" w:eastAsiaTheme="minorEastAsia" w:hAnsi="Times New Roman" w:cs="Times New Roman"/>
          <w:noProof/>
          <w:kern w:val="0"/>
          <w:sz w:val="24"/>
          <w:szCs w:val="24"/>
          <w:vertAlign w:val="superscript"/>
          <w:lang w:eastAsia="en-IE"/>
        </w:rPr>
        <w:footnoteReference w:id="17"/>
      </w:r>
      <w:r>
        <w:rPr>
          <w:rFonts w:ascii="Times New Roman" w:hAnsi="Times New Roman"/>
          <w:noProof/>
          <w:sz w:val="24"/>
        </w:rPr>
        <w:t xml:space="preserve"> en vue de suspendre, pour une année, les droits de douanes sur l’ammoniac, l’urée et certains autres engrais azotés et mixtes importés de pays autres que la Russie et la Biélorussie, dans le cadre de contingents tarifaires en franchise de droits. Une fois adoptée, cette mesure renforcera le secteur agroalimentaire de l’UE en diminuant les coûts pour les agriculteurs et l’industrie des engrais grâce à une économie d’environ 60 millions d’EUR en droits d’importation.</w:t>
      </w:r>
    </w:p>
    <w:p w14:paraId="33A42D3F" w14:textId="29AB4830" w:rsidR="00583B4B" w:rsidRPr="0027307A" w:rsidRDefault="00863E86"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Alors que le mécanisme d’ajustement carbone aux frontières (MACF) est progressivement mis en place, la Commission a introduit une exception aux règles de calcul standard des valeurs par défaut, à savoir une </w:t>
      </w:r>
      <w:r>
        <w:rPr>
          <w:rFonts w:ascii="Times New Roman" w:hAnsi="Times New Roman"/>
          <w:b/>
          <w:noProof/>
          <w:sz w:val="24"/>
        </w:rPr>
        <w:t>majoration forfaitaire de 1 % appliquée aux valeurs par défaut du MACF pour les engrais</w:t>
      </w:r>
      <w:r>
        <w:rPr>
          <w:rFonts w:ascii="Times New Roman" w:hAnsi="Times New Roman"/>
          <w:noProof/>
          <w:sz w:val="24"/>
        </w:rPr>
        <w:t>, ce qui est nettement moins que les majorations appliquées aux autres marchandises couvertes par ce mécanisme (10 %, 20 % et 30 % respectivement en 2026, 2027 et 2028). Elle procédera à un réexamen des valeurs par défaut en décembre 2027 au plus tard. La Commission a en outre publié l’acte d’exécution relatif à l’ajustement dans le cadre de l’allocation de quotas à titre gratuit. Cet acte et les autres actes d’exécution ou délégués nécessaires pour le début de la période définitive du MACF ont été publiés à la fin de 2025. Ces règles procurent aux importateurs la clarté nécessaire pour estimer leur exposition au MACF</w:t>
      </w:r>
      <w:r>
        <w:rPr>
          <w:rStyle w:val="FootnoteReference"/>
          <w:rFonts w:ascii="Times New Roman" w:eastAsiaTheme="minorEastAsia" w:hAnsi="Times New Roman" w:cs="Times New Roman"/>
          <w:noProof/>
          <w:kern w:val="0"/>
          <w:sz w:val="24"/>
          <w:szCs w:val="24"/>
          <w:lang w:eastAsia="en-IE"/>
        </w:rPr>
        <w:footnoteReference w:id="18"/>
      </w:r>
      <w:r>
        <w:rPr>
          <w:rFonts w:ascii="Times New Roman" w:hAnsi="Times New Roman"/>
          <w:noProof/>
          <w:sz w:val="24"/>
        </w:rPr>
        <w:t>. La Commission promeut également que davantage de vérificateurs soient disponibles afin de faciliter la déclaration de valeurs réelles, susceptibles d’aboutir à une obligation découlant du MACF moindre que si des valeurs par défaut étaient utilisées.</w:t>
      </w:r>
    </w:p>
    <w:p w14:paraId="2FBBBB3E" w14:textId="3CDF7DCB" w:rsidR="004A597F" w:rsidRPr="0027307A" w:rsidRDefault="00FE4B80"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Le 22 avril 2026, la Commission a présenté sa communication dans le domaine de l’énergie intitulée «</w:t>
      </w:r>
      <w:r>
        <w:rPr>
          <w:rFonts w:ascii="Times New Roman" w:hAnsi="Times New Roman"/>
          <w:b/>
          <w:noProof/>
          <w:sz w:val="24"/>
        </w:rPr>
        <w:t>AccelerateEU – Union de l’énergie – Une énergie sûre et abordable grâce à une action accélérée</w:t>
      </w:r>
      <w:r>
        <w:rPr>
          <w:rFonts w:ascii="Times New Roman" w:hAnsi="Times New Roman"/>
          <w:noProof/>
          <w:sz w:val="24"/>
        </w:rPr>
        <w:t>», un plan destiné à protéger immédiatement les secteurs vulnérables contre les prix élevés de l’énergie et, à plus long terme, à faire baisser structurellement les prix de l’énergie et à soulager les entreprises. La spécificité des engrais est prise en compte dans cette communication, qui met en avant l’importance des solutions circulaires et des nutriments recyclés et le potentiel inexploité du biogaz et du biométhane.</w:t>
      </w:r>
    </w:p>
    <w:p w14:paraId="00A9D3B6" w14:textId="28220BB5" w:rsidR="00863E86" w:rsidRPr="0027307A" w:rsidRDefault="00693E37" w:rsidP="00381BC7">
      <w:pPr>
        <w:numPr>
          <w:ilvl w:val="0"/>
          <w:numId w:val="40"/>
        </w:numPr>
        <w:spacing w:after="140" w:line="276" w:lineRule="auto"/>
        <w:contextualSpacing/>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La Commission soutient les </w:t>
      </w:r>
      <w:r>
        <w:rPr>
          <w:rFonts w:ascii="Times New Roman" w:hAnsi="Times New Roman"/>
          <w:b/>
          <w:noProof/>
          <w:sz w:val="24"/>
        </w:rPr>
        <w:t>appels à la coordination au niveau international</w:t>
      </w:r>
      <w:r>
        <w:rPr>
          <w:rFonts w:ascii="Times New Roman" w:hAnsi="Times New Roman"/>
          <w:noProof/>
          <w:sz w:val="24"/>
        </w:rPr>
        <w:t>, notamment au sein du G7 et du G20, en vue de faciliter l’acheminement des approvisionnements par d’autres voies, y compris d’autres corridors commerciaux, ce qui permettrait d’améliorer la transparence du marché et de garantir le bon fonctionnement des chaînes d’approvisionnement, de maintenir l’ouverture des échanges et d’éviter les restrictions injustifiées à l’exportation de denrées alimentaires et d’intrants agricoles essentiels tels que les engrais, tout en renforçant la sécurité alimentaire mondiale.</w:t>
      </w:r>
    </w:p>
    <w:p w14:paraId="3EC7C923" w14:textId="77777777" w:rsidR="008B6E3B" w:rsidRPr="0027307A" w:rsidRDefault="008B6E3B" w:rsidP="00567EB3">
      <w:pPr>
        <w:spacing w:after="140" w:line="276" w:lineRule="auto"/>
        <w:ind w:left="720"/>
        <w:contextualSpacing/>
        <w:jc w:val="both"/>
        <w:rPr>
          <w:rFonts w:ascii="Times New Roman" w:eastAsiaTheme="minorEastAsia" w:hAnsi="Times New Roman" w:cs="Times New Roman"/>
          <w:noProof/>
          <w:kern w:val="0"/>
          <w:sz w:val="24"/>
          <w:szCs w:val="24"/>
          <w:lang w:eastAsia="en-IE"/>
          <w14:ligatures w14:val="none"/>
        </w:rPr>
      </w:pPr>
    </w:p>
    <w:p w14:paraId="60E31225" w14:textId="3D31822A" w:rsidR="005725E9" w:rsidRPr="00A82458" w:rsidRDefault="00977F09" w:rsidP="00381BC7">
      <w:pPr>
        <w:spacing w:line="276" w:lineRule="auto"/>
        <w:jc w:val="both"/>
        <w:rPr>
          <w:rFonts w:ascii="Times New Roman" w:hAnsi="Times New Roman" w:cs="Times New Roman"/>
          <w:b/>
          <w:bCs/>
          <w:noProof/>
          <w:sz w:val="24"/>
          <w:szCs w:val="24"/>
        </w:rPr>
      </w:pPr>
      <w:r>
        <w:rPr>
          <w:rFonts w:ascii="Times New Roman" w:hAnsi="Times New Roman"/>
          <w:b/>
          <w:noProof/>
          <w:sz w:val="24"/>
        </w:rPr>
        <w:t>4.2. Renforcer l’autonomie stratégique et la résilience à moyen terme: accroître la production intérieure, réduire les dépendances et accélérer la transition vers des engrais décarbonés, à faible teneur en carbone et circulaires</w:t>
      </w:r>
    </w:p>
    <w:p w14:paraId="73929863" w14:textId="649AE334" w:rsidR="00C2164C" w:rsidRDefault="003060A6" w:rsidP="00381BC7">
      <w:pPr>
        <w:spacing w:line="276" w:lineRule="auto"/>
        <w:jc w:val="both"/>
        <w:rPr>
          <w:rFonts w:ascii="Times New Roman" w:hAnsi="Times New Roman" w:cs="Times New Roman"/>
          <w:noProof/>
          <w:sz w:val="24"/>
          <w:szCs w:val="24"/>
        </w:rPr>
      </w:pPr>
      <w:r>
        <w:rPr>
          <w:rFonts w:ascii="Times New Roman" w:hAnsi="Times New Roman"/>
          <w:noProof/>
          <w:sz w:val="24"/>
        </w:rPr>
        <w:t>Les mesures structurelles à plus long terme s’appuient sur l’approche déjà adoptée dans la communication de 2022, en vertu de laquelle les objectifs de sécurité de l’approvisionnement, de sécurité alimentaire, d’autonomie stratégique, de compétitivité industrielle et de durabilité doivent être poursuivis conjointement.</w:t>
      </w:r>
      <w:bookmarkStart w:id="3" w:name="_Hlk225269584"/>
    </w:p>
    <w:p w14:paraId="476FE4B6" w14:textId="0F23A28B" w:rsidR="0071592E" w:rsidRPr="00A82458" w:rsidRDefault="0071592E" w:rsidP="00381BC7">
      <w:pPr>
        <w:spacing w:line="276" w:lineRule="auto"/>
        <w:jc w:val="both"/>
        <w:rPr>
          <w:rFonts w:ascii="Times New Roman Bold" w:eastAsiaTheme="minorEastAsia" w:hAnsi="Times New Roman Bold" w:cs="Times New Roman" w:hint="eastAsia"/>
          <w:b/>
          <w:bCs/>
          <w:smallCaps/>
          <w:noProof/>
          <w:color w:val="215E99" w:themeColor="text2" w:themeTint="BF"/>
          <w:kern w:val="0"/>
          <w:sz w:val="24"/>
          <w:szCs w:val="24"/>
          <w14:ligatures w14:val="none"/>
        </w:rPr>
      </w:pPr>
      <w:bookmarkStart w:id="4" w:name="_Hlk228199487"/>
      <w:r>
        <w:rPr>
          <w:rFonts w:ascii="Times New Roman Bold" w:hAnsi="Times New Roman Bold"/>
          <w:b/>
          <w:smallCaps/>
          <w:noProof/>
          <w:sz w:val="24"/>
        </w:rPr>
        <w:t>Actions visant à favoriser la disponibilité et le caractère abordable des engrais</w:t>
      </w:r>
    </w:p>
    <w:bookmarkEnd w:id="4"/>
    <w:p w14:paraId="40A63BAB" w14:textId="1F909F14" w:rsidR="00525D5C" w:rsidRPr="0027307A" w:rsidRDefault="00525D5C" w:rsidP="00381BC7">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La réduction de la dépendance à l’égard des intrants d’origine fossile, le renforcement de la résilience face aux chocs extérieurs et le développement de l’industrie intérieure de l’UE nécessitent une capacité de production suffisante, une production d’engrais minéraux plus durable et le déploiement à plus grande échelle de solutions de substitution fondées sur des sources de nutriments à faible teneur en carbone, circulaires, recyclées et biosourcées.</w:t>
      </w:r>
    </w:p>
    <w:p w14:paraId="218C6EB6" w14:textId="77777777" w:rsidR="00D16309" w:rsidRDefault="00D16309" w:rsidP="00381BC7">
      <w:pPr>
        <w:spacing w:after="140" w:line="276" w:lineRule="auto"/>
        <w:jc w:val="both"/>
        <w:rPr>
          <w:rFonts w:ascii="Times New Roman" w:eastAsiaTheme="minorEastAsia" w:hAnsi="Times New Roman" w:cs="Times New Roman"/>
          <w:b/>
          <w:bCs/>
          <w:noProof/>
          <w:kern w:val="0"/>
          <w:sz w:val="24"/>
          <w:szCs w:val="24"/>
          <w14:ligatures w14:val="none"/>
        </w:rPr>
      </w:pPr>
    </w:p>
    <w:p w14:paraId="177751FC" w14:textId="75ADA47E" w:rsidR="00931D0D" w:rsidRPr="0027307A" w:rsidRDefault="00686DD4" w:rsidP="00381BC7">
      <w:pPr>
        <w:spacing w:after="140" w:line="276" w:lineRule="auto"/>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4.2.1. Industrie, approvisionnement et préparation</w:t>
      </w:r>
    </w:p>
    <w:bookmarkEnd w:id="3"/>
    <w:p w14:paraId="45A2F70E" w14:textId="73CFFA07" w:rsidR="000354EC" w:rsidRPr="0027307A" w:rsidRDefault="002E3E62" w:rsidP="00381BC7">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La Commission intensifiera le dialogue dans le cadre du partenariat de l’UE pour la chaîne de valeur des engrais afin de recenser les possibilités de renforcer et d’étendre les capacités de production, de pallier les contraintes liées à l’énergie, de garantir l’accès à des matières premières essentielles, d’éliminer les goulets d’étranglement opérationnels et d’améliorer la compétitivité.</w:t>
      </w:r>
    </w:p>
    <w:p w14:paraId="573BE260" w14:textId="77777777" w:rsidR="00525D5C" w:rsidRPr="0027307A" w:rsidRDefault="00525D5C" w:rsidP="00381BC7">
      <w:pPr>
        <w:spacing w:after="140" w:line="276" w:lineRule="auto"/>
        <w:contextualSpacing/>
        <w:jc w:val="both"/>
        <w:rPr>
          <w:rFonts w:ascii="Times New Roman" w:hAnsi="Times New Roman" w:cs="Times New Roman"/>
          <w:noProof/>
          <w:sz w:val="24"/>
          <w:szCs w:val="24"/>
          <w:lang w:eastAsia="en-IE"/>
        </w:rPr>
      </w:pPr>
    </w:p>
    <w:p w14:paraId="17ECA3AA" w14:textId="4F08ACA0" w:rsidR="000354EC" w:rsidRPr="0027307A" w:rsidRDefault="000354EC" w:rsidP="490C9E3B">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La Commission et le Service européen pour l’action extérieure veilleront particulièrement, lors de leurs échanges avec les pays partenaires, à promouvoir la diversification, tant pour l’UE que pour ses pays partenaires, des sources d’ammoniac, d’urée et d’autres engrais et intrants importants, conformément à la politique commerciale et au régime de sanctions de l’UE, tout en préservant une base de production intérieure résiliente.</w:t>
      </w:r>
      <w:r>
        <w:rPr>
          <w:rFonts w:ascii="Times New Roman" w:hAnsi="Times New Roman"/>
          <w:noProof/>
          <w:sz w:val="24"/>
        </w:rPr>
        <w:t xml:space="preserve"> Afin de diversifier les sources d’approvisionnement, la Commission étudiera les possibilités d’investissement dans des pays partenaires grâce à des accords de partenariat mutuellement bénéfiques, notamment dans le cadre de la stratégie «Global Gateway»</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et de l’approche «Équipe Europe»</w:t>
      </w:r>
      <w:r>
        <w:rPr>
          <w:rStyle w:val="FootnoteReference"/>
          <w:rFonts w:ascii="Times New Roman" w:hAnsi="Times New Roman" w:cs="Times New Roman"/>
          <w:noProof/>
          <w:sz w:val="24"/>
          <w:szCs w:val="24"/>
        </w:rPr>
        <w:footnoteReference w:id="20"/>
      </w:r>
      <w:r>
        <w:rPr>
          <w:rFonts w:ascii="Times New Roman" w:hAnsi="Times New Roman"/>
          <w:noProof/>
          <w:sz w:val="24"/>
        </w:rPr>
        <w:t>, prévoyant la production d’ammoniac et d’engrais organiques biosourcés pour approvisionner les marchés locaux, régionaux et de l’UE le long de corridors prédéfinis, disposant d’installations de transport, logistiques et de stockage fiables. Dans le cas de l’ammoniac vert, les projets d’investissement «Équipe Europe» pressentis ou en cours dans le domaine de la production d’hydrogène renouvelable dans des pays tiers tels que la Namibie ou le Paraguay sont de bons exemples, tout comme les perspectives de coopération avec l’Ukraine en ce qui concerne le biométhane.</w:t>
      </w:r>
      <w:r>
        <w:rPr>
          <w:rFonts w:ascii="Times New Roman" w:hAnsi="Times New Roman"/>
          <w:b/>
          <w:noProof/>
          <w:sz w:val="24"/>
        </w:rPr>
        <w:t xml:space="preserve"> </w:t>
      </w:r>
      <w:r>
        <w:rPr>
          <w:rFonts w:ascii="Times New Roman" w:hAnsi="Times New Roman"/>
          <w:noProof/>
          <w:sz w:val="24"/>
        </w:rPr>
        <w:t>Il est donc essentiel que nous renforcions la coopération avec nos partenaires par tous les canaux à disposition, comme les partenariats globaux mais aussi les enceintes régionales et multilatérales. Avec nos partenaires du voisinage méridional et du Golfe, en particulier, le pacte pour la Méditerranée peut constituer une autre source d’opportunités concrètes à court terme.</w:t>
      </w:r>
      <w:r>
        <w:rPr>
          <w:rFonts w:ascii="Times New Roman" w:hAnsi="Times New Roman"/>
          <w:b/>
          <w:noProof/>
          <w:sz w:val="24"/>
        </w:rPr>
        <w:t xml:space="preserve"> </w:t>
      </w:r>
    </w:p>
    <w:p w14:paraId="6F53A632" w14:textId="77777777" w:rsidR="00525D5C" w:rsidRPr="0027307A" w:rsidRDefault="00525D5C" w:rsidP="00381BC7">
      <w:pPr>
        <w:spacing w:after="140" w:line="276" w:lineRule="auto"/>
        <w:contextualSpacing/>
        <w:jc w:val="both"/>
        <w:rPr>
          <w:rFonts w:ascii="Times New Roman" w:hAnsi="Times New Roman" w:cs="Times New Roman"/>
          <w:noProof/>
          <w:sz w:val="24"/>
          <w:szCs w:val="24"/>
        </w:rPr>
      </w:pPr>
    </w:p>
    <w:p w14:paraId="1B0C109A" w14:textId="18EBB090" w:rsidR="00833CDB" w:rsidRPr="0027307A" w:rsidRDefault="00833CDB" w:rsidP="490C9E3B">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La Commission évaluera et, sur la base de cette évaluation, traitera et amoindrira les risques pesant sur l’accès de l’UE à la potasse et au phosphate ainsi qu’aux engrais phosphorés et potassiques</w:t>
      </w:r>
      <w:r>
        <w:rPr>
          <w:rFonts w:ascii="Times New Roman" w:hAnsi="Times New Roman"/>
          <w:noProof/>
          <w:sz w:val="24"/>
        </w:rPr>
        <w:t>, notamment en maintenant ou en renforçant les capacités de production intérieures, en veillant à la diversification des importations et en tenant compte des modernisations requises et des considérations environnementales, au besoin par des modifications réglementaires appropriées.</w:t>
      </w:r>
    </w:p>
    <w:p w14:paraId="7BF597EF" w14:textId="77777777" w:rsidR="00525D5C" w:rsidRPr="00D16309" w:rsidRDefault="00525D5C" w:rsidP="00381BC7">
      <w:pPr>
        <w:spacing w:after="140" w:line="276" w:lineRule="auto"/>
        <w:contextualSpacing/>
        <w:jc w:val="both"/>
        <w:rPr>
          <w:rFonts w:ascii="Times New Roman" w:hAnsi="Times New Roman" w:cs="Times New Roman"/>
          <w:b/>
          <w:bCs/>
          <w:noProof/>
          <w:sz w:val="24"/>
          <w:szCs w:val="24"/>
          <w:lang w:eastAsia="en-IE"/>
        </w:rPr>
      </w:pPr>
    </w:p>
    <w:p w14:paraId="41BADAF7" w14:textId="398676C5" w:rsidR="00EB51AD" w:rsidRDefault="000354EC" w:rsidP="490C9E3B">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La Commission étudiera la possibilité de constituer des stocks et d’autres mesures de préparation possibles</w:t>
      </w:r>
      <w:r>
        <w:rPr>
          <w:rFonts w:ascii="Times New Roman" w:hAnsi="Times New Roman"/>
          <w:noProof/>
          <w:sz w:val="24"/>
        </w:rPr>
        <w:t xml:space="preserve"> en lien avec les engrais et intrants essentiels, y compris la constitution de stocks saisonniers ou minimaux et, le cas échéant, le recours à la passation conjointe de marchés ou à d’autres instruments afin d’accroître la résilience face aux chocs extérieurs et d’atténuer la volatilité des prix. Ces travaux contribueront à l’utilité des échanges sur la préparation matérielle de l’UE au sein du réseau européen de constitution de stocks instauré dans le cadre de la stratégie de constitution de stocks de l’UE</w:t>
      </w:r>
      <w:r>
        <w:rPr>
          <w:rStyle w:val="FootnoteReference"/>
          <w:rFonts w:ascii="Times New Roman" w:hAnsi="Times New Roman" w:cs="Times New Roman"/>
          <w:noProof/>
          <w:sz w:val="24"/>
          <w:szCs w:val="24"/>
          <w:lang w:eastAsia="en-IE"/>
        </w:rPr>
        <w:footnoteReference w:id="21"/>
      </w:r>
      <w:r>
        <w:rPr>
          <w:rFonts w:ascii="Times New Roman" w:hAnsi="Times New Roman"/>
          <w:noProof/>
          <w:sz w:val="24"/>
        </w:rPr>
        <w:t>, d’autres actions clés de l’union de la préparation, la boîte à outils du SURMI et la collecte de données sur les stocks liée aux mesures de transparence du marché proposées ci-dessous. Ils tiendront pleinement compte des exigences en matière de subsidiarité, de stockage et de sécurité, des répercussions possibles sur les prix et sur les pays tiers fragiles, tributaires des importations, ainsi que de la cohérence avec les instruments horizontaux en matière de préparation.</w:t>
      </w:r>
    </w:p>
    <w:p w14:paraId="30064162" w14:textId="77777777" w:rsidR="004739E9" w:rsidRDefault="004739E9" w:rsidP="490C9E3B">
      <w:pPr>
        <w:spacing w:after="140" w:line="276" w:lineRule="auto"/>
        <w:contextualSpacing/>
        <w:jc w:val="both"/>
        <w:rPr>
          <w:rFonts w:ascii="Times New Roman" w:hAnsi="Times New Roman" w:cs="Times New Roman"/>
          <w:noProof/>
          <w:sz w:val="24"/>
          <w:szCs w:val="24"/>
          <w:lang w:eastAsia="en-IE"/>
        </w:rPr>
      </w:pPr>
    </w:p>
    <w:p w14:paraId="37F44EE3" w14:textId="51AFFA96" w:rsidR="00F17277" w:rsidRPr="0027307A" w:rsidRDefault="000F5812" w:rsidP="00381BC7">
      <w:pPr>
        <w:spacing w:after="140" w:line="276" w:lineRule="auto"/>
        <w:contextualSpacing/>
        <w:jc w:val="both"/>
        <w:rPr>
          <w:rFonts w:ascii="Times New Roman" w:hAnsi="Times New Roman" w:cs="Times New Roman"/>
          <w:b/>
          <w:bCs/>
          <w:noProof/>
          <w:sz w:val="24"/>
          <w:szCs w:val="24"/>
        </w:rPr>
      </w:pPr>
      <w:bookmarkStart w:id="5" w:name="_Hlk226704747"/>
      <w:r>
        <w:rPr>
          <w:rFonts w:ascii="Times New Roman" w:hAnsi="Times New Roman"/>
          <w:b/>
          <w:noProof/>
          <w:sz w:val="24"/>
        </w:rPr>
        <w:t>4.2.2. Circularité, intégration du marché et décarbonation</w:t>
      </w:r>
    </w:p>
    <w:bookmarkEnd w:id="5"/>
    <w:p w14:paraId="030427E7" w14:textId="3EC20BF2" w:rsidR="00BD3F31" w:rsidRPr="0027307A" w:rsidRDefault="00BD3F31" w:rsidP="00BD3F31">
      <w:pPr>
        <w:spacing w:beforeAutospacing="1" w:afterAutospacing="1" w:line="276" w:lineRule="auto"/>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Il est évident que l’efficacité des éléments nutritifs et la circularité dans l’agriculture de l’UE peuvent encore être améliorées.</w:t>
      </w:r>
      <w:r>
        <w:rPr>
          <w:rFonts w:ascii="Times New Roman" w:hAnsi="Times New Roman"/>
          <w:noProof/>
          <w:sz w:val="24"/>
        </w:rPr>
        <w:t xml:space="preserve"> Il est à la fois possible et souhaitable de «boucler la boucle» des nutriments tout en maintenant la production intérieure, ce qui permettrait de réaliser des économies de coûts, de réduire les risques de pollution, d’utiliser les ressources d’une manière plus efficiente et d’accroître la sécurité des approvisionnements.</w:t>
      </w:r>
    </w:p>
    <w:p w14:paraId="7582987F" w14:textId="6CB28446" w:rsidR="00CC56D3" w:rsidRPr="0027307A" w:rsidRDefault="00EB51AD"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La Commission soutiendra le développement et l’adoption des engrais organiques et de solutions de substitution aux engrais inorganiques conventionnels, en particulier des engrais biosourcés,</w:t>
      </w:r>
      <w:r>
        <w:rPr>
          <w:rFonts w:ascii="Times New Roman" w:hAnsi="Times New Roman"/>
          <w:noProof/>
          <w:sz w:val="24"/>
        </w:rPr>
        <w:t xml:space="preserve"> grâce au recyclage des éléments nutritifs, à la récupération du phosphore et de l’azote, aux filières du biométhane et du biogaz, à la valorisation des digestats et de la biomasse des algues, aux solutions microbiennes et à d’autres technologies innovantes. Ces travaux s’appuieront sur la stratégie pour la bioéconomie</w:t>
      </w:r>
      <w:r>
        <w:rPr>
          <w:rStyle w:val="FootnoteReference"/>
          <w:rFonts w:ascii="Times New Roman" w:hAnsi="Times New Roman" w:cs="Times New Roman"/>
          <w:noProof/>
          <w:sz w:val="24"/>
          <w:szCs w:val="24"/>
          <w:lang w:eastAsia="en-IE"/>
        </w:rPr>
        <w:footnoteReference w:id="22"/>
      </w:r>
      <w:r>
        <w:rPr>
          <w:rFonts w:ascii="Times New Roman" w:hAnsi="Times New Roman"/>
          <w:noProof/>
          <w:sz w:val="24"/>
        </w:rPr>
        <w:t>, sur la mise en œuvre de la directive relative au traitement des eaux résiduaires urbaines</w:t>
      </w:r>
      <w:r>
        <w:rPr>
          <w:rFonts w:ascii="Times New Roman" w:hAnsi="Times New Roman" w:cs="Times New Roman"/>
          <w:iCs/>
          <w:noProof/>
          <w:sz w:val="24"/>
          <w:szCs w:val="24"/>
          <w:vertAlign w:val="superscript"/>
          <w:lang w:eastAsia="en-IE"/>
        </w:rPr>
        <w:footnoteReference w:id="23"/>
      </w:r>
      <w:r>
        <w:rPr>
          <w:rFonts w:ascii="Times New Roman" w:hAnsi="Times New Roman"/>
          <w:noProof/>
          <w:sz w:val="24"/>
        </w:rPr>
        <w:t xml:space="preserve"> et sur les initiatives en faveur de l’économie circulaire qui visent à faciliter la production et l’utilisation sûre des éléments nutritifs récupérés, ainsi qu’à valoriser les résidus, les déchets et les sous-produits tout au long des chaînes de valeur, y compris dans l’agriculture, la sylviculture, l’aquaculture et la pêche. Des mesures appropriées seront également évaluées en prévision de l’acte législatif à venir sur l’économie circulaire. </w:t>
      </w:r>
    </w:p>
    <w:p w14:paraId="3C4860EE" w14:textId="339C53DB" w:rsidR="00525D5C" w:rsidRPr="0027307A" w:rsidRDefault="00A92C1B"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Dans la récente stratégie pour la bioéconomie, les engrais biosourcés ont été inclus parmi les marchés pilotes ayant vocation à remplacer les engrais minéraux conventionnels.</w:t>
      </w:r>
      <w:r>
        <w:rPr>
          <w:rFonts w:ascii="Times New Roman" w:hAnsi="Times New Roman"/>
          <w:noProof/>
          <w:sz w:val="24"/>
        </w:rPr>
        <w:t xml:space="preserve"> La Commission examinera différentes possibilités pour définir clairement ces produits. Parallèlement à la suppression des obstacles réglementaires ou commerciaux, une telle définition constituera une première étape nécessaire pour les mesures décrites ci-après, visant à créer des marchés pilotes pour ces produits. Afin d’accélérer le passage des fertilisants d’origine fossile à des solutions de substitution circulaires et biosourcées, la Commission proposera des mesures visant à accroître la compétitivité et l’adoption des fertilisants biosourcés, dont les biostimulants des végétaux, en tenant compte des recommandations de l’alliance pour les produits chimiques critiques.</w:t>
      </w:r>
    </w:p>
    <w:p w14:paraId="5D2E4581" w14:textId="30A02C95" w:rsidR="00F37855" w:rsidRPr="001C18F0" w:rsidRDefault="00A32E19" w:rsidP="00381BC7">
      <w:pPr>
        <w:spacing w:after="140" w:line="276" w:lineRule="auto"/>
        <w:jc w:val="both"/>
        <w:rPr>
          <w:rFonts w:ascii="Times New Roman" w:hAnsi="Times New Roman" w:cs="Times New Roman"/>
          <w:b/>
          <w:bCs/>
          <w:noProof/>
          <w:sz w:val="24"/>
          <w:szCs w:val="24"/>
        </w:rPr>
      </w:pPr>
      <w:r>
        <w:rPr>
          <w:rFonts w:ascii="Times New Roman" w:hAnsi="Times New Roman"/>
          <w:b/>
          <w:noProof/>
          <w:sz w:val="24"/>
        </w:rPr>
        <w:t>Dans la proposition d’acte législatif sur les biotechnologies II, la Commission élaborera des mesures destinées à créer des marchés pilotes pour les fertilisants biosourcés</w:t>
      </w:r>
      <w:r>
        <w:rPr>
          <w:rFonts w:ascii="Times New Roman" w:hAnsi="Times New Roman"/>
          <w:noProof/>
          <w:sz w:val="24"/>
        </w:rPr>
        <w:t xml:space="preserve">. La création de ces marchés pilotes a pour but d’accroître la rentabilité de ces procédés de production et, à terme, de rendre les produits concernés plus abordables. </w:t>
      </w:r>
      <w:r>
        <w:rPr>
          <w:rFonts w:ascii="Times New Roman" w:hAnsi="Times New Roman"/>
          <w:b/>
          <w:noProof/>
          <w:sz w:val="24"/>
        </w:rPr>
        <w:t>Ces mesures comprendront des exigences minimales relatives à l’inclusion, dans les mélanges, de matières à faible teneur en carbone et/ou biosourcées, éventuellement combinées à des mécanismes axés sur la demande, tels que des systèmes d’étiquetage facultatifs et obligatoires.</w:t>
      </w:r>
    </w:p>
    <w:p w14:paraId="39C5BF24" w14:textId="7323A4B3" w:rsidR="00F37855" w:rsidRPr="0027307A" w:rsidRDefault="00F37855"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 xml:space="preserve">En ce qui concerne les engrais biosourcés d’origine animale, la Commission examinera les obstacles à la création de ces marchés pilotes qui pourraient découler de la législation de l’UE. Lors de l’évaluation de la </w:t>
      </w:r>
      <w:r>
        <w:rPr>
          <w:rFonts w:ascii="Times New Roman" w:hAnsi="Times New Roman"/>
          <w:b/>
          <w:noProof/>
          <w:sz w:val="24"/>
        </w:rPr>
        <w:t>directive-cadre relative aux déchets</w:t>
      </w:r>
      <w:r>
        <w:rPr>
          <w:rStyle w:val="FootnoteReference"/>
          <w:rFonts w:ascii="Times New Roman" w:hAnsi="Times New Roman" w:cs="Times New Roman"/>
          <w:noProof/>
          <w:sz w:val="24"/>
          <w:szCs w:val="24"/>
          <w:lang w:eastAsia="en-IE"/>
        </w:rPr>
        <w:footnoteReference w:id="24"/>
      </w:r>
      <w:r>
        <w:rPr>
          <w:rFonts w:ascii="Times New Roman" w:hAnsi="Times New Roman"/>
          <w:b/>
          <w:noProof/>
          <w:sz w:val="24"/>
        </w:rPr>
        <w:t>, la Commission étudiera des moyens de simplifier la gestion des sous-produits animaux et d’autres sous-produits, notamment ceux destinés à être utilisés dans une installation de méthanisation ou une usine de compostage, ainsi que le traitement de l’utilisation agricole d’effluents d’élevage digérés ou compostés par voie anaérobie, en particulier la question de savoir s’ils pourraient être exclus du champ d’application de la directive</w:t>
      </w:r>
      <w:r>
        <w:rPr>
          <w:rFonts w:ascii="Times New Roman" w:hAnsi="Times New Roman"/>
          <w:noProof/>
          <w:sz w:val="24"/>
        </w:rPr>
        <w:t>. La Commission examinera aussi les manières d’améliorer encore les dispositions du règlement relatif aux sous-produits animaux de façon à faciliter la commercialisation et l’utilisation d’engrais biosourcés d’origine animale.  Elle poursuivra en outre ses travaux visant à étoffer le règlement (UE) 2019/1009 (règlement de l’UE sur les fertilisants) afin de permettre l’utilisation d’une gamme plus vaste de matières biosourcées dans les fertilisants UE, favorisant ainsi l’innovation et la circularité des produits pour le marché unique.</w:t>
      </w:r>
    </w:p>
    <w:p w14:paraId="6A5C3D52" w14:textId="010C74E4" w:rsidR="000D2742" w:rsidRPr="0027307A" w:rsidRDefault="000F2307"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 xml:space="preserve">La Commission s’efforce de promouvoir le recours accru à des produits à faible teneur en carbone. À cet égard, </w:t>
      </w:r>
      <w:r>
        <w:rPr>
          <w:rFonts w:ascii="Times New Roman" w:hAnsi="Times New Roman"/>
          <w:b/>
          <w:noProof/>
          <w:sz w:val="24"/>
        </w:rPr>
        <w:t>l’alliance pour les produits chimiques critiques évalue les actions à mettre en place pour créer des marchés pilotes pour les produits à faible teneur en carbone, dont les engrais azotés</w:t>
      </w:r>
      <w:r>
        <w:rPr>
          <w:rFonts w:ascii="Times New Roman" w:hAnsi="Times New Roman"/>
          <w:noProof/>
          <w:sz w:val="24"/>
        </w:rPr>
        <w:t>, de façon à rendre plus attrayants les investissements dans ce type de production. La Commission tiendra compte des recommandations de l’alliance sur les mesures à privilégier pour renforcer la demande de produits à faible teneur en carbone, y compris des engrais.</w:t>
      </w:r>
    </w:p>
    <w:p w14:paraId="3D72CB3E" w14:textId="11D4ADC3" w:rsidR="00D16309" w:rsidRDefault="003F2781"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La Commission permettra également aux États membres de recourir, au besoin, à des instruments d’aide d’État pour aider les agriculteurs à utiliser et à adopter les engrais (organiques) biosourcés et à faible teneur en carbone, en faisant notamment usage des possibilités prévues dans les lignes directrices concernant les aides d’État dans les secteurs agricole et forestier et dans les zones rurales</w:t>
      </w:r>
      <w:r>
        <w:rPr>
          <w:rStyle w:val="FootnoteReference"/>
          <w:rFonts w:ascii="Times New Roman" w:hAnsi="Times New Roman" w:cs="Times New Roman"/>
          <w:noProof/>
          <w:sz w:val="24"/>
          <w:szCs w:val="24"/>
          <w:lang w:eastAsia="en-IE"/>
        </w:rPr>
        <w:footnoteReference w:id="25"/>
      </w:r>
      <w:r>
        <w:rPr>
          <w:rFonts w:ascii="Times New Roman" w:hAnsi="Times New Roman"/>
          <w:noProof/>
          <w:sz w:val="24"/>
        </w:rPr>
        <w:t>, ainsi que par le règlement d’exemption par catégorie dans le secteur agricole</w:t>
      </w:r>
      <w:r>
        <w:rPr>
          <w:rFonts w:ascii="Times New Roman" w:hAnsi="Times New Roman" w:cs="Times New Roman"/>
          <w:noProof/>
          <w:spacing w:val="-4"/>
          <w:sz w:val="24"/>
          <w:szCs w:val="24"/>
          <w:vertAlign w:val="superscript"/>
        </w:rPr>
        <w:footnoteReference w:id="26"/>
      </w:r>
      <w:r>
        <w:rPr>
          <w:rFonts w:ascii="Times New Roman" w:hAnsi="Times New Roman"/>
          <w:noProof/>
          <w:sz w:val="24"/>
        </w:rPr>
        <w:t>.</w:t>
      </w:r>
    </w:p>
    <w:p w14:paraId="67545726" w14:textId="5BDCB759" w:rsidR="00A32E19" w:rsidRPr="0027307A" w:rsidRDefault="00A32E19"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Le marché européen des fertilisants coexiste avec les régimes nationaux en matière d’apports d’engrais.</w:t>
      </w:r>
      <w:r>
        <w:rPr>
          <w:rFonts w:ascii="Times New Roman" w:hAnsi="Times New Roman"/>
          <w:noProof/>
          <w:color w:val="000000" w:themeColor="text1"/>
          <w:sz w:val="24"/>
        </w:rPr>
        <w:t xml:space="preserve"> Le règlement sur les fertilisants repose sur le principe de l’harmonisation facultative, en prévoyant des mesures favorisant la libre circulation, dans l’ensemble de l’UE, des fertilisants porteurs du marquage CE qui sont conformes aux critères énoncés dans le règlement.</w:t>
      </w:r>
      <w:r>
        <w:rPr>
          <w:rFonts w:ascii="Times New Roman" w:hAnsi="Times New Roman"/>
          <w:b/>
          <w:noProof/>
          <w:sz w:val="24"/>
        </w:rPr>
        <w:t xml:space="preserve"> </w:t>
      </w:r>
      <w:r>
        <w:rPr>
          <w:rFonts w:ascii="Times New Roman" w:hAnsi="Times New Roman"/>
          <w:noProof/>
          <w:sz w:val="24"/>
        </w:rPr>
        <w:t xml:space="preserve">Bien que les produits conformes au règlement sur les fertilisants puissent porter le marquage CE et circuler librement sur le marché unique, les fabricants peuvent aussi décider de commercialiser leurs fertilisants en vertu de règles nationales. Étant donné l’existence de longue date du cadre de l’UE pour les engrais inorganiques, il convient d’envisager une harmonisation complète des règles applicables à ce type d’engrais afin de tirer le meilleur parti du marché unique et de permettre aux producteurs de placer leurs produits sur le marché de plusieurs États membres en vertu d’un unique régime, ce qui aurait pour effet d’augmenter la circulation de ces produits dans l’ensemble de l’Union. La </w:t>
      </w:r>
      <w:r>
        <w:rPr>
          <w:rFonts w:ascii="Times New Roman" w:hAnsi="Times New Roman"/>
          <w:b/>
          <w:noProof/>
          <w:sz w:val="24"/>
        </w:rPr>
        <w:t>Commission évaluera la faisabilité d’un marché unique pleinement intégré pour les engrais inorganiques</w:t>
      </w:r>
      <w:r>
        <w:rPr>
          <w:rFonts w:ascii="Times New Roman" w:hAnsi="Times New Roman"/>
          <w:noProof/>
          <w:sz w:val="24"/>
        </w:rPr>
        <w:t>, pouvant nécessiter, le cas échéant, une modification du règlement sur les fertilisants.</w:t>
      </w:r>
    </w:p>
    <w:p w14:paraId="781D46AE" w14:textId="75739D6C" w:rsidR="00DD1BF6" w:rsidRPr="00E235B7" w:rsidRDefault="00DD1BF6" w:rsidP="00DD1BF6">
      <w:pPr>
        <w:spacing w:line="278"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En ce qui concerne les produits non couverts par les règles harmonisées, les fabricants s’appuient sur le principe de la reconnaissance mutuelle pour les mettre à disposition sur les marchés d’autres États membres. La Commission évalue actuellement le règlement (UE) 2019/515</w:t>
      </w:r>
      <w:r>
        <w:rPr>
          <w:rStyle w:val="FootnoteReference"/>
          <w:rFonts w:ascii="Times New Roman" w:hAnsi="Times New Roman" w:cs="Times New Roman"/>
          <w:noProof/>
          <w:color w:val="000000" w:themeColor="text1"/>
          <w:sz w:val="24"/>
          <w:szCs w:val="24"/>
          <w:lang w:val="en-US" w:eastAsia="en-IE"/>
        </w:rPr>
        <w:footnoteReference w:id="27"/>
      </w:r>
      <w:r>
        <w:rPr>
          <w:rFonts w:ascii="Times New Roman" w:hAnsi="Times New Roman"/>
          <w:noProof/>
          <w:color w:val="000000" w:themeColor="text1"/>
          <w:sz w:val="24"/>
        </w:rPr>
        <w:t xml:space="preserve"> relatif à la reconnaissance mutuelle des biens commercialisés légalement dans un autre État membre, et notamment l’efficacité de ce règlement pour améliorer le fonctionnement du marché intérieur pour les biens n’ayant donné lieu à aucune harmonisation ou seulement à une harmonisation partielle, tels que les fertilisants nationaux. La Commission s’appuiera sur les conclusions de cette évaluation pour examiner les mesures à prendre.</w:t>
      </w:r>
    </w:p>
    <w:p w14:paraId="47B55546" w14:textId="4B7F56DE" w:rsidR="00B46AE1" w:rsidRPr="0027307A" w:rsidRDefault="001809C6"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En ce qui concerne les engrais phosphatés</w:t>
      </w:r>
      <w:r>
        <w:rPr>
          <w:rFonts w:ascii="Times New Roman" w:hAnsi="Times New Roman"/>
          <w:noProof/>
          <w:sz w:val="24"/>
        </w:rPr>
        <w:t xml:space="preserve">, l’évaluation du règlement (UE) 2019/1009 par la Commission comprendra un </w:t>
      </w:r>
      <w:r>
        <w:rPr>
          <w:rFonts w:ascii="Times New Roman" w:hAnsi="Times New Roman"/>
          <w:b/>
          <w:noProof/>
          <w:sz w:val="24"/>
        </w:rPr>
        <w:t>réexamen des valeurs limites pour le cadmium</w:t>
      </w:r>
      <w:r>
        <w:rPr>
          <w:rFonts w:ascii="Times New Roman" w:hAnsi="Times New Roman"/>
          <w:noProof/>
          <w:sz w:val="24"/>
        </w:rPr>
        <w:t xml:space="preserve"> fixées dans ledit règlement. Lors de ce réexamen, la Commission envisagera la possibilité de réduire ces valeurs limites à un niveau approprié, eu égard aux technologies et aux données scientifiques disponibles quant aux incidences de cette substance sur la santé et l’environnement, ainsi qu’à la disponibilité et au caractère abordable des engrais et à la sécurité de l’approvisionnement. </w:t>
      </w:r>
    </w:p>
    <w:p w14:paraId="6E3FB093" w14:textId="311E159B" w:rsidR="00EE31AB" w:rsidRDefault="00EE31AB" w:rsidP="00381BC7">
      <w:pPr>
        <w:spacing w:line="276" w:lineRule="auto"/>
        <w:jc w:val="both"/>
        <w:rPr>
          <w:rFonts w:ascii="Times New Roman" w:hAnsi="Times New Roman" w:cs="Times New Roman"/>
          <w:noProof/>
          <w:sz w:val="24"/>
          <w:szCs w:val="24"/>
        </w:rPr>
      </w:pPr>
      <w:r>
        <w:rPr>
          <w:rFonts w:ascii="Times New Roman" w:hAnsi="Times New Roman"/>
          <w:noProof/>
          <w:sz w:val="24"/>
        </w:rPr>
        <w:t xml:space="preserve">La Commission appuiera également la poursuite des travaux sur la </w:t>
      </w:r>
      <w:r>
        <w:rPr>
          <w:rFonts w:ascii="Times New Roman" w:hAnsi="Times New Roman"/>
          <w:b/>
          <w:noProof/>
          <w:sz w:val="24"/>
        </w:rPr>
        <w:t>récupération du phosphore et de l’azote dans les flux de déchets organiques</w:t>
      </w:r>
      <w:r>
        <w:rPr>
          <w:rFonts w:ascii="Times New Roman" w:hAnsi="Times New Roman"/>
          <w:noProof/>
          <w:sz w:val="24"/>
        </w:rPr>
        <w:t xml:space="preserve">, y compris dans les eaux usées et les boues d’origine industrielle et urbaine, les biodéchets, les digestats et d’autres déchets. Elle évaluera la nécessité de </w:t>
      </w:r>
      <w:r>
        <w:rPr>
          <w:rFonts w:ascii="Times New Roman" w:hAnsi="Times New Roman"/>
          <w:b/>
          <w:noProof/>
          <w:sz w:val="24"/>
        </w:rPr>
        <w:t>fixer des objectifs en matière de recyclage des éléments nutritifs</w:t>
      </w:r>
      <w:r>
        <w:rPr>
          <w:rFonts w:ascii="Times New Roman" w:hAnsi="Times New Roman"/>
          <w:noProof/>
          <w:sz w:val="24"/>
        </w:rPr>
        <w:t>, tout en gardant des attentes réalistes.</w:t>
      </w:r>
    </w:p>
    <w:p w14:paraId="202C4F65" w14:textId="6A2FA902" w:rsidR="000E1BFB" w:rsidRPr="0027307A" w:rsidRDefault="00FC3617" w:rsidP="004739E9">
      <w:pPr>
        <w:keepNext/>
        <w:spacing w:after="140" w:line="276" w:lineRule="auto"/>
        <w:jc w:val="both"/>
        <w:rPr>
          <w:rFonts w:ascii="Times New Roman" w:hAnsi="Times New Roman" w:cs="Times New Roman"/>
          <w:b/>
          <w:bCs/>
          <w:noProof/>
          <w:sz w:val="24"/>
          <w:szCs w:val="24"/>
        </w:rPr>
      </w:pPr>
      <w:r>
        <w:rPr>
          <w:rFonts w:ascii="Times New Roman" w:hAnsi="Times New Roman"/>
          <w:b/>
          <w:noProof/>
          <w:sz w:val="24"/>
        </w:rPr>
        <w:t>4.2.3. Tarification du carbone et soutien industriel</w:t>
      </w:r>
    </w:p>
    <w:p w14:paraId="3B702BDD" w14:textId="450367CC" w:rsidR="000211A0" w:rsidRDefault="0056093A" w:rsidP="004739E9">
      <w:pPr>
        <w:keepNext/>
        <w:spacing w:line="276" w:lineRule="auto"/>
        <w:jc w:val="both"/>
        <w:rPr>
          <w:rFonts w:ascii="Times New Roman" w:hAnsi="Times New Roman" w:cs="Times New Roman"/>
          <w:noProof/>
          <w:sz w:val="24"/>
          <w:szCs w:val="24"/>
        </w:rPr>
      </w:pPr>
      <w:r>
        <w:rPr>
          <w:rFonts w:ascii="Times New Roman" w:hAnsi="Times New Roman"/>
          <w:noProof/>
          <w:sz w:val="24"/>
        </w:rPr>
        <w:t>Le système d’échange de quotas d’émission de l’UE</w:t>
      </w:r>
      <w:r>
        <w:rPr>
          <w:rStyle w:val="FootnoteReference"/>
          <w:rFonts w:ascii="Times New Roman" w:hAnsi="Times New Roman" w:cs="Times New Roman"/>
          <w:noProof/>
          <w:sz w:val="24"/>
          <w:szCs w:val="24"/>
          <w:lang w:eastAsia="en-IE"/>
        </w:rPr>
        <w:footnoteReference w:id="28"/>
      </w:r>
      <w:r>
        <w:rPr>
          <w:rFonts w:ascii="Times New Roman" w:hAnsi="Times New Roman"/>
          <w:noProof/>
          <w:sz w:val="24"/>
        </w:rPr>
        <w:t xml:space="preserve"> a permis de réduire les émissions et a favorisé les investissements dans la décarbonation industrielle. En complément de ce système, le MACF garantit que l’industrie de l’UE n’est pas exposée au risque de fuite de carbone. Il est essentiel de maintenir cette approche, qui a permis de faire en sorte que la politique climatique et la politique industrielle aillent de pair. La Commission améliorera encore le mécanisme, notamment en collaborant avec le Parlement européen et le Conseil sur ses propositions visant à lutter contre d’éventuels risques de contournement du MACF, afin qu’il soutienne également efficacement le secteur des engrais de l’UE et réduise ainsi la dépendance de l’ensemble du secteur agricole de l’UE à l’égard des importations.</w:t>
      </w:r>
    </w:p>
    <w:p w14:paraId="1C4EBE79" w14:textId="45404AEE" w:rsidR="00D9548B" w:rsidRPr="00D16309" w:rsidRDefault="00D9548B" w:rsidP="00D9548B">
      <w:pPr>
        <w:spacing w:line="276" w:lineRule="auto"/>
        <w:jc w:val="both"/>
        <w:rPr>
          <w:rFonts w:ascii="Times New Roman" w:hAnsi="Times New Roman" w:cs="Times New Roman"/>
          <w:b/>
          <w:bCs/>
          <w:noProof/>
          <w:sz w:val="24"/>
          <w:szCs w:val="24"/>
        </w:rPr>
      </w:pPr>
      <w:r>
        <w:rPr>
          <w:rFonts w:ascii="Times New Roman" w:hAnsi="Times New Roman"/>
          <w:b/>
          <w:noProof/>
          <w:sz w:val="24"/>
        </w:rPr>
        <w:t>Faire en sorte que les agriculteurs de l’UE participent à la rentabilité des engrais produits au niveau intérieur, en fournissant les matières premières organiques nécessaires à l’augmentation de la production d’engrais (organiques) biosourcés, permettra de réduire les dépendances et les vulnérabilités et de stimuler la demande, tout en augmentant le caractère abordable, la disponibilité et la prévisibilité de ces engrais.</w:t>
      </w:r>
    </w:p>
    <w:p w14:paraId="68441B5E" w14:textId="6A79F07C" w:rsidR="005E0687" w:rsidRPr="0027307A" w:rsidRDefault="005E0687" w:rsidP="005E0687">
      <w:pPr>
        <w:spacing w:line="276" w:lineRule="auto"/>
        <w:jc w:val="both"/>
        <w:rPr>
          <w:rFonts w:ascii="Times New Roman" w:hAnsi="Times New Roman" w:cs="Times New Roman"/>
          <w:noProof/>
          <w:sz w:val="24"/>
          <w:szCs w:val="24"/>
        </w:rPr>
      </w:pPr>
      <w:r>
        <w:rPr>
          <w:rFonts w:ascii="Times New Roman" w:hAnsi="Times New Roman"/>
          <w:noProof/>
          <w:sz w:val="24"/>
        </w:rPr>
        <w:t>D’ici à juillet 2026, la Commission adoptera une proposition législative visant à réviser le système d’échange de quotas d’émission (SEQE) de l’UE. Dans le cadre du réexamen du SEQE, elle envisagera les meilleures façons d’étayer les arguments économiques en faveur de la décarbonation industrielle dans tous les secteurs relevant de ce système, en tenant également compte des spécificités de la chaîne de valeur des engrais. Sans préjuger des résultats du réexamen, les options qui seront évaluées devront garantir que toute flexibilité supplémentaire qui sera accordée à l’industrie sera subordonnée à une augmentation de la production décarbonée au niveau local, et devra en outre encourager la production d’engrais (organiques) biosourcés et circulaires et garantir le caractère abordable et la disponibilité des engrais produits localement en Europe. À cet égard, il sera tenu compte des difficultés particulières et des coûts supplémentaires auxquels sont confrontés les agriculteurs des régions ultrapériphériques lorsqu’ils achètent des engrais provenant de la partie continentale de l’UE ou qu’ils les importent de pays tiers.</w:t>
      </w:r>
    </w:p>
    <w:p w14:paraId="17DAD9F7" w14:textId="14E4BE14" w:rsidR="005E0687" w:rsidRPr="0027307A" w:rsidRDefault="005E0687" w:rsidP="005E0687">
      <w:pPr>
        <w:spacing w:line="276" w:lineRule="auto"/>
        <w:jc w:val="both"/>
        <w:rPr>
          <w:rFonts w:ascii="Times New Roman" w:hAnsi="Times New Roman" w:cs="Times New Roman"/>
          <w:noProof/>
          <w:sz w:val="24"/>
          <w:szCs w:val="24"/>
        </w:rPr>
      </w:pPr>
      <w:r>
        <w:rPr>
          <w:rFonts w:ascii="Times New Roman" w:hAnsi="Times New Roman"/>
          <w:noProof/>
          <w:sz w:val="24"/>
        </w:rPr>
        <w:t xml:space="preserve">En outre, comme annoncé dans la communication «AccelerateEU», </w:t>
      </w:r>
      <w:r>
        <w:rPr>
          <w:rFonts w:ascii="Times New Roman" w:hAnsi="Times New Roman"/>
          <w:b/>
          <w:noProof/>
          <w:sz w:val="24"/>
        </w:rPr>
        <w:t>la Commission aidera les États membres qui souhaitent étudier les possibilités d’utiliser les recettes issues du SEQE de l’UE en faveur de mesures ciblées qui mobilisent et accélèrent les investissements dans la décarbonation industrielle et les applications circulaires en aval, entre autres domaines</w:t>
      </w:r>
      <w:r>
        <w:rPr>
          <w:rFonts w:ascii="Times New Roman" w:hAnsi="Times New Roman"/>
          <w:noProof/>
          <w:sz w:val="24"/>
        </w:rPr>
        <w:t>. Il pourrait s’agir d’investissements en faveur de la décarbonation de la production d’engrais, mais aussi de solutions circulaires comme le recours accru à des éléments nutritifs recyclés. La Commission continue d’encourager les États membres à envisager de telles affectations des recettes du SEQE.</w:t>
      </w:r>
    </w:p>
    <w:p w14:paraId="599CE031" w14:textId="0DC54155" w:rsidR="007F18D1" w:rsidRPr="0027307A" w:rsidRDefault="00FC3617" w:rsidP="00381BC7">
      <w:pPr>
        <w:spacing w:line="276" w:lineRule="auto"/>
        <w:jc w:val="both"/>
        <w:rPr>
          <w:rFonts w:ascii="Times New Roman" w:hAnsi="Times New Roman" w:cs="Times New Roman"/>
          <w:b/>
          <w:bCs/>
          <w:noProof/>
          <w:sz w:val="24"/>
          <w:szCs w:val="24"/>
        </w:rPr>
      </w:pPr>
      <w:r>
        <w:rPr>
          <w:rFonts w:ascii="Times New Roman" w:hAnsi="Times New Roman"/>
          <w:b/>
          <w:noProof/>
          <w:sz w:val="24"/>
        </w:rPr>
        <w:t>4.2.4. Financement de la recherche, de l’innovation et de la modernisation</w:t>
      </w:r>
    </w:p>
    <w:p w14:paraId="4AD5C78F" w14:textId="693C7C2D" w:rsidR="00F37855" w:rsidRPr="00CA1B9B" w:rsidRDefault="00F37855" w:rsidP="00381BC7">
      <w:pPr>
        <w:spacing w:line="276" w:lineRule="auto"/>
        <w:jc w:val="both"/>
        <w:rPr>
          <w:rFonts w:ascii="Times New Roman" w:hAnsi="Times New Roman" w:cs="Times New Roman"/>
          <w:noProof/>
          <w:sz w:val="24"/>
          <w:szCs w:val="24"/>
        </w:rPr>
      </w:pPr>
      <w:r>
        <w:rPr>
          <w:rFonts w:ascii="Times New Roman" w:hAnsi="Times New Roman"/>
          <w:b/>
          <w:noProof/>
          <w:sz w:val="24"/>
        </w:rPr>
        <w:t>Les investissements dans l’innovation et le développement industriel à plus grande échelle des procédés de production d’engrais décarbonés sont essentiels. Ces investissements devraient continuer à pouvoir bénéficier d’aides au titre du Fonds pour l’innovation</w:t>
      </w:r>
      <w:r>
        <w:rPr>
          <w:rFonts w:ascii="Times New Roman" w:hAnsi="Times New Roman" w:cs="Times New Roman"/>
          <w:b/>
          <w:bCs/>
          <w:iCs/>
          <w:noProof/>
          <w:sz w:val="24"/>
          <w:szCs w:val="24"/>
          <w:vertAlign w:val="superscript"/>
          <w:lang w:eastAsia="en-IE"/>
        </w:rPr>
        <w:footnoteReference w:id="29"/>
      </w:r>
      <w:r>
        <w:rPr>
          <w:rFonts w:ascii="Times New Roman" w:hAnsi="Times New Roman"/>
          <w:b/>
          <w:noProof/>
          <w:sz w:val="24"/>
        </w:rPr>
        <w:t xml:space="preserve"> et de la Banque européenne de l’hydrogène, et devraient également être éligibles à un soutien au titre de la Banque pour la décarbonation de l’industrie proposée</w:t>
      </w:r>
      <w:r>
        <w:rPr>
          <w:rFonts w:ascii="Times New Roman" w:hAnsi="Times New Roman"/>
          <w:noProof/>
          <w:sz w:val="24"/>
        </w:rPr>
        <w:t>, conformément aux conditions des futures possibilités de financement. Les projets en lien avec les engrais sont toutefois insuffisamment représentés parmi les projets sélectionnés, par rapport à d’autres secteurs à forte intensité énergétique. La Commission continuera de dialoguer avec le secteur des engrais et de fournir des informations sur les possibilités de financement existantes, notamment pour les projets de décarbonation de qualité, afin d’améliorer l’accès du secteur aux financements en ce qui concerne ce type de projets.</w:t>
      </w:r>
    </w:p>
    <w:p w14:paraId="6DF820CC" w14:textId="49C262DC" w:rsidR="00A17DA8" w:rsidRDefault="63B82E10" w:rsidP="00381BC7">
      <w:pPr>
        <w:spacing w:line="276" w:lineRule="auto"/>
        <w:jc w:val="both"/>
        <w:rPr>
          <w:rFonts w:ascii="Times New Roman" w:hAnsi="Times New Roman" w:cs="Times New Roman"/>
          <w:noProof/>
          <w:sz w:val="24"/>
          <w:szCs w:val="24"/>
        </w:rPr>
      </w:pPr>
      <w:r>
        <w:rPr>
          <w:rFonts w:ascii="Times New Roman" w:hAnsi="Times New Roman"/>
          <w:noProof/>
          <w:sz w:val="24"/>
        </w:rPr>
        <w:t>La Commission s’appuiera sur les programmes existants, dont Horizon Europe, et sur l’entreprise commune «Une Europe fondée sur la bioéconomie circulaire»</w:t>
      </w:r>
      <w:r>
        <w:rPr>
          <w:rFonts w:ascii="Times New Roman" w:hAnsi="Times New Roman" w:cs="Times New Roman"/>
          <w:noProof/>
          <w:sz w:val="24"/>
          <w:szCs w:val="24"/>
          <w:vertAlign w:val="superscript"/>
          <w:lang w:eastAsia="en-IE"/>
        </w:rPr>
        <w:footnoteReference w:id="30"/>
      </w:r>
      <w:r>
        <w:rPr>
          <w:rFonts w:ascii="Times New Roman" w:hAnsi="Times New Roman"/>
          <w:noProof/>
          <w:sz w:val="24"/>
        </w:rPr>
        <w:t>; en parallèle, elle analysera le rôle que pourraient jouer l’outil de coordination de la compétitivité</w:t>
      </w:r>
      <w:r>
        <w:rPr>
          <w:rFonts w:ascii="Times New Roman" w:hAnsi="Times New Roman" w:cs="Times New Roman"/>
          <w:iCs/>
          <w:noProof/>
          <w:sz w:val="24"/>
          <w:szCs w:val="24"/>
          <w:vertAlign w:val="superscript"/>
        </w:rPr>
        <w:footnoteReference w:id="31"/>
      </w:r>
      <w:r>
        <w:rPr>
          <w:rFonts w:ascii="Times New Roman" w:hAnsi="Times New Roman"/>
          <w:noProof/>
          <w:sz w:val="24"/>
        </w:rPr>
        <w:t xml:space="preserve"> ainsi que les programmes de financement qui seront proposés au titre du prochain cadre financier pluriannuel. Dans le cadre de l’entreprise commune «Une Europe fondée sur la bioéconomie circulaire», la Commission collabore avec l’industrie en finançant des projets phares pour le déploiement des engrais biosourcés. Au sein du partenariat public-privé, la Commission travaille à la création du groupe européen de déploiement des investissements dans la bioéconomie</w:t>
      </w:r>
      <w:r>
        <w:rPr>
          <w:rFonts w:ascii="Times New Roman" w:hAnsi="Times New Roman" w:cs="Times New Roman"/>
          <w:noProof/>
          <w:sz w:val="24"/>
          <w:szCs w:val="24"/>
          <w:vertAlign w:val="superscript"/>
          <w:lang w:eastAsia="en-IE"/>
        </w:rPr>
        <w:footnoteReference w:id="32"/>
      </w:r>
      <w:r>
        <w:rPr>
          <w:rFonts w:ascii="Times New Roman" w:hAnsi="Times New Roman"/>
          <w:noProof/>
          <w:sz w:val="24"/>
        </w:rPr>
        <w:t xml:space="preserve"> annoncé dans la stratégie pour la bioéconomie, afin de mobiliser des investissements coordonnés dans le but de favoriser la production à plus grande échelle, par exemple, des engrais biosourcés.</w:t>
      </w:r>
    </w:p>
    <w:p w14:paraId="56349E40" w14:textId="2AE1BC87" w:rsidR="00EB51AD" w:rsidRPr="0027307A" w:rsidRDefault="008B4B44" w:rsidP="00381BC7">
      <w:pPr>
        <w:spacing w:line="276" w:lineRule="auto"/>
        <w:jc w:val="both"/>
        <w:rPr>
          <w:rFonts w:ascii="Times New Roman" w:hAnsi="Times New Roman" w:cs="Times New Roman"/>
          <w:noProof/>
          <w:sz w:val="24"/>
          <w:szCs w:val="24"/>
        </w:rPr>
      </w:pPr>
      <w:r>
        <w:rPr>
          <w:rFonts w:ascii="Times New Roman" w:hAnsi="Times New Roman"/>
          <w:noProof/>
          <w:sz w:val="24"/>
        </w:rPr>
        <w:t xml:space="preserve">Dans le contexte du réexamen du SEQE et de la révision du train de mesures sur l’union de l’énergie qui seront entrepris prochainement, la Commission évaluera la possibilité de mobiliser, à partir de 2028, le Fonds pour l’innovation et le cadre plus général en faveur de la décarbonation industrielle afin de soutenir des projets présentant une nette valeur ajoutée européenne. Le </w:t>
      </w:r>
      <w:r>
        <w:rPr>
          <w:rFonts w:ascii="Times New Roman" w:hAnsi="Times New Roman"/>
          <w:b/>
          <w:noProof/>
          <w:sz w:val="24"/>
        </w:rPr>
        <w:t>futur Fonds européen pour la compétitivité</w:t>
      </w:r>
      <w:r>
        <w:rPr>
          <w:rFonts w:ascii="Times New Roman" w:hAnsi="Times New Roman" w:cs="Times New Roman"/>
          <w:iCs/>
          <w:noProof/>
          <w:sz w:val="24"/>
          <w:szCs w:val="24"/>
          <w:vertAlign w:val="superscript"/>
          <w:lang w:eastAsia="en-IE"/>
        </w:rPr>
        <w:footnoteReference w:id="33"/>
      </w:r>
      <w:r>
        <w:rPr>
          <w:rFonts w:ascii="Times New Roman" w:hAnsi="Times New Roman"/>
          <w:noProof/>
          <w:sz w:val="24"/>
        </w:rPr>
        <w:t xml:space="preserve"> pourra également contribuer à cet objectif, notamment par l’intermédiaire de son volet consacré à la décarbonation.</w:t>
      </w:r>
      <w:r>
        <w:rPr>
          <w:rFonts w:ascii="Times New Roman" w:hAnsi="Times New Roman"/>
          <w:b/>
          <w:noProof/>
          <w:sz w:val="24"/>
        </w:rPr>
        <w:t xml:space="preserve"> </w:t>
      </w:r>
      <w:r>
        <w:rPr>
          <w:rFonts w:ascii="Times New Roman" w:hAnsi="Times New Roman"/>
          <w:noProof/>
          <w:sz w:val="24"/>
        </w:rPr>
        <w:t xml:space="preserve">La Commission travaille actuellement à </w:t>
      </w:r>
      <w:r>
        <w:rPr>
          <w:rFonts w:ascii="Times New Roman" w:hAnsi="Times New Roman"/>
          <w:b/>
          <w:noProof/>
          <w:sz w:val="24"/>
        </w:rPr>
        <w:t>deux projets pilotes du CCT potentiels</w:t>
      </w:r>
      <w:r>
        <w:rPr>
          <w:rFonts w:ascii="Times New Roman" w:hAnsi="Times New Roman"/>
          <w:noProof/>
          <w:sz w:val="24"/>
        </w:rPr>
        <w:t xml:space="preserve"> sur des filières de production d’ammoniac et d’engrais biosourcés plus modernes et sobres en carbone.</w:t>
      </w:r>
    </w:p>
    <w:p w14:paraId="2546FA63" w14:textId="7084204F" w:rsidR="007A5DEF" w:rsidRDefault="00294EB9" w:rsidP="008D2712">
      <w:pPr>
        <w:spacing w:after="140" w:line="276" w:lineRule="auto"/>
        <w:jc w:val="both"/>
        <w:rPr>
          <w:noProof/>
        </w:rPr>
      </w:pPr>
      <w:r>
        <w:rPr>
          <w:rFonts w:ascii="Times New Roman" w:hAnsi="Times New Roman"/>
          <w:noProof/>
          <w:sz w:val="24"/>
        </w:rPr>
        <w:t>La Commission est disposée à aider les États membres à recourir, lorsque cela se justifie, à des instruments d’aides d’État, notamment l’encadrement des aides d’État dans le cadre du pacte pour une industrie propre</w:t>
      </w:r>
      <w:r>
        <w:rPr>
          <w:rStyle w:val="FootnoteReference"/>
          <w:rFonts w:ascii="Times New Roman" w:hAnsi="Times New Roman" w:cs="Times New Roman"/>
          <w:noProof/>
          <w:sz w:val="24"/>
          <w:szCs w:val="24"/>
          <w:lang w:eastAsia="en-IE"/>
        </w:rPr>
        <w:footnoteReference w:id="34"/>
      </w:r>
      <w:r>
        <w:rPr>
          <w:rFonts w:ascii="Times New Roman" w:hAnsi="Times New Roman"/>
          <w:noProof/>
          <w:sz w:val="24"/>
        </w:rPr>
        <w:t>, les projets importants d’intérêt européen commun (PIIEC), les lignes directrices concernant les aides d’État au climat, à la protection de l’environnement et à l’énergie (CEEAG)</w:t>
      </w:r>
      <w:r>
        <w:rPr>
          <w:rStyle w:val="FootnoteReference"/>
          <w:rFonts w:ascii="Times New Roman" w:eastAsia="Times New Roman" w:hAnsi="Times New Roman" w:cs="Times New Roman"/>
          <w:noProof/>
          <w:sz w:val="24"/>
          <w:szCs w:val="24"/>
        </w:rPr>
        <w:footnoteReference w:id="35"/>
      </w:r>
      <w:r>
        <w:rPr>
          <w:rFonts w:ascii="Times New Roman" w:hAnsi="Times New Roman"/>
          <w:noProof/>
          <w:sz w:val="24"/>
        </w:rPr>
        <w:t>, le règlement général d’exemption par catégorie ainsi que l’encadrement des aides d’État à la recherche, au développement et à l’innovation</w:t>
      </w:r>
      <w:r>
        <w:rPr>
          <w:rStyle w:val="FootnoteReference"/>
          <w:rFonts w:ascii="Times New Roman" w:eastAsia="Times New Roman" w:hAnsi="Times New Roman" w:cs="Times New Roman"/>
          <w:noProof/>
          <w:sz w:val="24"/>
          <w:szCs w:val="24"/>
        </w:rPr>
        <w:footnoteReference w:id="36"/>
      </w:r>
      <w:r>
        <w:rPr>
          <w:rFonts w:ascii="Times New Roman" w:hAnsi="Times New Roman"/>
          <w:noProof/>
          <w:sz w:val="24"/>
        </w:rPr>
        <w:t>. La Commission suit en continu l’évolution du marché afin de veiller à ce que ses règles en matière d’aides d’État soient adaptées à leur finalité, y compris en ce qui concerne la création de marchés pilotes pour les engrais (organiques) biosourcés et les engrais à faible teneur en carbone et le transport des nutriments.</w:t>
      </w:r>
    </w:p>
    <w:tbl>
      <w:tblPr>
        <w:tblStyle w:val="TableGrid"/>
        <w:tblW w:w="0" w:type="auto"/>
        <w:tblLook w:val="04A0" w:firstRow="1" w:lastRow="0" w:firstColumn="1" w:lastColumn="0" w:noHBand="0" w:noVBand="1"/>
      </w:tblPr>
      <w:tblGrid>
        <w:gridCol w:w="9016"/>
      </w:tblGrid>
      <w:tr w:rsidR="009F5EB4" w:rsidRPr="0079402E" w14:paraId="665F0764" w14:textId="77777777">
        <w:tc>
          <w:tcPr>
            <w:tcW w:w="9288" w:type="dxa"/>
            <w:tcBorders>
              <w:top w:val="single" w:sz="4" w:space="0" w:color="auto"/>
              <w:left w:val="single" w:sz="4" w:space="0" w:color="auto"/>
              <w:bottom w:val="single" w:sz="4" w:space="0" w:color="auto"/>
              <w:right w:val="single" w:sz="4" w:space="0" w:color="auto"/>
            </w:tcBorders>
          </w:tcPr>
          <w:p w14:paraId="2F007524" w14:textId="77777777" w:rsidR="009F5EB4" w:rsidRPr="00493E9D" w:rsidRDefault="009F5EB4">
            <w:pPr>
              <w:spacing w:line="276" w:lineRule="auto"/>
              <w:jc w:val="both"/>
              <w:rPr>
                <w:rFonts w:ascii="Times New Roman" w:hAnsi="Times New Roman" w:cs="Times New Roman"/>
                <w:b/>
                <w:bCs/>
                <w:noProof/>
                <w:sz w:val="24"/>
                <w:szCs w:val="24"/>
                <w:u w:val="single"/>
              </w:rPr>
            </w:pPr>
            <w:r>
              <w:rPr>
                <w:rFonts w:ascii="Times New Roman" w:hAnsi="Times New Roman"/>
                <w:b/>
                <w:noProof/>
                <w:sz w:val="24"/>
                <w:u w:val="single"/>
              </w:rPr>
              <w:t>Mobilisation de la PAC et de la politique de cohésion pour améliorer la disponibilité des engrais et les rendre plus abordables</w:t>
            </w:r>
          </w:p>
          <w:p w14:paraId="3F9AC35D" w14:textId="77777777" w:rsidR="009F5EB4" w:rsidRPr="00493E9D" w:rsidRDefault="009F5EB4">
            <w:pPr>
              <w:spacing w:line="276" w:lineRule="auto"/>
              <w:jc w:val="both"/>
              <w:rPr>
                <w:rFonts w:ascii="Times New Roman" w:hAnsi="Times New Roman" w:cs="Times New Roman"/>
                <w:noProof/>
                <w:sz w:val="24"/>
                <w:szCs w:val="24"/>
              </w:rPr>
            </w:pPr>
          </w:p>
          <w:p w14:paraId="2F45A618" w14:textId="2EC81F33" w:rsidR="009F5EB4" w:rsidRPr="00493E9D" w:rsidRDefault="009F5EB4">
            <w:pPr>
              <w:spacing w:line="276" w:lineRule="auto"/>
              <w:jc w:val="both"/>
              <w:rPr>
                <w:rFonts w:ascii="Times New Roman" w:hAnsi="Times New Roman" w:cs="Times New Roman"/>
                <w:noProof/>
                <w:sz w:val="24"/>
                <w:szCs w:val="24"/>
              </w:rPr>
            </w:pPr>
            <w:r>
              <w:rPr>
                <w:rFonts w:ascii="Times New Roman" w:hAnsi="Times New Roman"/>
                <w:noProof/>
                <w:sz w:val="24"/>
              </w:rPr>
              <w:t>Les agriculteurs des régions de l’UE, notamment les régions éloignées et ultrapériphériques, peuvent bénéficier d’</w:t>
            </w:r>
            <w:r>
              <w:rPr>
                <w:rFonts w:ascii="Times New Roman" w:hAnsi="Times New Roman"/>
                <w:b/>
                <w:noProof/>
                <w:sz w:val="24"/>
              </w:rPr>
              <w:t>actions menées au titre de la politique de cohésion</w:t>
            </w:r>
            <w:r>
              <w:rPr>
                <w:rFonts w:ascii="Times New Roman" w:hAnsi="Times New Roman"/>
                <w:noProof/>
                <w:sz w:val="24"/>
              </w:rPr>
              <w:t xml:space="preserve"> susceptibles de renforcer la chaîne de valeur des engrais de plusieurs manières, en tenant compte des besoins particuliers des territoires. En effet, la politique de cohésion a vocation à soutenir:</w:t>
            </w:r>
          </w:p>
          <w:p w14:paraId="4CC844DA" w14:textId="77777777" w:rsidR="00CD3F82" w:rsidRPr="00493E9D" w:rsidRDefault="00CD3F82" w:rsidP="00493E9D">
            <w:pPr>
              <w:pStyle w:val="ListParagraph"/>
              <w:numPr>
                <w:ilvl w:val="0"/>
                <w:numId w:val="64"/>
              </w:numPr>
              <w:jc w:val="both"/>
              <w:rPr>
                <w:rFonts w:ascii="Times New Roman" w:hAnsi="Times New Roman" w:cs="Times New Roman"/>
                <w:noProof/>
                <w:sz w:val="24"/>
                <w:szCs w:val="24"/>
              </w:rPr>
            </w:pPr>
            <w:r>
              <w:rPr>
                <w:rFonts w:ascii="Times New Roman" w:hAnsi="Times New Roman"/>
                <w:noProof/>
                <w:sz w:val="24"/>
              </w:rPr>
              <w:t>le développement d’installations de collecte et de traitement des eaux usées ainsi que de collecte et de traitement séparés des biodéchets municipaux, y compris par digestion anaérobie. Cette mesure peut fortement augmenter la valorisation des boues et des biodéchets, la récupération des éléments nutritifs et accroître l’autonomie stratégique de la production d’engrais au niveau européen;</w:t>
            </w:r>
          </w:p>
          <w:p w14:paraId="1E01C25C" w14:textId="4E61B3BB" w:rsidR="009F5EB4" w:rsidRPr="00493E9D" w:rsidRDefault="009F5EB4" w:rsidP="009F5EB4">
            <w:pPr>
              <w:pStyle w:val="ListParagraph"/>
              <w:numPr>
                <w:ilvl w:val="0"/>
                <w:numId w:val="64"/>
              </w:numPr>
              <w:spacing w:line="276" w:lineRule="auto"/>
              <w:jc w:val="both"/>
              <w:rPr>
                <w:rFonts w:ascii="Times New Roman" w:hAnsi="Times New Roman" w:cs="Times New Roman"/>
                <w:noProof/>
                <w:sz w:val="24"/>
                <w:szCs w:val="24"/>
              </w:rPr>
            </w:pPr>
            <w:r>
              <w:rPr>
                <w:rFonts w:ascii="Times New Roman" w:hAnsi="Times New Roman"/>
                <w:noProof/>
                <w:sz w:val="24"/>
              </w:rPr>
              <w:t xml:space="preserve"> le déploiement de solutions de substitution aux engrais conventionnels, en particulier des engrais organiques et biosourcés provenant notamment du traitement et de la valorisation des boues d’épuration et des biodéchets municipaux, de la production de biogaz et de la récupération du phosphore et de l’azote;</w:t>
            </w:r>
          </w:p>
          <w:p w14:paraId="4489FC84" w14:textId="1538DC5C" w:rsidR="009F5EB4" w:rsidRPr="00493E9D" w:rsidRDefault="009F5EB4" w:rsidP="009F5EB4">
            <w:pPr>
              <w:pStyle w:val="ListParagraph"/>
              <w:numPr>
                <w:ilvl w:val="0"/>
                <w:numId w:val="64"/>
              </w:numPr>
              <w:spacing w:line="276" w:lineRule="auto"/>
              <w:jc w:val="both"/>
              <w:rPr>
                <w:rFonts w:ascii="Times New Roman" w:hAnsi="Times New Roman" w:cs="Times New Roman"/>
                <w:noProof/>
                <w:sz w:val="24"/>
                <w:szCs w:val="24"/>
              </w:rPr>
            </w:pPr>
            <w:r>
              <w:rPr>
                <w:rFonts w:ascii="Times New Roman" w:hAnsi="Times New Roman"/>
                <w:noProof/>
                <w:sz w:val="24"/>
              </w:rPr>
              <w:t xml:space="preserve"> la croissance et la compétitivité des PME du secteur des engrais, notamment en ce qui concerne les compétences et la R&amp;D.</w:t>
            </w:r>
          </w:p>
          <w:p w14:paraId="03AA3B43" w14:textId="77777777" w:rsidR="009F5EB4" w:rsidRPr="00493E9D" w:rsidRDefault="009F5EB4">
            <w:pPr>
              <w:pStyle w:val="ListParagraph"/>
              <w:spacing w:line="276" w:lineRule="auto"/>
              <w:jc w:val="both"/>
              <w:rPr>
                <w:rFonts w:ascii="Times New Roman" w:hAnsi="Times New Roman" w:cs="Times New Roman"/>
                <w:noProof/>
                <w:sz w:val="24"/>
                <w:szCs w:val="24"/>
              </w:rPr>
            </w:pPr>
          </w:p>
          <w:p w14:paraId="34B03D4D" w14:textId="65E919E6" w:rsidR="009F5EB4" w:rsidRPr="00493E9D" w:rsidRDefault="009E0BA4">
            <w:pPr>
              <w:spacing w:line="276" w:lineRule="auto"/>
              <w:jc w:val="both"/>
              <w:rPr>
                <w:rFonts w:ascii="Times New Roman" w:hAnsi="Times New Roman" w:cs="Times New Roman"/>
                <w:noProof/>
                <w:sz w:val="24"/>
                <w:szCs w:val="24"/>
              </w:rPr>
            </w:pPr>
            <w:r>
              <w:rPr>
                <w:rFonts w:ascii="Times New Roman" w:hAnsi="Times New Roman"/>
                <w:noProof/>
                <w:sz w:val="24"/>
              </w:rPr>
              <w:t>S’appuyant sur l’</w:t>
            </w:r>
            <w:r>
              <w:rPr>
                <w:rFonts w:ascii="Times New Roman" w:hAnsi="Times New Roman"/>
                <w:b/>
                <w:noProof/>
                <w:sz w:val="24"/>
              </w:rPr>
              <w:t>examen à mi-parcours de la politique de cohésion</w:t>
            </w:r>
            <w:r>
              <w:rPr>
                <w:rFonts w:ascii="Times New Roman" w:hAnsi="Times New Roman"/>
                <w:noProof/>
                <w:sz w:val="24"/>
              </w:rPr>
              <w:t>, la Commission encourage activement les États membres à tirer parti de ces possibilités pour soutenir les investissements et les mesures liés au secteur des engrais et aux activités connexes, avec le soutien des plateformes d’assistance technique et des réseaux concernés</w:t>
            </w:r>
            <w:r>
              <w:rPr>
                <w:rStyle w:val="FootnoteReference"/>
                <w:rFonts w:ascii="Times New Roman" w:hAnsi="Times New Roman" w:cs="Times New Roman"/>
                <w:noProof/>
                <w:sz w:val="24"/>
                <w:szCs w:val="24"/>
              </w:rPr>
              <w:footnoteReference w:id="37"/>
            </w:r>
            <w:r>
              <w:rPr>
                <w:rFonts w:ascii="Times New Roman" w:hAnsi="Times New Roman"/>
                <w:noProof/>
                <w:sz w:val="24"/>
              </w:rPr>
              <w:t xml:space="preserve">. </w:t>
            </w:r>
          </w:p>
          <w:p w14:paraId="682C8325" w14:textId="77777777" w:rsidR="009F5EB4" w:rsidRPr="00493E9D" w:rsidRDefault="009F5EB4">
            <w:pPr>
              <w:spacing w:line="276" w:lineRule="auto"/>
              <w:jc w:val="both"/>
              <w:rPr>
                <w:rFonts w:ascii="Times New Roman" w:hAnsi="Times New Roman" w:cs="Times New Roman"/>
                <w:noProof/>
                <w:sz w:val="24"/>
                <w:szCs w:val="24"/>
              </w:rPr>
            </w:pPr>
          </w:p>
          <w:p w14:paraId="0EB009EC" w14:textId="77777777" w:rsidR="009F5EB4" w:rsidRPr="00493E9D" w:rsidRDefault="009F5EB4">
            <w:pPr>
              <w:spacing w:line="276"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PAC</w:t>
            </w:r>
            <w:r>
              <w:rPr>
                <w:rFonts w:ascii="Times New Roman" w:hAnsi="Times New Roman"/>
                <w:noProof/>
                <w:sz w:val="24"/>
              </w:rPr>
              <w:t xml:space="preserve"> prévoit de nombreuses possibilités pour soulager les agriculteurs, notamment:</w:t>
            </w:r>
          </w:p>
          <w:p w14:paraId="1279504B" w14:textId="77777777" w:rsidR="009F5EB4" w:rsidRPr="00493E9D" w:rsidRDefault="009F5EB4" w:rsidP="009F5EB4">
            <w:pPr>
              <w:pStyle w:val="ListParagraph"/>
              <w:numPr>
                <w:ilvl w:val="0"/>
                <w:numId w:val="65"/>
              </w:numPr>
              <w:spacing w:line="276" w:lineRule="auto"/>
              <w:jc w:val="both"/>
              <w:rPr>
                <w:rFonts w:ascii="Times New Roman" w:hAnsi="Times New Roman" w:cs="Times New Roman"/>
                <w:noProof/>
                <w:sz w:val="24"/>
                <w:szCs w:val="24"/>
              </w:rPr>
            </w:pPr>
            <w:r>
              <w:rPr>
                <w:rFonts w:ascii="Times New Roman" w:hAnsi="Times New Roman"/>
                <w:noProof/>
                <w:sz w:val="24"/>
              </w:rPr>
              <w:t>des régimes de soutien visant à améliorer l’efficacité de la fertilisation et à utiliser, autant que possible, des engrais organiques en lieu et place des engrais de synthèse;</w:t>
            </w:r>
          </w:p>
          <w:p w14:paraId="530A1181" w14:textId="77777777" w:rsidR="009F5EB4" w:rsidRPr="00493E9D" w:rsidRDefault="009F5EB4" w:rsidP="009F5EB4">
            <w:pPr>
              <w:pStyle w:val="ListParagraph"/>
              <w:numPr>
                <w:ilvl w:val="0"/>
                <w:numId w:val="65"/>
              </w:numPr>
              <w:spacing w:line="276" w:lineRule="auto"/>
              <w:jc w:val="both"/>
              <w:rPr>
                <w:rFonts w:ascii="Times New Roman" w:hAnsi="Times New Roman" w:cs="Times New Roman"/>
                <w:noProof/>
                <w:sz w:val="24"/>
                <w:szCs w:val="24"/>
              </w:rPr>
            </w:pPr>
            <w:r>
              <w:rPr>
                <w:rFonts w:ascii="Times New Roman" w:hAnsi="Times New Roman"/>
                <w:noProof/>
                <w:sz w:val="24"/>
              </w:rPr>
              <w:t>des aides à l’investissement dans le matériel agricole de précision ou des équipements de recyclage des éléments nutritifs, tels que des méthaniseurs;</w:t>
            </w:r>
          </w:p>
          <w:p w14:paraId="444E6DE9" w14:textId="77777777" w:rsidR="009F5EB4" w:rsidRPr="00493E9D" w:rsidRDefault="009F5EB4" w:rsidP="009F5EB4">
            <w:pPr>
              <w:pStyle w:val="ListParagraph"/>
              <w:numPr>
                <w:ilvl w:val="0"/>
                <w:numId w:val="65"/>
              </w:numPr>
              <w:spacing w:line="276" w:lineRule="auto"/>
              <w:jc w:val="both"/>
              <w:rPr>
                <w:rFonts w:ascii="Times New Roman" w:hAnsi="Times New Roman" w:cs="Times New Roman"/>
                <w:noProof/>
                <w:sz w:val="24"/>
                <w:szCs w:val="24"/>
              </w:rPr>
            </w:pPr>
            <w:r>
              <w:rPr>
                <w:rFonts w:ascii="Times New Roman" w:hAnsi="Times New Roman"/>
                <w:noProof/>
                <w:sz w:val="24"/>
              </w:rPr>
              <w:t>des services de conseil sur les plans de gestion des nutriments au niveau de l’exploitation.</w:t>
            </w:r>
          </w:p>
          <w:p w14:paraId="0FDB5AA4" w14:textId="77777777" w:rsidR="009F5EB4" w:rsidRPr="00493E9D" w:rsidRDefault="009F5EB4">
            <w:pPr>
              <w:spacing w:line="276" w:lineRule="auto"/>
              <w:jc w:val="both"/>
              <w:rPr>
                <w:rFonts w:ascii="Times New Roman" w:hAnsi="Times New Roman" w:cs="Times New Roman"/>
                <w:noProof/>
                <w:sz w:val="24"/>
                <w:szCs w:val="24"/>
              </w:rPr>
            </w:pPr>
          </w:p>
          <w:p w14:paraId="6D30F4A1" w14:textId="778B9474" w:rsidR="009F5EB4" w:rsidRPr="00493E9D" w:rsidRDefault="009F5EB4">
            <w:pPr>
              <w:spacing w:line="276"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train de mesures ciblées de la PAC</w:t>
            </w:r>
            <w:r>
              <w:rPr>
                <w:rFonts w:ascii="Times New Roman" w:hAnsi="Times New Roman"/>
                <w:noProof/>
                <w:sz w:val="24"/>
              </w:rPr>
              <w:t xml:space="preserve"> qui a été proposé renforcera ces possibilités et proposera des moyens supplémentaires pour aider les agriculteurs, notamment une nouvelle mesure de soutien de trésorerie.</w:t>
            </w:r>
          </w:p>
          <w:p w14:paraId="0A25C764" w14:textId="77777777" w:rsidR="009F5EB4" w:rsidRPr="0052522A" w:rsidRDefault="009F5EB4">
            <w:pPr>
              <w:spacing w:line="276" w:lineRule="auto"/>
              <w:jc w:val="both"/>
              <w:rPr>
                <w:rFonts w:ascii="Times New Roman" w:hAnsi="Times New Roman" w:cs="Times New Roman"/>
                <w:noProof/>
              </w:rPr>
            </w:pPr>
          </w:p>
        </w:tc>
      </w:tr>
    </w:tbl>
    <w:p w14:paraId="0C38B2DE" w14:textId="136ED2F9" w:rsidR="003B6A68" w:rsidRPr="001C18F0" w:rsidRDefault="079F2362" w:rsidP="57738EFE">
      <w:pPr>
        <w:spacing w:line="276" w:lineRule="auto"/>
        <w:rPr>
          <w:rFonts w:ascii="Times New Roman Bold" w:eastAsiaTheme="minorEastAsia" w:hAnsi="Times New Roman Bold" w:cs="Times New Roman" w:hint="eastAsia"/>
          <w:b/>
          <w:bCs/>
          <w:smallCaps/>
          <w:noProof/>
          <w:kern w:val="0"/>
          <w:sz w:val="24"/>
          <w:szCs w:val="24"/>
          <w14:ligatures w14:val="none"/>
        </w:rPr>
      </w:pPr>
      <w:r>
        <w:rPr>
          <w:rFonts w:ascii="Times New Roman Bold" w:hAnsi="Times New Roman Bold"/>
          <w:b/>
          <w:smallCaps/>
          <w:noProof/>
          <w:sz w:val="24"/>
        </w:rPr>
        <w:t>Actions visant à soutenir les agriculteurs</w:t>
      </w:r>
    </w:p>
    <w:p w14:paraId="67DB32DE" w14:textId="1DA057C0" w:rsidR="00567EB3" w:rsidRPr="00A82458" w:rsidRDefault="00FC3617" w:rsidP="00381BC7">
      <w:pPr>
        <w:spacing w:after="140" w:line="276" w:lineRule="auto"/>
        <w:contextualSpacing/>
        <w:jc w:val="both"/>
        <w:rPr>
          <w:rFonts w:ascii="Times New Roman" w:hAnsi="Times New Roman" w:cs="Times New Roman"/>
          <w:b/>
          <w:bCs/>
          <w:noProof/>
          <w:sz w:val="24"/>
          <w:szCs w:val="24"/>
        </w:rPr>
      </w:pPr>
      <w:r>
        <w:rPr>
          <w:rFonts w:ascii="Times New Roman" w:hAnsi="Times New Roman"/>
          <w:b/>
          <w:noProof/>
          <w:sz w:val="24"/>
        </w:rPr>
        <w:t>4.2.5. Meilleure gestion des nutriments</w:t>
      </w:r>
    </w:p>
    <w:p w14:paraId="022D4002" w14:textId="77777777" w:rsidR="00567EB3" w:rsidRPr="00A82458" w:rsidRDefault="00567EB3" w:rsidP="00381BC7">
      <w:pPr>
        <w:spacing w:after="140" w:line="276" w:lineRule="auto"/>
        <w:contextualSpacing/>
        <w:jc w:val="both"/>
        <w:rPr>
          <w:rFonts w:ascii="Times New Roman" w:hAnsi="Times New Roman" w:cs="Times New Roman"/>
          <w:b/>
          <w:bCs/>
          <w:noProof/>
          <w:sz w:val="24"/>
          <w:szCs w:val="24"/>
          <w:lang w:eastAsia="en-IE"/>
        </w:rPr>
      </w:pPr>
    </w:p>
    <w:p w14:paraId="04E2F819" w14:textId="07D75FC7" w:rsidR="008121DA" w:rsidRPr="0027307A" w:rsidRDefault="00C434D1" w:rsidP="00381BC7">
      <w:pPr>
        <w:spacing w:after="140" w:line="276" w:lineRule="auto"/>
        <w:contextualSpacing/>
        <w:jc w:val="both"/>
        <w:rPr>
          <w:rFonts w:ascii="Times New Roman" w:hAnsi="Times New Roman" w:cs="Times New Roman"/>
          <w:b/>
          <w:bCs/>
          <w:noProof/>
          <w:sz w:val="24"/>
          <w:szCs w:val="24"/>
        </w:rPr>
      </w:pPr>
      <w:r>
        <w:rPr>
          <w:rFonts w:ascii="Times New Roman" w:hAnsi="Times New Roman"/>
          <w:b/>
          <w:noProof/>
          <w:sz w:val="24"/>
        </w:rPr>
        <w:t>Pour les agriculteurs, la disponibilité et le caractère abordable des engrais sont essentiels. La transition nécessite également de mieux faire correspondre l’approvisionnement en nutriments et les besoins en nutriments</w:t>
      </w:r>
      <w:r>
        <w:rPr>
          <w:rFonts w:ascii="Times New Roman" w:hAnsi="Times New Roman"/>
          <w:noProof/>
          <w:sz w:val="24"/>
        </w:rPr>
        <w:t xml:space="preserve">, tant au sein de l’UE qu’au niveau des exploitations, grâce à une utilisation plus efficace des nutriments dans les exploitations. </w:t>
      </w:r>
      <w:r>
        <w:rPr>
          <w:rFonts w:ascii="Times New Roman" w:hAnsi="Times New Roman"/>
          <w:b/>
          <w:noProof/>
          <w:sz w:val="24"/>
        </w:rPr>
        <w:t>La Commission encouragera donc la circulation de nutriments au sein du marché unique depuis les régions présentant des excédents structurels vers les régions ayant des besoins en nutriments</w:t>
      </w:r>
      <w:r>
        <w:rPr>
          <w:rFonts w:ascii="Times New Roman" w:hAnsi="Times New Roman"/>
          <w:noProof/>
          <w:sz w:val="24"/>
        </w:rPr>
        <w:t>, tout en tenant compte des contraintes environnementales, et invitera les États membres à faire de même. Cette incitation se traduira dans la stratégie en matière d’élevage conformément à la vision pour l’agriculture et l’alimentation</w:t>
      </w:r>
      <w:r>
        <w:rPr>
          <w:rFonts w:ascii="Times New Roman" w:hAnsi="Times New Roman" w:cs="Times New Roman"/>
          <w:iCs/>
          <w:noProof/>
          <w:sz w:val="24"/>
          <w:szCs w:val="24"/>
          <w:vertAlign w:val="superscript"/>
          <w:lang w:eastAsia="en-IE"/>
        </w:rPr>
        <w:footnoteReference w:id="38"/>
      </w:r>
      <w:r>
        <w:rPr>
          <w:rFonts w:ascii="Times New Roman" w:hAnsi="Times New Roman"/>
          <w:noProof/>
          <w:sz w:val="24"/>
        </w:rPr>
        <w:t>, avec la prise en compte de la capacité de transformation, des besoins régionaux en nutriments et des différentes actions pertinentes au titre de ce plan visant à promouvoir les transports ou à réduire les goulets d’étranglement réglementaires. Des groupes d’experts, réseaux et plateformes existants pourraient être sollicités afin de faciliter la mise en correspondance entre les opérateurs des régions excédentaires et déficitaires.</w:t>
      </w:r>
    </w:p>
    <w:p w14:paraId="1679EA3C" w14:textId="77777777" w:rsidR="00512CCE" w:rsidRPr="0027307A" w:rsidRDefault="00512CCE" w:rsidP="00381BC7">
      <w:pPr>
        <w:spacing w:after="140" w:line="276" w:lineRule="auto"/>
        <w:ind w:left="360"/>
        <w:contextualSpacing/>
        <w:jc w:val="both"/>
        <w:rPr>
          <w:rFonts w:ascii="Times New Roman" w:hAnsi="Times New Roman" w:cs="Times New Roman"/>
          <w:noProof/>
          <w:sz w:val="24"/>
          <w:szCs w:val="24"/>
          <w:lang w:eastAsia="en-IE"/>
        </w:rPr>
      </w:pPr>
    </w:p>
    <w:p w14:paraId="667F76E0" w14:textId="1DBED38A" w:rsidR="00E37B45" w:rsidRPr="0027307A" w:rsidRDefault="00FC3617" w:rsidP="00381BC7">
      <w:pPr>
        <w:spacing w:after="140" w:line="276" w:lineRule="auto"/>
        <w:contextualSpacing/>
        <w:jc w:val="both"/>
        <w:rPr>
          <w:rFonts w:ascii="Times New Roman" w:hAnsi="Times New Roman" w:cs="Times New Roman"/>
          <w:b/>
          <w:bCs/>
          <w:noProof/>
          <w:sz w:val="24"/>
          <w:szCs w:val="24"/>
        </w:rPr>
      </w:pPr>
      <w:r>
        <w:rPr>
          <w:rFonts w:ascii="Times New Roman" w:hAnsi="Times New Roman"/>
          <w:b/>
          <w:noProof/>
          <w:sz w:val="24"/>
        </w:rPr>
        <w:t>4.2.6. Soutien aux pratiques agricoles performantes en matière de nutriments</w:t>
      </w:r>
    </w:p>
    <w:p w14:paraId="562D0665" w14:textId="77777777" w:rsidR="004C6E3C" w:rsidRPr="0027307A" w:rsidRDefault="004C6E3C" w:rsidP="00381BC7">
      <w:pPr>
        <w:spacing w:after="140" w:line="276" w:lineRule="auto"/>
        <w:contextualSpacing/>
        <w:jc w:val="both"/>
        <w:rPr>
          <w:rFonts w:ascii="Times New Roman" w:hAnsi="Times New Roman" w:cs="Times New Roman"/>
          <w:noProof/>
          <w:sz w:val="24"/>
          <w:szCs w:val="24"/>
          <w:lang w:eastAsia="en-IE"/>
        </w:rPr>
      </w:pPr>
    </w:p>
    <w:p w14:paraId="7E64B006" w14:textId="163AC40B" w:rsidR="004C6E3C" w:rsidRPr="0027307A" w:rsidRDefault="007A7B38" w:rsidP="00381BC7">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Les pratiques agricoles performantes en matière de nutriments, qui permettent d’augmenter l’efficacité de l’utilisation des nutriments et la résilience des exploitations, doivent être renforcées et déployées à plus grande échelle.</w:t>
      </w:r>
      <w:r>
        <w:rPr>
          <w:rFonts w:ascii="Times New Roman" w:hAnsi="Times New Roman"/>
          <w:noProof/>
          <w:sz w:val="24"/>
        </w:rPr>
        <w:t xml:space="preserve"> Il s’agit par exemple de la fertilisation efficace, de la fertilisation de précision, notamment de l’utilisation d’outils numériques, de données satellitaires et de drones, de la planification de la gestion des nutriments, de l’innovation agronomique et des solutions fondées sur la nature, notamment l’agriculture biologique et les pratiques agroécologiques.</w:t>
      </w:r>
    </w:p>
    <w:p w14:paraId="477BC7E8" w14:textId="77777777" w:rsidR="003259CA" w:rsidRPr="0027307A" w:rsidRDefault="003259CA" w:rsidP="00381BC7">
      <w:pPr>
        <w:spacing w:after="140" w:line="276" w:lineRule="auto"/>
        <w:contextualSpacing/>
        <w:jc w:val="both"/>
        <w:rPr>
          <w:rFonts w:ascii="Times New Roman" w:hAnsi="Times New Roman" w:cs="Times New Roman"/>
          <w:noProof/>
          <w:sz w:val="24"/>
          <w:szCs w:val="24"/>
          <w:lang w:eastAsia="en-IE"/>
        </w:rPr>
      </w:pPr>
    </w:p>
    <w:p w14:paraId="7265A687" w14:textId="58367179" w:rsidR="004C6E3C" w:rsidRPr="0027307A" w:rsidRDefault="00BF16A8" w:rsidP="00381BC7">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Au niveau des exploitations, la PAC actuelle soutient déjà les investissements dans l’agriculture de précision et l’amélioration de la gestion des nutriments. Ces efforts devraient être poursuivis dans le contexte de la future PAC</w:t>
      </w:r>
      <w:r>
        <w:rPr>
          <w:rStyle w:val="FootnoteReference"/>
          <w:rFonts w:ascii="Times New Roman" w:hAnsi="Times New Roman" w:cs="Times New Roman"/>
          <w:noProof/>
          <w:sz w:val="24"/>
          <w:szCs w:val="24"/>
          <w:lang w:eastAsia="en-IE"/>
        </w:rPr>
        <w:footnoteReference w:id="39"/>
      </w:r>
      <w:r>
        <w:rPr>
          <w:rFonts w:ascii="Times New Roman" w:hAnsi="Times New Roman"/>
          <w:noProof/>
          <w:sz w:val="24"/>
        </w:rPr>
        <w:t>, dans le cadre des plans de partenariat national et régional</w:t>
      </w:r>
      <w:r>
        <w:rPr>
          <w:rStyle w:val="FootnoteReference"/>
          <w:rFonts w:ascii="Times New Roman" w:eastAsia="Aptos" w:hAnsi="Times New Roman" w:cs="Times New Roman"/>
          <w:noProof/>
          <w:sz w:val="24"/>
          <w:szCs w:val="24"/>
        </w:rPr>
        <w:footnoteReference w:id="40"/>
      </w:r>
      <w:r>
        <w:rPr>
          <w:rFonts w:ascii="Times New Roman" w:hAnsi="Times New Roman"/>
          <w:noProof/>
          <w:sz w:val="24"/>
        </w:rPr>
        <w:t>. Horizon Europe</w:t>
      </w:r>
      <w:r>
        <w:rPr>
          <w:rStyle w:val="FootnoteReference"/>
          <w:rFonts w:ascii="Times New Roman" w:eastAsia="Aptos" w:hAnsi="Times New Roman" w:cs="Times New Roman"/>
          <w:iCs/>
          <w:noProof/>
          <w:sz w:val="24"/>
          <w:szCs w:val="24"/>
        </w:rPr>
        <w:footnoteReference w:id="41"/>
      </w:r>
      <w:r>
        <w:rPr>
          <w:rFonts w:ascii="Times New Roman" w:hAnsi="Times New Roman"/>
          <w:noProof/>
          <w:sz w:val="24"/>
        </w:rPr>
        <w:t>, la mission «Sols» et son réseau de laboratoires vivants, ainsi que le futur FEC, soutiendront également les actions en faveur de la compétitivité, de la recherche et de l’innovation dans le domaine de l’agriculture. L’élaboration d’outils et de cadres tels que la boussole de la durabilité dans les exploitations</w:t>
      </w:r>
      <w:r>
        <w:rPr>
          <w:rFonts w:ascii="Times New Roman" w:eastAsia="Times New Roman" w:hAnsi="Times New Roman" w:cs="Times New Roman"/>
          <w:noProof/>
          <w:sz w:val="24"/>
          <w:szCs w:val="24"/>
          <w:vertAlign w:val="superscript"/>
        </w:rPr>
        <w:footnoteReference w:id="42"/>
      </w:r>
      <w:r>
        <w:rPr>
          <w:rFonts w:ascii="Times New Roman" w:hAnsi="Times New Roman"/>
          <w:noProof/>
          <w:sz w:val="24"/>
        </w:rPr>
        <w:t xml:space="preserve"> ou la boîte à outils d’aide en matière de nutriments</w:t>
      </w:r>
      <w:r>
        <w:rPr>
          <w:rFonts w:ascii="Times New Roman" w:eastAsia="Aptos" w:hAnsi="Times New Roman" w:cs="Times New Roman"/>
          <w:noProof/>
          <w:sz w:val="24"/>
          <w:szCs w:val="24"/>
          <w:vertAlign w:val="superscript"/>
        </w:rPr>
        <w:footnoteReference w:id="43"/>
      </w:r>
      <w:r>
        <w:rPr>
          <w:rFonts w:ascii="Times New Roman" w:hAnsi="Times New Roman"/>
          <w:noProof/>
          <w:sz w:val="24"/>
        </w:rPr>
        <w:t xml:space="preserve"> fournira aux agriculteurs des références utiles pour améliorer l’efficacité de l’utilisation des nutriments et réduire les pertes de nutriments.</w:t>
      </w:r>
    </w:p>
    <w:p w14:paraId="2648530C" w14:textId="77777777" w:rsidR="004C6E3C" w:rsidRPr="0027307A" w:rsidRDefault="004C6E3C" w:rsidP="00381BC7">
      <w:pPr>
        <w:spacing w:after="140" w:line="276" w:lineRule="auto"/>
        <w:contextualSpacing/>
        <w:jc w:val="both"/>
        <w:rPr>
          <w:rFonts w:ascii="Times New Roman" w:hAnsi="Times New Roman" w:cs="Times New Roman"/>
          <w:noProof/>
          <w:sz w:val="24"/>
          <w:szCs w:val="24"/>
          <w:lang w:eastAsia="en-IE"/>
        </w:rPr>
      </w:pPr>
    </w:p>
    <w:p w14:paraId="4BF78672" w14:textId="44F29632" w:rsidR="00F77498" w:rsidRPr="0027307A" w:rsidRDefault="00BB6D85" w:rsidP="00381BC7">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Afin d’aider les agriculteurs à utiliser les nutriments de manière plus durable et plus rentable, la Commission invite les États membres à étendre leurs </w:t>
      </w:r>
      <w:r>
        <w:rPr>
          <w:rFonts w:ascii="Times New Roman" w:hAnsi="Times New Roman"/>
          <w:b/>
          <w:noProof/>
          <w:sz w:val="24"/>
        </w:rPr>
        <w:t>services de conseil agricole</w:t>
      </w:r>
      <w:r>
        <w:rPr>
          <w:rFonts w:ascii="Times New Roman" w:hAnsi="Times New Roman"/>
          <w:noProof/>
          <w:sz w:val="24"/>
        </w:rPr>
        <w:t xml:space="preserve"> à la gestion durable des nutriments et à intégrer le déploiement à grande échelle de systèmes de gestion et de surveillance des nutriments dans les exploitations, tels que l’outil de gestion des nutriments pour une agriculture durable (FaST).</w:t>
      </w:r>
    </w:p>
    <w:p w14:paraId="1E60A0A3" w14:textId="77777777" w:rsidR="00557857" w:rsidRPr="0027307A" w:rsidRDefault="00557857" w:rsidP="00381BC7">
      <w:pPr>
        <w:spacing w:after="140" w:line="276" w:lineRule="auto"/>
        <w:contextualSpacing/>
        <w:jc w:val="both"/>
        <w:rPr>
          <w:rFonts w:ascii="Times New Roman" w:hAnsi="Times New Roman" w:cs="Times New Roman"/>
          <w:noProof/>
          <w:sz w:val="24"/>
          <w:szCs w:val="24"/>
          <w:lang w:eastAsia="en-IE"/>
        </w:rPr>
      </w:pPr>
    </w:p>
    <w:p w14:paraId="12425D99" w14:textId="0FA3DC19" w:rsidR="00C2164C" w:rsidRPr="008A1656" w:rsidRDefault="00337033" w:rsidP="57738EFE">
      <w:pPr>
        <w:spacing w:after="14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Ainsi qu’elle l’a proposé, la Commission publiera des recommandations nationales relatives à la PAC (ainsi que d’autres documents pertinents) afin d’aider les États membres à élaborer leurs futurs plans de partenariat national et régional pour la période 2028-2034. Ces recommandations peuvent porter sur le soutien à l’amélioration de l’efficacité des nutriments et aux pratiques agricoles qui préservent et améliorent la fertilité naturelle des sols et réduisent la dépendance à l’égard des engrais minéraux, notamment l’agriculture biologique, la rotation et la diversification des cultures, les cultures fixatrices d’azote, la couverture végétale des sols, etc. L’objectif du soutien sera d’encourager ces pratiques tout en contribuant à rendre les prix des denrées alimentaires abordables pour les consommateurs.</w:t>
      </w:r>
    </w:p>
    <w:p w14:paraId="5EDAE12C" w14:textId="77777777" w:rsidR="00A13FF4" w:rsidRPr="008A1656" w:rsidRDefault="00A13FF4" w:rsidP="57738EFE">
      <w:pPr>
        <w:spacing w:after="140" w:line="276" w:lineRule="auto"/>
        <w:contextualSpacing/>
        <w:jc w:val="both"/>
        <w:rPr>
          <w:rFonts w:ascii="Times New Roman" w:eastAsia="Times New Roman" w:hAnsi="Times New Roman" w:cs="Times New Roman"/>
          <w:noProof/>
          <w:sz w:val="24"/>
          <w:szCs w:val="24"/>
        </w:rPr>
      </w:pPr>
    </w:p>
    <w:p w14:paraId="009E4010" w14:textId="641DA4EE" w:rsidR="00A13FF4" w:rsidRPr="0027307A" w:rsidRDefault="00A13FF4" w:rsidP="00A13FF4">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Comme proposé, la Commission aidera les États membres à concevoir des mesures pertinentes de la PAC visant à améliorer la gestion des nutriments dans le cadre de la future PAC.</w:t>
      </w:r>
      <w:r>
        <w:rPr>
          <w:rFonts w:ascii="Times New Roman" w:hAnsi="Times New Roman"/>
          <w:noProof/>
          <w:sz w:val="24"/>
        </w:rPr>
        <w:t xml:space="preserve"> Par exemple, les États membres pourraient concevoir un </w:t>
      </w:r>
      <w:r>
        <w:rPr>
          <w:rFonts w:ascii="Times New Roman" w:hAnsi="Times New Roman"/>
          <w:b/>
          <w:noProof/>
          <w:sz w:val="24"/>
        </w:rPr>
        <w:t>programme</w:t>
      </w:r>
      <w:r>
        <w:rPr>
          <w:rFonts w:ascii="Times New Roman" w:hAnsi="Times New Roman"/>
          <w:noProof/>
          <w:sz w:val="24"/>
        </w:rPr>
        <w:t xml:space="preserve"> spécifique de </w:t>
      </w:r>
      <w:r>
        <w:rPr>
          <w:rFonts w:ascii="Times New Roman" w:hAnsi="Times New Roman"/>
          <w:b/>
          <w:noProof/>
          <w:sz w:val="24"/>
        </w:rPr>
        <w:t>transition</w:t>
      </w:r>
      <w:r>
        <w:rPr>
          <w:rFonts w:ascii="Times New Roman" w:hAnsi="Times New Roman"/>
          <w:noProof/>
          <w:sz w:val="24"/>
        </w:rPr>
        <w:t xml:space="preserve"> vers l’efficacité axé sur les nutriments dans le cadre des actions agroenvironnementales et climatiques. Ce programme de transition pourrait comprendre, par exemple: i) l’établissement de bilans de nutriments; ii) des objectifs en matière d’excédent d’azote et/ou de remplacement des engrais de synthèse; iii) de la formation; iv) le changement/la diversification des cultures; et v) des investissements dans des capteurs et machines pour l’agriculture de précision.</w:t>
      </w:r>
    </w:p>
    <w:p w14:paraId="0E442B2C" w14:textId="77777777" w:rsidR="00A13FF4" w:rsidRPr="0027307A" w:rsidRDefault="00A13FF4" w:rsidP="57738EFE">
      <w:pPr>
        <w:spacing w:after="140" w:line="276" w:lineRule="auto"/>
        <w:contextualSpacing/>
        <w:jc w:val="both"/>
        <w:rPr>
          <w:rFonts w:ascii="Times New Roman" w:eastAsia="Times New Roman" w:hAnsi="Times New Roman" w:cs="Times New Roman"/>
          <w:noProof/>
          <w:sz w:val="24"/>
          <w:szCs w:val="24"/>
        </w:rPr>
      </w:pPr>
    </w:p>
    <w:p w14:paraId="1B2A7752" w14:textId="218EDCC6" w:rsidR="00C2164C" w:rsidRPr="0027307A" w:rsidRDefault="6B1CD8C5"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La Commission encouragera également la culture de plantes fixatrices d’azote</w:t>
      </w:r>
      <w:r>
        <w:rPr>
          <w:rFonts w:ascii="Times New Roman" w:hAnsi="Times New Roman"/>
          <w:noProof/>
          <w:sz w:val="24"/>
        </w:rPr>
        <w:t xml:space="preserve"> dans le cadre du futur plan protéines annoncé dans la vision pour l’agriculture et l’alimentation.</w:t>
      </w:r>
    </w:p>
    <w:p w14:paraId="291C89D3" w14:textId="3CD21CAE" w:rsidR="00343072" w:rsidRPr="0027307A" w:rsidRDefault="00FC3617" w:rsidP="00381BC7">
      <w:pPr>
        <w:spacing w:after="140" w:line="276" w:lineRule="auto"/>
        <w:contextualSpacing/>
        <w:jc w:val="both"/>
        <w:rPr>
          <w:rFonts w:ascii="Times New Roman" w:hAnsi="Times New Roman" w:cs="Times New Roman"/>
          <w:b/>
          <w:bCs/>
          <w:noProof/>
          <w:sz w:val="24"/>
          <w:szCs w:val="24"/>
        </w:rPr>
      </w:pPr>
      <w:r>
        <w:rPr>
          <w:rFonts w:ascii="Times New Roman" w:hAnsi="Times New Roman"/>
          <w:b/>
          <w:noProof/>
          <w:sz w:val="24"/>
        </w:rPr>
        <w:t>4.2.7. Facilitateurs réglementaires et possibilités de revenus complémentaires</w:t>
      </w:r>
    </w:p>
    <w:p w14:paraId="21E9D099" w14:textId="77777777" w:rsidR="00E331FE" w:rsidRPr="0027307A" w:rsidRDefault="00E331FE" w:rsidP="00381BC7">
      <w:pPr>
        <w:spacing w:after="140" w:line="276" w:lineRule="auto"/>
        <w:contextualSpacing/>
        <w:jc w:val="both"/>
        <w:rPr>
          <w:rFonts w:ascii="Times New Roman" w:hAnsi="Times New Roman" w:cs="Times New Roman"/>
          <w:noProof/>
          <w:sz w:val="24"/>
          <w:szCs w:val="24"/>
          <w:lang w:eastAsia="en-IE"/>
        </w:rPr>
      </w:pPr>
    </w:p>
    <w:p w14:paraId="5E751862" w14:textId="00C58C90" w:rsidR="009C3A21" w:rsidRPr="0027307A" w:rsidRDefault="37088019" w:rsidP="57738EFE">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Du fait de la récente modification de la directive de l’UE sur les nitrates</w:t>
      </w:r>
      <w:r>
        <w:rPr>
          <w:rStyle w:val="FootnoteReference"/>
          <w:rFonts w:ascii="Times New Roman" w:hAnsi="Times New Roman" w:cs="Times New Roman"/>
          <w:noProof/>
          <w:sz w:val="24"/>
          <w:szCs w:val="24"/>
          <w:lang w:eastAsia="en-IE"/>
        </w:rPr>
        <w:footnoteReference w:id="44"/>
      </w:r>
      <w:r>
        <w:rPr>
          <w:rFonts w:ascii="Times New Roman" w:hAnsi="Times New Roman"/>
          <w:noProof/>
          <w:sz w:val="24"/>
        </w:rPr>
        <w:t>, les matériaux à base d’azote récupéré à partir d’effluents d’élevage (RENURE) permettent aux agriculteurs des zones vulnérables aux nitrates de remplacer davantage d’engrais minéraux sans compromettre la protection de l’eau. Les États membres peuvent déjà intégrer cette nouvelle option dans leurs programmes d’action respectifs au titre de la directive sur les nitrates.</w:t>
      </w:r>
    </w:p>
    <w:p w14:paraId="75816819" w14:textId="77777777" w:rsidR="009C3A21" w:rsidRPr="0027307A" w:rsidRDefault="009C3A21" w:rsidP="57738EFE">
      <w:pPr>
        <w:spacing w:after="140" w:line="276" w:lineRule="auto"/>
        <w:contextualSpacing/>
        <w:jc w:val="both"/>
        <w:rPr>
          <w:rFonts w:ascii="Times New Roman" w:hAnsi="Times New Roman" w:cs="Times New Roman"/>
          <w:noProof/>
          <w:sz w:val="24"/>
          <w:szCs w:val="24"/>
          <w:lang w:eastAsia="en-IE"/>
        </w:rPr>
      </w:pPr>
    </w:p>
    <w:p w14:paraId="084BD5C1" w14:textId="7A73DB31" w:rsidR="000E2DD8" w:rsidRPr="0027307A" w:rsidRDefault="00294DD5" w:rsidP="004752CE">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La Commission s’emploie à étendre cette possibilité aux digestats</w:t>
      </w:r>
      <w:r>
        <w:rPr>
          <w:rFonts w:ascii="Times New Roman" w:hAnsi="Times New Roman"/>
          <w:noProof/>
          <w:sz w:val="24"/>
        </w:rPr>
        <w:t xml:space="preserve">, compte tenu de leur plus grande efficacité que le fumier brut, notamment à certains types de digestats liquides, lorsque le potentiel que ceux-ci présentent pour répondre aux critères de qualité est prometteur. À cet effet, la Commission étendra le champ d’application de l’acte relatif à l’azote récupéré à partir d’effluents d’élevage (RENURE) avec des garanties environnementales appropriées. Des travaux préparatoires en ce sens sont déjà en cours, dans le but d’apporter des solutions sur le terrain d’ici la prochaine période de végétation. </w:t>
      </w:r>
    </w:p>
    <w:p w14:paraId="4AAB2E5C" w14:textId="6131A4C2" w:rsidR="004752CE" w:rsidRPr="0027307A" w:rsidRDefault="004752CE" w:rsidP="57738EFE">
      <w:pPr>
        <w:spacing w:after="140" w:line="276" w:lineRule="auto"/>
        <w:contextualSpacing/>
        <w:jc w:val="both"/>
        <w:rPr>
          <w:rFonts w:ascii="Times New Roman" w:hAnsi="Times New Roman" w:cs="Times New Roman"/>
          <w:noProof/>
          <w:sz w:val="24"/>
          <w:szCs w:val="24"/>
          <w:lang w:eastAsia="en-IE"/>
        </w:rPr>
      </w:pPr>
    </w:p>
    <w:p w14:paraId="1C57C2A2" w14:textId="677F9A0F" w:rsidR="009B5B2A" w:rsidRDefault="05711D47" w:rsidP="7D7A2CEB">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La Commission publiera aussi prochainement son évaluation de la directive sur les nitrates, avec pour objectif de mettre en avant les bonnes pratiques effectives et le potentiel de simplification. La Commission assurera le suivi de cette évaluation en clarifiant la manière de mettre en œuvre les règles ayant une incidence sur la viabilité des exploitations, notamment </w:t>
      </w:r>
      <w:r>
        <w:rPr>
          <w:rFonts w:ascii="Times New Roman" w:hAnsi="Times New Roman"/>
          <w:b/>
          <w:noProof/>
          <w:sz w:val="24"/>
        </w:rPr>
        <w:t>le calendrier agricole, la tenue de registres et la planification de la fertilisation pour les petites exploitations</w:t>
      </w:r>
      <w:r>
        <w:rPr>
          <w:rFonts w:ascii="Times New Roman" w:hAnsi="Times New Roman"/>
          <w:noProof/>
          <w:sz w:val="24"/>
        </w:rPr>
        <w:t xml:space="preserve">, afin d’aider les États membres à mettre en œuvre la directive de manière plus proportionnée et en fonction des conditions climatiques. </w:t>
      </w:r>
    </w:p>
    <w:p w14:paraId="4B3E55AC" w14:textId="77777777" w:rsidR="00573727" w:rsidRDefault="00573727" w:rsidP="7D7A2CEB">
      <w:pPr>
        <w:spacing w:after="140" w:line="276" w:lineRule="auto"/>
        <w:contextualSpacing/>
        <w:jc w:val="both"/>
        <w:rPr>
          <w:rFonts w:ascii="Times New Roman" w:hAnsi="Times New Roman" w:cs="Times New Roman"/>
          <w:noProof/>
          <w:sz w:val="24"/>
          <w:szCs w:val="24"/>
          <w:lang w:eastAsia="en-IE"/>
        </w:rPr>
      </w:pPr>
    </w:p>
    <w:p w14:paraId="79EF7EF3" w14:textId="0EB3ED64" w:rsidR="009B5B2A" w:rsidRDefault="00023D86" w:rsidP="57738EFE">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En outre, la Commission publiera son rapport quadriennal sur la mise en œuvre de la directive sur les nitrates. </w:t>
      </w:r>
    </w:p>
    <w:p w14:paraId="3729DCC8" w14:textId="77777777" w:rsidR="009B5B2A" w:rsidRDefault="009B5B2A" w:rsidP="57738EFE">
      <w:pPr>
        <w:spacing w:after="140" w:line="276" w:lineRule="auto"/>
        <w:contextualSpacing/>
        <w:jc w:val="both"/>
        <w:rPr>
          <w:rFonts w:ascii="Times New Roman" w:hAnsi="Times New Roman" w:cs="Times New Roman"/>
          <w:noProof/>
          <w:sz w:val="24"/>
          <w:szCs w:val="24"/>
          <w:lang w:eastAsia="en-IE"/>
        </w:rPr>
      </w:pPr>
    </w:p>
    <w:p w14:paraId="632E4448" w14:textId="5A5A7CE8" w:rsidR="00582C97" w:rsidRPr="0027307A" w:rsidRDefault="0098727F" w:rsidP="57738EFE">
      <w:pPr>
        <w:spacing w:after="140" w:line="276" w:lineRule="auto"/>
        <w:contextualSpacing/>
        <w:jc w:val="both"/>
        <w:rPr>
          <w:rFonts w:ascii="Times New Roman" w:hAnsi="Times New Roman" w:cs="Times New Roman"/>
          <w:noProof/>
          <w:sz w:val="24"/>
          <w:szCs w:val="24"/>
        </w:rPr>
      </w:pPr>
      <w:r>
        <w:rPr>
          <w:rFonts w:ascii="Times New Roman" w:hAnsi="Times New Roman"/>
          <w:noProof/>
          <w:sz w:val="24"/>
        </w:rPr>
        <w:t>Par ailleurs, dans le cadre de la stratégie de l’UE pour la résilience dans le domaine de l’eau, une boîte à outils d’aide permettra bientôt aux États membres d’adopter une approche cohérente et efficace de leur gestion des nutriments, tenant compte de toutes les entrées et sorties de nutriments au niveau des bassins hydrographiques.</w:t>
      </w:r>
    </w:p>
    <w:p w14:paraId="5D5ADDA4" w14:textId="77777777" w:rsidR="00F12594" w:rsidRPr="0027307A" w:rsidRDefault="00F12594" w:rsidP="00381BC7">
      <w:pPr>
        <w:spacing w:after="140" w:line="276" w:lineRule="auto"/>
        <w:contextualSpacing/>
        <w:jc w:val="both"/>
        <w:rPr>
          <w:rStyle w:val="normaltextrun"/>
          <w:rFonts w:ascii="Times New Roman" w:eastAsiaTheme="majorEastAsia" w:hAnsi="Times New Roman" w:cs="Times New Roman"/>
          <w:b/>
          <w:bCs/>
          <w:noProof/>
          <w:sz w:val="24"/>
          <w:szCs w:val="24"/>
        </w:rPr>
      </w:pPr>
    </w:p>
    <w:p w14:paraId="08685510" w14:textId="2B08B631" w:rsidR="005C2355" w:rsidRDefault="242E767A" w:rsidP="57738EFE">
      <w:pPr>
        <w:spacing w:after="140" w:line="276" w:lineRule="auto"/>
        <w:contextualSpacing/>
        <w:jc w:val="both"/>
        <w:rPr>
          <w:rStyle w:val="normaltextrun"/>
          <w:rFonts w:ascii="Times New Roman" w:eastAsiaTheme="majorEastAsia" w:hAnsi="Times New Roman" w:cs="Times New Roman"/>
          <w:noProof/>
          <w:sz w:val="24"/>
          <w:szCs w:val="24"/>
        </w:rPr>
      </w:pPr>
      <w:r>
        <w:rPr>
          <w:rStyle w:val="normaltextrun"/>
          <w:rFonts w:ascii="Times New Roman" w:hAnsi="Times New Roman"/>
          <w:b/>
          <w:noProof/>
          <w:sz w:val="24"/>
        </w:rPr>
        <w:t>Les pratiques</w:t>
      </w:r>
      <w:r>
        <w:rPr>
          <w:rFonts w:ascii="Times New Roman" w:hAnsi="Times New Roman"/>
          <w:b/>
          <w:noProof/>
          <w:sz w:val="24"/>
        </w:rPr>
        <w:t xml:space="preserve"> agricoles qui augmentent les matières organiques du sol et réduisent les émissions des sols favorisent la fertilité des sols à long terme et contribuent à réduire l’utilisation d’engrais</w:t>
      </w:r>
      <w:r>
        <w:rPr>
          <w:rStyle w:val="normaltextrun"/>
          <w:rFonts w:ascii="Times New Roman" w:hAnsi="Times New Roman"/>
          <w:b/>
          <w:noProof/>
          <w:sz w:val="24"/>
        </w:rPr>
        <w:t>.</w:t>
      </w:r>
      <w:r>
        <w:rPr>
          <w:rStyle w:val="normaltextrun"/>
          <w:rFonts w:ascii="Times New Roman" w:hAnsi="Times New Roman"/>
          <w:noProof/>
          <w:sz w:val="24"/>
        </w:rPr>
        <w:t xml:space="preserve"> En définissant des critères de qualité de l’UE et en établissant des processus de surveillance et de déclaration, le</w:t>
      </w:r>
      <w:r>
        <w:rPr>
          <w:rFonts w:ascii="Times New Roman" w:hAnsi="Times New Roman"/>
          <w:noProof/>
          <w:sz w:val="24"/>
        </w:rPr>
        <w:t xml:space="preserve"> </w:t>
      </w:r>
      <w:hyperlink r:id="rId19">
        <w:r>
          <w:rPr>
            <w:rStyle w:val="normaltextrun"/>
            <w:rFonts w:ascii="Times New Roman" w:hAnsi="Times New Roman"/>
            <w:b/>
            <w:noProof/>
            <w:sz w:val="24"/>
          </w:rPr>
          <w:t>règlement relatif aux absorptions de carbone et à l’agrostockage de carbone</w:t>
        </w:r>
      </w:hyperlink>
      <w:r>
        <w:rPr>
          <w:rStyle w:val="FootnoteReference"/>
          <w:rFonts w:ascii="Times New Roman" w:hAnsi="Times New Roman" w:cs="Times New Roman"/>
          <w:noProof/>
          <w:sz w:val="24"/>
          <w:szCs w:val="24"/>
        </w:rPr>
        <w:footnoteReference w:id="45"/>
      </w:r>
      <w:r>
        <w:rPr>
          <w:rStyle w:val="normaltextrun"/>
          <w:rFonts w:ascii="Times New Roman" w:hAnsi="Times New Roman"/>
          <w:noProof/>
          <w:sz w:val="24"/>
        </w:rPr>
        <w:t xml:space="preserve"> vise à faciliter les investissements volontaires dans l’agrostockage de carbone et à assurer un revenu complémentaire aux agriculteurs. La Commission prépare actuellement des méthodes de certification pour l’absorption de carbone et la réduction des émissions des sols dans l’agriculture et l’agroforesterie.</w:t>
      </w:r>
    </w:p>
    <w:p w14:paraId="5498D77F" w14:textId="77777777" w:rsidR="00E33A44" w:rsidRPr="0027307A" w:rsidRDefault="00E33A44" w:rsidP="57738EFE">
      <w:pPr>
        <w:spacing w:after="140" w:line="276" w:lineRule="auto"/>
        <w:contextualSpacing/>
        <w:jc w:val="both"/>
        <w:rPr>
          <w:rStyle w:val="normaltextrun"/>
          <w:rFonts w:ascii="Times New Roman" w:eastAsiaTheme="majorEastAsia" w:hAnsi="Times New Roman" w:cs="Times New Roman"/>
          <w:noProof/>
          <w:sz w:val="24"/>
          <w:szCs w:val="24"/>
        </w:rPr>
      </w:pPr>
    </w:p>
    <w:p w14:paraId="18DC5FCC" w14:textId="170F0468" w:rsidR="61B98316" w:rsidRDefault="61B98316" w:rsidP="3639F8CD">
      <w:pPr>
        <w:spacing w:after="140" w:line="276" w:lineRule="auto"/>
        <w:contextualSpacing/>
        <w:jc w:val="both"/>
        <w:rPr>
          <w:rStyle w:val="normaltextrun"/>
          <w:rFonts w:ascii="Times New Roman" w:eastAsiaTheme="majorEastAsia" w:hAnsi="Times New Roman" w:cs="Times New Roman"/>
          <w:noProof/>
          <w:sz w:val="24"/>
          <w:szCs w:val="24"/>
        </w:rPr>
      </w:pPr>
      <w:r>
        <w:rPr>
          <w:rStyle w:val="normaltextrun"/>
          <w:rFonts w:ascii="Times New Roman" w:hAnsi="Times New Roman"/>
          <w:noProof/>
          <w:sz w:val="24"/>
        </w:rPr>
        <w:t xml:space="preserve">La Commission étudiera les </w:t>
      </w:r>
      <w:r>
        <w:rPr>
          <w:rStyle w:val="normaltextrun"/>
          <w:rFonts w:ascii="Times New Roman" w:hAnsi="Times New Roman"/>
          <w:b/>
          <w:noProof/>
          <w:sz w:val="24"/>
        </w:rPr>
        <w:t>manières de garantir une convergence plus étroite entre, d’une part, le cadre de certification relatif aux absorptions de carbone et à l’agrostockage de carbone et, d’autre part, le plan de fertilisation, par la création de filières qui, au moyen des recettes du SEQE et de l’agrostockage de carbone, inciteraient les agriculteurs à utiliser plus efficacement les engrais</w:t>
      </w:r>
      <w:r>
        <w:rPr>
          <w:rStyle w:val="normaltextrun"/>
          <w:rFonts w:ascii="Times New Roman" w:hAnsi="Times New Roman"/>
          <w:noProof/>
          <w:sz w:val="24"/>
        </w:rPr>
        <w:t>, par exemple les nutriments recyclés et les engrais à faible teneur en carbone. Cette convergence permettrait de créer un modèle économique pour l’agrostockage de carbone, avec des perspectives de marché stables et solides pour les crédits carbone agricoles, ce qui pourrait générer une demande structurelle et à long terme sur le marché et représenter un flux de revenus supplémentaire important pour les agriculteurs.</w:t>
      </w:r>
    </w:p>
    <w:p w14:paraId="3B40202C" w14:textId="77777777" w:rsidR="005C2355" w:rsidRPr="0027307A" w:rsidRDefault="005C2355" w:rsidP="00381BC7">
      <w:pPr>
        <w:spacing w:after="140" w:line="276" w:lineRule="auto"/>
        <w:ind w:left="360"/>
        <w:contextualSpacing/>
        <w:jc w:val="both"/>
        <w:rPr>
          <w:rStyle w:val="normaltextrun"/>
          <w:rFonts w:ascii="Times New Roman" w:eastAsiaTheme="majorEastAsia" w:hAnsi="Times New Roman" w:cs="Times New Roman"/>
          <w:noProof/>
          <w:sz w:val="24"/>
          <w:szCs w:val="24"/>
        </w:rPr>
      </w:pPr>
    </w:p>
    <w:p w14:paraId="2EA70BFB" w14:textId="4DD7F894" w:rsidR="0022240C" w:rsidRPr="00A82458" w:rsidRDefault="00805269" w:rsidP="00381BC7">
      <w:pPr>
        <w:spacing w:after="140" w:line="276" w:lineRule="auto"/>
        <w:contextualSpacing/>
        <w:jc w:val="both"/>
        <w:rPr>
          <w:rStyle w:val="normaltextrun"/>
          <w:rFonts w:ascii="Times New Roman" w:eastAsiaTheme="majorEastAsia" w:hAnsi="Times New Roman" w:cs="Times New Roman"/>
          <w:noProof/>
          <w:sz w:val="24"/>
          <w:szCs w:val="24"/>
        </w:rPr>
      </w:pPr>
      <w:r>
        <w:rPr>
          <w:rStyle w:val="normaltextrun"/>
          <w:rFonts w:ascii="Times New Roman" w:hAnsi="Times New Roman"/>
          <w:noProof/>
          <w:sz w:val="24"/>
        </w:rPr>
        <w:t xml:space="preserve">Afin d’accélérer ce développement, la Commission envisagera de </w:t>
      </w:r>
      <w:r>
        <w:rPr>
          <w:rStyle w:val="normaltextrun"/>
          <w:rFonts w:ascii="Times New Roman" w:hAnsi="Times New Roman"/>
          <w:b/>
          <w:noProof/>
          <w:sz w:val="24"/>
        </w:rPr>
        <w:t>lancer, à l’échelle de l’UE, un appel à projets relatifs aux absorptions de carbone et à l’agrostockage de carbone qui inciterait les agriculteurs à utiliser plus efficacement les engrais et les indemniserait pour les coûts supplémentaires des engrais (organiques) biosourcés et à faible teneur en carbone</w:t>
      </w:r>
      <w:r>
        <w:rPr>
          <w:rStyle w:val="normaltextrun"/>
          <w:rFonts w:ascii="Times New Roman" w:hAnsi="Times New Roman"/>
          <w:noProof/>
          <w:sz w:val="24"/>
        </w:rPr>
        <w:t>.</w:t>
      </w:r>
      <w:r>
        <w:rPr>
          <w:noProof/>
        </w:rPr>
        <w:t xml:space="preserve"> </w:t>
      </w:r>
      <w:r>
        <w:rPr>
          <w:rStyle w:val="normaltextrun"/>
          <w:rFonts w:ascii="Times New Roman" w:hAnsi="Times New Roman"/>
          <w:noProof/>
          <w:sz w:val="24"/>
        </w:rPr>
        <w:t xml:space="preserve">Afin de renforcer une approche de partenariat public-privé et d’attirer les investissements des entreprises privées dans les projets relatifs aux absorptions de carbone et à l’agrostockage de carbone, un soutien supplémentaire des États membres ou une contribution du futur FEC pourraient être envisagés. </w:t>
      </w:r>
      <w:r>
        <w:rPr>
          <w:noProof/>
        </w:rPr>
        <w:t xml:space="preserve"> </w:t>
      </w:r>
      <w:r>
        <w:rPr>
          <w:rStyle w:val="normaltextrun"/>
          <w:rFonts w:ascii="Times New Roman" w:hAnsi="Times New Roman"/>
          <w:noProof/>
          <w:sz w:val="24"/>
        </w:rPr>
        <w:t xml:space="preserve">En vue d’accroître l’attractivité de la </w:t>
      </w:r>
      <w:r>
        <w:rPr>
          <w:rStyle w:val="normaltextrun"/>
          <w:rFonts w:ascii="Times New Roman" w:hAnsi="Times New Roman"/>
          <w:b/>
          <w:noProof/>
          <w:sz w:val="24"/>
        </w:rPr>
        <w:t>méthode de certification relative aux absorptions de carbone et à l’agrostockage de carbone</w:t>
      </w:r>
      <w:r>
        <w:rPr>
          <w:rStyle w:val="normaltextrun"/>
          <w:rFonts w:ascii="Times New Roman" w:hAnsi="Times New Roman"/>
          <w:noProof/>
          <w:sz w:val="24"/>
        </w:rPr>
        <w:t xml:space="preserve">, le champ d’application et l’additionnalité de celle-ci devraient être adaptés lors de sa prochaine </w:t>
      </w:r>
      <w:r>
        <w:rPr>
          <w:rStyle w:val="normaltextrun"/>
          <w:rFonts w:ascii="Times New Roman" w:hAnsi="Times New Roman"/>
          <w:b/>
          <w:noProof/>
          <w:sz w:val="24"/>
        </w:rPr>
        <w:t>révision</w:t>
      </w:r>
      <w:r>
        <w:rPr>
          <w:rStyle w:val="normaltextrun"/>
          <w:rFonts w:ascii="Times New Roman" w:hAnsi="Times New Roman"/>
          <w:noProof/>
          <w:sz w:val="24"/>
        </w:rPr>
        <w:t xml:space="preserve"> afin de permettre au marché des crédits carbone de favoriser efficacement une meilleure gestion des nutriments et une utilisation accrue des engrais (organiques) biosourcés et à faible teneur en carbone. </w:t>
      </w:r>
    </w:p>
    <w:p w14:paraId="37955F18" w14:textId="77777777" w:rsidR="00567EB3" w:rsidRPr="00A82458" w:rsidRDefault="00567EB3" w:rsidP="00381BC7">
      <w:pPr>
        <w:spacing w:line="276" w:lineRule="auto"/>
        <w:jc w:val="both"/>
        <w:rPr>
          <w:rFonts w:ascii="Times New Roman" w:hAnsi="Times New Roman" w:cs="Times New Roman"/>
          <w:b/>
          <w:bCs/>
          <w:noProof/>
          <w:sz w:val="24"/>
          <w:szCs w:val="24"/>
          <w:lang w:eastAsia="en-IE"/>
        </w:rPr>
      </w:pPr>
    </w:p>
    <w:p w14:paraId="1FFFD4A0" w14:textId="28FFEB0C" w:rsidR="00C434D1" w:rsidRPr="0027307A" w:rsidRDefault="00C434D1" w:rsidP="00381BC7">
      <w:pPr>
        <w:spacing w:line="276" w:lineRule="auto"/>
        <w:jc w:val="both"/>
        <w:rPr>
          <w:rFonts w:ascii="Times New Roman" w:hAnsi="Times New Roman" w:cs="Times New Roman"/>
          <w:b/>
          <w:bCs/>
          <w:noProof/>
          <w:sz w:val="24"/>
          <w:szCs w:val="24"/>
        </w:rPr>
      </w:pPr>
      <w:r>
        <w:rPr>
          <w:rFonts w:ascii="Times New Roman" w:hAnsi="Times New Roman"/>
          <w:b/>
          <w:noProof/>
          <w:sz w:val="24"/>
        </w:rPr>
        <w:t>ACTIONS VISANT À SOUTENIR LA PRÉVISIBILITÉ</w:t>
      </w:r>
    </w:p>
    <w:p w14:paraId="48987576" w14:textId="66C36949" w:rsidR="00A110A8" w:rsidRPr="0027307A" w:rsidRDefault="00FC3617" w:rsidP="00381BC7">
      <w:pPr>
        <w:spacing w:line="276" w:lineRule="auto"/>
        <w:jc w:val="both"/>
        <w:rPr>
          <w:rFonts w:ascii="Times New Roman" w:hAnsi="Times New Roman" w:cs="Times New Roman"/>
          <w:b/>
          <w:bCs/>
          <w:noProof/>
          <w:sz w:val="24"/>
          <w:szCs w:val="24"/>
        </w:rPr>
      </w:pPr>
      <w:r>
        <w:rPr>
          <w:rFonts w:ascii="Times New Roman" w:hAnsi="Times New Roman"/>
          <w:b/>
          <w:noProof/>
          <w:sz w:val="24"/>
        </w:rPr>
        <w:t>4.3. Renforcer la transparence, le dialogue et les données stratégiques tout au long de la chaîne d’approvisionnement en engrais</w:t>
      </w:r>
    </w:p>
    <w:p w14:paraId="7C9BE881" w14:textId="17E4FCAA" w:rsidR="00A37CA4" w:rsidRPr="0027307A" w:rsidRDefault="6B1CD8C5" w:rsidP="00381BC7">
      <w:pPr>
        <w:spacing w:line="276" w:lineRule="auto"/>
        <w:jc w:val="both"/>
        <w:rPr>
          <w:rFonts w:ascii="Times New Roman" w:hAnsi="Times New Roman" w:cs="Times New Roman"/>
          <w:noProof/>
          <w:sz w:val="24"/>
          <w:szCs w:val="24"/>
        </w:rPr>
      </w:pPr>
      <w:r>
        <w:rPr>
          <w:rFonts w:ascii="Times New Roman" w:hAnsi="Times New Roman"/>
          <w:b/>
          <w:noProof/>
          <w:sz w:val="24"/>
        </w:rPr>
        <w:t>Un marché des engrais performant nécessite de disposer de meilleures informations, de renforcer les connaissances sur le marché et de structurer le dialogue entre les responsables politiques et les parties prenantes tout au long de la chaîne de valeur.</w:t>
      </w:r>
      <w:r>
        <w:rPr>
          <w:rFonts w:ascii="Times New Roman" w:hAnsi="Times New Roman"/>
          <w:noProof/>
          <w:sz w:val="24"/>
        </w:rPr>
        <w:t xml:space="preserve"> Les chocs successifs sur le marché des engrais ont mis en évidence l’importance que représentent les données actualisées sur les prix, le transport, les coûts de l’énergie, les importations, les interruptions de production, les stocks et l’utilisation des capacités. Ces chocs ont également fait ressortir la nécessité de disposer de données plus claires sur la manière dont les coûts, ainsi que les politiques de l’UE qui les concernent, sont répercutés sur les agriculteurs. Le renforcement de la transparence du marché conformément aux règles de concurrence, l’intensification du dialogue avec les parties prenantes et la mise au point d’outils analytiques peuvent favoriser aussi bien une réaction immédiate qu’une meilleure conception des politiques à long terme.</w:t>
      </w:r>
    </w:p>
    <w:p w14:paraId="5A9819BD" w14:textId="4B333C8A" w:rsidR="00E16035" w:rsidRPr="0027307A" w:rsidRDefault="005D47CF"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 xml:space="preserve">Pour ces raisons, la Commission a organisé un dialogue de haut niveau sur les engrais le 13 avril 2026, réunissant le secteur des engrais, des agriculteurs et d’autres parties prenantes concernées de la chaîne. Ces </w:t>
      </w:r>
      <w:r>
        <w:rPr>
          <w:rFonts w:ascii="Times New Roman" w:hAnsi="Times New Roman"/>
          <w:b/>
          <w:noProof/>
          <w:sz w:val="24"/>
        </w:rPr>
        <w:t>dialogues stratégiques</w:t>
      </w:r>
      <w:r>
        <w:rPr>
          <w:rFonts w:ascii="Times New Roman" w:hAnsi="Times New Roman"/>
          <w:noProof/>
          <w:sz w:val="24"/>
        </w:rPr>
        <w:t>, étendus aux États membres, continueront d’être organisés à l’appui du partenariat afin d’examiner les contraintes réglementaires et financières qui pèsent sur l’approvisionnement, sur la production, sur la commercialisation et sur l’utilisation des engrais, avec une attention particulière accordée aux fertilisants biosourcés et recyclés, aux engrais à faible teneur en carbone et aux obstacles qui empêchent les agriculteurs de décider de les adopter.</w:t>
      </w:r>
    </w:p>
    <w:p w14:paraId="64E88387" w14:textId="6214E77D" w:rsidR="00D52DB7" w:rsidRPr="0027307A" w:rsidRDefault="357D68DC" w:rsidP="00381BC7">
      <w:pPr>
        <w:spacing w:after="140" w:line="276" w:lineRule="auto"/>
        <w:jc w:val="both"/>
        <w:rPr>
          <w:rFonts w:ascii="Times New Roman" w:hAnsi="Times New Roman" w:cs="Times New Roman"/>
          <w:noProof/>
          <w:sz w:val="24"/>
          <w:szCs w:val="24"/>
        </w:rPr>
      </w:pPr>
      <w:bookmarkStart w:id="6" w:name="_Hlk229504107"/>
      <w:r>
        <w:rPr>
          <w:rFonts w:ascii="Times New Roman" w:hAnsi="Times New Roman"/>
          <w:b/>
          <w:noProof/>
          <w:sz w:val="24"/>
        </w:rPr>
        <w:t xml:space="preserve">La Commission s’emploiera également </w:t>
      </w:r>
      <w:bookmarkStart w:id="7" w:name="_Hlk226995188"/>
      <w:r>
        <w:rPr>
          <w:rFonts w:ascii="Times New Roman" w:hAnsi="Times New Roman"/>
          <w:b/>
          <w:noProof/>
          <w:sz w:val="24"/>
        </w:rPr>
        <w:t xml:space="preserve">à accroître la transparence du marché des engrais et la capacité d’alerte précoce. </w:t>
      </w:r>
      <w:r>
        <w:rPr>
          <w:rFonts w:ascii="Times New Roman" w:hAnsi="Times New Roman"/>
          <w:noProof/>
          <w:sz w:val="24"/>
        </w:rPr>
        <w:t>Il s’agira notamment</w:t>
      </w:r>
      <w:bookmarkEnd w:id="7"/>
      <w:r>
        <w:rPr>
          <w:rFonts w:ascii="Times New Roman" w:hAnsi="Times New Roman"/>
          <w:noProof/>
          <w:sz w:val="24"/>
        </w:rPr>
        <w:t xml:space="preserve"> de veiller à ce que les États membres disposent, pour les principaux fertilisants, d’informations actualisées et fiables sur les volumes de production et la capacité de production, les prix de vente et les stocks, en vue d’améliorer le fonctionnement du marché intérieur, tout en respectant pleinement les règles de concurrence de l’UE, le secret des affaires et la nécessité de réduire au minimum la charge administrative pesant tant sur les entreprises que sur les pouvoirs publics. En particulier, si les informations recueillies par d’autres moyens demeurent insuffisantes, la Commission proposera </w:t>
      </w:r>
      <w:r>
        <w:rPr>
          <w:rFonts w:ascii="Times New Roman" w:hAnsi="Times New Roman"/>
          <w:b/>
          <w:noProof/>
          <w:sz w:val="24"/>
        </w:rPr>
        <w:t>d’inclure dans le règlement sur les fertilisants</w:t>
      </w:r>
      <w:r>
        <w:rPr>
          <w:rFonts w:ascii="Times New Roman" w:hAnsi="Times New Roman"/>
          <w:noProof/>
          <w:sz w:val="24"/>
        </w:rPr>
        <w:t xml:space="preserve"> ou dans tout autre acte concerné </w:t>
      </w:r>
      <w:r>
        <w:rPr>
          <w:rFonts w:ascii="Times New Roman" w:hAnsi="Times New Roman"/>
          <w:b/>
          <w:noProof/>
          <w:sz w:val="24"/>
        </w:rPr>
        <w:t>un cadre proportionné pour la collecte systématique d’informations sur le marché</w:t>
      </w:r>
      <w:r>
        <w:rPr>
          <w:rFonts w:ascii="Times New Roman" w:hAnsi="Times New Roman"/>
          <w:noProof/>
          <w:sz w:val="24"/>
        </w:rPr>
        <w:t>. Une transparence accrue du marché, éventuellement grâce à des prix de référence indépendants, fournira une base plus solide pour les marchés à terme et autres instruments de couverture, en aidant les parties prenantes de l’ensemble de la chaîne d’approvisionnement en engrais à gérer l’exposition à la volatilité des prix.</w:t>
      </w:r>
    </w:p>
    <w:p w14:paraId="09680344" w14:textId="65E1987D" w:rsidR="002A5496" w:rsidRPr="0027307A" w:rsidRDefault="005072B6"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L’Observatoire du marché des engrais servira de plateforme principale pour la connaissance du marché, l’échange de données sur les prix et la collecte de données.</w:t>
      </w:r>
      <w:r>
        <w:rPr>
          <w:rFonts w:ascii="Times New Roman" w:hAnsi="Times New Roman"/>
          <w:noProof/>
          <w:sz w:val="24"/>
        </w:rPr>
        <w:t xml:space="preserve"> Son rôle sera renforcé par l’amélioration de la collecte de données sur le fonctionnement du marché, les prix et les stocks. Il contribuera aux actions de préparation, à la mise en œuvre et au suivi dans le cadre du présent plan d’action.</w:t>
      </w:r>
    </w:p>
    <w:p w14:paraId="38CE7501" w14:textId="1E94C1E8" w:rsidR="00E16035" w:rsidRPr="0027307A" w:rsidRDefault="00570159" w:rsidP="00381BC7">
      <w:pPr>
        <w:spacing w:after="140" w:line="276" w:lineRule="auto"/>
        <w:jc w:val="both"/>
        <w:rPr>
          <w:rFonts w:ascii="Times New Roman" w:hAnsi="Times New Roman" w:cs="Times New Roman"/>
          <w:noProof/>
          <w:sz w:val="24"/>
          <w:szCs w:val="24"/>
        </w:rPr>
      </w:pPr>
      <w:r>
        <w:rPr>
          <w:rFonts w:ascii="Times New Roman" w:hAnsi="Times New Roman"/>
          <w:b/>
          <w:noProof/>
          <w:sz w:val="24"/>
        </w:rPr>
        <w:t>La Commission continuera de surveiller la concurrence sur le marché des engrais de l’UE</w:t>
      </w:r>
      <w:r>
        <w:rPr>
          <w:rFonts w:ascii="Times New Roman" w:hAnsi="Times New Roman"/>
          <w:noProof/>
          <w:sz w:val="24"/>
        </w:rPr>
        <w:t xml:space="preserve"> et d’appliquer les instruments du droit de la concurrence, le cas échéant. Elle restera vigilante à l’égard de tout signe indiquant l’existence d’accords ou de pratiques anticoncurrentiels dans le secteur des engrais</w:t>
      </w:r>
      <w:bookmarkEnd w:id="6"/>
      <w:r>
        <w:rPr>
          <w:rFonts w:ascii="Times New Roman" w:hAnsi="Times New Roman"/>
          <w:noProof/>
          <w:sz w:val="24"/>
        </w:rPr>
        <w:t>.</w:t>
      </w:r>
    </w:p>
    <w:p w14:paraId="431931A7" w14:textId="6448090C" w:rsidR="00E16035" w:rsidRPr="0027307A" w:rsidRDefault="000354EC" w:rsidP="00381BC7">
      <w:pPr>
        <w:spacing w:after="140" w:line="276" w:lineRule="auto"/>
        <w:jc w:val="both"/>
        <w:rPr>
          <w:rFonts w:ascii="Times New Roman" w:hAnsi="Times New Roman" w:cs="Times New Roman"/>
          <w:noProof/>
          <w:sz w:val="24"/>
          <w:szCs w:val="24"/>
        </w:rPr>
      </w:pPr>
      <w:r>
        <w:rPr>
          <w:rFonts w:ascii="Times New Roman" w:hAnsi="Times New Roman"/>
          <w:noProof/>
          <w:sz w:val="24"/>
        </w:rPr>
        <w:t xml:space="preserve">Une base de connaissance plus solide est également nécessaire en ce qui concerne l’incidence sur les agriculteurs du cadre réglementaire relatif aux engrais. La Commission procédera donc à une </w:t>
      </w:r>
      <w:r>
        <w:rPr>
          <w:rFonts w:ascii="Times New Roman" w:hAnsi="Times New Roman"/>
          <w:b/>
          <w:noProof/>
          <w:sz w:val="24"/>
        </w:rPr>
        <w:t>évaluation approfondie de la manière dont les coûts liés au MACF et au SEQE sont répercutés sur les prix des engrais</w:t>
      </w:r>
      <w:r>
        <w:rPr>
          <w:rFonts w:ascii="Times New Roman" w:hAnsi="Times New Roman"/>
          <w:noProof/>
          <w:sz w:val="24"/>
        </w:rPr>
        <w:t xml:space="preserve"> supportés par les agriculteurs et, en fin de compte, sur les prix des denrées alimentaires. Cette évaluation améliorera plus largement la base de connaissances sur l’évolution des prix au niveau des exploitations.</w:t>
      </w:r>
    </w:p>
    <w:p w14:paraId="02D2A4FE" w14:textId="02B56E7B" w:rsidR="008B6E3B" w:rsidRPr="0027307A" w:rsidRDefault="00D810CA" w:rsidP="00381BC7">
      <w:pPr>
        <w:spacing w:after="140" w:line="276" w:lineRule="auto"/>
        <w:contextualSpacing/>
        <w:jc w:val="both"/>
        <w:rPr>
          <w:rFonts w:ascii="Times New Roman" w:hAnsi="Times New Roman" w:cs="Times New Roman"/>
          <w:b/>
          <w:bCs/>
          <w:noProof/>
          <w:sz w:val="24"/>
          <w:szCs w:val="24"/>
        </w:rPr>
      </w:pPr>
      <w:r>
        <w:rPr>
          <w:rFonts w:ascii="Times New Roman" w:hAnsi="Times New Roman"/>
          <w:noProof/>
          <w:sz w:val="24"/>
        </w:rPr>
        <w:t xml:space="preserve">Au niveau mondial, l’UE continuera à s’impliquer dans les cadres de coopération internationale, tels que le </w:t>
      </w:r>
      <w:r>
        <w:rPr>
          <w:rFonts w:ascii="Times New Roman" w:hAnsi="Times New Roman"/>
          <w:b/>
          <w:noProof/>
          <w:sz w:val="24"/>
        </w:rPr>
        <w:t>système d’information sur les marchés agricoles (AMIS)</w:t>
      </w:r>
      <w:r>
        <w:rPr>
          <w:rFonts w:ascii="Times New Roman" w:hAnsi="Times New Roman"/>
          <w:noProof/>
          <w:sz w:val="24"/>
        </w:rPr>
        <w:t xml:space="preserve"> qui promeut la transparence et la coordination sur les marchés agroalimentaires mondiaux. La Commission reste déterminée à fournir au secrétariat de l’AMIS toutes les données et tout le soutien nécessaires pour surveiller les marchés des engrais.</w:t>
      </w:r>
    </w:p>
    <w:p w14:paraId="313EC9D6" w14:textId="77777777" w:rsidR="007D34F8" w:rsidRPr="0027307A" w:rsidRDefault="007D34F8" w:rsidP="00381BC7">
      <w:pPr>
        <w:spacing w:after="140" w:line="276" w:lineRule="auto"/>
        <w:contextualSpacing/>
        <w:jc w:val="both"/>
        <w:rPr>
          <w:rFonts w:ascii="Times New Roman" w:hAnsi="Times New Roman" w:cs="Times New Roman"/>
          <w:b/>
          <w:bCs/>
          <w:noProof/>
          <w:sz w:val="24"/>
          <w:szCs w:val="24"/>
          <w:lang w:eastAsia="en-IE"/>
        </w:rPr>
      </w:pPr>
    </w:p>
    <w:p w14:paraId="2B31AA37" w14:textId="2F9E6482" w:rsidR="00284B79" w:rsidRPr="0027307A" w:rsidRDefault="002A7726" w:rsidP="00381BC7">
      <w:pPr>
        <w:spacing w:after="140" w:line="276" w:lineRule="auto"/>
        <w:contextualSpacing/>
        <w:jc w:val="both"/>
        <w:rPr>
          <w:rFonts w:ascii="Times New Roman" w:hAnsi="Times New Roman" w:cs="Times New Roman"/>
          <w:noProof/>
          <w:sz w:val="24"/>
          <w:szCs w:val="24"/>
        </w:rPr>
      </w:pPr>
      <w:r>
        <w:rPr>
          <w:rFonts w:ascii="Times New Roman" w:hAnsi="Times New Roman"/>
          <w:b/>
          <w:noProof/>
          <w:sz w:val="24"/>
        </w:rPr>
        <w:t>Conclusion</w:t>
      </w:r>
    </w:p>
    <w:p w14:paraId="0B4127DF" w14:textId="28D76E39" w:rsidR="4BD58E56" w:rsidRPr="0027307A" w:rsidRDefault="4BD58E56" w:rsidP="00381BC7">
      <w:pPr>
        <w:spacing w:after="140" w:line="276" w:lineRule="auto"/>
        <w:contextualSpacing/>
        <w:jc w:val="both"/>
        <w:rPr>
          <w:rFonts w:ascii="Times New Roman" w:hAnsi="Times New Roman" w:cs="Times New Roman"/>
          <w:b/>
          <w:bCs/>
          <w:noProof/>
          <w:sz w:val="24"/>
          <w:szCs w:val="24"/>
          <w:lang w:eastAsia="en-IE"/>
        </w:rPr>
      </w:pPr>
    </w:p>
    <w:p w14:paraId="2018FCCA" w14:textId="7D11AB60" w:rsidR="00205373" w:rsidRPr="0027307A" w:rsidRDefault="28ED253B" w:rsidP="00381BC7">
      <w:pPr>
        <w:spacing w:after="14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 présente communication énumère des actions efficaces pour faire face à l’actuelle escalade des prix des engrais et sécuriser l’approvisionnement pour les années à venir. Elle vise à soutenir les agriculteurs et la sécurité alimentaire à court terme et définit des actions à moyen terme pour accélérer l’émergence d’un marché des engrais biologiques décarbonés et abordables produits localement, ainsi que pour garantir la capacité de production intérieure. À cette fin, divers outils sont mobilisés: des incitations réglementaires, financières et commerciales, ainsi que la tarification du carbone. L’objectif est de renforcer la chaîne de valeur des engrais et la gestion des nutriments, en permettant aux producteurs européens de fertilisants et aux agriculteurs européens de travailler ensemble dans le cadre d’un partenariat afin de gagner en résilience, en prévisibilité et, en fin de compte, en valeur créée en Europe.</w:t>
      </w:r>
    </w:p>
    <w:p w14:paraId="644294E2" w14:textId="77777777" w:rsidR="008B3358" w:rsidRPr="0027307A" w:rsidRDefault="008B3358" w:rsidP="00381BC7">
      <w:pPr>
        <w:spacing w:after="140" w:line="276" w:lineRule="auto"/>
        <w:contextualSpacing/>
        <w:jc w:val="both"/>
        <w:rPr>
          <w:rFonts w:ascii="Times New Roman" w:eastAsia="Times New Roman" w:hAnsi="Times New Roman" w:cs="Times New Roman"/>
          <w:noProof/>
          <w:sz w:val="24"/>
          <w:szCs w:val="24"/>
        </w:rPr>
      </w:pPr>
    </w:p>
    <w:p w14:paraId="7F96629A" w14:textId="08E014BC" w:rsidR="00205373" w:rsidRPr="0027307A" w:rsidRDefault="28ED253B" w:rsidP="00381BC7">
      <w:pPr>
        <w:spacing w:after="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Les mesures exposées dans la présente communication seront mises en œuvre conformément au calendrier, et la Commission s’appuiera sur le Parlement et le Conseil, les États membres, ainsi que le secteur et les acteurs agricoles pour les mettre en œuvre dans la pratique. La Commission s’appuiera sur l’Observatoire du marché des engrais, sur un dialogue continu, ainsi que sur des processus analytiques et sectoriels pertinents pour soutenir la mise en œuvre, la préparation, la collecte de données et la surveillance.</w:t>
      </w:r>
    </w:p>
    <w:p w14:paraId="76A71F3F" w14:textId="77777777" w:rsidR="008B3358" w:rsidRPr="0027307A" w:rsidRDefault="008B3358" w:rsidP="00381BC7">
      <w:pPr>
        <w:spacing w:after="0" w:line="276" w:lineRule="auto"/>
        <w:contextualSpacing/>
        <w:jc w:val="both"/>
        <w:rPr>
          <w:rFonts w:ascii="Times New Roman" w:eastAsia="Times New Roman" w:hAnsi="Times New Roman" w:cs="Times New Roman"/>
          <w:noProof/>
          <w:sz w:val="24"/>
          <w:szCs w:val="24"/>
        </w:rPr>
      </w:pPr>
    </w:p>
    <w:p w14:paraId="274449E5" w14:textId="7CD8D6FE" w:rsidR="00A20565" w:rsidRPr="0027307A" w:rsidRDefault="28ED253B" w:rsidP="00A5349D">
      <w:pPr>
        <w:jc w:val="both"/>
        <w:rPr>
          <w:rFonts w:ascii="Times New Roman" w:hAnsi="Times New Roman" w:cs="Times New Roman"/>
          <w:noProof/>
          <w:sz w:val="24"/>
          <w:szCs w:val="24"/>
        </w:rPr>
      </w:pPr>
      <w:r>
        <w:rPr>
          <w:rFonts w:ascii="Times New Roman" w:hAnsi="Times New Roman"/>
          <w:noProof/>
          <w:sz w:val="24"/>
        </w:rPr>
        <w:t>La mise en œuvre de ce plan d’action permettra à l’UE de mieux se préparer aux chocs futurs et de renforcer sa position pour contribuer aux systèmes agroalimentaires mondiaux.</w:t>
      </w:r>
    </w:p>
    <w:sectPr w:rsidR="00A20565" w:rsidRPr="0027307A" w:rsidSect="00204876">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E6675" w14:textId="77777777" w:rsidR="00BE4363" w:rsidRPr="0027307A" w:rsidRDefault="00BE4363" w:rsidP="00A110A8">
      <w:pPr>
        <w:spacing w:after="0" w:line="240" w:lineRule="auto"/>
      </w:pPr>
      <w:r>
        <w:separator/>
      </w:r>
    </w:p>
  </w:endnote>
  <w:endnote w:type="continuationSeparator" w:id="0">
    <w:p w14:paraId="202E3A7E" w14:textId="77777777" w:rsidR="00BE4363" w:rsidRPr="0027307A" w:rsidRDefault="00BE4363" w:rsidP="00A11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13641" w14:textId="15988C7D" w:rsidR="006B5A3F" w:rsidRPr="006B5A3F" w:rsidRDefault="006B5A3F" w:rsidP="006B5A3F">
    <w:pPr>
      <w:pStyle w:val="FooterCoverPage"/>
      <w:rPr>
        <w:rFonts w:ascii="Arial" w:hAnsi="Arial" w:cs="Arial"/>
        <w:b/>
        <w:sz w:val="48"/>
      </w:rPr>
    </w:pPr>
    <w:r w:rsidRPr="006B5A3F">
      <w:rPr>
        <w:rFonts w:ascii="Arial" w:hAnsi="Arial" w:cs="Arial"/>
        <w:b/>
        <w:sz w:val="48"/>
      </w:rPr>
      <w:t>FR</w:t>
    </w:r>
    <w:r w:rsidRPr="006B5A3F">
      <w:rPr>
        <w:rFonts w:ascii="Arial" w:hAnsi="Arial" w:cs="Arial"/>
        <w:b/>
        <w:sz w:val="48"/>
      </w:rPr>
      <w:tab/>
    </w:r>
    <w:r w:rsidRPr="006B5A3F">
      <w:rPr>
        <w:rFonts w:ascii="Arial" w:hAnsi="Arial" w:cs="Arial"/>
        <w:b/>
        <w:sz w:val="48"/>
      </w:rPr>
      <w:tab/>
    </w:r>
    <w:r w:rsidRPr="006B5A3F">
      <w:tab/>
    </w:r>
    <w:r w:rsidRPr="006B5A3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838B1" w14:textId="00AD8526" w:rsidR="006B5A3F" w:rsidRPr="006B5A3F" w:rsidRDefault="006B5A3F" w:rsidP="006B5A3F">
    <w:pPr>
      <w:pStyle w:val="FooterCoverPage"/>
      <w:rPr>
        <w:rFonts w:ascii="Arial" w:hAnsi="Arial" w:cs="Arial"/>
        <w:b/>
        <w:sz w:val="48"/>
      </w:rPr>
    </w:pPr>
    <w:r w:rsidRPr="006B5A3F">
      <w:rPr>
        <w:rFonts w:ascii="Arial" w:hAnsi="Arial" w:cs="Arial"/>
        <w:b/>
        <w:sz w:val="48"/>
      </w:rPr>
      <w:t>FR</w:t>
    </w:r>
    <w:r w:rsidRPr="006B5A3F">
      <w:rPr>
        <w:rFonts w:ascii="Arial" w:hAnsi="Arial" w:cs="Arial"/>
        <w:b/>
        <w:sz w:val="48"/>
      </w:rPr>
      <w:tab/>
    </w:r>
    <w:r w:rsidRPr="006B5A3F">
      <w:rPr>
        <w:rFonts w:ascii="Arial" w:hAnsi="Arial" w:cs="Arial"/>
        <w:b/>
        <w:sz w:val="48"/>
      </w:rPr>
      <w:tab/>
    </w:r>
    <w:r w:rsidRPr="006B5A3F">
      <w:tab/>
    </w:r>
    <w:r w:rsidRPr="006B5A3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9CA33" w14:textId="77777777" w:rsidR="006B5A3F" w:rsidRPr="006B5A3F" w:rsidRDefault="006B5A3F" w:rsidP="006B5A3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5B522" w14:textId="77777777" w:rsidR="001A5991" w:rsidRPr="0027307A" w:rsidRDefault="001A59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5508427"/>
      <w:docPartObj>
        <w:docPartGallery w:val="Page Numbers (Bottom of Page)"/>
        <w:docPartUnique/>
      </w:docPartObj>
    </w:sdtPr>
    <w:sdtEndPr/>
    <w:sdtContent>
      <w:p w14:paraId="7E6EED9C" w14:textId="33AE580E" w:rsidR="00273BBA" w:rsidRPr="0027307A" w:rsidRDefault="00273BBA">
        <w:pPr>
          <w:pStyle w:val="Footer"/>
          <w:jc w:val="center"/>
        </w:pPr>
        <w:r>
          <w:fldChar w:fldCharType="begin"/>
        </w:r>
        <w:r>
          <w:instrText xml:space="preserve"> PAGE   \* MERGEFORMAT </w:instrText>
        </w:r>
        <w:r>
          <w:fldChar w:fldCharType="separate"/>
        </w:r>
        <w:r w:rsidR="006B5A3F">
          <w:rPr>
            <w:noProof/>
          </w:rPr>
          <w:t>2</w:t>
        </w:r>
        <w:r>
          <w:fldChar w:fldCharType="end"/>
        </w:r>
      </w:p>
    </w:sdtContent>
  </w:sdt>
  <w:p w14:paraId="009E8604" w14:textId="77777777" w:rsidR="00273BBA" w:rsidRPr="0027307A" w:rsidRDefault="00273BB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B7856" w14:textId="77777777" w:rsidR="00C172DD" w:rsidRPr="0027307A" w:rsidRDefault="00C17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149DA" w14:textId="77777777" w:rsidR="00BE4363" w:rsidRPr="0027307A" w:rsidRDefault="00BE4363" w:rsidP="00A110A8">
      <w:pPr>
        <w:spacing w:after="0" w:line="240" w:lineRule="auto"/>
      </w:pPr>
      <w:r>
        <w:separator/>
      </w:r>
    </w:p>
  </w:footnote>
  <w:footnote w:type="continuationSeparator" w:id="0">
    <w:p w14:paraId="41D1C3B0" w14:textId="77777777" w:rsidR="00BE4363" w:rsidRPr="0027307A" w:rsidRDefault="00BE4363" w:rsidP="00A110A8">
      <w:pPr>
        <w:spacing w:after="0" w:line="240" w:lineRule="auto"/>
      </w:pPr>
      <w:r>
        <w:continuationSeparator/>
      </w:r>
    </w:p>
  </w:footnote>
  <w:footnote w:id="1">
    <w:p w14:paraId="65EACDA0" w14:textId="126F9E4C" w:rsidR="004E34E9" w:rsidRPr="00617A04" w:rsidRDefault="004E34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333333"/>
        </w:rPr>
        <w:t>Communication de la Commission, «Garantir la disponibilité et le caractère abordable des engrais», COM(2022) 590 final/2 du 9 novembre 2022,</w:t>
      </w:r>
      <w:hyperlink r:id="rId1" w:history="1">
        <w:r>
          <w:rPr>
            <w:rFonts w:ascii="Times New Roman" w:hAnsi="Times New Roman"/>
          </w:rPr>
          <w:t xml:space="preserve"> </w:t>
        </w:r>
        <w:r>
          <w:rPr>
            <w:rFonts w:ascii="Times New Roman" w:hAnsi="Times New Roman"/>
            <w:color w:val="0000FF"/>
            <w:u w:val="single"/>
          </w:rPr>
          <w:t>EUR-Lex - 52022DC0590(01) - FR - EUR-Lex</w:t>
        </w:r>
      </w:hyperlink>
      <w:r>
        <w:rPr>
          <w:rFonts w:ascii="Times New Roman" w:hAnsi="Times New Roman"/>
        </w:rPr>
        <w:t>.</w:t>
      </w:r>
    </w:p>
  </w:footnote>
  <w:footnote w:id="2">
    <w:p w14:paraId="22864706" w14:textId="4824ED72" w:rsidR="005B203E" w:rsidRPr="00617A04" w:rsidRDefault="005B203E" w:rsidP="1F5BB1AF">
      <w:pPr>
        <w:pStyle w:val="title-bold"/>
        <w:shd w:val="clear" w:color="auto" w:fill="FFFFFF" w:themeFill="background1"/>
        <w:spacing w:before="0" w:beforeAutospacing="0" w:after="0" w:afterAutospacing="0"/>
        <w:jc w:val="both"/>
        <w:rPr>
          <w:sz w:val="20"/>
          <w:szCs w:val="20"/>
        </w:rPr>
      </w:pPr>
      <w:r>
        <w:rPr>
          <w:rStyle w:val="FootnoteReference"/>
          <w:sz w:val="20"/>
          <w:szCs w:val="20"/>
        </w:rPr>
        <w:footnoteRef/>
      </w:r>
      <w:r>
        <w:rPr>
          <w:sz w:val="20"/>
        </w:rPr>
        <w:t xml:space="preserve"> </w:t>
      </w:r>
      <w:r>
        <w:rPr>
          <w:color w:val="333333"/>
          <w:sz w:val="20"/>
        </w:rPr>
        <w:t xml:space="preserve">Plan d’action RESourceEU – Accélérer notre stratégie sur les matières premières critiques afin de nous adapter à une nouvelle réalité, COM/2025/945 final du 3 décembre 2025, </w:t>
      </w:r>
      <w:hyperlink r:id="rId2">
        <w:r>
          <w:rPr>
            <w:rStyle w:val="Hyperlink"/>
            <w:sz w:val="20"/>
          </w:rPr>
          <w:t>EUR-Lex - 52025DC0945 - FR - EUR-Lex</w:t>
        </w:r>
      </w:hyperlink>
      <w:r>
        <w:rPr>
          <w:sz w:val="20"/>
        </w:rPr>
        <w:t>.</w:t>
      </w:r>
    </w:p>
  </w:footnote>
  <w:footnote w:id="3">
    <w:p w14:paraId="31ADA44E" w14:textId="2743D2E4" w:rsidR="00B51685" w:rsidRPr="00617A04" w:rsidRDefault="00B51685" w:rsidP="00B5168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Entre 25 % et 30 % de la consommation d’engrais azotés de l’UE, environ 35-45 % de la consommation de potasse de l’UE et environ 70 % de la consommation d’engrais phosphatés de l’UE sont importés; source: communication de la Commission – Garantir la disponibilité et le caractère abordable des engrais.</w:t>
      </w:r>
    </w:p>
  </w:footnote>
  <w:footnote w:id="4">
    <w:p w14:paraId="029653DB" w14:textId="77777777" w:rsidR="00584187" w:rsidRPr="001C18F0" w:rsidRDefault="00584187" w:rsidP="0058418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https://energy.ec.europa.eu/publications/accelerateeu-energy-union-affordable-and-secure-energy-through-accelerated-action_fr</w:t>
        </w:r>
      </w:hyperlink>
      <w:r>
        <w:rPr>
          <w:rFonts w:ascii="Times New Roman" w:hAnsi="Times New Roman"/>
        </w:rPr>
        <w:t>.</w:t>
      </w:r>
    </w:p>
  </w:footnote>
  <w:footnote w:id="5">
    <w:p w14:paraId="2CAAB6C7" w14:textId="6FFE4E11" w:rsidR="00BE5916" w:rsidRPr="0055011B" w:rsidRDefault="00BE591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représentait en 2024 et 2025 un peu plus de 7 % du coût des intrants pour le secteur agricole de l’UE, après un record de près de 9 % en 2022; données Eurostat issues des comptes économiques de l’agriculture (CEA).</w:t>
      </w:r>
    </w:p>
  </w:footnote>
  <w:footnote w:id="6">
    <w:p w14:paraId="3EC1F559" w14:textId="4FD26D43" w:rsidR="006F3492" w:rsidRPr="0055011B" w:rsidRDefault="006F349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Réseau d’information sur la durabilité des exploitations agricoles (RIDEA): les engrais représentaient 24 % du coût des intrants intermédiaires et 16 % du total des intrants en 2023 pour les producteurs de cultures arables.</w:t>
      </w:r>
    </w:p>
  </w:footnote>
  <w:footnote w:id="7">
    <w:p w14:paraId="5745D339" w14:textId="11BF9B6A" w:rsidR="0055011B" w:rsidRPr="001930F7" w:rsidRDefault="0055011B">
      <w:pPr>
        <w:pStyle w:val="FootnoteText"/>
      </w:pPr>
      <w:r>
        <w:rPr>
          <w:rStyle w:val="FootnoteReference"/>
          <w:rFonts w:ascii="Times New Roman" w:hAnsi="Times New Roman" w:cs="Times New Roman"/>
        </w:rPr>
        <w:footnoteRef/>
      </w:r>
      <w:r>
        <w:rPr>
          <w:rFonts w:ascii="Times New Roman" w:hAnsi="Times New Roman"/>
        </w:rPr>
        <w:t xml:space="preserve">   La fixation de l’azote est responsable d’environ 1,5 % des émissions de CO₂ de l’UE (environ 50 à 60 Mt CO₂/an).</w:t>
      </w:r>
    </w:p>
  </w:footnote>
  <w:footnote w:id="8">
    <w:p w14:paraId="089ECED2" w14:textId="00C52390" w:rsidR="004D0818" w:rsidRPr="001C18F0" w:rsidRDefault="004D0818" w:rsidP="00D16309">
      <w:pPr>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4" w:history="1">
        <w:r>
          <w:rPr>
            <w:rStyle w:val="Hyperlink"/>
            <w:rFonts w:ascii="Times New Roman" w:hAnsi="Times New Roman"/>
            <w:sz w:val="20"/>
          </w:rPr>
          <w:t>Mécanisme d’ajustement carbone aux frontières – Union douanière et fiscale</w:t>
        </w:r>
      </w:hyperlink>
      <w:r>
        <w:rPr>
          <w:rFonts w:ascii="Times New Roman" w:hAnsi="Times New Roman"/>
          <w:sz w:val="20"/>
        </w:rPr>
        <w:t>; la mise en œuvre du MACF dans sa phase définitive a décollé en 2026. Le mécanisme fera l’objet d’un réexamen et d’un rapport publié en 2027.</w:t>
      </w:r>
    </w:p>
  </w:footnote>
  <w:footnote w:id="9">
    <w:p w14:paraId="05629924" w14:textId="4602211C" w:rsidR="003722C9" w:rsidRPr="00B765C1" w:rsidRDefault="003722C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https://www.fao.org/newsroom/detail/fao-chief-economist-warns-of-severe-global-food-security-risks-from-disruption-to-strait-of-hormuz-trade-corridor/en</w:t>
        </w:r>
      </w:hyperlink>
      <w:r>
        <w:rPr>
          <w:rFonts w:ascii="Times New Roman" w:hAnsi="Times New Roman"/>
        </w:rPr>
        <w:t>.</w:t>
      </w:r>
    </w:p>
  </w:footnote>
  <w:footnote w:id="10">
    <w:p w14:paraId="1DD0D6B4" w14:textId="5FA3CA36" w:rsidR="00D646BF" w:rsidRPr="00B349B4" w:rsidRDefault="00D646BF">
      <w:pPr>
        <w:pStyle w:val="FootnoteText"/>
      </w:pPr>
      <w:r>
        <w:rPr>
          <w:rStyle w:val="FootnoteReference"/>
          <w:rFonts w:ascii="Times New Roman" w:hAnsi="Times New Roman" w:cs="Times New Roman"/>
        </w:rPr>
        <w:footnoteRef/>
      </w:r>
      <w:r>
        <w:t xml:space="preserve"> </w:t>
      </w:r>
      <w:r>
        <w:rPr>
          <w:rFonts w:ascii="Times New Roman" w:hAnsi="Times New Roman"/>
        </w:rPr>
        <w:t>Règlement (UE) 2019/1009</w:t>
      </w:r>
      <w:r>
        <w:t>.</w:t>
      </w:r>
    </w:p>
  </w:footnote>
  <w:footnote w:id="11">
    <w:p w14:paraId="34642C6C" w14:textId="227C9957" w:rsidR="00260844" w:rsidRPr="001C18F0" w:rsidRDefault="002608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Fonts w:ascii="Times New Roman" w:hAnsi="Times New Roman"/>
            <w:color w:val="0000FF"/>
            <w:u w:val="single"/>
          </w:rPr>
          <w:t>Engrais – Agriculture et développement rural – Commission européenne</w:t>
        </w:r>
      </w:hyperlink>
      <w:r>
        <w:rPr>
          <w:rFonts w:ascii="Times New Roman" w:hAnsi="Times New Roman"/>
        </w:rPr>
        <w:t>.</w:t>
      </w:r>
    </w:p>
  </w:footnote>
  <w:footnote w:id="12">
    <w:p w14:paraId="0AE864E3" w14:textId="21135F59" w:rsidR="0085117D" w:rsidRPr="001C18F0" w:rsidRDefault="0085117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https://ec.europa.eu/commission/presscorner/detail/fr/ip_26_894</w:t>
        </w:r>
      </w:hyperlink>
      <w:r>
        <w:rPr>
          <w:rFonts w:ascii="Times New Roman" w:hAnsi="Times New Roman"/>
        </w:rPr>
        <w:t>.</w:t>
      </w:r>
    </w:p>
  </w:footnote>
  <w:footnote w:id="13">
    <w:p w14:paraId="3784856C" w14:textId="7F3D8A68" w:rsidR="00731EEE" w:rsidRPr="001C18F0" w:rsidRDefault="00731EEE" w:rsidP="00731EE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Réseau européen de la PAC</w:t>
        </w:r>
      </w:hyperlink>
      <w:r>
        <w:t>.</w:t>
      </w:r>
    </w:p>
  </w:footnote>
  <w:footnote w:id="14">
    <w:p w14:paraId="594AD80A" w14:textId="53055C59" w:rsidR="006D19C7" w:rsidRPr="00617A04" w:rsidRDefault="006D19C7" w:rsidP="006D19C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de la Commission, AccelerateEU – Union de l’énergie – Une énergie sûre et abordable grâce à une action accélérée, COM(2026) 370 final.</w:t>
      </w:r>
    </w:p>
  </w:footnote>
  <w:footnote w:id="15">
    <w:p w14:paraId="50082F42" w14:textId="79C5D4A1" w:rsidR="00D251A1" w:rsidRPr="00D251A1" w:rsidRDefault="00D251A1">
      <w:pPr>
        <w:pStyle w:val="FootnoteText"/>
      </w:pPr>
      <w:r>
        <w:rPr>
          <w:rStyle w:val="FootnoteReference"/>
        </w:rPr>
        <w:footnoteRef/>
      </w:r>
      <w:r>
        <w:t xml:space="preserve"> </w:t>
      </w:r>
      <w:hyperlink r:id="rId9" w:history="1">
        <w:r>
          <w:rPr>
            <w:rStyle w:val="Hyperlink"/>
            <w:rFonts w:ascii="Times New Roman" w:hAnsi="Times New Roman"/>
          </w:rPr>
          <w:t>Registre de documents de la Commission — COM(2026) 99</w:t>
        </w:r>
      </w:hyperlink>
      <w:r>
        <w:t>.</w:t>
      </w:r>
    </w:p>
  </w:footnote>
  <w:footnote w:id="16">
    <w:p w14:paraId="535D63F2" w14:textId="37C7517B" w:rsidR="00197F24" w:rsidRPr="001C18F0" w:rsidRDefault="00197F24" w:rsidP="00197F24">
      <w:pPr>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t xml:space="preserve"> </w:t>
      </w:r>
      <w:r>
        <w:rPr>
          <w:rFonts w:ascii="Times New Roman" w:hAnsi="Times New Roman"/>
          <w:sz w:val="20"/>
        </w:rPr>
        <w:t>Règlement (UE) 2024/2747 du Parlement européen et du Conseil du 9 octobre 2024 établissant un cadre de mesures relatives à une situation d’urgence dans le marché intérieur et à la résilience du marché intérieur et modifiant le règlement (CE) nº 2679/98 du Conseil (règlement sur les situations d’urgence dans le marché intérieur et la résilience du marché intérieur) (Texte présentant de l’intérêt pour l’EEE)</w:t>
      </w:r>
      <w:hyperlink r:id="rId10" w:history="1">
        <w:r>
          <w:rPr>
            <w:rStyle w:val="Hyperlink"/>
            <w:rFonts w:ascii="Times New Roman" w:hAnsi="Times New Roman"/>
            <w:sz w:val="20"/>
          </w:rPr>
          <w:t>Règlement - UE - 2024/2747 - FR - EUR-Lex</w:t>
        </w:r>
      </w:hyperlink>
      <w:r>
        <w:rPr>
          <w:rFonts w:ascii="Times New Roman" w:hAnsi="Times New Roman"/>
          <w:sz w:val="20"/>
        </w:rPr>
        <w:t>, applicable à partir du 29 mai 2026.</w:t>
      </w:r>
    </w:p>
  </w:footnote>
  <w:footnote w:id="17">
    <w:p w14:paraId="2D7C1F7C" w14:textId="748DA6C2" w:rsidR="00863E86" w:rsidRPr="001C18F0" w:rsidRDefault="00863E86" w:rsidP="00863E8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Registre de documents de la Commission — COM(2026) 99</w:t>
        </w:r>
      </w:hyperlink>
      <w:r>
        <w:t>.</w:t>
      </w:r>
    </w:p>
  </w:footnote>
  <w:footnote w:id="18">
    <w:p w14:paraId="459790A0" w14:textId="77777777" w:rsidR="00DF2B4B" w:rsidRPr="00617A04" w:rsidRDefault="00DF2B4B" w:rsidP="00DF2B4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Règlement d’exécution (UE) 2025/2620 de la Commission</w:t>
        </w:r>
      </w:hyperlink>
      <w:r>
        <w:t>.</w:t>
      </w:r>
      <w:r>
        <w:rPr>
          <w:rFonts w:ascii="Times New Roman" w:hAnsi="Times New Roman"/>
        </w:rPr>
        <w:t xml:space="preserve"> Pour l’année 2026, les prix trimestriels sont publiés sur le </w:t>
      </w:r>
      <w:hyperlink r:id="rId13" w:history="1">
        <w:r>
          <w:rPr>
            <w:rStyle w:val="Hyperlink"/>
            <w:rFonts w:ascii="Times New Roman" w:hAnsi="Times New Roman"/>
          </w:rPr>
          <w:t>portail web du MACF</w:t>
        </w:r>
      </w:hyperlink>
      <w:r>
        <w:rPr>
          <w:rFonts w:ascii="Times New Roman" w:hAnsi="Times New Roman"/>
        </w:rPr>
        <w:t>.</w:t>
      </w:r>
    </w:p>
  </w:footnote>
  <w:footnote w:id="19">
    <w:p w14:paraId="50E43A1A" w14:textId="322F58D9" w:rsidR="00105431" w:rsidRPr="00105431" w:rsidRDefault="00105431">
      <w:pPr>
        <w:pStyle w:val="FootnoteText"/>
      </w:pPr>
      <w:r>
        <w:rPr>
          <w:rStyle w:val="FootnoteReference"/>
        </w:rPr>
        <w:footnoteRef/>
      </w:r>
      <w:r>
        <w:t xml:space="preserve"> </w:t>
      </w:r>
      <w:hyperlink r:id="rId14" w:history="1">
        <w:r>
          <w:rPr>
            <w:rFonts w:ascii="Times New Roman" w:hAnsi="Times New Roman"/>
            <w:color w:val="0000FF"/>
            <w:u w:val="single"/>
          </w:rPr>
          <w:t>Stratégie «Global Gateway» – Commission européenne</w:t>
        </w:r>
      </w:hyperlink>
      <w:r>
        <w:t>.</w:t>
      </w:r>
    </w:p>
  </w:footnote>
  <w:footnote w:id="20">
    <w:p w14:paraId="3B47266D" w14:textId="5D705625" w:rsidR="00105431" w:rsidRPr="006359C8" w:rsidRDefault="00105431">
      <w:pPr>
        <w:pStyle w:val="FootnoteText"/>
      </w:pPr>
      <w:r>
        <w:rPr>
          <w:rStyle w:val="FootnoteReference"/>
        </w:rPr>
        <w:footnoteRef/>
      </w:r>
      <w:r>
        <w:t xml:space="preserve"> </w:t>
      </w:r>
      <w:hyperlink r:id="rId15" w:anchor="Qu’est-ce que l’Équipe Europe?" w:history="1">
        <w:r>
          <w:rPr>
            <w:rFonts w:ascii="Times New Roman" w:hAnsi="Times New Roman"/>
            <w:color w:val="0000FF"/>
            <w:u w:val="single"/>
          </w:rPr>
          <w:t>Initiatives de l’Équipe Europe – Partenariats internationaux – Commission européenne</w:t>
        </w:r>
      </w:hyperlink>
      <w:r>
        <w:t>.</w:t>
      </w:r>
    </w:p>
  </w:footnote>
  <w:footnote w:id="21">
    <w:p w14:paraId="68B1BC3B" w14:textId="0CE66E50" w:rsidR="007622CC" w:rsidRPr="001C18F0" w:rsidRDefault="007622C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Fonts w:ascii="Times New Roman" w:hAnsi="Times New Roman"/>
            <w:color w:val="0000FF"/>
            <w:u w:val="single"/>
          </w:rPr>
          <w:t>Constitution de stocks – Protection civile et opérations d’aide humanitaire européennes</w:t>
        </w:r>
      </w:hyperlink>
    </w:p>
  </w:footnote>
  <w:footnote w:id="22">
    <w:p w14:paraId="24C65CC1" w14:textId="7CBE3C11" w:rsidR="00A7591F" w:rsidRPr="001C18F0" w:rsidRDefault="00A7591F" w:rsidP="00A7591F">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Un cadre stratégique pour une bioéconomie européenne compétitive et durable, COM(2025) 960 final,</w:t>
      </w:r>
      <w:hyperlink r:id="rId17" w:history="1">
        <w:r>
          <w:rPr>
            <w:rFonts w:ascii="Times New Roman" w:hAnsi="Times New Roman"/>
            <w:color w:val="0000FF"/>
            <w:u w:val="single"/>
          </w:rPr>
          <w:t xml:space="preserve"> EUR-Lex - 52025DC0960 - FR - EUR-Lex</w:t>
        </w:r>
      </w:hyperlink>
      <w:r>
        <w:rPr>
          <w:rFonts w:ascii="Times New Roman" w:hAnsi="Times New Roman"/>
        </w:rPr>
        <w:t>.</w:t>
      </w:r>
    </w:p>
  </w:footnote>
  <w:footnote w:id="23">
    <w:p w14:paraId="1B4118B0" w14:textId="2913542F" w:rsidR="00EB51AD" w:rsidRPr="001C18F0" w:rsidRDefault="00EB51AD" w:rsidP="00EB51AD">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Directive (UE) 2024/3019 du Parlement européen et du Conseil du 27 novembre 2024 relative au traitement des eaux résiduaires urbaines (refonte) (Texte présentant de l’intérêt pour l’EEE)</w:t>
      </w:r>
      <w:r>
        <w:t xml:space="preserve">, </w:t>
      </w:r>
      <w:hyperlink r:id="rId18" w:history="1">
        <w:r>
          <w:rPr>
            <w:rStyle w:val="Hyperlink"/>
            <w:rFonts w:ascii="Times New Roman" w:hAnsi="Times New Roman"/>
          </w:rPr>
          <w:t>Directive - UE - 2024/3019 - FR - EUR-Lex</w:t>
        </w:r>
      </w:hyperlink>
      <w:r>
        <w:t>.</w:t>
      </w:r>
    </w:p>
  </w:footnote>
  <w:footnote w:id="24">
    <w:p w14:paraId="53C60D9C" w14:textId="65915A3A" w:rsidR="004051E2" w:rsidRPr="003700C8" w:rsidRDefault="004051E2" w:rsidP="00405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2008/98/CE du Parlement européen et du Conseil du 19 novembre 2008 relative aux déchets et abrogeant certaines directives (Texte présentant de l’intérêt pour l’EEE), </w:t>
      </w:r>
      <w:hyperlink r:id="rId19" w:tgtFrame="_blank" w:history="1">
        <w:r>
          <w:rPr>
            <w:rStyle w:val="Hyperlink"/>
            <w:rFonts w:ascii="Times New Roman" w:hAnsi="Times New Roman"/>
          </w:rPr>
          <w:t>EUR-Lex - 02008L0098-20251016 - FR - EUR-Lex</w:t>
        </w:r>
      </w:hyperlink>
      <w:r>
        <w:rPr>
          <w:rFonts w:ascii="Times New Roman" w:hAnsi="Times New Roman"/>
        </w:rPr>
        <w:t>.</w:t>
      </w:r>
    </w:p>
  </w:footnote>
  <w:footnote w:id="25">
    <w:p w14:paraId="4C6E77E5" w14:textId="143F4408" w:rsidR="003F2781" w:rsidRPr="00C37A07" w:rsidRDefault="003F2781" w:rsidP="003F278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Communication de la Commission – Lignes directrices concernant les aides d’État dans les secteurs agricole et forestier et dans les zones rurales (JO C 485 du 21.12.2022, p. 1, </w:t>
      </w:r>
      <w:hyperlink r:id="rId20" w:history="1">
        <w:r>
          <w:rPr>
            <w:rStyle w:val="Hyperlink"/>
            <w:rFonts w:ascii="Times New Roman" w:hAnsi="Times New Roman"/>
            <w:sz w:val="18"/>
          </w:rPr>
          <w:t>EUR-Lex - 02022XC1221(01)-20240305 - FR - EUR-Lex</w:t>
        </w:r>
      </w:hyperlink>
      <w:r>
        <w:t>).</w:t>
      </w:r>
      <w:r>
        <w:rPr>
          <w:rFonts w:ascii="Times New Roman" w:hAnsi="Times New Roman"/>
          <w:sz w:val="18"/>
        </w:rPr>
        <w:t xml:space="preserve"> </w:t>
      </w:r>
    </w:p>
  </w:footnote>
  <w:footnote w:id="26">
    <w:p w14:paraId="44FA753E" w14:textId="77777777" w:rsidR="003F2781" w:rsidRPr="00C37A07" w:rsidRDefault="003F2781" w:rsidP="003F278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sz w:val="18"/>
        </w:rPr>
        <w:t xml:space="preserve"> </w:t>
      </w:r>
      <w:r>
        <w:rPr>
          <w:rFonts w:ascii="Times New Roman" w:hAnsi="Times New Roman"/>
          <w:sz w:val="18"/>
        </w:rPr>
        <w:t xml:space="preserve"> Règlement (UE) 2022/2472 de la Commission du 14 décembre 2022 déclarant certaines catégories d’aides dans les secteurs agricole et forestier et dans les zones rurales compatibles avec le marché intérieur en application des articles 107 et 108 du traité sur le fonctionnement de l’Union européenne (JO L 327 du 21.12.2022, p. 1, ELI:</w:t>
      </w:r>
      <w:r>
        <w:rPr>
          <w:rStyle w:val="FootnoteReference"/>
          <w:rFonts w:ascii="Times New Roman" w:hAnsi="Times New Roman"/>
          <w:sz w:val="18"/>
          <w:vertAlign w:val="baseline"/>
        </w:rPr>
        <w:t> </w:t>
      </w:r>
      <w:hyperlink r:id="rId21" w:tooltip="Permet d’accéder à ce document par l’intermédiaire de son URI ELI." w:history="1">
        <w:r>
          <w:rPr>
            <w:rStyle w:val="FootnoteReference"/>
            <w:rFonts w:ascii="Times New Roman" w:hAnsi="Times New Roman"/>
            <w:sz w:val="18"/>
            <w:vertAlign w:val="baseline"/>
          </w:rPr>
          <w:t>http://data.europa.eu/eli/reg/2022/2472/oj</w:t>
        </w:r>
      </w:hyperlink>
      <w:r>
        <w:t>).</w:t>
      </w:r>
    </w:p>
  </w:footnote>
  <w:footnote w:id="27">
    <w:p w14:paraId="0C842EE3" w14:textId="77777777" w:rsidR="004C2CFE" w:rsidRDefault="00AB71C1" w:rsidP="004C2CFE">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sz w:val="18"/>
        </w:rPr>
        <w:t>Règlement (UE) 2019/515 du Parlement européen et du Conseil du 19 mars 2019 relatif à la reconnaissance mutuelle des biens commercialisés légalement dans un autre État membre et abrogeant le règlement (CE) nº 764/2008 (Texte présentant de l’intérêt pour l’EEE).</w:t>
      </w:r>
    </w:p>
    <w:p w14:paraId="6F6B35F6" w14:textId="46078026" w:rsidR="00AB71C1" w:rsidRPr="007C6454" w:rsidRDefault="00AB71C1">
      <w:pPr>
        <w:pStyle w:val="FootnoteText"/>
      </w:pPr>
    </w:p>
  </w:footnote>
  <w:footnote w:id="28">
    <w:p w14:paraId="208FD3A2" w14:textId="566BB06D" w:rsidR="005870A2" w:rsidRPr="00850FDC" w:rsidRDefault="005870A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2" w:history="1">
        <w:r>
          <w:rPr>
            <w:rFonts w:ascii="Times New Roman" w:hAnsi="Times New Roman"/>
            <w:color w:val="0000FF"/>
            <w:u w:val="single"/>
          </w:rPr>
          <w:t>Système d’échange de quotas d’émission de l’UE (SEQE-UE) – Action pour le climat – Commission européenne</w:t>
        </w:r>
      </w:hyperlink>
      <w:r>
        <w:rPr>
          <w:rFonts w:ascii="Times New Roman" w:hAnsi="Times New Roman"/>
        </w:rPr>
        <w:t>.</w:t>
      </w:r>
    </w:p>
  </w:footnote>
  <w:footnote w:id="29">
    <w:p w14:paraId="16414533" w14:textId="78C6B3F9" w:rsidR="00F37855" w:rsidRPr="00044AB1" w:rsidRDefault="00F37855" w:rsidP="00F3785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3" w:history="1">
        <w:r>
          <w:rPr>
            <w:rStyle w:val="Hyperlink"/>
            <w:rFonts w:ascii="Times New Roman" w:hAnsi="Times New Roman"/>
          </w:rPr>
          <w:t>Fonds pour l’innovation – Action pour le climat – Commission européenne</w:t>
        </w:r>
      </w:hyperlink>
      <w:r>
        <w:rPr>
          <w:rFonts w:ascii="Times New Roman" w:hAnsi="Times New Roman"/>
        </w:rPr>
        <w:t>.</w:t>
      </w:r>
    </w:p>
  </w:footnote>
  <w:footnote w:id="30">
    <w:p w14:paraId="76265474" w14:textId="4AA711F5" w:rsidR="00F13754" w:rsidRPr="003C1F55" w:rsidRDefault="00F13754" w:rsidP="00F13754">
      <w:pPr>
        <w:pStyle w:val="FootnoteText"/>
        <w:rPr>
          <w:rFonts w:ascii="Times New Roman" w:hAnsi="Times New Roman" w:cs="Times New Roman"/>
          <w:lang w:val="en-IE"/>
        </w:rPr>
      </w:pPr>
      <w:r>
        <w:rPr>
          <w:rFonts w:ascii="Times New Roman" w:hAnsi="Times New Roman" w:cs="Times New Roman"/>
          <w:vertAlign w:val="superscript"/>
        </w:rPr>
        <w:footnoteRef/>
      </w:r>
      <w:r w:rsidRPr="003C1F55">
        <w:rPr>
          <w:rFonts w:ascii="Times New Roman" w:hAnsi="Times New Roman"/>
          <w:lang w:val="en-IE"/>
        </w:rPr>
        <w:t xml:space="preserve"> </w:t>
      </w:r>
      <w:hyperlink r:id="rId24">
        <w:r w:rsidRPr="003C1F55">
          <w:rPr>
            <w:rStyle w:val="Hyperlink"/>
            <w:rFonts w:ascii="Times New Roman" w:hAnsi="Times New Roman"/>
            <w:lang w:val="en-IE"/>
          </w:rPr>
          <w:t>Home |</w:t>
        </w:r>
      </w:hyperlink>
      <w:hyperlink r:id="rId25">
        <w:r w:rsidRPr="003C1F55">
          <w:rPr>
            <w:rStyle w:val="Hyperlink"/>
            <w:rFonts w:ascii="Times New Roman" w:hAnsi="Times New Roman"/>
            <w:lang w:val="en-IE"/>
          </w:rPr>
          <w:t xml:space="preserve"> Circular Bio-based Europe Joint Undertaking (CBE JU)</w:t>
        </w:r>
      </w:hyperlink>
      <w:r w:rsidRPr="003C1F55">
        <w:rPr>
          <w:rFonts w:ascii="Times New Roman" w:hAnsi="Times New Roman"/>
          <w:lang w:val="en-IE"/>
        </w:rPr>
        <w:t>.</w:t>
      </w:r>
    </w:p>
  </w:footnote>
  <w:footnote w:id="31">
    <w:p w14:paraId="35054904" w14:textId="79F348F8" w:rsidR="001923A6" w:rsidRPr="001C18F0" w:rsidRDefault="001923A6" w:rsidP="001923A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6" w:history="1">
        <w:r>
          <w:rPr>
            <w:rStyle w:val="Hyperlink"/>
            <w:rFonts w:ascii="Times New Roman" w:hAnsi="Times New Roman"/>
          </w:rPr>
          <w:t>Boussole pour la compétitivité – Commission européenne</w:t>
        </w:r>
      </w:hyperlink>
      <w:r>
        <w:rPr>
          <w:rFonts w:ascii="Times New Roman" w:hAnsi="Times New Roman"/>
        </w:rPr>
        <w:t>.</w:t>
      </w:r>
    </w:p>
  </w:footnote>
  <w:footnote w:id="32">
    <w:p w14:paraId="1A4F2CC3" w14:textId="5F4DD85B" w:rsidR="00887713" w:rsidRPr="003C1F55" w:rsidRDefault="00887713" w:rsidP="00887713">
      <w:pPr>
        <w:pStyle w:val="FootnoteText"/>
        <w:rPr>
          <w:lang w:val="en-IE"/>
        </w:rPr>
      </w:pPr>
      <w:r>
        <w:rPr>
          <w:rFonts w:ascii="Times New Roman" w:hAnsi="Times New Roman" w:cs="Times New Roman"/>
          <w:vertAlign w:val="superscript"/>
        </w:rPr>
        <w:footnoteRef/>
      </w:r>
      <w:r w:rsidRPr="003C1F55">
        <w:rPr>
          <w:rFonts w:ascii="Times New Roman" w:hAnsi="Times New Roman"/>
          <w:vertAlign w:val="superscript"/>
          <w:lang w:val="en-IE"/>
        </w:rPr>
        <w:t xml:space="preserve"> </w:t>
      </w:r>
      <w:hyperlink r:id="rId27" w:history="1">
        <w:r w:rsidRPr="003C1F55">
          <w:rPr>
            <w:rStyle w:val="Hyperlink"/>
            <w:rFonts w:ascii="Times New Roman" w:hAnsi="Times New Roman"/>
            <w:lang w:val="en-IE"/>
          </w:rPr>
          <w:t>European Bioeconomy Investment Deployment Group:</w:t>
        </w:r>
      </w:hyperlink>
      <w:hyperlink r:id="rId28" w:history="1">
        <w:r w:rsidRPr="003C1F55">
          <w:rPr>
            <w:rStyle w:val="Hyperlink"/>
            <w:rFonts w:ascii="Times New Roman" w:hAnsi="Times New Roman"/>
            <w:lang w:val="en-IE"/>
          </w:rPr>
          <w:t xml:space="preserve"> building the financial backbone of Europe’s bio-based future |</w:t>
        </w:r>
      </w:hyperlink>
      <w:hyperlink r:id="rId29" w:history="1">
        <w:r w:rsidRPr="003C1F55">
          <w:rPr>
            <w:rStyle w:val="Hyperlink"/>
            <w:rFonts w:ascii="Times New Roman" w:hAnsi="Times New Roman"/>
            <w:lang w:val="en-IE"/>
          </w:rPr>
          <w:t xml:space="preserve"> Circular Bio-based Europe Joint Undertaking (CBE JU)</w:t>
        </w:r>
      </w:hyperlink>
      <w:r w:rsidRPr="003C1F55">
        <w:rPr>
          <w:rFonts w:ascii="Times New Roman" w:hAnsi="Times New Roman"/>
          <w:lang w:val="en-IE"/>
        </w:rPr>
        <w:t>.</w:t>
      </w:r>
    </w:p>
  </w:footnote>
  <w:footnote w:id="33">
    <w:p w14:paraId="1F5B2E1F" w14:textId="77777777" w:rsidR="00634963" w:rsidRPr="003C1F55" w:rsidRDefault="00634963" w:rsidP="00634963">
      <w:pPr>
        <w:pStyle w:val="FootnoteText"/>
        <w:rPr>
          <w:rFonts w:ascii="Times New Roman" w:hAnsi="Times New Roman" w:cs="Times New Roman"/>
          <w:lang w:val="en-IE"/>
        </w:rPr>
      </w:pPr>
      <w:r>
        <w:rPr>
          <w:rStyle w:val="FootnoteReference"/>
          <w:rFonts w:ascii="Times New Roman" w:hAnsi="Times New Roman" w:cs="Times New Roman"/>
        </w:rPr>
        <w:footnoteRef/>
      </w:r>
      <w:r w:rsidRPr="003C1F55">
        <w:rPr>
          <w:rFonts w:ascii="Times New Roman" w:hAnsi="Times New Roman"/>
          <w:lang w:val="en-IE"/>
        </w:rPr>
        <w:t xml:space="preserve"> </w:t>
      </w:r>
      <w:hyperlink r:id="rId30" w:history="1">
        <w:r w:rsidRPr="003C1F55">
          <w:rPr>
            <w:rStyle w:val="Hyperlink"/>
            <w:rFonts w:ascii="Times New Roman" w:hAnsi="Times New Roman"/>
            <w:lang w:val="en-IE"/>
          </w:rPr>
          <w:t>Growth – European Competitiveness Fund:</w:t>
        </w:r>
      </w:hyperlink>
      <w:hyperlink r:id="rId31" w:history="1">
        <w:r w:rsidRPr="003C1F55">
          <w:rPr>
            <w:rStyle w:val="Hyperlink"/>
            <w:rFonts w:ascii="Times New Roman" w:hAnsi="Times New Roman"/>
            <w:lang w:val="en-IE"/>
          </w:rPr>
          <w:t xml:space="preserve"> helping Europe invest smarter, compete stronger and respond faster to geopolitical challenges</w:t>
        </w:r>
      </w:hyperlink>
      <w:r w:rsidRPr="003C1F55">
        <w:rPr>
          <w:rFonts w:ascii="Times New Roman" w:hAnsi="Times New Roman"/>
          <w:lang w:val="en-IE"/>
        </w:rPr>
        <w:t>.</w:t>
      </w:r>
    </w:p>
  </w:footnote>
  <w:footnote w:id="34">
    <w:p w14:paraId="691D8D9A" w14:textId="0543597E" w:rsidR="00294EB9" w:rsidRPr="001C18F0" w:rsidRDefault="00294EB9" w:rsidP="00294EB9">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Communication de la Commission – Encadrement des aides d’État visant à soutenir le pacte pour une industrie propre (encadrement des aides d’État dans le cadre du pacte pour une industrie propre), C(2025) 3602.</w:t>
      </w:r>
    </w:p>
  </w:footnote>
  <w:footnote w:id="35">
    <w:p w14:paraId="2DCE4163" w14:textId="1851B472" w:rsidR="00294EB9" w:rsidRPr="001C18F0" w:rsidRDefault="00294EB9" w:rsidP="00294EB9">
      <w:pPr>
        <w:pStyle w:val="title-bold"/>
        <w:shd w:val="clear" w:color="auto" w:fill="FFFFFF"/>
        <w:spacing w:before="0" w:beforeAutospacing="0" w:after="75" w:afterAutospacing="0"/>
        <w:rPr>
          <w:sz w:val="20"/>
          <w:szCs w:val="20"/>
        </w:rPr>
      </w:pPr>
      <w:r>
        <w:rPr>
          <w:rStyle w:val="FootnoteReference"/>
          <w:sz w:val="20"/>
          <w:szCs w:val="20"/>
        </w:rPr>
        <w:footnoteRef/>
      </w:r>
      <w:r>
        <w:rPr>
          <w:sz w:val="20"/>
        </w:rPr>
        <w:t xml:space="preserve"> Communication de la Commission – Lignes directrices concernant les aides d’État au climat, à la protection de l’environnement et à l’énergie pour 2022, C(2022) 481, </w:t>
      </w:r>
      <w:hyperlink r:id="rId32" w:history="1">
        <w:r>
          <w:rPr>
            <w:color w:val="0000FF"/>
            <w:sz w:val="20"/>
            <w:u w:val="single"/>
          </w:rPr>
          <w:t>EUR-Lex - 52022XC0218(03) - FR - EUR-Lex</w:t>
        </w:r>
      </w:hyperlink>
      <w:r>
        <w:rPr>
          <w:sz w:val="20"/>
        </w:rPr>
        <w:t>.</w:t>
      </w:r>
    </w:p>
  </w:footnote>
  <w:footnote w:id="36">
    <w:p w14:paraId="5CAF30C7" w14:textId="15C0E3C1" w:rsidR="00294EB9" w:rsidRPr="00617A04" w:rsidRDefault="00294EB9" w:rsidP="00294EB9">
      <w:pPr>
        <w:pStyle w:val="title-bold"/>
        <w:shd w:val="clear" w:color="auto" w:fill="FFFFFF"/>
        <w:spacing w:before="0" w:beforeAutospacing="0" w:after="75" w:afterAutospacing="0"/>
        <w:rPr>
          <w:sz w:val="20"/>
          <w:szCs w:val="20"/>
        </w:rPr>
      </w:pPr>
      <w:r>
        <w:rPr>
          <w:rStyle w:val="FootnoteReference"/>
          <w:sz w:val="20"/>
          <w:szCs w:val="20"/>
        </w:rPr>
        <w:footnoteRef/>
      </w:r>
      <w:r>
        <w:rPr>
          <w:sz w:val="20"/>
        </w:rPr>
        <w:t xml:space="preserve"> Communication de la Commission – Encadrement des aides d’État à la recherche, au développement et à l’innovation, 2022/C 414/01, C(2022) 7388, </w:t>
      </w:r>
      <w:hyperlink r:id="rId33" w:history="1">
        <w:r>
          <w:rPr>
            <w:color w:val="0000FF"/>
            <w:sz w:val="20"/>
            <w:u w:val="single"/>
          </w:rPr>
          <w:t>EUR-Lex - 52022XC1028(03) - FR - EUR-Lex</w:t>
        </w:r>
      </w:hyperlink>
      <w:r>
        <w:rPr>
          <w:sz w:val="20"/>
        </w:rPr>
        <w:t>.</w:t>
      </w:r>
    </w:p>
  </w:footnote>
  <w:footnote w:id="37">
    <w:p w14:paraId="66AB6CC7" w14:textId="57019F6B" w:rsidR="009F5EB4" w:rsidRPr="00D31DD3" w:rsidRDefault="009F5EB4" w:rsidP="009F5EB4">
      <w:pPr>
        <w:pStyle w:val="FootnoteText"/>
      </w:pPr>
      <w:r>
        <w:rPr>
          <w:rStyle w:val="FootnoteReference"/>
        </w:rPr>
        <w:footnoteRef/>
      </w:r>
      <w:r>
        <w:t xml:space="preserve"> </w:t>
      </w:r>
      <w:r>
        <w:rPr>
          <w:rFonts w:ascii="Times New Roman" w:hAnsi="Times New Roman"/>
        </w:rPr>
        <w:t>Comme la communauté de pratique «Cohésion pour les transitions» (C4T) ou le réseau européen des autorités environnementales et des autorités de gestion (ENEA-MA).</w:t>
      </w:r>
    </w:p>
  </w:footnote>
  <w:footnote w:id="38">
    <w:p w14:paraId="1835AE2A" w14:textId="71E83739" w:rsidR="00CE6F59" w:rsidRPr="001C18F0" w:rsidRDefault="00CE6F59" w:rsidP="00E77116">
      <w:pPr>
        <w:pStyle w:val="title-bold"/>
        <w:shd w:val="clear" w:color="auto" w:fill="FFFFFF"/>
        <w:spacing w:before="0" w:beforeAutospacing="0" w:after="75" w:afterAutospacing="0"/>
        <w:rPr>
          <w:sz w:val="20"/>
          <w:szCs w:val="20"/>
        </w:rPr>
      </w:pPr>
      <w:r>
        <w:rPr>
          <w:rStyle w:val="FootnoteReference"/>
          <w:sz w:val="20"/>
          <w:szCs w:val="20"/>
        </w:rPr>
        <w:footnoteRef/>
      </w:r>
      <w:r>
        <w:rPr>
          <w:sz w:val="20"/>
        </w:rPr>
        <w:t xml:space="preserve"> </w:t>
      </w:r>
      <w:r>
        <w:rPr>
          <w:color w:val="333333"/>
          <w:sz w:val="20"/>
        </w:rPr>
        <w:t>Une vision pour l’agriculture et l’alimentation — Œuvrer ensemble pour un secteur agricole et alimentaire européen attractif pour les générations futures, COM(2025) 75 final du 19 février 2025</w:t>
      </w:r>
      <w:r>
        <w:t xml:space="preserve">, </w:t>
      </w:r>
      <w:hyperlink r:id="rId34" w:history="1">
        <w:r>
          <w:rPr>
            <w:rStyle w:val="Hyperlink"/>
            <w:sz w:val="20"/>
          </w:rPr>
          <w:t>EUR-Lex - 52025DC0075 - FR - EUR-Lex</w:t>
        </w:r>
      </w:hyperlink>
      <w:r>
        <w:rPr>
          <w:sz w:val="20"/>
        </w:rPr>
        <w:t>.</w:t>
      </w:r>
    </w:p>
  </w:footnote>
  <w:footnote w:id="39">
    <w:p w14:paraId="0AB68C04" w14:textId="01AEF2EA" w:rsidR="00D07BEE" w:rsidRPr="001C18F0" w:rsidRDefault="00D07BEE" w:rsidP="00D07BEE">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Proposition de règlement du Parlement européen et du Conseil établissant les conditions relatives à la mise en œuvre du soutien de l’Union en faveur de la politique agricole commune pour la période allant de 2028 à 2034, COM(2025) 560 final, EUR-Lex - 52025PC0560 - FR</w:t>
      </w:r>
      <w:r>
        <w:t>.</w:t>
      </w:r>
    </w:p>
  </w:footnote>
  <w:footnote w:id="40">
    <w:p w14:paraId="3D525961" w14:textId="2FA9A56B" w:rsidR="00E77116" w:rsidRPr="001C18F0" w:rsidRDefault="00E7711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5" w:history="1">
        <w:r>
          <w:rPr>
            <w:rFonts w:ascii="Times New Roman" w:hAnsi="Times New Roman"/>
            <w:color w:val="0000FF"/>
            <w:u w:val="single"/>
          </w:rPr>
          <w:t>Fonds européen pour la cohésion économique, sociale et territoriale, l’agriculture et les zones rurales, la pêche et les affaires maritimes ainsi que la prospérité et la sécurité - Commission européenne</w:t>
        </w:r>
      </w:hyperlink>
      <w:r>
        <w:t>.</w:t>
      </w:r>
    </w:p>
  </w:footnote>
  <w:footnote w:id="41">
    <w:p w14:paraId="3376FA3E" w14:textId="36F66D45" w:rsidR="00245C95" w:rsidRPr="00617A04" w:rsidRDefault="00245C9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
            <w:rFonts w:ascii="Times New Roman" w:hAnsi="Times New Roman"/>
          </w:rPr>
          <w:t>Horizon Europe - le programme de financement de l’Union pour la recherche et l’innovation</w:t>
        </w:r>
      </w:hyperlink>
      <w:r>
        <w:t>.</w:t>
      </w:r>
    </w:p>
  </w:footnote>
  <w:footnote w:id="42">
    <w:p w14:paraId="5E0F1586" w14:textId="744DB31F" w:rsidR="00BF16A8" w:rsidRPr="001C18F0" w:rsidRDefault="00BF16A8" w:rsidP="00BF16A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L’objectif de la boussole de la durabilité dans les exploitations, tel que celui-ci est annoncé dans la vision pour l’agriculture et l’alimentation, est de réduire la complexité de la mise en conformité en permettant aux agriculteurs qui choisissent de participer de ne surveiller et de n’enregistrer qu’une seule fois les données sur la durabilité, ainsi qu’en facilitant le partage de données avec des organismes publics et des entreprises privées. La boussole faciliterait également la prise de décision sur l’adoption d’actions en faveur de l’environnement et du climat visant à améliorer les performances au niveau des exploitations.</w:t>
      </w:r>
    </w:p>
  </w:footnote>
  <w:footnote w:id="43">
    <w:p w14:paraId="03B9AB8C" w14:textId="0C2DCA40" w:rsidR="00BF16A8" w:rsidRPr="001C18F0" w:rsidRDefault="00BF16A8" w:rsidP="00BF16A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Dans sa stratégie pour la résilience dans le domaine de l’eau, la Commission a annoncé qu’elle lancerait en 2026-2027 une boîte à outils d’aide à l’intention des États membres afin de soutenir les actions visant à réduire la pollution par les nutriments, notamment au moyen d’une modélisation améliorée, de cartes interactives et d’échanges de bonnes pratiques.</w:t>
      </w:r>
    </w:p>
  </w:footnote>
  <w:footnote w:id="44">
    <w:p w14:paraId="35AE2EBB" w14:textId="2742BA0D" w:rsidR="009F4669" w:rsidRPr="00083DF3" w:rsidRDefault="009F4669">
      <w:pPr>
        <w:pStyle w:val="FootnoteText"/>
        <w:rPr>
          <w:rFonts w:ascii="Times New Roman" w:hAnsi="Times New Roman" w:cs="Times New Roman"/>
        </w:rPr>
      </w:pPr>
      <w:r>
        <w:rPr>
          <w:rStyle w:val="FootnoteReference"/>
        </w:rPr>
        <w:footnoteRef/>
      </w:r>
      <w:r>
        <w:rPr>
          <w:rFonts w:ascii="Times New Roman" w:hAnsi="Times New Roman"/>
          <w:color w:val="333333"/>
        </w:rPr>
        <w:t xml:space="preserve"> Directive 91/676/CEE du Conseil du 12 décembre 1991 concernant la protection des eaux contre la pollution par les nitrates à partir de sources agricoles</w:t>
      </w:r>
      <w:r>
        <w:t xml:space="preserve"> </w:t>
      </w:r>
      <w:hyperlink r:id="rId37" w:history="1">
        <w:r>
          <w:rPr>
            <w:rFonts w:ascii="Times New Roman" w:hAnsi="Times New Roman"/>
            <w:color w:val="0000FF"/>
            <w:u w:val="single"/>
          </w:rPr>
          <w:t>Directive - 91/676 - FR - EUR-Lex</w:t>
        </w:r>
      </w:hyperlink>
    </w:p>
  </w:footnote>
  <w:footnote w:id="45">
    <w:p w14:paraId="62F0DB01" w14:textId="23A9F5AE" w:rsidR="005C2355" w:rsidRPr="001C18F0" w:rsidRDefault="005C235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2024/3012.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4C143" w14:textId="77777777" w:rsidR="006B5A3F" w:rsidRPr="006B5A3F" w:rsidRDefault="006B5A3F" w:rsidP="006B5A3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78D95" w14:textId="77777777" w:rsidR="006B5A3F" w:rsidRPr="006B5A3F" w:rsidRDefault="006B5A3F" w:rsidP="006B5A3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280C8" w14:textId="77777777" w:rsidR="006B5A3F" w:rsidRPr="006B5A3F" w:rsidRDefault="006B5A3F" w:rsidP="006B5A3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3E2B3" w14:textId="77777777" w:rsidR="00BF4E1F" w:rsidRPr="0027307A" w:rsidRDefault="00BF4E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42D64" w14:textId="77777777" w:rsidR="00955F75" w:rsidRPr="0027307A" w:rsidRDefault="00955F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59489" w14:textId="77777777" w:rsidR="00CE3000" w:rsidRPr="0027307A" w:rsidRDefault="00CE3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24C6"/>
    <w:multiLevelType w:val="hybridMultilevel"/>
    <w:tmpl w:val="FFFFFFFF"/>
    <w:lvl w:ilvl="0" w:tplc="AE2A1B5E">
      <w:start w:val="1"/>
      <w:numFmt w:val="bullet"/>
      <w:lvlText w:val=""/>
      <w:lvlJc w:val="left"/>
      <w:pPr>
        <w:ind w:left="720" w:hanging="360"/>
      </w:pPr>
      <w:rPr>
        <w:rFonts w:ascii="Symbol" w:hAnsi="Symbol" w:hint="default"/>
      </w:rPr>
    </w:lvl>
    <w:lvl w:ilvl="1" w:tplc="387AFBF4">
      <w:start w:val="1"/>
      <w:numFmt w:val="bullet"/>
      <w:lvlText w:val="o"/>
      <w:lvlJc w:val="left"/>
      <w:pPr>
        <w:ind w:left="1440" w:hanging="360"/>
      </w:pPr>
      <w:rPr>
        <w:rFonts w:ascii="Courier New" w:hAnsi="Courier New" w:hint="default"/>
      </w:rPr>
    </w:lvl>
    <w:lvl w:ilvl="2" w:tplc="6498AC6E">
      <w:start w:val="1"/>
      <w:numFmt w:val="bullet"/>
      <w:lvlText w:val=""/>
      <w:lvlJc w:val="left"/>
      <w:pPr>
        <w:ind w:left="2160" w:hanging="360"/>
      </w:pPr>
      <w:rPr>
        <w:rFonts w:ascii="Wingdings" w:hAnsi="Wingdings" w:hint="default"/>
      </w:rPr>
    </w:lvl>
    <w:lvl w:ilvl="3" w:tplc="6AB8A64E">
      <w:start w:val="1"/>
      <w:numFmt w:val="bullet"/>
      <w:lvlText w:val=""/>
      <w:lvlJc w:val="left"/>
      <w:pPr>
        <w:ind w:left="2880" w:hanging="360"/>
      </w:pPr>
      <w:rPr>
        <w:rFonts w:ascii="Symbol" w:hAnsi="Symbol" w:hint="default"/>
      </w:rPr>
    </w:lvl>
    <w:lvl w:ilvl="4" w:tplc="855EFD5E">
      <w:start w:val="1"/>
      <w:numFmt w:val="bullet"/>
      <w:lvlText w:val="o"/>
      <w:lvlJc w:val="left"/>
      <w:pPr>
        <w:ind w:left="3600" w:hanging="360"/>
      </w:pPr>
      <w:rPr>
        <w:rFonts w:ascii="Courier New" w:hAnsi="Courier New" w:hint="default"/>
      </w:rPr>
    </w:lvl>
    <w:lvl w:ilvl="5" w:tplc="BABC7604">
      <w:start w:val="1"/>
      <w:numFmt w:val="bullet"/>
      <w:lvlText w:val=""/>
      <w:lvlJc w:val="left"/>
      <w:pPr>
        <w:ind w:left="4320" w:hanging="360"/>
      </w:pPr>
      <w:rPr>
        <w:rFonts w:ascii="Wingdings" w:hAnsi="Wingdings" w:hint="default"/>
      </w:rPr>
    </w:lvl>
    <w:lvl w:ilvl="6" w:tplc="F7B45A3A">
      <w:start w:val="1"/>
      <w:numFmt w:val="bullet"/>
      <w:lvlText w:val=""/>
      <w:lvlJc w:val="left"/>
      <w:pPr>
        <w:ind w:left="5040" w:hanging="360"/>
      </w:pPr>
      <w:rPr>
        <w:rFonts w:ascii="Symbol" w:hAnsi="Symbol" w:hint="default"/>
      </w:rPr>
    </w:lvl>
    <w:lvl w:ilvl="7" w:tplc="D6C01D08">
      <w:start w:val="1"/>
      <w:numFmt w:val="bullet"/>
      <w:lvlText w:val="o"/>
      <w:lvlJc w:val="left"/>
      <w:pPr>
        <w:ind w:left="5760" w:hanging="360"/>
      </w:pPr>
      <w:rPr>
        <w:rFonts w:ascii="Courier New" w:hAnsi="Courier New" w:hint="default"/>
      </w:rPr>
    </w:lvl>
    <w:lvl w:ilvl="8" w:tplc="3230E0D2">
      <w:start w:val="1"/>
      <w:numFmt w:val="bullet"/>
      <w:lvlText w:val=""/>
      <w:lvlJc w:val="left"/>
      <w:pPr>
        <w:ind w:left="6480" w:hanging="360"/>
      </w:pPr>
      <w:rPr>
        <w:rFonts w:ascii="Wingdings" w:hAnsi="Wingdings" w:hint="default"/>
      </w:rPr>
    </w:lvl>
  </w:abstractNum>
  <w:abstractNum w:abstractNumId="1" w15:restartNumberingAfterBreak="0">
    <w:nsid w:val="01EF53DB"/>
    <w:multiLevelType w:val="hybridMultilevel"/>
    <w:tmpl w:val="D640048A"/>
    <w:lvl w:ilvl="0" w:tplc="1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50FEE1"/>
    <w:multiLevelType w:val="hybridMultilevel"/>
    <w:tmpl w:val="FFFFFFFF"/>
    <w:lvl w:ilvl="0" w:tplc="2F1CD564">
      <w:start w:val="1"/>
      <w:numFmt w:val="bullet"/>
      <w:lvlText w:val=""/>
      <w:lvlJc w:val="left"/>
      <w:pPr>
        <w:ind w:left="720" w:hanging="360"/>
      </w:pPr>
      <w:rPr>
        <w:rFonts w:ascii="Symbol" w:hAnsi="Symbol" w:hint="default"/>
      </w:rPr>
    </w:lvl>
    <w:lvl w:ilvl="1" w:tplc="038C638E">
      <w:start w:val="1"/>
      <w:numFmt w:val="bullet"/>
      <w:lvlText w:val="o"/>
      <w:lvlJc w:val="left"/>
      <w:pPr>
        <w:ind w:left="1440" w:hanging="360"/>
      </w:pPr>
      <w:rPr>
        <w:rFonts w:ascii="Courier New" w:hAnsi="Courier New" w:hint="default"/>
      </w:rPr>
    </w:lvl>
    <w:lvl w:ilvl="2" w:tplc="C01EC782">
      <w:start w:val="1"/>
      <w:numFmt w:val="bullet"/>
      <w:lvlText w:val=""/>
      <w:lvlJc w:val="left"/>
      <w:pPr>
        <w:ind w:left="2160" w:hanging="360"/>
      </w:pPr>
      <w:rPr>
        <w:rFonts w:ascii="Wingdings" w:hAnsi="Wingdings" w:hint="default"/>
      </w:rPr>
    </w:lvl>
    <w:lvl w:ilvl="3" w:tplc="3E720288">
      <w:start w:val="1"/>
      <w:numFmt w:val="bullet"/>
      <w:lvlText w:val=""/>
      <w:lvlJc w:val="left"/>
      <w:pPr>
        <w:ind w:left="2880" w:hanging="360"/>
      </w:pPr>
      <w:rPr>
        <w:rFonts w:ascii="Symbol" w:hAnsi="Symbol" w:hint="default"/>
      </w:rPr>
    </w:lvl>
    <w:lvl w:ilvl="4" w:tplc="8DDEF5C0">
      <w:start w:val="1"/>
      <w:numFmt w:val="bullet"/>
      <w:lvlText w:val="o"/>
      <w:lvlJc w:val="left"/>
      <w:pPr>
        <w:ind w:left="3600" w:hanging="360"/>
      </w:pPr>
      <w:rPr>
        <w:rFonts w:ascii="Courier New" w:hAnsi="Courier New" w:hint="default"/>
      </w:rPr>
    </w:lvl>
    <w:lvl w:ilvl="5" w:tplc="59EE6400">
      <w:start w:val="1"/>
      <w:numFmt w:val="bullet"/>
      <w:lvlText w:val=""/>
      <w:lvlJc w:val="left"/>
      <w:pPr>
        <w:ind w:left="4320" w:hanging="360"/>
      </w:pPr>
      <w:rPr>
        <w:rFonts w:ascii="Wingdings" w:hAnsi="Wingdings" w:hint="default"/>
      </w:rPr>
    </w:lvl>
    <w:lvl w:ilvl="6" w:tplc="C8421A2E">
      <w:start w:val="1"/>
      <w:numFmt w:val="bullet"/>
      <w:lvlText w:val=""/>
      <w:lvlJc w:val="left"/>
      <w:pPr>
        <w:ind w:left="5040" w:hanging="360"/>
      </w:pPr>
      <w:rPr>
        <w:rFonts w:ascii="Symbol" w:hAnsi="Symbol" w:hint="default"/>
      </w:rPr>
    </w:lvl>
    <w:lvl w:ilvl="7" w:tplc="B23048FE">
      <w:start w:val="1"/>
      <w:numFmt w:val="bullet"/>
      <w:lvlText w:val="o"/>
      <w:lvlJc w:val="left"/>
      <w:pPr>
        <w:ind w:left="5760" w:hanging="360"/>
      </w:pPr>
      <w:rPr>
        <w:rFonts w:ascii="Courier New" w:hAnsi="Courier New" w:hint="default"/>
      </w:rPr>
    </w:lvl>
    <w:lvl w:ilvl="8" w:tplc="ADF4DE7A">
      <w:start w:val="1"/>
      <w:numFmt w:val="bullet"/>
      <w:lvlText w:val=""/>
      <w:lvlJc w:val="left"/>
      <w:pPr>
        <w:ind w:left="6480" w:hanging="360"/>
      </w:pPr>
      <w:rPr>
        <w:rFonts w:ascii="Wingdings" w:hAnsi="Wingdings" w:hint="default"/>
      </w:rPr>
    </w:lvl>
  </w:abstractNum>
  <w:abstractNum w:abstractNumId="3" w15:restartNumberingAfterBreak="0">
    <w:nsid w:val="077965A6"/>
    <w:multiLevelType w:val="hybridMultilevel"/>
    <w:tmpl w:val="E12843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1DC906"/>
    <w:multiLevelType w:val="hybridMultilevel"/>
    <w:tmpl w:val="FFFFFFFF"/>
    <w:lvl w:ilvl="0" w:tplc="8356E6B0">
      <w:start w:val="1"/>
      <w:numFmt w:val="bullet"/>
      <w:lvlText w:val=""/>
      <w:lvlJc w:val="left"/>
      <w:pPr>
        <w:ind w:left="720" w:hanging="360"/>
      </w:pPr>
      <w:rPr>
        <w:rFonts w:ascii="Symbol" w:hAnsi="Symbol" w:hint="default"/>
      </w:rPr>
    </w:lvl>
    <w:lvl w:ilvl="1" w:tplc="A1F00ABE">
      <w:start w:val="1"/>
      <w:numFmt w:val="bullet"/>
      <w:lvlText w:val="o"/>
      <w:lvlJc w:val="left"/>
      <w:pPr>
        <w:ind w:left="1440" w:hanging="360"/>
      </w:pPr>
      <w:rPr>
        <w:rFonts w:ascii="Courier New" w:hAnsi="Courier New" w:hint="default"/>
      </w:rPr>
    </w:lvl>
    <w:lvl w:ilvl="2" w:tplc="5CF242BE">
      <w:start w:val="1"/>
      <w:numFmt w:val="bullet"/>
      <w:lvlText w:val=""/>
      <w:lvlJc w:val="left"/>
      <w:pPr>
        <w:ind w:left="2160" w:hanging="360"/>
      </w:pPr>
      <w:rPr>
        <w:rFonts w:ascii="Wingdings" w:hAnsi="Wingdings" w:hint="default"/>
      </w:rPr>
    </w:lvl>
    <w:lvl w:ilvl="3" w:tplc="E06E7448">
      <w:start w:val="1"/>
      <w:numFmt w:val="bullet"/>
      <w:lvlText w:val=""/>
      <w:lvlJc w:val="left"/>
      <w:pPr>
        <w:ind w:left="2880" w:hanging="360"/>
      </w:pPr>
      <w:rPr>
        <w:rFonts w:ascii="Symbol" w:hAnsi="Symbol" w:hint="default"/>
      </w:rPr>
    </w:lvl>
    <w:lvl w:ilvl="4" w:tplc="475AD2FC">
      <w:start w:val="1"/>
      <w:numFmt w:val="bullet"/>
      <w:lvlText w:val="o"/>
      <w:lvlJc w:val="left"/>
      <w:pPr>
        <w:ind w:left="3600" w:hanging="360"/>
      </w:pPr>
      <w:rPr>
        <w:rFonts w:ascii="Courier New" w:hAnsi="Courier New" w:hint="default"/>
      </w:rPr>
    </w:lvl>
    <w:lvl w:ilvl="5" w:tplc="B8AC3C56">
      <w:start w:val="1"/>
      <w:numFmt w:val="bullet"/>
      <w:lvlText w:val=""/>
      <w:lvlJc w:val="left"/>
      <w:pPr>
        <w:ind w:left="4320" w:hanging="360"/>
      </w:pPr>
      <w:rPr>
        <w:rFonts w:ascii="Wingdings" w:hAnsi="Wingdings" w:hint="default"/>
      </w:rPr>
    </w:lvl>
    <w:lvl w:ilvl="6" w:tplc="FFD05EC6">
      <w:start w:val="1"/>
      <w:numFmt w:val="bullet"/>
      <w:lvlText w:val=""/>
      <w:lvlJc w:val="left"/>
      <w:pPr>
        <w:ind w:left="5040" w:hanging="360"/>
      </w:pPr>
      <w:rPr>
        <w:rFonts w:ascii="Symbol" w:hAnsi="Symbol" w:hint="default"/>
      </w:rPr>
    </w:lvl>
    <w:lvl w:ilvl="7" w:tplc="27C4DE92">
      <w:start w:val="1"/>
      <w:numFmt w:val="bullet"/>
      <w:lvlText w:val="o"/>
      <w:lvlJc w:val="left"/>
      <w:pPr>
        <w:ind w:left="5760" w:hanging="360"/>
      </w:pPr>
      <w:rPr>
        <w:rFonts w:ascii="Courier New" w:hAnsi="Courier New" w:hint="default"/>
      </w:rPr>
    </w:lvl>
    <w:lvl w:ilvl="8" w:tplc="052EF45A">
      <w:start w:val="1"/>
      <w:numFmt w:val="bullet"/>
      <w:lvlText w:val=""/>
      <w:lvlJc w:val="left"/>
      <w:pPr>
        <w:ind w:left="6480" w:hanging="360"/>
      </w:pPr>
      <w:rPr>
        <w:rFonts w:ascii="Wingdings" w:hAnsi="Wingdings" w:hint="default"/>
      </w:rPr>
    </w:lvl>
  </w:abstractNum>
  <w:abstractNum w:abstractNumId="5" w15:restartNumberingAfterBreak="0">
    <w:nsid w:val="0A175227"/>
    <w:multiLevelType w:val="hybridMultilevel"/>
    <w:tmpl w:val="D7FA0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2F2687"/>
    <w:multiLevelType w:val="hybridMultilevel"/>
    <w:tmpl w:val="FFFFFFFF"/>
    <w:lvl w:ilvl="0" w:tplc="1CC4E858">
      <w:start w:val="1"/>
      <w:numFmt w:val="bullet"/>
      <w:lvlText w:val=""/>
      <w:lvlJc w:val="left"/>
      <w:pPr>
        <w:ind w:left="720" w:hanging="360"/>
      </w:pPr>
      <w:rPr>
        <w:rFonts w:ascii="Symbol" w:hAnsi="Symbol" w:hint="default"/>
      </w:rPr>
    </w:lvl>
    <w:lvl w:ilvl="1" w:tplc="3CBA2346">
      <w:start w:val="1"/>
      <w:numFmt w:val="bullet"/>
      <w:lvlText w:val="o"/>
      <w:lvlJc w:val="left"/>
      <w:pPr>
        <w:ind w:left="1440" w:hanging="360"/>
      </w:pPr>
      <w:rPr>
        <w:rFonts w:ascii="Courier New" w:hAnsi="Courier New" w:hint="default"/>
      </w:rPr>
    </w:lvl>
    <w:lvl w:ilvl="2" w:tplc="846EE714">
      <w:start w:val="1"/>
      <w:numFmt w:val="bullet"/>
      <w:lvlText w:val=""/>
      <w:lvlJc w:val="left"/>
      <w:pPr>
        <w:ind w:left="2160" w:hanging="360"/>
      </w:pPr>
      <w:rPr>
        <w:rFonts w:ascii="Wingdings" w:hAnsi="Wingdings" w:hint="default"/>
      </w:rPr>
    </w:lvl>
    <w:lvl w:ilvl="3" w:tplc="74D0BDAC">
      <w:start w:val="1"/>
      <w:numFmt w:val="bullet"/>
      <w:lvlText w:val=""/>
      <w:lvlJc w:val="left"/>
      <w:pPr>
        <w:ind w:left="2880" w:hanging="360"/>
      </w:pPr>
      <w:rPr>
        <w:rFonts w:ascii="Symbol" w:hAnsi="Symbol" w:hint="default"/>
      </w:rPr>
    </w:lvl>
    <w:lvl w:ilvl="4" w:tplc="14660CC6">
      <w:start w:val="1"/>
      <w:numFmt w:val="bullet"/>
      <w:lvlText w:val="o"/>
      <w:lvlJc w:val="left"/>
      <w:pPr>
        <w:ind w:left="3600" w:hanging="360"/>
      </w:pPr>
      <w:rPr>
        <w:rFonts w:ascii="Courier New" w:hAnsi="Courier New" w:hint="default"/>
      </w:rPr>
    </w:lvl>
    <w:lvl w:ilvl="5" w:tplc="6950983E">
      <w:start w:val="1"/>
      <w:numFmt w:val="bullet"/>
      <w:lvlText w:val=""/>
      <w:lvlJc w:val="left"/>
      <w:pPr>
        <w:ind w:left="4320" w:hanging="360"/>
      </w:pPr>
      <w:rPr>
        <w:rFonts w:ascii="Wingdings" w:hAnsi="Wingdings" w:hint="default"/>
      </w:rPr>
    </w:lvl>
    <w:lvl w:ilvl="6" w:tplc="07D24A18">
      <w:start w:val="1"/>
      <w:numFmt w:val="bullet"/>
      <w:lvlText w:val=""/>
      <w:lvlJc w:val="left"/>
      <w:pPr>
        <w:ind w:left="5040" w:hanging="360"/>
      </w:pPr>
      <w:rPr>
        <w:rFonts w:ascii="Symbol" w:hAnsi="Symbol" w:hint="default"/>
      </w:rPr>
    </w:lvl>
    <w:lvl w:ilvl="7" w:tplc="D326FB44">
      <w:start w:val="1"/>
      <w:numFmt w:val="bullet"/>
      <w:lvlText w:val="o"/>
      <w:lvlJc w:val="left"/>
      <w:pPr>
        <w:ind w:left="5760" w:hanging="360"/>
      </w:pPr>
      <w:rPr>
        <w:rFonts w:ascii="Courier New" w:hAnsi="Courier New" w:hint="default"/>
      </w:rPr>
    </w:lvl>
    <w:lvl w:ilvl="8" w:tplc="0AEEC95E">
      <w:start w:val="1"/>
      <w:numFmt w:val="bullet"/>
      <w:lvlText w:val=""/>
      <w:lvlJc w:val="left"/>
      <w:pPr>
        <w:ind w:left="6480" w:hanging="360"/>
      </w:pPr>
      <w:rPr>
        <w:rFonts w:ascii="Wingdings" w:hAnsi="Wingdings" w:hint="default"/>
      </w:rPr>
    </w:lvl>
  </w:abstractNum>
  <w:abstractNum w:abstractNumId="7" w15:restartNumberingAfterBreak="0">
    <w:nsid w:val="109B3806"/>
    <w:multiLevelType w:val="hybridMultilevel"/>
    <w:tmpl w:val="7A8829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F96175"/>
    <w:multiLevelType w:val="hybridMultilevel"/>
    <w:tmpl w:val="1C7C420E"/>
    <w:lvl w:ilvl="0" w:tplc="608680AE">
      <w:start w:val="1"/>
      <w:numFmt w:val="decimal"/>
      <w:lvlText w:val="%1."/>
      <w:lvlJc w:val="left"/>
      <w:pPr>
        <w:ind w:left="720" w:hanging="360"/>
      </w:pPr>
      <w:rPr>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739AF"/>
    <w:multiLevelType w:val="hybridMultilevel"/>
    <w:tmpl w:val="FFFFFFFF"/>
    <w:lvl w:ilvl="0" w:tplc="F2101562">
      <w:start w:val="1"/>
      <w:numFmt w:val="bullet"/>
      <w:lvlText w:val=""/>
      <w:lvlJc w:val="left"/>
      <w:pPr>
        <w:ind w:left="720" w:hanging="360"/>
      </w:pPr>
      <w:rPr>
        <w:rFonts w:ascii="Symbol" w:hAnsi="Symbol" w:hint="default"/>
      </w:rPr>
    </w:lvl>
    <w:lvl w:ilvl="1" w:tplc="ABDC97BE">
      <w:start w:val="1"/>
      <w:numFmt w:val="bullet"/>
      <w:lvlText w:val="o"/>
      <w:lvlJc w:val="left"/>
      <w:pPr>
        <w:ind w:left="1440" w:hanging="360"/>
      </w:pPr>
      <w:rPr>
        <w:rFonts w:ascii="Courier New" w:hAnsi="Courier New" w:hint="default"/>
      </w:rPr>
    </w:lvl>
    <w:lvl w:ilvl="2" w:tplc="B8040A3C">
      <w:start w:val="1"/>
      <w:numFmt w:val="bullet"/>
      <w:lvlText w:val=""/>
      <w:lvlJc w:val="left"/>
      <w:pPr>
        <w:ind w:left="2160" w:hanging="360"/>
      </w:pPr>
      <w:rPr>
        <w:rFonts w:ascii="Wingdings" w:hAnsi="Wingdings" w:hint="default"/>
      </w:rPr>
    </w:lvl>
    <w:lvl w:ilvl="3" w:tplc="E122669C">
      <w:start w:val="1"/>
      <w:numFmt w:val="bullet"/>
      <w:lvlText w:val=""/>
      <w:lvlJc w:val="left"/>
      <w:pPr>
        <w:ind w:left="2880" w:hanging="360"/>
      </w:pPr>
      <w:rPr>
        <w:rFonts w:ascii="Symbol" w:hAnsi="Symbol" w:hint="default"/>
      </w:rPr>
    </w:lvl>
    <w:lvl w:ilvl="4" w:tplc="D1566BCE">
      <w:start w:val="1"/>
      <w:numFmt w:val="bullet"/>
      <w:lvlText w:val="o"/>
      <w:lvlJc w:val="left"/>
      <w:pPr>
        <w:ind w:left="3600" w:hanging="360"/>
      </w:pPr>
      <w:rPr>
        <w:rFonts w:ascii="Courier New" w:hAnsi="Courier New" w:hint="default"/>
      </w:rPr>
    </w:lvl>
    <w:lvl w:ilvl="5" w:tplc="2DB61D1A">
      <w:start w:val="1"/>
      <w:numFmt w:val="bullet"/>
      <w:lvlText w:val=""/>
      <w:lvlJc w:val="left"/>
      <w:pPr>
        <w:ind w:left="4320" w:hanging="360"/>
      </w:pPr>
      <w:rPr>
        <w:rFonts w:ascii="Wingdings" w:hAnsi="Wingdings" w:hint="default"/>
      </w:rPr>
    </w:lvl>
    <w:lvl w:ilvl="6" w:tplc="CBB2260A">
      <w:start w:val="1"/>
      <w:numFmt w:val="bullet"/>
      <w:lvlText w:val=""/>
      <w:lvlJc w:val="left"/>
      <w:pPr>
        <w:ind w:left="5040" w:hanging="360"/>
      </w:pPr>
      <w:rPr>
        <w:rFonts w:ascii="Symbol" w:hAnsi="Symbol" w:hint="default"/>
      </w:rPr>
    </w:lvl>
    <w:lvl w:ilvl="7" w:tplc="B77EF284">
      <w:start w:val="1"/>
      <w:numFmt w:val="bullet"/>
      <w:lvlText w:val="o"/>
      <w:lvlJc w:val="left"/>
      <w:pPr>
        <w:ind w:left="5760" w:hanging="360"/>
      </w:pPr>
      <w:rPr>
        <w:rFonts w:ascii="Courier New" w:hAnsi="Courier New" w:hint="default"/>
      </w:rPr>
    </w:lvl>
    <w:lvl w:ilvl="8" w:tplc="5A8AD1E6">
      <w:start w:val="1"/>
      <w:numFmt w:val="bullet"/>
      <w:lvlText w:val=""/>
      <w:lvlJc w:val="left"/>
      <w:pPr>
        <w:ind w:left="6480" w:hanging="360"/>
      </w:pPr>
      <w:rPr>
        <w:rFonts w:ascii="Wingdings" w:hAnsi="Wingdings" w:hint="default"/>
      </w:rPr>
    </w:lvl>
  </w:abstractNum>
  <w:abstractNum w:abstractNumId="10" w15:restartNumberingAfterBreak="0">
    <w:nsid w:val="1DA82CF0"/>
    <w:multiLevelType w:val="hybridMultilevel"/>
    <w:tmpl w:val="FFFFFFFF"/>
    <w:lvl w:ilvl="0" w:tplc="83861DD2">
      <w:start w:val="1"/>
      <w:numFmt w:val="bullet"/>
      <w:lvlText w:val=""/>
      <w:lvlJc w:val="left"/>
      <w:pPr>
        <w:ind w:left="720" w:hanging="360"/>
      </w:pPr>
      <w:rPr>
        <w:rFonts w:ascii="Symbol" w:hAnsi="Symbol" w:hint="default"/>
      </w:rPr>
    </w:lvl>
    <w:lvl w:ilvl="1" w:tplc="662AB886">
      <w:start w:val="1"/>
      <w:numFmt w:val="bullet"/>
      <w:lvlText w:val="o"/>
      <w:lvlJc w:val="left"/>
      <w:pPr>
        <w:ind w:left="1440" w:hanging="360"/>
      </w:pPr>
      <w:rPr>
        <w:rFonts w:ascii="Courier New" w:hAnsi="Courier New" w:hint="default"/>
      </w:rPr>
    </w:lvl>
    <w:lvl w:ilvl="2" w:tplc="71A2B5A8">
      <w:start w:val="1"/>
      <w:numFmt w:val="bullet"/>
      <w:lvlText w:val=""/>
      <w:lvlJc w:val="left"/>
      <w:pPr>
        <w:ind w:left="2160" w:hanging="360"/>
      </w:pPr>
      <w:rPr>
        <w:rFonts w:ascii="Wingdings" w:hAnsi="Wingdings" w:hint="default"/>
      </w:rPr>
    </w:lvl>
    <w:lvl w:ilvl="3" w:tplc="6046D04C">
      <w:start w:val="1"/>
      <w:numFmt w:val="bullet"/>
      <w:lvlText w:val=""/>
      <w:lvlJc w:val="left"/>
      <w:pPr>
        <w:ind w:left="2880" w:hanging="360"/>
      </w:pPr>
      <w:rPr>
        <w:rFonts w:ascii="Symbol" w:hAnsi="Symbol" w:hint="default"/>
      </w:rPr>
    </w:lvl>
    <w:lvl w:ilvl="4" w:tplc="6F708B88">
      <w:start w:val="1"/>
      <w:numFmt w:val="bullet"/>
      <w:lvlText w:val="o"/>
      <w:lvlJc w:val="left"/>
      <w:pPr>
        <w:ind w:left="3600" w:hanging="360"/>
      </w:pPr>
      <w:rPr>
        <w:rFonts w:ascii="Courier New" w:hAnsi="Courier New" w:hint="default"/>
      </w:rPr>
    </w:lvl>
    <w:lvl w:ilvl="5" w:tplc="5DE8E400">
      <w:start w:val="1"/>
      <w:numFmt w:val="bullet"/>
      <w:lvlText w:val=""/>
      <w:lvlJc w:val="left"/>
      <w:pPr>
        <w:ind w:left="4320" w:hanging="360"/>
      </w:pPr>
      <w:rPr>
        <w:rFonts w:ascii="Wingdings" w:hAnsi="Wingdings" w:hint="default"/>
      </w:rPr>
    </w:lvl>
    <w:lvl w:ilvl="6" w:tplc="9A8A3C82">
      <w:start w:val="1"/>
      <w:numFmt w:val="bullet"/>
      <w:lvlText w:val=""/>
      <w:lvlJc w:val="left"/>
      <w:pPr>
        <w:ind w:left="5040" w:hanging="360"/>
      </w:pPr>
      <w:rPr>
        <w:rFonts w:ascii="Symbol" w:hAnsi="Symbol" w:hint="default"/>
      </w:rPr>
    </w:lvl>
    <w:lvl w:ilvl="7" w:tplc="B5D062E8">
      <w:start w:val="1"/>
      <w:numFmt w:val="bullet"/>
      <w:lvlText w:val="o"/>
      <w:lvlJc w:val="left"/>
      <w:pPr>
        <w:ind w:left="5760" w:hanging="360"/>
      </w:pPr>
      <w:rPr>
        <w:rFonts w:ascii="Courier New" w:hAnsi="Courier New" w:hint="default"/>
      </w:rPr>
    </w:lvl>
    <w:lvl w:ilvl="8" w:tplc="FBACAC72">
      <w:start w:val="1"/>
      <w:numFmt w:val="bullet"/>
      <w:lvlText w:val=""/>
      <w:lvlJc w:val="left"/>
      <w:pPr>
        <w:ind w:left="6480" w:hanging="360"/>
      </w:pPr>
      <w:rPr>
        <w:rFonts w:ascii="Wingdings" w:hAnsi="Wingdings" w:hint="default"/>
      </w:rPr>
    </w:lvl>
  </w:abstractNum>
  <w:abstractNum w:abstractNumId="11" w15:restartNumberingAfterBreak="0">
    <w:nsid w:val="1FFE08BE"/>
    <w:multiLevelType w:val="hybridMultilevel"/>
    <w:tmpl w:val="F02C5F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F10489"/>
    <w:multiLevelType w:val="hybridMultilevel"/>
    <w:tmpl w:val="7B80842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963FC5"/>
    <w:multiLevelType w:val="hybridMultilevel"/>
    <w:tmpl w:val="D2BE3B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B67052"/>
    <w:multiLevelType w:val="multilevel"/>
    <w:tmpl w:val="928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DFC03B"/>
    <w:multiLevelType w:val="hybridMultilevel"/>
    <w:tmpl w:val="FFFFFFFF"/>
    <w:lvl w:ilvl="0" w:tplc="6C2440C0">
      <w:start w:val="1"/>
      <w:numFmt w:val="bullet"/>
      <w:lvlText w:val=""/>
      <w:lvlJc w:val="left"/>
      <w:pPr>
        <w:ind w:left="720" w:hanging="360"/>
      </w:pPr>
      <w:rPr>
        <w:rFonts w:ascii="Symbol" w:hAnsi="Symbol" w:hint="default"/>
      </w:rPr>
    </w:lvl>
    <w:lvl w:ilvl="1" w:tplc="7438E280">
      <w:start w:val="1"/>
      <w:numFmt w:val="bullet"/>
      <w:lvlText w:val="o"/>
      <w:lvlJc w:val="left"/>
      <w:pPr>
        <w:ind w:left="1440" w:hanging="360"/>
      </w:pPr>
      <w:rPr>
        <w:rFonts w:ascii="Courier New" w:hAnsi="Courier New" w:hint="default"/>
      </w:rPr>
    </w:lvl>
    <w:lvl w:ilvl="2" w:tplc="0E1A3E4E">
      <w:start w:val="1"/>
      <w:numFmt w:val="bullet"/>
      <w:lvlText w:val=""/>
      <w:lvlJc w:val="left"/>
      <w:pPr>
        <w:ind w:left="2160" w:hanging="360"/>
      </w:pPr>
      <w:rPr>
        <w:rFonts w:ascii="Wingdings" w:hAnsi="Wingdings" w:hint="default"/>
      </w:rPr>
    </w:lvl>
    <w:lvl w:ilvl="3" w:tplc="C24437A0">
      <w:start w:val="1"/>
      <w:numFmt w:val="bullet"/>
      <w:lvlText w:val=""/>
      <w:lvlJc w:val="left"/>
      <w:pPr>
        <w:ind w:left="2880" w:hanging="360"/>
      </w:pPr>
      <w:rPr>
        <w:rFonts w:ascii="Symbol" w:hAnsi="Symbol" w:hint="default"/>
      </w:rPr>
    </w:lvl>
    <w:lvl w:ilvl="4" w:tplc="519ADE72">
      <w:start w:val="1"/>
      <w:numFmt w:val="bullet"/>
      <w:lvlText w:val="o"/>
      <w:lvlJc w:val="left"/>
      <w:pPr>
        <w:ind w:left="3600" w:hanging="360"/>
      </w:pPr>
      <w:rPr>
        <w:rFonts w:ascii="Courier New" w:hAnsi="Courier New" w:hint="default"/>
      </w:rPr>
    </w:lvl>
    <w:lvl w:ilvl="5" w:tplc="3F30A462">
      <w:start w:val="1"/>
      <w:numFmt w:val="bullet"/>
      <w:lvlText w:val=""/>
      <w:lvlJc w:val="left"/>
      <w:pPr>
        <w:ind w:left="4320" w:hanging="360"/>
      </w:pPr>
      <w:rPr>
        <w:rFonts w:ascii="Wingdings" w:hAnsi="Wingdings" w:hint="default"/>
      </w:rPr>
    </w:lvl>
    <w:lvl w:ilvl="6" w:tplc="BC9655BE">
      <w:start w:val="1"/>
      <w:numFmt w:val="bullet"/>
      <w:lvlText w:val=""/>
      <w:lvlJc w:val="left"/>
      <w:pPr>
        <w:ind w:left="5040" w:hanging="360"/>
      </w:pPr>
      <w:rPr>
        <w:rFonts w:ascii="Symbol" w:hAnsi="Symbol" w:hint="default"/>
      </w:rPr>
    </w:lvl>
    <w:lvl w:ilvl="7" w:tplc="DBCCBD14">
      <w:start w:val="1"/>
      <w:numFmt w:val="bullet"/>
      <w:lvlText w:val="o"/>
      <w:lvlJc w:val="left"/>
      <w:pPr>
        <w:ind w:left="5760" w:hanging="360"/>
      </w:pPr>
      <w:rPr>
        <w:rFonts w:ascii="Courier New" w:hAnsi="Courier New" w:hint="default"/>
      </w:rPr>
    </w:lvl>
    <w:lvl w:ilvl="8" w:tplc="6136D10C">
      <w:start w:val="1"/>
      <w:numFmt w:val="bullet"/>
      <w:lvlText w:val=""/>
      <w:lvlJc w:val="left"/>
      <w:pPr>
        <w:ind w:left="6480" w:hanging="360"/>
      </w:pPr>
      <w:rPr>
        <w:rFonts w:ascii="Wingdings" w:hAnsi="Wingdings" w:hint="default"/>
      </w:rPr>
    </w:lvl>
  </w:abstractNum>
  <w:abstractNum w:abstractNumId="16" w15:restartNumberingAfterBreak="0">
    <w:nsid w:val="2940B104"/>
    <w:multiLevelType w:val="hybridMultilevel"/>
    <w:tmpl w:val="FFFFFFFF"/>
    <w:lvl w:ilvl="0" w:tplc="B596D454">
      <w:start w:val="1"/>
      <w:numFmt w:val="bullet"/>
      <w:lvlText w:val=""/>
      <w:lvlJc w:val="left"/>
      <w:pPr>
        <w:ind w:left="720" w:hanging="360"/>
      </w:pPr>
      <w:rPr>
        <w:rFonts w:ascii="Symbol" w:hAnsi="Symbol" w:hint="default"/>
      </w:rPr>
    </w:lvl>
    <w:lvl w:ilvl="1" w:tplc="4F2A8B9A">
      <w:start w:val="1"/>
      <w:numFmt w:val="bullet"/>
      <w:lvlText w:val="o"/>
      <w:lvlJc w:val="left"/>
      <w:pPr>
        <w:ind w:left="1440" w:hanging="360"/>
      </w:pPr>
      <w:rPr>
        <w:rFonts w:ascii="Courier New" w:hAnsi="Courier New" w:hint="default"/>
      </w:rPr>
    </w:lvl>
    <w:lvl w:ilvl="2" w:tplc="1DACC09C">
      <w:start w:val="1"/>
      <w:numFmt w:val="bullet"/>
      <w:lvlText w:val=""/>
      <w:lvlJc w:val="left"/>
      <w:pPr>
        <w:ind w:left="2160" w:hanging="360"/>
      </w:pPr>
      <w:rPr>
        <w:rFonts w:ascii="Wingdings" w:hAnsi="Wingdings" w:hint="default"/>
      </w:rPr>
    </w:lvl>
    <w:lvl w:ilvl="3" w:tplc="B1328276">
      <w:start w:val="1"/>
      <w:numFmt w:val="bullet"/>
      <w:lvlText w:val=""/>
      <w:lvlJc w:val="left"/>
      <w:pPr>
        <w:ind w:left="2880" w:hanging="360"/>
      </w:pPr>
      <w:rPr>
        <w:rFonts w:ascii="Symbol" w:hAnsi="Symbol" w:hint="default"/>
      </w:rPr>
    </w:lvl>
    <w:lvl w:ilvl="4" w:tplc="51BCF0DC">
      <w:start w:val="1"/>
      <w:numFmt w:val="bullet"/>
      <w:lvlText w:val="o"/>
      <w:lvlJc w:val="left"/>
      <w:pPr>
        <w:ind w:left="3600" w:hanging="360"/>
      </w:pPr>
      <w:rPr>
        <w:rFonts w:ascii="Courier New" w:hAnsi="Courier New" w:hint="default"/>
      </w:rPr>
    </w:lvl>
    <w:lvl w:ilvl="5" w:tplc="E1C6224C">
      <w:start w:val="1"/>
      <w:numFmt w:val="bullet"/>
      <w:lvlText w:val=""/>
      <w:lvlJc w:val="left"/>
      <w:pPr>
        <w:ind w:left="4320" w:hanging="360"/>
      </w:pPr>
      <w:rPr>
        <w:rFonts w:ascii="Wingdings" w:hAnsi="Wingdings" w:hint="default"/>
      </w:rPr>
    </w:lvl>
    <w:lvl w:ilvl="6" w:tplc="21C84AB4">
      <w:start w:val="1"/>
      <w:numFmt w:val="bullet"/>
      <w:lvlText w:val=""/>
      <w:lvlJc w:val="left"/>
      <w:pPr>
        <w:ind w:left="5040" w:hanging="360"/>
      </w:pPr>
      <w:rPr>
        <w:rFonts w:ascii="Symbol" w:hAnsi="Symbol" w:hint="default"/>
      </w:rPr>
    </w:lvl>
    <w:lvl w:ilvl="7" w:tplc="6F42B6CE">
      <w:start w:val="1"/>
      <w:numFmt w:val="bullet"/>
      <w:lvlText w:val="o"/>
      <w:lvlJc w:val="left"/>
      <w:pPr>
        <w:ind w:left="5760" w:hanging="360"/>
      </w:pPr>
      <w:rPr>
        <w:rFonts w:ascii="Courier New" w:hAnsi="Courier New" w:hint="default"/>
      </w:rPr>
    </w:lvl>
    <w:lvl w:ilvl="8" w:tplc="70F60694">
      <w:start w:val="1"/>
      <w:numFmt w:val="bullet"/>
      <w:lvlText w:val=""/>
      <w:lvlJc w:val="left"/>
      <w:pPr>
        <w:ind w:left="6480" w:hanging="360"/>
      </w:pPr>
      <w:rPr>
        <w:rFonts w:ascii="Wingdings" w:hAnsi="Wingdings" w:hint="default"/>
      </w:rPr>
    </w:lvl>
  </w:abstractNum>
  <w:abstractNum w:abstractNumId="17" w15:restartNumberingAfterBreak="0">
    <w:nsid w:val="2AB20FC1"/>
    <w:multiLevelType w:val="hybridMultilevel"/>
    <w:tmpl w:val="FFFFFFFF"/>
    <w:lvl w:ilvl="0" w:tplc="E1109CC4">
      <w:start w:val="1"/>
      <w:numFmt w:val="bullet"/>
      <w:lvlText w:val=""/>
      <w:lvlJc w:val="left"/>
      <w:pPr>
        <w:ind w:left="720" w:hanging="360"/>
      </w:pPr>
      <w:rPr>
        <w:rFonts w:ascii="Symbol" w:hAnsi="Symbol" w:hint="default"/>
      </w:rPr>
    </w:lvl>
    <w:lvl w:ilvl="1" w:tplc="8DD2471E">
      <w:start w:val="1"/>
      <w:numFmt w:val="bullet"/>
      <w:lvlText w:val="o"/>
      <w:lvlJc w:val="left"/>
      <w:pPr>
        <w:ind w:left="1440" w:hanging="360"/>
      </w:pPr>
      <w:rPr>
        <w:rFonts w:ascii="Courier New" w:hAnsi="Courier New" w:hint="default"/>
      </w:rPr>
    </w:lvl>
    <w:lvl w:ilvl="2" w:tplc="AB0EC64E">
      <w:start w:val="1"/>
      <w:numFmt w:val="bullet"/>
      <w:lvlText w:val=""/>
      <w:lvlJc w:val="left"/>
      <w:pPr>
        <w:ind w:left="2160" w:hanging="360"/>
      </w:pPr>
      <w:rPr>
        <w:rFonts w:ascii="Wingdings" w:hAnsi="Wingdings" w:hint="default"/>
      </w:rPr>
    </w:lvl>
    <w:lvl w:ilvl="3" w:tplc="1B0CF002">
      <w:start w:val="1"/>
      <w:numFmt w:val="bullet"/>
      <w:lvlText w:val=""/>
      <w:lvlJc w:val="left"/>
      <w:pPr>
        <w:ind w:left="2880" w:hanging="360"/>
      </w:pPr>
      <w:rPr>
        <w:rFonts w:ascii="Symbol" w:hAnsi="Symbol" w:hint="default"/>
      </w:rPr>
    </w:lvl>
    <w:lvl w:ilvl="4" w:tplc="1CB21F3A">
      <w:start w:val="1"/>
      <w:numFmt w:val="bullet"/>
      <w:lvlText w:val="o"/>
      <w:lvlJc w:val="left"/>
      <w:pPr>
        <w:ind w:left="3600" w:hanging="360"/>
      </w:pPr>
      <w:rPr>
        <w:rFonts w:ascii="Courier New" w:hAnsi="Courier New" w:hint="default"/>
      </w:rPr>
    </w:lvl>
    <w:lvl w:ilvl="5" w:tplc="79346260">
      <w:start w:val="1"/>
      <w:numFmt w:val="bullet"/>
      <w:lvlText w:val=""/>
      <w:lvlJc w:val="left"/>
      <w:pPr>
        <w:ind w:left="4320" w:hanging="360"/>
      </w:pPr>
      <w:rPr>
        <w:rFonts w:ascii="Wingdings" w:hAnsi="Wingdings" w:hint="default"/>
      </w:rPr>
    </w:lvl>
    <w:lvl w:ilvl="6" w:tplc="769010B4">
      <w:start w:val="1"/>
      <w:numFmt w:val="bullet"/>
      <w:lvlText w:val=""/>
      <w:lvlJc w:val="left"/>
      <w:pPr>
        <w:ind w:left="5040" w:hanging="360"/>
      </w:pPr>
      <w:rPr>
        <w:rFonts w:ascii="Symbol" w:hAnsi="Symbol" w:hint="default"/>
      </w:rPr>
    </w:lvl>
    <w:lvl w:ilvl="7" w:tplc="16FE6C78">
      <w:start w:val="1"/>
      <w:numFmt w:val="bullet"/>
      <w:lvlText w:val="o"/>
      <w:lvlJc w:val="left"/>
      <w:pPr>
        <w:ind w:left="5760" w:hanging="360"/>
      </w:pPr>
      <w:rPr>
        <w:rFonts w:ascii="Courier New" w:hAnsi="Courier New" w:hint="default"/>
      </w:rPr>
    </w:lvl>
    <w:lvl w:ilvl="8" w:tplc="D0CEF76C">
      <w:start w:val="1"/>
      <w:numFmt w:val="bullet"/>
      <w:lvlText w:val=""/>
      <w:lvlJc w:val="left"/>
      <w:pPr>
        <w:ind w:left="6480" w:hanging="360"/>
      </w:pPr>
      <w:rPr>
        <w:rFonts w:ascii="Wingdings" w:hAnsi="Wingdings" w:hint="default"/>
      </w:rPr>
    </w:lvl>
  </w:abstractNum>
  <w:abstractNum w:abstractNumId="18" w15:restartNumberingAfterBreak="0">
    <w:nsid w:val="2E6A4356"/>
    <w:multiLevelType w:val="hybridMultilevel"/>
    <w:tmpl w:val="A7AAB4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F2D0716"/>
    <w:multiLevelType w:val="hybridMultilevel"/>
    <w:tmpl w:val="33F0F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F4287B8"/>
    <w:multiLevelType w:val="hybridMultilevel"/>
    <w:tmpl w:val="FFFFFFFF"/>
    <w:lvl w:ilvl="0" w:tplc="95C414B0">
      <w:start w:val="1"/>
      <w:numFmt w:val="bullet"/>
      <w:lvlText w:val=""/>
      <w:lvlJc w:val="left"/>
      <w:pPr>
        <w:ind w:left="720" w:hanging="360"/>
      </w:pPr>
      <w:rPr>
        <w:rFonts w:ascii="Symbol" w:hAnsi="Symbol" w:hint="default"/>
      </w:rPr>
    </w:lvl>
    <w:lvl w:ilvl="1" w:tplc="27B0F058">
      <w:start w:val="1"/>
      <w:numFmt w:val="bullet"/>
      <w:lvlText w:val="o"/>
      <w:lvlJc w:val="left"/>
      <w:pPr>
        <w:ind w:left="1440" w:hanging="360"/>
      </w:pPr>
      <w:rPr>
        <w:rFonts w:ascii="Courier New" w:hAnsi="Courier New" w:hint="default"/>
      </w:rPr>
    </w:lvl>
    <w:lvl w:ilvl="2" w:tplc="E342EF08">
      <w:start w:val="1"/>
      <w:numFmt w:val="bullet"/>
      <w:lvlText w:val=""/>
      <w:lvlJc w:val="left"/>
      <w:pPr>
        <w:ind w:left="2160" w:hanging="360"/>
      </w:pPr>
      <w:rPr>
        <w:rFonts w:ascii="Wingdings" w:hAnsi="Wingdings" w:hint="default"/>
      </w:rPr>
    </w:lvl>
    <w:lvl w:ilvl="3" w:tplc="B230689A">
      <w:start w:val="1"/>
      <w:numFmt w:val="bullet"/>
      <w:lvlText w:val=""/>
      <w:lvlJc w:val="left"/>
      <w:pPr>
        <w:ind w:left="2880" w:hanging="360"/>
      </w:pPr>
      <w:rPr>
        <w:rFonts w:ascii="Symbol" w:hAnsi="Symbol" w:hint="default"/>
      </w:rPr>
    </w:lvl>
    <w:lvl w:ilvl="4" w:tplc="608EC5A0">
      <w:start w:val="1"/>
      <w:numFmt w:val="bullet"/>
      <w:lvlText w:val="o"/>
      <w:lvlJc w:val="left"/>
      <w:pPr>
        <w:ind w:left="3600" w:hanging="360"/>
      </w:pPr>
      <w:rPr>
        <w:rFonts w:ascii="Courier New" w:hAnsi="Courier New" w:hint="default"/>
      </w:rPr>
    </w:lvl>
    <w:lvl w:ilvl="5" w:tplc="2A8A413E">
      <w:start w:val="1"/>
      <w:numFmt w:val="bullet"/>
      <w:lvlText w:val=""/>
      <w:lvlJc w:val="left"/>
      <w:pPr>
        <w:ind w:left="4320" w:hanging="360"/>
      </w:pPr>
      <w:rPr>
        <w:rFonts w:ascii="Wingdings" w:hAnsi="Wingdings" w:hint="default"/>
      </w:rPr>
    </w:lvl>
    <w:lvl w:ilvl="6" w:tplc="67883704">
      <w:start w:val="1"/>
      <w:numFmt w:val="bullet"/>
      <w:lvlText w:val=""/>
      <w:lvlJc w:val="left"/>
      <w:pPr>
        <w:ind w:left="5040" w:hanging="360"/>
      </w:pPr>
      <w:rPr>
        <w:rFonts w:ascii="Symbol" w:hAnsi="Symbol" w:hint="default"/>
      </w:rPr>
    </w:lvl>
    <w:lvl w:ilvl="7" w:tplc="FBB85EEC">
      <w:start w:val="1"/>
      <w:numFmt w:val="bullet"/>
      <w:lvlText w:val="o"/>
      <w:lvlJc w:val="left"/>
      <w:pPr>
        <w:ind w:left="5760" w:hanging="360"/>
      </w:pPr>
      <w:rPr>
        <w:rFonts w:ascii="Courier New" w:hAnsi="Courier New" w:hint="default"/>
      </w:rPr>
    </w:lvl>
    <w:lvl w:ilvl="8" w:tplc="DEDE8EE4">
      <w:start w:val="1"/>
      <w:numFmt w:val="bullet"/>
      <w:lvlText w:val=""/>
      <w:lvlJc w:val="left"/>
      <w:pPr>
        <w:ind w:left="6480" w:hanging="360"/>
      </w:pPr>
      <w:rPr>
        <w:rFonts w:ascii="Wingdings" w:hAnsi="Wingdings" w:hint="default"/>
      </w:rPr>
    </w:lvl>
  </w:abstractNum>
  <w:abstractNum w:abstractNumId="21" w15:restartNumberingAfterBreak="0">
    <w:nsid w:val="2F451661"/>
    <w:multiLevelType w:val="hybridMultilevel"/>
    <w:tmpl w:val="48A8C5D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55C3D41"/>
    <w:multiLevelType w:val="hybridMultilevel"/>
    <w:tmpl w:val="07EEA4BA"/>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5D17F4A"/>
    <w:multiLevelType w:val="hybridMultilevel"/>
    <w:tmpl w:val="FFFFFFFF"/>
    <w:lvl w:ilvl="0" w:tplc="8C04F234">
      <w:start w:val="1"/>
      <w:numFmt w:val="bullet"/>
      <w:lvlText w:val=""/>
      <w:lvlJc w:val="left"/>
      <w:pPr>
        <w:ind w:left="720" w:hanging="360"/>
      </w:pPr>
      <w:rPr>
        <w:rFonts w:ascii="Symbol" w:hAnsi="Symbol" w:hint="default"/>
      </w:rPr>
    </w:lvl>
    <w:lvl w:ilvl="1" w:tplc="39F02F18">
      <w:start w:val="1"/>
      <w:numFmt w:val="bullet"/>
      <w:lvlText w:val="o"/>
      <w:lvlJc w:val="left"/>
      <w:pPr>
        <w:ind w:left="1440" w:hanging="360"/>
      </w:pPr>
      <w:rPr>
        <w:rFonts w:ascii="Courier New" w:hAnsi="Courier New" w:hint="default"/>
      </w:rPr>
    </w:lvl>
    <w:lvl w:ilvl="2" w:tplc="F15E2634">
      <w:start w:val="1"/>
      <w:numFmt w:val="bullet"/>
      <w:lvlText w:val=""/>
      <w:lvlJc w:val="left"/>
      <w:pPr>
        <w:ind w:left="2160" w:hanging="360"/>
      </w:pPr>
      <w:rPr>
        <w:rFonts w:ascii="Wingdings" w:hAnsi="Wingdings" w:hint="default"/>
      </w:rPr>
    </w:lvl>
    <w:lvl w:ilvl="3" w:tplc="0A863732">
      <w:start w:val="1"/>
      <w:numFmt w:val="bullet"/>
      <w:lvlText w:val=""/>
      <w:lvlJc w:val="left"/>
      <w:pPr>
        <w:ind w:left="2880" w:hanging="360"/>
      </w:pPr>
      <w:rPr>
        <w:rFonts w:ascii="Symbol" w:hAnsi="Symbol" w:hint="default"/>
      </w:rPr>
    </w:lvl>
    <w:lvl w:ilvl="4" w:tplc="0400CEA2">
      <w:start w:val="1"/>
      <w:numFmt w:val="bullet"/>
      <w:lvlText w:val="o"/>
      <w:lvlJc w:val="left"/>
      <w:pPr>
        <w:ind w:left="3600" w:hanging="360"/>
      </w:pPr>
      <w:rPr>
        <w:rFonts w:ascii="Courier New" w:hAnsi="Courier New" w:hint="default"/>
      </w:rPr>
    </w:lvl>
    <w:lvl w:ilvl="5" w:tplc="D1346C16">
      <w:start w:val="1"/>
      <w:numFmt w:val="bullet"/>
      <w:lvlText w:val=""/>
      <w:lvlJc w:val="left"/>
      <w:pPr>
        <w:ind w:left="4320" w:hanging="360"/>
      </w:pPr>
      <w:rPr>
        <w:rFonts w:ascii="Wingdings" w:hAnsi="Wingdings" w:hint="default"/>
      </w:rPr>
    </w:lvl>
    <w:lvl w:ilvl="6" w:tplc="E6E445AA">
      <w:start w:val="1"/>
      <w:numFmt w:val="bullet"/>
      <w:lvlText w:val=""/>
      <w:lvlJc w:val="left"/>
      <w:pPr>
        <w:ind w:left="5040" w:hanging="360"/>
      </w:pPr>
      <w:rPr>
        <w:rFonts w:ascii="Symbol" w:hAnsi="Symbol" w:hint="default"/>
      </w:rPr>
    </w:lvl>
    <w:lvl w:ilvl="7" w:tplc="1840A3D2">
      <w:start w:val="1"/>
      <w:numFmt w:val="bullet"/>
      <w:lvlText w:val="o"/>
      <w:lvlJc w:val="left"/>
      <w:pPr>
        <w:ind w:left="5760" w:hanging="360"/>
      </w:pPr>
      <w:rPr>
        <w:rFonts w:ascii="Courier New" w:hAnsi="Courier New" w:hint="default"/>
      </w:rPr>
    </w:lvl>
    <w:lvl w:ilvl="8" w:tplc="40F8F06E">
      <w:start w:val="1"/>
      <w:numFmt w:val="bullet"/>
      <w:lvlText w:val=""/>
      <w:lvlJc w:val="left"/>
      <w:pPr>
        <w:ind w:left="6480" w:hanging="360"/>
      </w:pPr>
      <w:rPr>
        <w:rFonts w:ascii="Wingdings" w:hAnsi="Wingdings" w:hint="default"/>
      </w:rPr>
    </w:lvl>
  </w:abstractNum>
  <w:abstractNum w:abstractNumId="24" w15:restartNumberingAfterBreak="0">
    <w:nsid w:val="393A2E5B"/>
    <w:multiLevelType w:val="hybridMultilevel"/>
    <w:tmpl w:val="2310A0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CFE064B"/>
    <w:multiLevelType w:val="hybridMultilevel"/>
    <w:tmpl w:val="FFFFFFFF"/>
    <w:lvl w:ilvl="0" w:tplc="C304F5A6">
      <w:start w:val="1"/>
      <w:numFmt w:val="bullet"/>
      <w:lvlText w:val=""/>
      <w:lvlJc w:val="left"/>
      <w:pPr>
        <w:ind w:left="720" w:hanging="360"/>
      </w:pPr>
      <w:rPr>
        <w:rFonts w:ascii="Symbol" w:hAnsi="Symbol" w:hint="default"/>
      </w:rPr>
    </w:lvl>
    <w:lvl w:ilvl="1" w:tplc="687CE4A4">
      <w:start w:val="1"/>
      <w:numFmt w:val="bullet"/>
      <w:lvlText w:val="o"/>
      <w:lvlJc w:val="left"/>
      <w:pPr>
        <w:ind w:left="1440" w:hanging="360"/>
      </w:pPr>
      <w:rPr>
        <w:rFonts w:ascii="Courier New" w:hAnsi="Courier New" w:hint="default"/>
      </w:rPr>
    </w:lvl>
    <w:lvl w:ilvl="2" w:tplc="FF807EE6">
      <w:start w:val="1"/>
      <w:numFmt w:val="bullet"/>
      <w:lvlText w:val=""/>
      <w:lvlJc w:val="left"/>
      <w:pPr>
        <w:ind w:left="2160" w:hanging="360"/>
      </w:pPr>
      <w:rPr>
        <w:rFonts w:ascii="Wingdings" w:hAnsi="Wingdings" w:hint="default"/>
      </w:rPr>
    </w:lvl>
    <w:lvl w:ilvl="3" w:tplc="DC8CA76E">
      <w:start w:val="1"/>
      <w:numFmt w:val="bullet"/>
      <w:lvlText w:val=""/>
      <w:lvlJc w:val="left"/>
      <w:pPr>
        <w:ind w:left="2880" w:hanging="360"/>
      </w:pPr>
      <w:rPr>
        <w:rFonts w:ascii="Symbol" w:hAnsi="Symbol" w:hint="default"/>
      </w:rPr>
    </w:lvl>
    <w:lvl w:ilvl="4" w:tplc="BF9EB810">
      <w:start w:val="1"/>
      <w:numFmt w:val="bullet"/>
      <w:lvlText w:val="o"/>
      <w:lvlJc w:val="left"/>
      <w:pPr>
        <w:ind w:left="3600" w:hanging="360"/>
      </w:pPr>
      <w:rPr>
        <w:rFonts w:ascii="Courier New" w:hAnsi="Courier New" w:hint="default"/>
      </w:rPr>
    </w:lvl>
    <w:lvl w:ilvl="5" w:tplc="CA62CC02">
      <w:start w:val="1"/>
      <w:numFmt w:val="bullet"/>
      <w:lvlText w:val=""/>
      <w:lvlJc w:val="left"/>
      <w:pPr>
        <w:ind w:left="4320" w:hanging="360"/>
      </w:pPr>
      <w:rPr>
        <w:rFonts w:ascii="Wingdings" w:hAnsi="Wingdings" w:hint="default"/>
      </w:rPr>
    </w:lvl>
    <w:lvl w:ilvl="6" w:tplc="174C450A">
      <w:start w:val="1"/>
      <w:numFmt w:val="bullet"/>
      <w:lvlText w:val=""/>
      <w:lvlJc w:val="left"/>
      <w:pPr>
        <w:ind w:left="5040" w:hanging="360"/>
      </w:pPr>
      <w:rPr>
        <w:rFonts w:ascii="Symbol" w:hAnsi="Symbol" w:hint="default"/>
      </w:rPr>
    </w:lvl>
    <w:lvl w:ilvl="7" w:tplc="103AFC44">
      <w:start w:val="1"/>
      <w:numFmt w:val="bullet"/>
      <w:lvlText w:val="o"/>
      <w:lvlJc w:val="left"/>
      <w:pPr>
        <w:ind w:left="5760" w:hanging="360"/>
      </w:pPr>
      <w:rPr>
        <w:rFonts w:ascii="Courier New" w:hAnsi="Courier New" w:hint="default"/>
      </w:rPr>
    </w:lvl>
    <w:lvl w:ilvl="8" w:tplc="5BF2CF98">
      <w:start w:val="1"/>
      <w:numFmt w:val="bullet"/>
      <w:lvlText w:val=""/>
      <w:lvlJc w:val="left"/>
      <w:pPr>
        <w:ind w:left="6480" w:hanging="360"/>
      </w:pPr>
      <w:rPr>
        <w:rFonts w:ascii="Wingdings" w:hAnsi="Wingdings" w:hint="default"/>
      </w:rPr>
    </w:lvl>
  </w:abstractNum>
  <w:abstractNum w:abstractNumId="26" w15:restartNumberingAfterBreak="0">
    <w:nsid w:val="3FAA230B"/>
    <w:multiLevelType w:val="hybridMultilevel"/>
    <w:tmpl w:val="2076BB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1F0451B"/>
    <w:multiLevelType w:val="hybridMultilevel"/>
    <w:tmpl w:val="D2BE3B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2DBC8BF"/>
    <w:multiLevelType w:val="hybridMultilevel"/>
    <w:tmpl w:val="FFFFFFFF"/>
    <w:lvl w:ilvl="0" w:tplc="8B1E890C">
      <w:start w:val="1"/>
      <w:numFmt w:val="bullet"/>
      <w:lvlText w:val=""/>
      <w:lvlJc w:val="left"/>
      <w:pPr>
        <w:ind w:left="720" w:hanging="360"/>
      </w:pPr>
      <w:rPr>
        <w:rFonts w:ascii="Symbol" w:hAnsi="Symbol" w:hint="default"/>
      </w:rPr>
    </w:lvl>
    <w:lvl w:ilvl="1" w:tplc="3866080A">
      <w:start w:val="1"/>
      <w:numFmt w:val="bullet"/>
      <w:lvlText w:val="o"/>
      <w:lvlJc w:val="left"/>
      <w:pPr>
        <w:ind w:left="1440" w:hanging="360"/>
      </w:pPr>
      <w:rPr>
        <w:rFonts w:ascii="Courier New" w:hAnsi="Courier New" w:hint="default"/>
      </w:rPr>
    </w:lvl>
    <w:lvl w:ilvl="2" w:tplc="E2C4FC92">
      <w:start w:val="1"/>
      <w:numFmt w:val="bullet"/>
      <w:lvlText w:val=""/>
      <w:lvlJc w:val="left"/>
      <w:pPr>
        <w:ind w:left="2160" w:hanging="360"/>
      </w:pPr>
      <w:rPr>
        <w:rFonts w:ascii="Wingdings" w:hAnsi="Wingdings" w:hint="default"/>
      </w:rPr>
    </w:lvl>
    <w:lvl w:ilvl="3" w:tplc="F7E84444">
      <w:start w:val="1"/>
      <w:numFmt w:val="bullet"/>
      <w:lvlText w:val=""/>
      <w:lvlJc w:val="left"/>
      <w:pPr>
        <w:ind w:left="2880" w:hanging="360"/>
      </w:pPr>
      <w:rPr>
        <w:rFonts w:ascii="Symbol" w:hAnsi="Symbol" w:hint="default"/>
      </w:rPr>
    </w:lvl>
    <w:lvl w:ilvl="4" w:tplc="6F2A3342">
      <w:start w:val="1"/>
      <w:numFmt w:val="bullet"/>
      <w:lvlText w:val="o"/>
      <w:lvlJc w:val="left"/>
      <w:pPr>
        <w:ind w:left="3600" w:hanging="360"/>
      </w:pPr>
      <w:rPr>
        <w:rFonts w:ascii="Courier New" w:hAnsi="Courier New" w:hint="default"/>
      </w:rPr>
    </w:lvl>
    <w:lvl w:ilvl="5" w:tplc="E876B0AE">
      <w:start w:val="1"/>
      <w:numFmt w:val="bullet"/>
      <w:lvlText w:val=""/>
      <w:lvlJc w:val="left"/>
      <w:pPr>
        <w:ind w:left="4320" w:hanging="360"/>
      </w:pPr>
      <w:rPr>
        <w:rFonts w:ascii="Wingdings" w:hAnsi="Wingdings" w:hint="default"/>
      </w:rPr>
    </w:lvl>
    <w:lvl w:ilvl="6" w:tplc="715EA002">
      <w:start w:val="1"/>
      <w:numFmt w:val="bullet"/>
      <w:lvlText w:val=""/>
      <w:lvlJc w:val="left"/>
      <w:pPr>
        <w:ind w:left="5040" w:hanging="360"/>
      </w:pPr>
      <w:rPr>
        <w:rFonts w:ascii="Symbol" w:hAnsi="Symbol" w:hint="default"/>
      </w:rPr>
    </w:lvl>
    <w:lvl w:ilvl="7" w:tplc="EFE6D9FC">
      <w:start w:val="1"/>
      <w:numFmt w:val="bullet"/>
      <w:lvlText w:val="o"/>
      <w:lvlJc w:val="left"/>
      <w:pPr>
        <w:ind w:left="5760" w:hanging="360"/>
      </w:pPr>
      <w:rPr>
        <w:rFonts w:ascii="Courier New" w:hAnsi="Courier New" w:hint="default"/>
      </w:rPr>
    </w:lvl>
    <w:lvl w:ilvl="8" w:tplc="3AC86906">
      <w:start w:val="1"/>
      <w:numFmt w:val="bullet"/>
      <w:lvlText w:val=""/>
      <w:lvlJc w:val="left"/>
      <w:pPr>
        <w:ind w:left="6480" w:hanging="360"/>
      </w:pPr>
      <w:rPr>
        <w:rFonts w:ascii="Wingdings" w:hAnsi="Wingdings" w:hint="default"/>
      </w:rPr>
    </w:lvl>
  </w:abstractNum>
  <w:abstractNum w:abstractNumId="29" w15:restartNumberingAfterBreak="0">
    <w:nsid w:val="42FFFE67"/>
    <w:multiLevelType w:val="hybridMultilevel"/>
    <w:tmpl w:val="FFFFFFFF"/>
    <w:lvl w:ilvl="0" w:tplc="E8EEACD4">
      <w:start w:val="1"/>
      <w:numFmt w:val="bullet"/>
      <w:lvlText w:val=""/>
      <w:lvlJc w:val="left"/>
      <w:pPr>
        <w:ind w:left="720" w:hanging="360"/>
      </w:pPr>
      <w:rPr>
        <w:rFonts w:ascii="Symbol" w:hAnsi="Symbol" w:hint="default"/>
      </w:rPr>
    </w:lvl>
    <w:lvl w:ilvl="1" w:tplc="D938C06A">
      <w:start w:val="1"/>
      <w:numFmt w:val="bullet"/>
      <w:lvlText w:val="o"/>
      <w:lvlJc w:val="left"/>
      <w:pPr>
        <w:ind w:left="1440" w:hanging="360"/>
      </w:pPr>
      <w:rPr>
        <w:rFonts w:ascii="Courier New" w:hAnsi="Courier New" w:hint="default"/>
      </w:rPr>
    </w:lvl>
    <w:lvl w:ilvl="2" w:tplc="5C6AE8E6">
      <w:start w:val="1"/>
      <w:numFmt w:val="bullet"/>
      <w:lvlText w:val=""/>
      <w:lvlJc w:val="left"/>
      <w:pPr>
        <w:ind w:left="2160" w:hanging="360"/>
      </w:pPr>
      <w:rPr>
        <w:rFonts w:ascii="Wingdings" w:hAnsi="Wingdings" w:hint="default"/>
      </w:rPr>
    </w:lvl>
    <w:lvl w:ilvl="3" w:tplc="4942D904">
      <w:start w:val="1"/>
      <w:numFmt w:val="bullet"/>
      <w:lvlText w:val=""/>
      <w:lvlJc w:val="left"/>
      <w:pPr>
        <w:ind w:left="2880" w:hanging="360"/>
      </w:pPr>
      <w:rPr>
        <w:rFonts w:ascii="Symbol" w:hAnsi="Symbol" w:hint="default"/>
      </w:rPr>
    </w:lvl>
    <w:lvl w:ilvl="4" w:tplc="FF5E7C4C">
      <w:start w:val="1"/>
      <w:numFmt w:val="bullet"/>
      <w:lvlText w:val="o"/>
      <w:lvlJc w:val="left"/>
      <w:pPr>
        <w:ind w:left="3600" w:hanging="360"/>
      </w:pPr>
      <w:rPr>
        <w:rFonts w:ascii="Courier New" w:hAnsi="Courier New" w:hint="default"/>
      </w:rPr>
    </w:lvl>
    <w:lvl w:ilvl="5" w:tplc="0CECFD04">
      <w:start w:val="1"/>
      <w:numFmt w:val="bullet"/>
      <w:lvlText w:val=""/>
      <w:lvlJc w:val="left"/>
      <w:pPr>
        <w:ind w:left="4320" w:hanging="360"/>
      </w:pPr>
      <w:rPr>
        <w:rFonts w:ascii="Wingdings" w:hAnsi="Wingdings" w:hint="default"/>
      </w:rPr>
    </w:lvl>
    <w:lvl w:ilvl="6" w:tplc="3A5EAFD6">
      <w:start w:val="1"/>
      <w:numFmt w:val="bullet"/>
      <w:lvlText w:val=""/>
      <w:lvlJc w:val="left"/>
      <w:pPr>
        <w:ind w:left="5040" w:hanging="360"/>
      </w:pPr>
      <w:rPr>
        <w:rFonts w:ascii="Symbol" w:hAnsi="Symbol" w:hint="default"/>
      </w:rPr>
    </w:lvl>
    <w:lvl w:ilvl="7" w:tplc="1F1825A6">
      <w:start w:val="1"/>
      <w:numFmt w:val="bullet"/>
      <w:lvlText w:val="o"/>
      <w:lvlJc w:val="left"/>
      <w:pPr>
        <w:ind w:left="5760" w:hanging="360"/>
      </w:pPr>
      <w:rPr>
        <w:rFonts w:ascii="Courier New" w:hAnsi="Courier New" w:hint="default"/>
      </w:rPr>
    </w:lvl>
    <w:lvl w:ilvl="8" w:tplc="9A5413DA">
      <w:start w:val="1"/>
      <w:numFmt w:val="bullet"/>
      <w:lvlText w:val=""/>
      <w:lvlJc w:val="left"/>
      <w:pPr>
        <w:ind w:left="6480" w:hanging="360"/>
      </w:pPr>
      <w:rPr>
        <w:rFonts w:ascii="Wingdings" w:hAnsi="Wingdings" w:hint="default"/>
      </w:rPr>
    </w:lvl>
  </w:abstractNum>
  <w:abstractNum w:abstractNumId="30" w15:restartNumberingAfterBreak="0">
    <w:nsid w:val="43531556"/>
    <w:multiLevelType w:val="multilevel"/>
    <w:tmpl w:val="41EA1C58"/>
    <w:lvl w:ilvl="0">
      <w:start w:val="1"/>
      <w:numFmt w:val="decimal"/>
      <w:lvlText w:val="%1."/>
      <w:lvlJc w:val="left"/>
      <w:pPr>
        <w:ind w:left="720" w:hanging="360"/>
      </w:pPr>
      <w:rPr>
        <w:rFonts w:hint="default"/>
      </w:rPr>
    </w:lvl>
    <w:lvl w:ilvl="1">
      <w:start w:val="4"/>
      <w:numFmt w:val="decimal"/>
      <w:isLgl/>
      <w:lvlText w:val="%1.%2"/>
      <w:lvlJc w:val="left"/>
      <w:pPr>
        <w:ind w:left="730" w:hanging="370"/>
      </w:pPr>
      <w:rPr>
        <w:rFonts w:hint="default"/>
        <w:lang w:val="en-G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AA9D1E1"/>
    <w:multiLevelType w:val="hybridMultilevel"/>
    <w:tmpl w:val="FFFFFFFF"/>
    <w:lvl w:ilvl="0" w:tplc="BE3A6662">
      <w:start w:val="1"/>
      <w:numFmt w:val="bullet"/>
      <w:lvlText w:val=""/>
      <w:lvlJc w:val="left"/>
      <w:pPr>
        <w:ind w:left="720" w:hanging="360"/>
      </w:pPr>
      <w:rPr>
        <w:rFonts w:ascii="Symbol" w:hAnsi="Symbol" w:hint="default"/>
      </w:rPr>
    </w:lvl>
    <w:lvl w:ilvl="1" w:tplc="5C6CFCA8">
      <w:start w:val="1"/>
      <w:numFmt w:val="bullet"/>
      <w:lvlText w:val="o"/>
      <w:lvlJc w:val="left"/>
      <w:pPr>
        <w:ind w:left="1440" w:hanging="360"/>
      </w:pPr>
      <w:rPr>
        <w:rFonts w:ascii="Courier New" w:hAnsi="Courier New" w:hint="default"/>
      </w:rPr>
    </w:lvl>
    <w:lvl w:ilvl="2" w:tplc="6D7CB0F8">
      <w:start w:val="1"/>
      <w:numFmt w:val="bullet"/>
      <w:lvlText w:val=""/>
      <w:lvlJc w:val="left"/>
      <w:pPr>
        <w:ind w:left="2160" w:hanging="360"/>
      </w:pPr>
      <w:rPr>
        <w:rFonts w:ascii="Wingdings" w:hAnsi="Wingdings" w:hint="default"/>
      </w:rPr>
    </w:lvl>
    <w:lvl w:ilvl="3" w:tplc="B8BC8AE2">
      <w:start w:val="1"/>
      <w:numFmt w:val="bullet"/>
      <w:lvlText w:val=""/>
      <w:lvlJc w:val="left"/>
      <w:pPr>
        <w:ind w:left="2880" w:hanging="360"/>
      </w:pPr>
      <w:rPr>
        <w:rFonts w:ascii="Symbol" w:hAnsi="Symbol" w:hint="default"/>
      </w:rPr>
    </w:lvl>
    <w:lvl w:ilvl="4" w:tplc="A05ECDBC">
      <w:start w:val="1"/>
      <w:numFmt w:val="bullet"/>
      <w:lvlText w:val="o"/>
      <w:lvlJc w:val="left"/>
      <w:pPr>
        <w:ind w:left="3600" w:hanging="360"/>
      </w:pPr>
      <w:rPr>
        <w:rFonts w:ascii="Courier New" w:hAnsi="Courier New" w:hint="default"/>
      </w:rPr>
    </w:lvl>
    <w:lvl w:ilvl="5" w:tplc="613A54B6">
      <w:start w:val="1"/>
      <w:numFmt w:val="bullet"/>
      <w:lvlText w:val=""/>
      <w:lvlJc w:val="left"/>
      <w:pPr>
        <w:ind w:left="4320" w:hanging="360"/>
      </w:pPr>
      <w:rPr>
        <w:rFonts w:ascii="Wingdings" w:hAnsi="Wingdings" w:hint="default"/>
      </w:rPr>
    </w:lvl>
    <w:lvl w:ilvl="6" w:tplc="412201FC">
      <w:start w:val="1"/>
      <w:numFmt w:val="bullet"/>
      <w:lvlText w:val=""/>
      <w:lvlJc w:val="left"/>
      <w:pPr>
        <w:ind w:left="5040" w:hanging="360"/>
      </w:pPr>
      <w:rPr>
        <w:rFonts w:ascii="Symbol" w:hAnsi="Symbol" w:hint="default"/>
      </w:rPr>
    </w:lvl>
    <w:lvl w:ilvl="7" w:tplc="64E89CC0">
      <w:start w:val="1"/>
      <w:numFmt w:val="bullet"/>
      <w:lvlText w:val="o"/>
      <w:lvlJc w:val="left"/>
      <w:pPr>
        <w:ind w:left="5760" w:hanging="360"/>
      </w:pPr>
      <w:rPr>
        <w:rFonts w:ascii="Courier New" w:hAnsi="Courier New" w:hint="default"/>
      </w:rPr>
    </w:lvl>
    <w:lvl w:ilvl="8" w:tplc="F7203C7E">
      <w:start w:val="1"/>
      <w:numFmt w:val="bullet"/>
      <w:lvlText w:val=""/>
      <w:lvlJc w:val="left"/>
      <w:pPr>
        <w:ind w:left="6480" w:hanging="360"/>
      </w:pPr>
      <w:rPr>
        <w:rFonts w:ascii="Wingdings" w:hAnsi="Wingdings" w:hint="default"/>
      </w:rPr>
    </w:lvl>
  </w:abstractNum>
  <w:abstractNum w:abstractNumId="32" w15:restartNumberingAfterBreak="0">
    <w:nsid w:val="4BFC16D7"/>
    <w:multiLevelType w:val="hybridMultilevel"/>
    <w:tmpl w:val="FFFFFFFF"/>
    <w:lvl w:ilvl="0" w:tplc="B49E82D6">
      <w:start w:val="1"/>
      <w:numFmt w:val="bullet"/>
      <w:lvlText w:val=""/>
      <w:lvlJc w:val="left"/>
      <w:pPr>
        <w:ind w:left="720" w:hanging="360"/>
      </w:pPr>
      <w:rPr>
        <w:rFonts w:ascii="Symbol" w:hAnsi="Symbol" w:hint="default"/>
      </w:rPr>
    </w:lvl>
    <w:lvl w:ilvl="1" w:tplc="B8007486">
      <w:start w:val="1"/>
      <w:numFmt w:val="bullet"/>
      <w:lvlText w:val="o"/>
      <w:lvlJc w:val="left"/>
      <w:pPr>
        <w:ind w:left="1440" w:hanging="360"/>
      </w:pPr>
      <w:rPr>
        <w:rFonts w:ascii="Courier New" w:hAnsi="Courier New" w:hint="default"/>
      </w:rPr>
    </w:lvl>
    <w:lvl w:ilvl="2" w:tplc="A530B5C4">
      <w:start w:val="1"/>
      <w:numFmt w:val="bullet"/>
      <w:lvlText w:val=""/>
      <w:lvlJc w:val="left"/>
      <w:pPr>
        <w:ind w:left="2160" w:hanging="360"/>
      </w:pPr>
      <w:rPr>
        <w:rFonts w:ascii="Wingdings" w:hAnsi="Wingdings" w:hint="default"/>
      </w:rPr>
    </w:lvl>
    <w:lvl w:ilvl="3" w:tplc="C4545D7E">
      <w:start w:val="1"/>
      <w:numFmt w:val="bullet"/>
      <w:lvlText w:val=""/>
      <w:lvlJc w:val="left"/>
      <w:pPr>
        <w:ind w:left="2880" w:hanging="360"/>
      </w:pPr>
      <w:rPr>
        <w:rFonts w:ascii="Symbol" w:hAnsi="Symbol" w:hint="default"/>
      </w:rPr>
    </w:lvl>
    <w:lvl w:ilvl="4" w:tplc="20AA834C">
      <w:start w:val="1"/>
      <w:numFmt w:val="bullet"/>
      <w:lvlText w:val="o"/>
      <w:lvlJc w:val="left"/>
      <w:pPr>
        <w:ind w:left="3600" w:hanging="360"/>
      </w:pPr>
      <w:rPr>
        <w:rFonts w:ascii="Courier New" w:hAnsi="Courier New" w:hint="default"/>
      </w:rPr>
    </w:lvl>
    <w:lvl w:ilvl="5" w:tplc="79E49A16">
      <w:start w:val="1"/>
      <w:numFmt w:val="bullet"/>
      <w:lvlText w:val=""/>
      <w:lvlJc w:val="left"/>
      <w:pPr>
        <w:ind w:left="4320" w:hanging="360"/>
      </w:pPr>
      <w:rPr>
        <w:rFonts w:ascii="Wingdings" w:hAnsi="Wingdings" w:hint="default"/>
      </w:rPr>
    </w:lvl>
    <w:lvl w:ilvl="6" w:tplc="A85EC5B0">
      <w:start w:val="1"/>
      <w:numFmt w:val="bullet"/>
      <w:lvlText w:val=""/>
      <w:lvlJc w:val="left"/>
      <w:pPr>
        <w:ind w:left="5040" w:hanging="360"/>
      </w:pPr>
      <w:rPr>
        <w:rFonts w:ascii="Symbol" w:hAnsi="Symbol" w:hint="default"/>
      </w:rPr>
    </w:lvl>
    <w:lvl w:ilvl="7" w:tplc="81480410">
      <w:start w:val="1"/>
      <w:numFmt w:val="bullet"/>
      <w:lvlText w:val="o"/>
      <w:lvlJc w:val="left"/>
      <w:pPr>
        <w:ind w:left="5760" w:hanging="360"/>
      </w:pPr>
      <w:rPr>
        <w:rFonts w:ascii="Courier New" w:hAnsi="Courier New" w:hint="default"/>
      </w:rPr>
    </w:lvl>
    <w:lvl w:ilvl="8" w:tplc="247AA618">
      <w:start w:val="1"/>
      <w:numFmt w:val="bullet"/>
      <w:lvlText w:val=""/>
      <w:lvlJc w:val="left"/>
      <w:pPr>
        <w:ind w:left="6480" w:hanging="360"/>
      </w:pPr>
      <w:rPr>
        <w:rFonts w:ascii="Wingdings" w:hAnsi="Wingdings" w:hint="default"/>
      </w:rPr>
    </w:lvl>
  </w:abstractNum>
  <w:abstractNum w:abstractNumId="33" w15:restartNumberingAfterBreak="0">
    <w:nsid w:val="4CBE649B"/>
    <w:multiLevelType w:val="multilevel"/>
    <w:tmpl w:val="C5A6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973A73"/>
    <w:multiLevelType w:val="hybridMultilevel"/>
    <w:tmpl w:val="23A84CF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EA3188A"/>
    <w:multiLevelType w:val="hybridMultilevel"/>
    <w:tmpl w:val="FFFFFFFF"/>
    <w:lvl w:ilvl="0" w:tplc="BB7E7DC0">
      <w:start w:val="1"/>
      <w:numFmt w:val="bullet"/>
      <w:lvlText w:val=""/>
      <w:lvlJc w:val="left"/>
      <w:pPr>
        <w:ind w:left="720" w:hanging="360"/>
      </w:pPr>
      <w:rPr>
        <w:rFonts w:ascii="Symbol" w:hAnsi="Symbol" w:hint="default"/>
      </w:rPr>
    </w:lvl>
    <w:lvl w:ilvl="1" w:tplc="C4F45746">
      <w:start w:val="1"/>
      <w:numFmt w:val="bullet"/>
      <w:lvlText w:val="o"/>
      <w:lvlJc w:val="left"/>
      <w:pPr>
        <w:ind w:left="1440" w:hanging="360"/>
      </w:pPr>
      <w:rPr>
        <w:rFonts w:ascii="Courier New" w:hAnsi="Courier New" w:hint="default"/>
      </w:rPr>
    </w:lvl>
    <w:lvl w:ilvl="2" w:tplc="A9A81E64">
      <w:start w:val="1"/>
      <w:numFmt w:val="bullet"/>
      <w:lvlText w:val=""/>
      <w:lvlJc w:val="left"/>
      <w:pPr>
        <w:ind w:left="2160" w:hanging="360"/>
      </w:pPr>
      <w:rPr>
        <w:rFonts w:ascii="Wingdings" w:hAnsi="Wingdings" w:hint="default"/>
      </w:rPr>
    </w:lvl>
    <w:lvl w:ilvl="3" w:tplc="41B416EA">
      <w:start w:val="1"/>
      <w:numFmt w:val="bullet"/>
      <w:lvlText w:val=""/>
      <w:lvlJc w:val="left"/>
      <w:pPr>
        <w:ind w:left="2880" w:hanging="360"/>
      </w:pPr>
      <w:rPr>
        <w:rFonts w:ascii="Symbol" w:hAnsi="Symbol" w:hint="default"/>
      </w:rPr>
    </w:lvl>
    <w:lvl w:ilvl="4" w:tplc="4F1C7F7E">
      <w:start w:val="1"/>
      <w:numFmt w:val="bullet"/>
      <w:lvlText w:val="o"/>
      <w:lvlJc w:val="left"/>
      <w:pPr>
        <w:ind w:left="3600" w:hanging="360"/>
      </w:pPr>
      <w:rPr>
        <w:rFonts w:ascii="Courier New" w:hAnsi="Courier New" w:hint="default"/>
      </w:rPr>
    </w:lvl>
    <w:lvl w:ilvl="5" w:tplc="AAD2E580">
      <w:start w:val="1"/>
      <w:numFmt w:val="bullet"/>
      <w:lvlText w:val=""/>
      <w:lvlJc w:val="left"/>
      <w:pPr>
        <w:ind w:left="4320" w:hanging="360"/>
      </w:pPr>
      <w:rPr>
        <w:rFonts w:ascii="Wingdings" w:hAnsi="Wingdings" w:hint="default"/>
      </w:rPr>
    </w:lvl>
    <w:lvl w:ilvl="6" w:tplc="FA9615FC">
      <w:start w:val="1"/>
      <w:numFmt w:val="bullet"/>
      <w:lvlText w:val=""/>
      <w:lvlJc w:val="left"/>
      <w:pPr>
        <w:ind w:left="5040" w:hanging="360"/>
      </w:pPr>
      <w:rPr>
        <w:rFonts w:ascii="Symbol" w:hAnsi="Symbol" w:hint="default"/>
      </w:rPr>
    </w:lvl>
    <w:lvl w:ilvl="7" w:tplc="E40AF01A">
      <w:start w:val="1"/>
      <w:numFmt w:val="bullet"/>
      <w:lvlText w:val="o"/>
      <w:lvlJc w:val="left"/>
      <w:pPr>
        <w:ind w:left="5760" w:hanging="360"/>
      </w:pPr>
      <w:rPr>
        <w:rFonts w:ascii="Courier New" w:hAnsi="Courier New" w:hint="default"/>
      </w:rPr>
    </w:lvl>
    <w:lvl w:ilvl="8" w:tplc="D6668210">
      <w:start w:val="1"/>
      <w:numFmt w:val="bullet"/>
      <w:lvlText w:val=""/>
      <w:lvlJc w:val="left"/>
      <w:pPr>
        <w:ind w:left="6480" w:hanging="360"/>
      </w:pPr>
      <w:rPr>
        <w:rFonts w:ascii="Wingdings" w:hAnsi="Wingdings" w:hint="default"/>
      </w:rPr>
    </w:lvl>
  </w:abstractNum>
  <w:abstractNum w:abstractNumId="36" w15:restartNumberingAfterBreak="0">
    <w:nsid w:val="5042E075"/>
    <w:multiLevelType w:val="hybridMultilevel"/>
    <w:tmpl w:val="FFFFFFFF"/>
    <w:lvl w:ilvl="0" w:tplc="5B80BCAC">
      <w:start w:val="1"/>
      <w:numFmt w:val="bullet"/>
      <w:lvlText w:val=""/>
      <w:lvlJc w:val="left"/>
      <w:pPr>
        <w:ind w:left="720" w:hanging="360"/>
      </w:pPr>
      <w:rPr>
        <w:rFonts w:ascii="Symbol" w:hAnsi="Symbol" w:hint="default"/>
      </w:rPr>
    </w:lvl>
    <w:lvl w:ilvl="1" w:tplc="8312C798">
      <w:start w:val="1"/>
      <w:numFmt w:val="bullet"/>
      <w:lvlText w:val="o"/>
      <w:lvlJc w:val="left"/>
      <w:pPr>
        <w:ind w:left="1440" w:hanging="360"/>
      </w:pPr>
      <w:rPr>
        <w:rFonts w:ascii="Courier New" w:hAnsi="Courier New" w:hint="default"/>
      </w:rPr>
    </w:lvl>
    <w:lvl w:ilvl="2" w:tplc="A3DC9F74">
      <w:start w:val="1"/>
      <w:numFmt w:val="bullet"/>
      <w:lvlText w:val=""/>
      <w:lvlJc w:val="left"/>
      <w:pPr>
        <w:ind w:left="2160" w:hanging="360"/>
      </w:pPr>
      <w:rPr>
        <w:rFonts w:ascii="Wingdings" w:hAnsi="Wingdings" w:hint="default"/>
      </w:rPr>
    </w:lvl>
    <w:lvl w:ilvl="3" w:tplc="D302A2A0">
      <w:start w:val="1"/>
      <w:numFmt w:val="bullet"/>
      <w:lvlText w:val=""/>
      <w:lvlJc w:val="left"/>
      <w:pPr>
        <w:ind w:left="2880" w:hanging="360"/>
      </w:pPr>
      <w:rPr>
        <w:rFonts w:ascii="Symbol" w:hAnsi="Symbol" w:hint="default"/>
      </w:rPr>
    </w:lvl>
    <w:lvl w:ilvl="4" w:tplc="4E4AE580">
      <w:start w:val="1"/>
      <w:numFmt w:val="bullet"/>
      <w:lvlText w:val="o"/>
      <w:lvlJc w:val="left"/>
      <w:pPr>
        <w:ind w:left="3600" w:hanging="360"/>
      </w:pPr>
      <w:rPr>
        <w:rFonts w:ascii="Courier New" w:hAnsi="Courier New" w:hint="default"/>
      </w:rPr>
    </w:lvl>
    <w:lvl w:ilvl="5" w:tplc="08505740">
      <w:start w:val="1"/>
      <w:numFmt w:val="bullet"/>
      <w:lvlText w:val=""/>
      <w:lvlJc w:val="left"/>
      <w:pPr>
        <w:ind w:left="4320" w:hanging="360"/>
      </w:pPr>
      <w:rPr>
        <w:rFonts w:ascii="Wingdings" w:hAnsi="Wingdings" w:hint="default"/>
      </w:rPr>
    </w:lvl>
    <w:lvl w:ilvl="6" w:tplc="8C94731A">
      <w:start w:val="1"/>
      <w:numFmt w:val="bullet"/>
      <w:lvlText w:val=""/>
      <w:lvlJc w:val="left"/>
      <w:pPr>
        <w:ind w:left="5040" w:hanging="360"/>
      </w:pPr>
      <w:rPr>
        <w:rFonts w:ascii="Symbol" w:hAnsi="Symbol" w:hint="default"/>
      </w:rPr>
    </w:lvl>
    <w:lvl w:ilvl="7" w:tplc="3A6235D0">
      <w:start w:val="1"/>
      <w:numFmt w:val="bullet"/>
      <w:lvlText w:val="o"/>
      <w:lvlJc w:val="left"/>
      <w:pPr>
        <w:ind w:left="5760" w:hanging="360"/>
      </w:pPr>
      <w:rPr>
        <w:rFonts w:ascii="Courier New" w:hAnsi="Courier New" w:hint="default"/>
      </w:rPr>
    </w:lvl>
    <w:lvl w:ilvl="8" w:tplc="DA4C4E04">
      <w:start w:val="1"/>
      <w:numFmt w:val="bullet"/>
      <w:lvlText w:val=""/>
      <w:lvlJc w:val="left"/>
      <w:pPr>
        <w:ind w:left="6480" w:hanging="360"/>
      </w:pPr>
      <w:rPr>
        <w:rFonts w:ascii="Wingdings" w:hAnsi="Wingdings" w:hint="default"/>
      </w:rPr>
    </w:lvl>
  </w:abstractNum>
  <w:abstractNum w:abstractNumId="37" w15:restartNumberingAfterBreak="0">
    <w:nsid w:val="521835BB"/>
    <w:multiLevelType w:val="hybridMultilevel"/>
    <w:tmpl w:val="FFFFFFFF"/>
    <w:lvl w:ilvl="0" w:tplc="02B417F0">
      <w:start w:val="1"/>
      <w:numFmt w:val="bullet"/>
      <w:lvlText w:val=""/>
      <w:lvlJc w:val="left"/>
      <w:pPr>
        <w:ind w:left="720" w:hanging="360"/>
      </w:pPr>
      <w:rPr>
        <w:rFonts w:ascii="Symbol" w:hAnsi="Symbol" w:hint="default"/>
      </w:rPr>
    </w:lvl>
    <w:lvl w:ilvl="1" w:tplc="C3A05C72">
      <w:start w:val="1"/>
      <w:numFmt w:val="bullet"/>
      <w:lvlText w:val="o"/>
      <w:lvlJc w:val="left"/>
      <w:pPr>
        <w:ind w:left="1440" w:hanging="360"/>
      </w:pPr>
      <w:rPr>
        <w:rFonts w:ascii="Courier New" w:hAnsi="Courier New" w:hint="default"/>
      </w:rPr>
    </w:lvl>
    <w:lvl w:ilvl="2" w:tplc="F55E9A1A">
      <w:start w:val="1"/>
      <w:numFmt w:val="bullet"/>
      <w:lvlText w:val=""/>
      <w:lvlJc w:val="left"/>
      <w:pPr>
        <w:ind w:left="2160" w:hanging="360"/>
      </w:pPr>
      <w:rPr>
        <w:rFonts w:ascii="Wingdings" w:hAnsi="Wingdings" w:hint="default"/>
      </w:rPr>
    </w:lvl>
    <w:lvl w:ilvl="3" w:tplc="84C4C7D8">
      <w:start w:val="1"/>
      <w:numFmt w:val="bullet"/>
      <w:lvlText w:val=""/>
      <w:lvlJc w:val="left"/>
      <w:pPr>
        <w:ind w:left="2880" w:hanging="360"/>
      </w:pPr>
      <w:rPr>
        <w:rFonts w:ascii="Symbol" w:hAnsi="Symbol" w:hint="default"/>
      </w:rPr>
    </w:lvl>
    <w:lvl w:ilvl="4" w:tplc="53FA22B0">
      <w:start w:val="1"/>
      <w:numFmt w:val="bullet"/>
      <w:lvlText w:val="o"/>
      <w:lvlJc w:val="left"/>
      <w:pPr>
        <w:ind w:left="3600" w:hanging="360"/>
      </w:pPr>
      <w:rPr>
        <w:rFonts w:ascii="Courier New" w:hAnsi="Courier New" w:hint="default"/>
      </w:rPr>
    </w:lvl>
    <w:lvl w:ilvl="5" w:tplc="040C7A86">
      <w:start w:val="1"/>
      <w:numFmt w:val="bullet"/>
      <w:lvlText w:val=""/>
      <w:lvlJc w:val="left"/>
      <w:pPr>
        <w:ind w:left="4320" w:hanging="360"/>
      </w:pPr>
      <w:rPr>
        <w:rFonts w:ascii="Wingdings" w:hAnsi="Wingdings" w:hint="default"/>
      </w:rPr>
    </w:lvl>
    <w:lvl w:ilvl="6" w:tplc="D61EBA60">
      <w:start w:val="1"/>
      <w:numFmt w:val="bullet"/>
      <w:lvlText w:val=""/>
      <w:lvlJc w:val="left"/>
      <w:pPr>
        <w:ind w:left="5040" w:hanging="360"/>
      </w:pPr>
      <w:rPr>
        <w:rFonts w:ascii="Symbol" w:hAnsi="Symbol" w:hint="default"/>
      </w:rPr>
    </w:lvl>
    <w:lvl w:ilvl="7" w:tplc="8C343B90">
      <w:start w:val="1"/>
      <w:numFmt w:val="bullet"/>
      <w:lvlText w:val="o"/>
      <w:lvlJc w:val="left"/>
      <w:pPr>
        <w:ind w:left="5760" w:hanging="360"/>
      </w:pPr>
      <w:rPr>
        <w:rFonts w:ascii="Courier New" w:hAnsi="Courier New" w:hint="default"/>
      </w:rPr>
    </w:lvl>
    <w:lvl w:ilvl="8" w:tplc="5DC02486">
      <w:start w:val="1"/>
      <w:numFmt w:val="bullet"/>
      <w:lvlText w:val=""/>
      <w:lvlJc w:val="left"/>
      <w:pPr>
        <w:ind w:left="6480" w:hanging="360"/>
      </w:pPr>
      <w:rPr>
        <w:rFonts w:ascii="Wingdings" w:hAnsi="Wingdings" w:hint="default"/>
      </w:rPr>
    </w:lvl>
  </w:abstractNum>
  <w:abstractNum w:abstractNumId="38" w15:restartNumberingAfterBreak="0">
    <w:nsid w:val="5237949A"/>
    <w:multiLevelType w:val="hybridMultilevel"/>
    <w:tmpl w:val="FFFFFFFF"/>
    <w:lvl w:ilvl="0" w:tplc="CDAA9DAA">
      <w:start w:val="1"/>
      <w:numFmt w:val="bullet"/>
      <w:lvlText w:val=""/>
      <w:lvlJc w:val="left"/>
      <w:pPr>
        <w:ind w:left="720" w:hanging="360"/>
      </w:pPr>
      <w:rPr>
        <w:rFonts w:ascii="Symbol" w:hAnsi="Symbol" w:hint="default"/>
      </w:rPr>
    </w:lvl>
    <w:lvl w:ilvl="1" w:tplc="10D0808C">
      <w:start w:val="1"/>
      <w:numFmt w:val="bullet"/>
      <w:lvlText w:val="o"/>
      <w:lvlJc w:val="left"/>
      <w:pPr>
        <w:ind w:left="1440" w:hanging="360"/>
      </w:pPr>
      <w:rPr>
        <w:rFonts w:ascii="Courier New" w:hAnsi="Courier New" w:hint="default"/>
      </w:rPr>
    </w:lvl>
    <w:lvl w:ilvl="2" w:tplc="FA74BD76">
      <w:start w:val="1"/>
      <w:numFmt w:val="bullet"/>
      <w:lvlText w:val=""/>
      <w:lvlJc w:val="left"/>
      <w:pPr>
        <w:ind w:left="2160" w:hanging="360"/>
      </w:pPr>
      <w:rPr>
        <w:rFonts w:ascii="Wingdings" w:hAnsi="Wingdings" w:hint="default"/>
      </w:rPr>
    </w:lvl>
    <w:lvl w:ilvl="3" w:tplc="FB80E7C2">
      <w:start w:val="1"/>
      <w:numFmt w:val="bullet"/>
      <w:lvlText w:val=""/>
      <w:lvlJc w:val="left"/>
      <w:pPr>
        <w:ind w:left="2880" w:hanging="360"/>
      </w:pPr>
      <w:rPr>
        <w:rFonts w:ascii="Symbol" w:hAnsi="Symbol" w:hint="default"/>
      </w:rPr>
    </w:lvl>
    <w:lvl w:ilvl="4" w:tplc="81784D26">
      <w:start w:val="1"/>
      <w:numFmt w:val="bullet"/>
      <w:lvlText w:val="o"/>
      <w:lvlJc w:val="left"/>
      <w:pPr>
        <w:ind w:left="3600" w:hanging="360"/>
      </w:pPr>
      <w:rPr>
        <w:rFonts w:ascii="Courier New" w:hAnsi="Courier New" w:hint="default"/>
      </w:rPr>
    </w:lvl>
    <w:lvl w:ilvl="5" w:tplc="09F2C562">
      <w:start w:val="1"/>
      <w:numFmt w:val="bullet"/>
      <w:lvlText w:val=""/>
      <w:lvlJc w:val="left"/>
      <w:pPr>
        <w:ind w:left="4320" w:hanging="360"/>
      </w:pPr>
      <w:rPr>
        <w:rFonts w:ascii="Wingdings" w:hAnsi="Wingdings" w:hint="default"/>
      </w:rPr>
    </w:lvl>
    <w:lvl w:ilvl="6" w:tplc="E542A656">
      <w:start w:val="1"/>
      <w:numFmt w:val="bullet"/>
      <w:lvlText w:val=""/>
      <w:lvlJc w:val="left"/>
      <w:pPr>
        <w:ind w:left="5040" w:hanging="360"/>
      </w:pPr>
      <w:rPr>
        <w:rFonts w:ascii="Symbol" w:hAnsi="Symbol" w:hint="default"/>
      </w:rPr>
    </w:lvl>
    <w:lvl w:ilvl="7" w:tplc="D0D64260">
      <w:start w:val="1"/>
      <w:numFmt w:val="bullet"/>
      <w:lvlText w:val="o"/>
      <w:lvlJc w:val="left"/>
      <w:pPr>
        <w:ind w:left="5760" w:hanging="360"/>
      </w:pPr>
      <w:rPr>
        <w:rFonts w:ascii="Courier New" w:hAnsi="Courier New" w:hint="default"/>
      </w:rPr>
    </w:lvl>
    <w:lvl w:ilvl="8" w:tplc="E77AE922">
      <w:start w:val="1"/>
      <w:numFmt w:val="bullet"/>
      <w:lvlText w:val=""/>
      <w:lvlJc w:val="left"/>
      <w:pPr>
        <w:ind w:left="6480" w:hanging="360"/>
      </w:pPr>
      <w:rPr>
        <w:rFonts w:ascii="Wingdings" w:hAnsi="Wingdings" w:hint="default"/>
      </w:rPr>
    </w:lvl>
  </w:abstractNum>
  <w:abstractNum w:abstractNumId="39" w15:restartNumberingAfterBreak="0">
    <w:nsid w:val="5260040D"/>
    <w:multiLevelType w:val="hybridMultilevel"/>
    <w:tmpl w:val="FFFFFFFF"/>
    <w:lvl w:ilvl="0" w:tplc="9148F69A">
      <w:start w:val="1"/>
      <w:numFmt w:val="bullet"/>
      <w:lvlText w:val=""/>
      <w:lvlJc w:val="left"/>
      <w:pPr>
        <w:ind w:left="720" w:hanging="360"/>
      </w:pPr>
      <w:rPr>
        <w:rFonts w:ascii="Symbol" w:hAnsi="Symbol" w:hint="default"/>
      </w:rPr>
    </w:lvl>
    <w:lvl w:ilvl="1" w:tplc="F7867D24">
      <w:start w:val="1"/>
      <w:numFmt w:val="bullet"/>
      <w:lvlText w:val="o"/>
      <w:lvlJc w:val="left"/>
      <w:pPr>
        <w:ind w:left="1440" w:hanging="360"/>
      </w:pPr>
      <w:rPr>
        <w:rFonts w:ascii="Courier New" w:hAnsi="Courier New" w:hint="default"/>
      </w:rPr>
    </w:lvl>
    <w:lvl w:ilvl="2" w:tplc="4784E348">
      <w:start w:val="1"/>
      <w:numFmt w:val="bullet"/>
      <w:lvlText w:val=""/>
      <w:lvlJc w:val="left"/>
      <w:pPr>
        <w:ind w:left="2160" w:hanging="360"/>
      </w:pPr>
      <w:rPr>
        <w:rFonts w:ascii="Wingdings" w:hAnsi="Wingdings" w:hint="default"/>
      </w:rPr>
    </w:lvl>
    <w:lvl w:ilvl="3" w:tplc="D0F2813A">
      <w:start w:val="1"/>
      <w:numFmt w:val="bullet"/>
      <w:lvlText w:val=""/>
      <w:lvlJc w:val="left"/>
      <w:pPr>
        <w:ind w:left="2880" w:hanging="360"/>
      </w:pPr>
      <w:rPr>
        <w:rFonts w:ascii="Symbol" w:hAnsi="Symbol" w:hint="default"/>
      </w:rPr>
    </w:lvl>
    <w:lvl w:ilvl="4" w:tplc="FE1AB5B6">
      <w:start w:val="1"/>
      <w:numFmt w:val="bullet"/>
      <w:lvlText w:val="o"/>
      <w:lvlJc w:val="left"/>
      <w:pPr>
        <w:ind w:left="3600" w:hanging="360"/>
      </w:pPr>
      <w:rPr>
        <w:rFonts w:ascii="Courier New" w:hAnsi="Courier New" w:hint="default"/>
      </w:rPr>
    </w:lvl>
    <w:lvl w:ilvl="5" w:tplc="7D9ADAB8">
      <w:start w:val="1"/>
      <w:numFmt w:val="bullet"/>
      <w:lvlText w:val=""/>
      <w:lvlJc w:val="left"/>
      <w:pPr>
        <w:ind w:left="4320" w:hanging="360"/>
      </w:pPr>
      <w:rPr>
        <w:rFonts w:ascii="Wingdings" w:hAnsi="Wingdings" w:hint="default"/>
      </w:rPr>
    </w:lvl>
    <w:lvl w:ilvl="6" w:tplc="847E3542">
      <w:start w:val="1"/>
      <w:numFmt w:val="bullet"/>
      <w:lvlText w:val=""/>
      <w:lvlJc w:val="left"/>
      <w:pPr>
        <w:ind w:left="5040" w:hanging="360"/>
      </w:pPr>
      <w:rPr>
        <w:rFonts w:ascii="Symbol" w:hAnsi="Symbol" w:hint="default"/>
      </w:rPr>
    </w:lvl>
    <w:lvl w:ilvl="7" w:tplc="85EE956A">
      <w:start w:val="1"/>
      <w:numFmt w:val="bullet"/>
      <w:lvlText w:val="o"/>
      <w:lvlJc w:val="left"/>
      <w:pPr>
        <w:ind w:left="5760" w:hanging="360"/>
      </w:pPr>
      <w:rPr>
        <w:rFonts w:ascii="Courier New" w:hAnsi="Courier New" w:hint="default"/>
      </w:rPr>
    </w:lvl>
    <w:lvl w:ilvl="8" w:tplc="92646FCA">
      <w:start w:val="1"/>
      <w:numFmt w:val="bullet"/>
      <w:lvlText w:val=""/>
      <w:lvlJc w:val="left"/>
      <w:pPr>
        <w:ind w:left="6480" w:hanging="360"/>
      </w:pPr>
      <w:rPr>
        <w:rFonts w:ascii="Wingdings" w:hAnsi="Wingdings" w:hint="default"/>
      </w:rPr>
    </w:lvl>
  </w:abstractNum>
  <w:abstractNum w:abstractNumId="40" w15:restartNumberingAfterBreak="0">
    <w:nsid w:val="546A292F"/>
    <w:multiLevelType w:val="hybridMultilevel"/>
    <w:tmpl w:val="FFFFFFFF"/>
    <w:lvl w:ilvl="0" w:tplc="C3AC2E8E">
      <w:start w:val="1"/>
      <w:numFmt w:val="bullet"/>
      <w:lvlText w:val=""/>
      <w:lvlJc w:val="left"/>
      <w:pPr>
        <w:ind w:left="720" w:hanging="360"/>
      </w:pPr>
      <w:rPr>
        <w:rFonts w:ascii="Symbol" w:hAnsi="Symbol" w:hint="default"/>
      </w:rPr>
    </w:lvl>
    <w:lvl w:ilvl="1" w:tplc="8C24D7BA">
      <w:start w:val="1"/>
      <w:numFmt w:val="bullet"/>
      <w:lvlText w:val="o"/>
      <w:lvlJc w:val="left"/>
      <w:pPr>
        <w:ind w:left="1440" w:hanging="360"/>
      </w:pPr>
      <w:rPr>
        <w:rFonts w:ascii="Courier New" w:hAnsi="Courier New" w:hint="default"/>
      </w:rPr>
    </w:lvl>
    <w:lvl w:ilvl="2" w:tplc="7B3C2C92">
      <w:start w:val="1"/>
      <w:numFmt w:val="bullet"/>
      <w:lvlText w:val=""/>
      <w:lvlJc w:val="left"/>
      <w:pPr>
        <w:ind w:left="2160" w:hanging="360"/>
      </w:pPr>
      <w:rPr>
        <w:rFonts w:ascii="Wingdings" w:hAnsi="Wingdings" w:hint="default"/>
      </w:rPr>
    </w:lvl>
    <w:lvl w:ilvl="3" w:tplc="6430140E">
      <w:start w:val="1"/>
      <w:numFmt w:val="bullet"/>
      <w:lvlText w:val=""/>
      <w:lvlJc w:val="left"/>
      <w:pPr>
        <w:ind w:left="2880" w:hanging="360"/>
      </w:pPr>
      <w:rPr>
        <w:rFonts w:ascii="Symbol" w:hAnsi="Symbol" w:hint="default"/>
      </w:rPr>
    </w:lvl>
    <w:lvl w:ilvl="4" w:tplc="A7FE33F4">
      <w:start w:val="1"/>
      <w:numFmt w:val="bullet"/>
      <w:lvlText w:val="o"/>
      <w:lvlJc w:val="left"/>
      <w:pPr>
        <w:ind w:left="3600" w:hanging="360"/>
      </w:pPr>
      <w:rPr>
        <w:rFonts w:ascii="Courier New" w:hAnsi="Courier New" w:hint="default"/>
      </w:rPr>
    </w:lvl>
    <w:lvl w:ilvl="5" w:tplc="80BABE9E">
      <w:start w:val="1"/>
      <w:numFmt w:val="bullet"/>
      <w:lvlText w:val=""/>
      <w:lvlJc w:val="left"/>
      <w:pPr>
        <w:ind w:left="4320" w:hanging="360"/>
      </w:pPr>
      <w:rPr>
        <w:rFonts w:ascii="Wingdings" w:hAnsi="Wingdings" w:hint="default"/>
      </w:rPr>
    </w:lvl>
    <w:lvl w:ilvl="6" w:tplc="5A5E41F0">
      <w:start w:val="1"/>
      <w:numFmt w:val="bullet"/>
      <w:lvlText w:val=""/>
      <w:lvlJc w:val="left"/>
      <w:pPr>
        <w:ind w:left="5040" w:hanging="360"/>
      </w:pPr>
      <w:rPr>
        <w:rFonts w:ascii="Symbol" w:hAnsi="Symbol" w:hint="default"/>
      </w:rPr>
    </w:lvl>
    <w:lvl w:ilvl="7" w:tplc="17D6BD4E">
      <w:start w:val="1"/>
      <w:numFmt w:val="bullet"/>
      <w:lvlText w:val="o"/>
      <w:lvlJc w:val="left"/>
      <w:pPr>
        <w:ind w:left="5760" w:hanging="360"/>
      </w:pPr>
      <w:rPr>
        <w:rFonts w:ascii="Courier New" w:hAnsi="Courier New" w:hint="default"/>
      </w:rPr>
    </w:lvl>
    <w:lvl w:ilvl="8" w:tplc="D57A464E">
      <w:start w:val="1"/>
      <w:numFmt w:val="bullet"/>
      <w:lvlText w:val=""/>
      <w:lvlJc w:val="left"/>
      <w:pPr>
        <w:ind w:left="6480" w:hanging="360"/>
      </w:pPr>
      <w:rPr>
        <w:rFonts w:ascii="Wingdings" w:hAnsi="Wingdings" w:hint="default"/>
      </w:rPr>
    </w:lvl>
  </w:abstractNum>
  <w:abstractNum w:abstractNumId="41" w15:restartNumberingAfterBreak="0">
    <w:nsid w:val="551DD107"/>
    <w:multiLevelType w:val="hybridMultilevel"/>
    <w:tmpl w:val="FFFFFFFF"/>
    <w:lvl w:ilvl="0" w:tplc="E4540000">
      <w:start w:val="1"/>
      <w:numFmt w:val="bullet"/>
      <w:lvlText w:val=""/>
      <w:lvlJc w:val="left"/>
      <w:pPr>
        <w:ind w:left="720" w:hanging="360"/>
      </w:pPr>
      <w:rPr>
        <w:rFonts w:ascii="Symbol" w:hAnsi="Symbol" w:hint="default"/>
      </w:rPr>
    </w:lvl>
    <w:lvl w:ilvl="1" w:tplc="5A2A59B2">
      <w:start w:val="1"/>
      <w:numFmt w:val="bullet"/>
      <w:lvlText w:val="o"/>
      <w:lvlJc w:val="left"/>
      <w:pPr>
        <w:ind w:left="1440" w:hanging="360"/>
      </w:pPr>
      <w:rPr>
        <w:rFonts w:ascii="Courier New" w:hAnsi="Courier New" w:hint="default"/>
      </w:rPr>
    </w:lvl>
    <w:lvl w:ilvl="2" w:tplc="88C6BDE4">
      <w:start w:val="1"/>
      <w:numFmt w:val="bullet"/>
      <w:lvlText w:val=""/>
      <w:lvlJc w:val="left"/>
      <w:pPr>
        <w:ind w:left="2160" w:hanging="360"/>
      </w:pPr>
      <w:rPr>
        <w:rFonts w:ascii="Wingdings" w:hAnsi="Wingdings" w:hint="default"/>
      </w:rPr>
    </w:lvl>
    <w:lvl w:ilvl="3" w:tplc="762E2268">
      <w:start w:val="1"/>
      <w:numFmt w:val="bullet"/>
      <w:lvlText w:val=""/>
      <w:lvlJc w:val="left"/>
      <w:pPr>
        <w:ind w:left="2880" w:hanging="360"/>
      </w:pPr>
      <w:rPr>
        <w:rFonts w:ascii="Symbol" w:hAnsi="Symbol" w:hint="default"/>
      </w:rPr>
    </w:lvl>
    <w:lvl w:ilvl="4" w:tplc="3BD493EE">
      <w:start w:val="1"/>
      <w:numFmt w:val="bullet"/>
      <w:lvlText w:val="o"/>
      <w:lvlJc w:val="left"/>
      <w:pPr>
        <w:ind w:left="3600" w:hanging="360"/>
      </w:pPr>
      <w:rPr>
        <w:rFonts w:ascii="Courier New" w:hAnsi="Courier New" w:hint="default"/>
      </w:rPr>
    </w:lvl>
    <w:lvl w:ilvl="5" w:tplc="9C0C262A">
      <w:start w:val="1"/>
      <w:numFmt w:val="bullet"/>
      <w:lvlText w:val=""/>
      <w:lvlJc w:val="left"/>
      <w:pPr>
        <w:ind w:left="4320" w:hanging="360"/>
      </w:pPr>
      <w:rPr>
        <w:rFonts w:ascii="Wingdings" w:hAnsi="Wingdings" w:hint="default"/>
      </w:rPr>
    </w:lvl>
    <w:lvl w:ilvl="6" w:tplc="763A1E68">
      <w:start w:val="1"/>
      <w:numFmt w:val="bullet"/>
      <w:lvlText w:val=""/>
      <w:lvlJc w:val="left"/>
      <w:pPr>
        <w:ind w:left="5040" w:hanging="360"/>
      </w:pPr>
      <w:rPr>
        <w:rFonts w:ascii="Symbol" w:hAnsi="Symbol" w:hint="default"/>
      </w:rPr>
    </w:lvl>
    <w:lvl w:ilvl="7" w:tplc="00CE3328">
      <w:start w:val="1"/>
      <w:numFmt w:val="bullet"/>
      <w:lvlText w:val="o"/>
      <w:lvlJc w:val="left"/>
      <w:pPr>
        <w:ind w:left="5760" w:hanging="360"/>
      </w:pPr>
      <w:rPr>
        <w:rFonts w:ascii="Courier New" w:hAnsi="Courier New" w:hint="default"/>
      </w:rPr>
    </w:lvl>
    <w:lvl w:ilvl="8" w:tplc="02DAC090">
      <w:start w:val="1"/>
      <w:numFmt w:val="bullet"/>
      <w:lvlText w:val=""/>
      <w:lvlJc w:val="left"/>
      <w:pPr>
        <w:ind w:left="6480" w:hanging="360"/>
      </w:pPr>
      <w:rPr>
        <w:rFonts w:ascii="Wingdings" w:hAnsi="Wingdings" w:hint="default"/>
      </w:rPr>
    </w:lvl>
  </w:abstractNum>
  <w:abstractNum w:abstractNumId="42" w15:restartNumberingAfterBreak="0">
    <w:nsid w:val="55666184"/>
    <w:multiLevelType w:val="hybridMultilevel"/>
    <w:tmpl w:val="B6D242A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6B702D1"/>
    <w:multiLevelType w:val="hybridMultilevel"/>
    <w:tmpl w:val="7DC0C6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6EA333D"/>
    <w:multiLevelType w:val="hybridMultilevel"/>
    <w:tmpl w:val="FFFFFFFF"/>
    <w:lvl w:ilvl="0" w:tplc="FB860824">
      <w:start w:val="1"/>
      <w:numFmt w:val="bullet"/>
      <w:lvlText w:val=""/>
      <w:lvlJc w:val="left"/>
      <w:pPr>
        <w:ind w:left="720" w:hanging="360"/>
      </w:pPr>
      <w:rPr>
        <w:rFonts w:ascii="Symbol" w:hAnsi="Symbol" w:hint="default"/>
      </w:rPr>
    </w:lvl>
    <w:lvl w:ilvl="1" w:tplc="C1568348">
      <w:start w:val="1"/>
      <w:numFmt w:val="bullet"/>
      <w:lvlText w:val="o"/>
      <w:lvlJc w:val="left"/>
      <w:pPr>
        <w:ind w:left="1440" w:hanging="360"/>
      </w:pPr>
      <w:rPr>
        <w:rFonts w:ascii="Courier New" w:hAnsi="Courier New" w:hint="default"/>
      </w:rPr>
    </w:lvl>
    <w:lvl w:ilvl="2" w:tplc="D97CF812">
      <w:start w:val="1"/>
      <w:numFmt w:val="bullet"/>
      <w:lvlText w:val=""/>
      <w:lvlJc w:val="left"/>
      <w:pPr>
        <w:ind w:left="2160" w:hanging="360"/>
      </w:pPr>
      <w:rPr>
        <w:rFonts w:ascii="Wingdings" w:hAnsi="Wingdings" w:hint="default"/>
      </w:rPr>
    </w:lvl>
    <w:lvl w:ilvl="3" w:tplc="56C408F0">
      <w:start w:val="1"/>
      <w:numFmt w:val="bullet"/>
      <w:lvlText w:val=""/>
      <w:lvlJc w:val="left"/>
      <w:pPr>
        <w:ind w:left="2880" w:hanging="360"/>
      </w:pPr>
      <w:rPr>
        <w:rFonts w:ascii="Symbol" w:hAnsi="Symbol" w:hint="default"/>
      </w:rPr>
    </w:lvl>
    <w:lvl w:ilvl="4" w:tplc="3E4671C2">
      <w:start w:val="1"/>
      <w:numFmt w:val="bullet"/>
      <w:lvlText w:val="o"/>
      <w:lvlJc w:val="left"/>
      <w:pPr>
        <w:ind w:left="3600" w:hanging="360"/>
      </w:pPr>
      <w:rPr>
        <w:rFonts w:ascii="Courier New" w:hAnsi="Courier New" w:hint="default"/>
      </w:rPr>
    </w:lvl>
    <w:lvl w:ilvl="5" w:tplc="C1183526">
      <w:start w:val="1"/>
      <w:numFmt w:val="bullet"/>
      <w:lvlText w:val=""/>
      <w:lvlJc w:val="left"/>
      <w:pPr>
        <w:ind w:left="4320" w:hanging="360"/>
      </w:pPr>
      <w:rPr>
        <w:rFonts w:ascii="Wingdings" w:hAnsi="Wingdings" w:hint="default"/>
      </w:rPr>
    </w:lvl>
    <w:lvl w:ilvl="6" w:tplc="844003C8">
      <w:start w:val="1"/>
      <w:numFmt w:val="bullet"/>
      <w:lvlText w:val=""/>
      <w:lvlJc w:val="left"/>
      <w:pPr>
        <w:ind w:left="5040" w:hanging="360"/>
      </w:pPr>
      <w:rPr>
        <w:rFonts w:ascii="Symbol" w:hAnsi="Symbol" w:hint="default"/>
      </w:rPr>
    </w:lvl>
    <w:lvl w:ilvl="7" w:tplc="8B468B96">
      <w:start w:val="1"/>
      <w:numFmt w:val="bullet"/>
      <w:lvlText w:val="o"/>
      <w:lvlJc w:val="left"/>
      <w:pPr>
        <w:ind w:left="5760" w:hanging="360"/>
      </w:pPr>
      <w:rPr>
        <w:rFonts w:ascii="Courier New" w:hAnsi="Courier New" w:hint="default"/>
      </w:rPr>
    </w:lvl>
    <w:lvl w:ilvl="8" w:tplc="5BF2DC32">
      <w:start w:val="1"/>
      <w:numFmt w:val="bullet"/>
      <w:lvlText w:val=""/>
      <w:lvlJc w:val="left"/>
      <w:pPr>
        <w:ind w:left="6480" w:hanging="360"/>
      </w:pPr>
      <w:rPr>
        <w:rFonts w:ascii="Wingdings" w:hAnsi="Wingdings" w:hint="default"/>
      </w:rPr>
    </w:lvl>
  </w:abstractNum>
  <w:abstractNum w:abstractNumId="45" w15:restartNumberingAfterBreak="0">
    <w:nsid w:val="5C2495EC"/>
    <w:multiLevelType w:val="hybridMultilevel"/>
    <w:tmpl w:val="FFFFFFFF"/>
    <w:lvl w:ilvl="0" w:tplc="C49289C2">
      <w:start w:val="1"/>
      <w:numFmt w:val="bullet"/>
      <w:lvlText w:val=""/>
      <w:lvlJc w:val="left"/>
      <w:pPr>
        <w:ind w:left="720" w:hanging="360"/>
      </w:pPr>
      <w:rPr>
        <w:rFonts w:ascii="Symbol" w:hAnsi="Symbol" w:hint="default"/>
      </w:rPr>
    </w:lvl>
    <w:lvl w:ilvl="1" w:tplc="5F28EB6E">
      <w:start w:val="1"/>
      <w:numFmt w:val="bullet"/>
      <w:lvlText w:val="o"/>
      <w:lvlJc w:val="left"/>
      <w:pPr>
        <w:ind w:left="1440" w:hanging="360"/>
      </w:pPr>
      <w:rPr>
        <w:rFonts w:ascii="Courier New" w:hAnsi="Courier New" w:hint="default"/>
      </w:rPr>
    </w:lvl>
    <w:lvl w:ilvl="2" w:tplc="5C34BF58">
      <w:start w:val="1"/>
      <w:numFmt w:val="bullet"/>
      <w:lvlText w:val=""/>
      <w:lvlJc w:val="left"/>
      <w:pPr>
        <w:ind w:left="2160" w:hanging="360"/>
      </w:pPr>
      <w:rPr>
        <w:rFonts w:ascii="Wingdings" w:hAnsi="Wingdings" w:hint="default"/>
      </w:rPr>
    </w:lvl>
    <w:lvl w:ilvl="3" w:tplc="29F4E2BA">
      <w:start w:val="1"/>
      <w:numFmt w:val="bullet"/>
      <w:lvlText w:val=""/>
      <w:lvlJc w:val="left"/>
      <w:pPr>
        <w:ind w:left="2880" w:hanging="360"/>
      </w:pPr>
      <w:rPr>
        <w:rFonts w:ascii="Symbol" w:hAnsi="Symbol" w:hint="default"/>
      </w:rPr>
    </w:lvl>
    <w:lvl w:ilvl="4" w:tplc="773E1782">
      <w:start w:val="1"/>
      <w:numFmt w:val="bullet"/>
      <w:lvlText w:val="o"/>
      <w:lvlJc w:val="left"/>
      <w:pPr>
        <w:ind w:left="3600" w:hanging="360"/>
      </w:pPr>
      <w:rPr>
        <w:rFonts w:ascii="Courier New" w:hAnsi="Courier New" w:hint="default"/>
      </w:rPr>
    </w:lvl>
    <w:lvl w:ilvl="5" w:tplc="5F0244E2">
      <w:start w:val="1"/>
      <w:numFmt w:val="bullet"/>
      <w:lvlText w:val=""/>
      <w:lvlJc w:val="left"/>
      <w:pPr>
        <w:ind w:left="4320" w:hanging="360"/>
      </w:pPr>
      <w:rPr>
        <w:rFonts w:ascii="Wingdings" w:hAnsi="Wingdings" w:hint="default"/>
      </w:rPr>
    </w:lvl>
    <w:lvl w:ilvl="6" w:tplc="1D6E5C9E">
      <w:start w:val="1"/>
      <w:numFmt w:val="bullet"/>
      <w:lvlText w:val=""/>
      <w:lvlJc w:val="left"/>
      <w:pPr>
        <w:ind w:left="5040" w:hanging="360"/>
      </w:pPr>
      <w:rPr>
        <w:rFonts w:ascii="Symbol" w:hAnsi="Symbol" w:hint="default"/>
      </w:rPr>
    </w:lvl>
    <w:lvl w:ilvl="7" w:tplc="90B618A0">
      <w:start w:val="1"/>
      <w:numFmt w:val="bullet"/>
      <w:lvlText w:val="o"/>
      <w:lvlJc w:val="left"/>
      <w:pPr>
        <w:ind w:left="5760" w:hanging="360"/>
      </w:pPr>
      <w:rPr>
        <w:rFonts w:ascii="Courier New" w:hAnsi="Courier New" w:hint="default"/>
      </w:rPr>
    </w:lvl>
    <w:lvl w:ilvl="8" w:tplc="1906805E">
      <w:start w:val="1"/>
      <w:numFmt w:val="bullet"/>
      <w:lvlText w:val=""/>
      <w:lvlJc w:val="left"/>
      <w:pPr>
        <w:ind w:left="6480" w:hanging="360"/>
      </w:pPr>
      <w:rPr>
        <w:rFonts w:ascii="Wingdings" w:hAnsi="Wingdings" w:hint="default"/>
      </w:rPr>
    </w:lvl>
  </w:abstractNum>
  <w:abstractNum w:abstractNumId="46" w15:restartNumberingAfterBreak="0">
    <w:nsid w:val="5DB5335A"/>
    <w:multiLevelType w:val="hybridMultilevel"/>
    <w:tmpl w:val="8CF286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5663CC5"/>
    <w:multiLevelType w:val="hybridMultilevel"/>
    <w:tmpl w:val="89168998"/>
    <w:lvl w:ilvl="0" w:tplc="F2322D3C">
      <w:start w:val="1"/>
      <w:numFmt w:val="decimal"/>
      <w:lvlText w:val="(%1)"/>
      <w:lvlJc w:val="left"/>
      <w:pPr>
        <w:ind w:left="720" w:hanging="360"/>
      </w:pPr>
      <w:rPr>
        <w:rFonts w:ascii="Times New Roman" w:hAnsi="Times New Roman" w:cs="Times New Roman" w:hint="default"/>
        <w:b w:val="0"/>
        <w:bCs w:val="0"/>
        <w:sz w:val="24"/>
        <w:szCs w:val="24"/>
      </w:rPr>
    </w:lvl>
    <w:lvl w:ilvl="1" w:tplc="BF941196">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56C3C77"/>
    <w:multiLevelType w:val="hybridMultilevel"/>
    <w:tmpl w:val="FFFFFFFF"/>
    <w:lvl w:ilvl="0" w:tplc="78BEB690">
      <w:start w:val="1"/>
      <w:numFmt w:val="bullet"/>
      <w:lvlText w:val=""/>
      <w:lvlJc w:val="left"/>
      <w:pPr>
        <w:ind w:left="720" w:hanging="360"/>
      </w:pPr>
      <w:rPr>
        <w:rFonts w:ascii="Symbol" w:hAnsi="Symbol" w:hint="default"/>
      </w:rPr>
    </w:lvl>
    <w:lvl w:ilvl="1" w:tplc="5AAC13E0">
      <w:start w:val="1"/>
      <w:numFmt w:val="bullet"/>
      <w:lvlText w:val="o"/>
      <w:lvlJc w:val="left"/>
      <w:pPr>
        <w:ind w:left="1440" w:hanging="360"/>
      </w:pPr>
      <w:rPr>
        <w:rFonts w:ascii="Courier New" w:hAnsi="Courier New" w:hint="default"/>
      </w:rPr>
    </w:lvl>
    <w:lvl w:ilvl="2" w:tplc="E08C0A56">
      <w:start w:val="1"/>
      <w:numFmt w:val="bullet"/>
      <w:lvlText w:val=""/>
      <w:lvlJc w:val="left"/>
      <w:pPr>
        <w:ind w:left="2160" w:hanging="360"/>
      </w:pPr>
      <w:rPr>
        <w:rFonts w:ascii="Wingdings" w:hAnsi="Wingdings" w:hint="default"/>
      </w:rPr>
    </w:lvl>
    <w:lvl w:ilvl="3" w:tplc="F3386160">
      <w:start w:val="1"/>
      <w:numFmt w:val="bullet"/>
      <w:lvlText w:val=""/>
      <w:lvlJc w:val="left"/>
      <w:pPr>
        <w:ind w:left="2880" w:hanging="360"/>
      </w:pPr>
      <w:rPr>
        <w:rFonts w:ascii="Symbol" w:hAnsi="Symbol" w:hint="default"/>
      </w:rPr>
    </w:lvl>
    <w:lvl w:ilvl="4" w:tplc="1C4877B6">
      <w:start w:val="1"/>
      <w:numFmt w:val="bullet"/>
      <w:lvlText w:val="o"/>
      <w:lvlJc w:val="left"/>
      <w:pPr>
        <w:ind w:left="3600" w:hanging="360"/>
      </w:pPr>
      <w:rPr>
        <w:rFonts w:ascii="Courier New" w:hAnsi="Courier New" w:hint="default"/>
      </w:rPr>
    </w:lvl>
    <w:lvl w:ilvl="5" w:tplc="EBA82D2E">
      <w:start w:val="1"/>
      <w:numFmt w:val="bullet"/>
      <w:lvlText w:val=""/>
      <w:lvlJc w:val="left"/>
      <w:pPr>
        <w:ind w:left="4320" w:hanging="360"/>
      </w:pPr>
      <w:rPr>
        <w:rFonts w:ascii="Wingdings" w:hAnsi="Wingdings" w:hint="default"/>
      </w:rPr>
    </w:lvl>
    <w:lvl w:ilvl="6" w:tplc="C636B258">
      <w:start w:val="1"/>
      <w:numFmt w:val="bullet"/>
      <w:lvlText w:val=""/>
      <w:lvlJc w:val="left"/>
      <w:pPr>
        <w:ind w:left="5040" w:hanging="360"/>
      </w:pPr>
      <w:rPr>
        <w:rFonts w:ascii="Symbol" w:hAnsi="Symbol" w:hint="default"/>
      </w:rPr>
    </w:lvl>
    <w:lvl w:ilvl="7" w:tplc="794CD084">
      <w:start w:val="1"/>
      <w:numFmt w:val="bullet"/>
      <w:lvlText w:val="o"/>
      <w:lvlJc w:val="left"/>
      <w:pPr>
        <w:ind w:left="5760" w:hanging="360"/>
      </w:pPr>
      <w:rPr>
        <w:rFonts w:ascii="Courier New" w:hAnsi="Courier New" w:hint="default"/>
      </w:rPr>
    </w:lvl>
    <w:lvl w:ilvl="8" w:tplc="D70CA690">
      <w:start w:val="1"/>
      <w:numFmt w:val="bullet"/>
      <w:lvlText w:val=""/>
      <w:lvlJc w:val="left"/>
      <w:pPr>
        <w:ind w:left="6480" w:hanging="360"/>
      </w:pPr>
      <w:rPr>
        <w:rFonts w:ascii="Wingdings" w:hAnsi="Wingdings" w:hint="default"/>
      </w:rPr>
    </w:lvl>
  </w:abstractNum>
  <w:abstractNum w:abstractNumId="49" w15:restartNumberingAfterBreak="0">
    <w:nsid w:val="658D4995"/>
    <w:multiLevelType w:val="hybridMultilevel"/>
    <w:tmpl w:val="FFFFFFFF"/>
    <w:lvl w:ilvl="0" w:tplc="13EA4832">
      <w:start w:val="1"/>
      <w:numFmt w:val="bullet"/>
      <w:lvlText w:val=""/>
      <w:lvlJc w:val="left"/>
      <w:pPr>
        <w:ind w:left="720" w:hanging="360"/>
      </w:pPr>
      <w:rPr>
        <w:rFonts w:ascii="Symbol" w:hAnsi="Symbol" w:hint="default"/>
      </w:rPr>
    </w:lvl>
    <w:lvl w:ilvl="1" w:tplc="0EDC6A7C">
      <w:start w:val="1"/>
      <w:numFmt w:val="bullet"/>
      <w:lvlText w:val="o"/>
      <w:lvlJc w:val="left"/>
      <w:pPr>
        <w:ind w:left="1440" w:hanging="360"/>
      </w:pPr>
      <w:rPr>
        <w:rFonts w:ascii="Courier New" w:hAnsi="Courier New" w:hint="default"/>
      </w:rPr>
    </w:lvl>
    <w:lvl w:ilvl="2" w:tplc="6FD231F2">
      <w:start w:val="1"/>
      <w:numFmt w:val="bullet"/>
      <w:lvlText w:val=""/>
      <w:lvlJc w:val="left"/>
      <w:pPr>
        <w:ind w:left="2160" w:hanging="360"/>
      </w:pPr>
      <w:rPr>
        <w:rFonts w:ascii="Wingdings" w:hAnsi="Wingdings" w:hint="default"/>
      </w:rPr>
    </w:lvl>
    <w:lvl w:ilvl="3" w:tplc="71764FB8">
      <w:start w:val="1"/>
      <w:numFmt w:val="bullet"/>
      <w:lvlText w:val=""/>
      <w:lvlJc w:val="left"/>
      <w:pPr>
        <w:ind w:left="2880" w:hanging="360"/>
      </w:pPr>
      <w:rPr>
        <w:rFonts w:ascii="Symbol" w:hAnsi="Symbol" w:hint="default"/>
      </w:rPr>
    </w:lvl>
    <w:lvl w:ilvl="4" w:tplc="C29ECD0E">
      <w:start w:val="1"/>
      <w:numFmt w:val="bullet"/>
      <w:lvlText w:val="o"/>
      <w:lvlJc w:val="left"/>
      <w:pPr>
        <w:ind w:left="3600" w:hanging="360"/>
      </w:pPr>
      <w:rPr>
        <w:rFonts w:ascii="Courier New" w:hAnsi="Courier New" w:hint="default"/>
      </w:rPr>
    </w:lvl>
    <w:lvl w:ilvl="5" w:tplc="280E2B20">
      <w:start w:val="1"/>
      <w:numFmt w:val="bullet"/>
      <w:lvlText w:val=""/>
      <w:lvlJc w:val="left"/>
      <w:pPr>
        <w:ind w:left="4320" w:hanging="360"/>
      </w:pPr>
      <w:rPr>
        <w:rFonts w:ascii="Wingdings" w:hAnsi="Wingdings" w:hint="default"/>
      </w:rPr>
    </w:lvl>
    <w:lvl w:ilvl="6" w:tplc="B6AC5FAA">
      <w:start w:val="1"/>
      <w:numFmt w:val="bullet"/>
      <w:lvlText w:val=""/>
      <w:lvlJc w:val="left"/>
      <w:pPr>
        <w:ind w:left="5040" w:hanging="360"/>
      </w:pPr>
      <w:rPr>
        <w:rFonts w:ascii="Symbol" w:hAnsi="Symbol" w:hint="default"/>
      </w:rPr>
    </w:lvl>
    <w:lvl w:ilvl="7" w:tplc="6B7A942A">
      <w:start w:val="1"/>
      <w:numFmt w:val="bullet"/>
      <w:lvlText w:val="o"/>
      <w:lvlJc w:val="left"/>
      <w:pPr>
        <w:ind w:left="5760" w:hanging="360"/>
      </w:pPr>
      <w:rPr>
        <w:rFonts w:ascii="Courier New" w:hAnsi="Courier New" w:hint="default"/>
      </w:rPr>
    </w:lvl>
    <w:lvl w:ilvl="8" w:tplc="860C2244">
      <w:start w:val="1"/>
      <w:numFmt w:val="bullet"/>
      <w:lvlText w:val=""/>
      <w:lvlJc w:val="left"/>
      <w:pPr>
        <w:ind w:left="6480" w:hanging="360"/>
      </w:pPr>
      <w:rPr>
        <w:rFonts w:ascii="Wingdings" w:hAnsi="Wingdings" w:hint="default"/>
      </w:rPr>
    </w:lvl>
  </w:abstractNum>
  <w:abstractNum w:abstractNumId="50" w15:restartNumberingAfterBreak="0">
    <w:nsid w:val="676995DD"/>
    <w:multiLevelType w:val="hybridMultilevel"/>
    <w:tmpl w:val="FFFFFFFF"/>
    <w:lvl w:ilvl="0" w:tplc="B936CCCA">
      <w:start w:val="1"/>
      <w:numFmt w:val="bullet"/>
      <w:lvlText w:val=""/>
      <w:lvlJc w:val="left"/>
      <w:pPr>
        <w:ind w:left="720" w:hanging="360"/>
      </w:pPr>
      <w:rPr>
        <w:rFonts w:ascii="Symbol" w:hAnsi="Symbol" w:hint="default"/>
      </w:rPr>
    </w:lvl>
    <w:lvl w:ilvl="1" w:tplc="0BAAF8B4">
      <w:start w:val="1"/>
      <w:numFmt w:val="bullet"/>
      <w:lvlText w:val="o"/>
      <w:lvlJc w:val="left"/>
      <w:pPr>
        <w:ind w:left="1440" w:hanging="360"/>
      </w:pPr>
      <w:rPr>
        <w:rFonts w:ascii="Courier New" w:hAnsi="Courier New" w:hint="default"/>
      </w:rPr>
    </w:lvl>
    <w:lvl w:ilvl="2" w:tplc="DB3047AC">
      <w:start w:val="1"/>
      <w:numFmt w:val="bullet"/>
      <w:lvlText w:val=""/>
      <w:lvlJc w:val="left"/>
      <w:pPr>
        <w:ind w:left="2160" w:hanging="360"/>
      </w:pPr>
      <w:rPr>
        <w:rFonts w:ascii="Wingdings" w:hAnsi="Wingdings" w:hint="default"/>
      </w:rPr>
    </w:lvl>
    <w:lvl w:ilvl="3" w:tplc="08888E24">
      <w:start w:val="1"/>
      <w:numFmt w:val="bullet"/>
      <w:lvlText w:val=""/>
      <w:lvlJc w:val="left"/>
      <w:pPr>
        <w:ind w:left="2880" w:hanging="360"/>
      </w:pPr>
      <w:rPr>
        <w:rFonts w:ascii="Symbol" w:hAnsi="Symbol" w:hint="default"/>
      </w:rPr>
    </w:lvl>
    <w:lvl w:ilvl="4" w:tplc="846205F6">
      <w:start w:val="1"/>
      <w:numFmt w:val="bullet"/>
      <w:lvlText w:val="o"/>
      <w:lvlJc w:val="left"/>
      <w:pPr>
        <w:ind w:left="3600" w:hanging="360"/>
      </w:pPr>
      <w:rPr>
        <w:rFonts w:ascii="Courier New" w:hAnsi="Courier New" w:hint="default"/>
      </w:rPr>
    </w:lvl>
    <w:lvl w:ilvl="5" w:tplc="0C2410A4">
      <w:start w:val="1"/>
      <w:numFmt w:val="bullet"/>
      <w:lvlText w:val=""/>
      <w:lvlJc w:val="left"/>
      <w:pPr>
        <w:ind w:left="4320" w:hanging="360"/>
      </w:pPr>
      <w:rPr>
        <w:rFonts w:ascii="Wingdings" w:hAnsi="Wingdings" w:hint="default"/>
      </w:rPr>
    </w:lvl>
    <w:lvl w:ilvl="6" w:tplc="E1784A4A">
      <w:start w:val="1"/>
      <w:numFmt w:val="bullet"/>
      <w:lvlText w:val=""/>
      <w:lvlJc w:val="left"/>
      <w:pPr>
        <w:ind w:left="5040" w:hanging="360"/>
      </w:pPr>
      <w:rPr>
        <w:rFonts w:ascii="Symbol" w:hAnsi="Symbol" w:hint="default"/>
      </w:rPr>
    </w:lvl>
    <w:lvl w:ilvl="7" w:tplc="73CCE198">
      <w:start w:val="1"/>
      <w:numFmt w:val="bullet"/>
      <w:lvlText w:val="o"/>
      <w:lvlJc w:val="left"/>
      <w:pPr>
        <w:ind w:left="5760" w:hanging="360"/>
      </w:pPr>
      <w:rPr>
        <w:rFonts w:ascii="Courier New" w:hAnsi="Courier New" w:hint="default"/>
      </w:rPr>
    </w:lvl>
    <w:lvl w:ilvl="8" w:tplc="02A60930">
      <w:start w:val="1"/>
      <w:numFmt w:val="bullet"/>
      <w:lvlText w:val=""/>
      <w:lvlJc w:val="left"/>
      <w:pPr>
        <w:ind w:left="6480" w:hanging="360"/>
      </w:pPr>
      <w:rPr>
        <w:rFonts w:ascii="Wingdings" w:hAnsi="Wingdings" w:hint="default"/>
      </w:rPr>
    </w:lvl>
  </w:abstractNum>
  <w:abstractNum w:abstractNumId="51" w15:restartNumberingAfterBreak="0">
    <w:nsid w:val="691B86E2"/>
    <w:multiLevelType w:val="hybridMultilevel"/>
    <w:tmpl w:val="FFFFFFFF"/>
    <w:lvl w:ilvl="0" w:tplc="816CAFC8">
      <w:start w:val="1"/>
      <w:numFmt w:val="bullet"/>
      <w:lvlText w:val=""/>
      <w:lvlJc w:val="left"/>
      <w:pPr>
        <w:ind w:left="720" w:hanging="360"/>
      </w:pPr>
      <w:rPr>
        <w:rFonts w:ascii="Symbol" w:hAnsi="Symbol" w:hint="default"/>
      </w:rPr>
    </w:lvl>
    <w:lvl w:ilvl="1" w:tplc="01A2E9DE">
      <w:start w:val="1"/>
      <w:numFmt w:val="bullet"/>
      <w:lvlText w:val="o"/>
      <w:lvlJc w:val="left"/>
      <w:pPr>
        <w:ind w:left="1440" w:hanging="360"/>
      </w:pPr>
      <w:rPr>
        <w:rFonts w:ascii="Courier New" w:hAnsi="Courier New" w:hint="default"/>
      </w:rPr>
    </w:lvl>
    <w:lvl w:ilvl="2" w:tplc="9DB82C36">
      <w:start w:val="1"/>
      <w:numFmt w:val="bullet"/>
      <w:lvlText w:val=""/>
      <w:lvlJc w:val="left"/>
      <w:pPr>
        <w:ind w:left="2160" w:hanging="360"/>
      </w:pPr>
      <w:rPr>
        <w:rFonts w:ascii="Wingdings" w:hAnsi="Wingdings" w:hint="default"/>
      </w:rPr>
    </w:lvl>
    <w:lvl w:ilvl="3" w:tplc="74348570">
      <w:start w:val="1"/>
      <w:numFmt w:val="bullet"/>
      <w:lvlText w:val=""/>
      <w:lvlJc w:val="left"/>
      <w:pPr>
        <w:ind w:left="2880" w:hanging="360"/>
      </w:pPr>
      <w:rPr>
        <w:rFonts w:ascii="Symbol" w:hAnsi="Symbol" w:hint="default"/>
      </w:rPr>
    </w:lvl>
    <w:lvl w:ilvl="4" w:tplc="916EBCF6">
      <w:start w:val="1"/>
      <w:numFmt w:val="bullet"/>
      <w:lvlText w:val="o"/>
      <w:lvlJc w:val="left"/>
      <w:pPr>
        <w:ind w:left="3600" w:hanging="360"/>
      </w:pPr>
      <w:rPr>
        <w:rFonts w:ascii="Courier New" w:hAnsi="Courier New" w:hint="default"/>
      </w:rPr>
    </w:lvl>
    <w:lvl w:ilvl="5" w:tplc="9DD43B88">
      <w:start w:val="1"/>
      <w:numFmt w:val="bullet"/>
      <w:lvlText w:val=""/>
      <w:lvlJc w:val="left"/>
      <w:pPr>
        <w:ind w:left="4320" w:hanging="360"/>
      </w:pPr>
      <w:rPr>
        <w:rFonts w:ascii="Wingdings" w:hAnsi="Wingdings" w:hint="default"/>
      </w:rPr>
    </w:lvl>
    <w:lvl w:ilvl="6" w:tplc="211A4130">
      <w:start w:val="1"/>
      <w:numFmt w:val="bullet"/>
      <w:lvlText w:val=""/>
      <w:lvlJc w:val="left"/>
      <w:pPr>
        <w:ind w:left="5040" w:hanging="360"/>
      </w:pPr>
      <w:rPr>
        <w:rFonts w:ascii="Symbol" w:hAnsi="Symbol" w:hint="default"/>
      </w:rPr>
    </w:lvl>
    <w:lvl w:ilvl="7" w:tplc="53FA1CAA">
      <w:start w:val="1"/>
      <w:numFmt w:val="bullet"/>
      <w:lvlText w:val="o"/>
      <w:lvlJc w:val="left"/>
      <w:pPr>
        <w:ind w:left="5760" w:hanging="360"/>
      </w:pPr>
      <w:rPr>
        <w:rFonts w:ascii="Courier New" w:hAnsi="Courier New" w:hint="default"/>
      </w:rPr>
    </w:lvl>
    <w:lvl w:ilvl="8" w:tplc="FCEC9C9E">
      <w:start w:val="1"/>
      <w:numFmt w:val="bullet"/>
      <w:lvlText w:val=""/>
      <w:lvlJc w:val="left"/>
      <w:pPr>
        <w:ind w:left="6480" w:hanging="360"/>
      </w:pPr>
      <w:rPr>
        <w:rFonts w:ascii="Wingdings" w:hAnsi="Wingdings" w:hint="default"/>
      </w:rPr>
    </w:lvl>
  </w:abstractNum>
  <w:abstractNum w:abstractNumId="52" w15:restartNumberingAfterBreak="0">
    <w:nsid w:val="6972A04A"/>
    <w:multiLevelType w:val="hybridMultilevel"/>
    <w:tmpl w:val="FFFFFFFF"/>
    <w:lvl w:ilvl="0" w:tplc="26E0C28A">
      <w:start w:val="1"/>
      <w:numFmt w:val="bullet"/>
      <w:lvlText w:val=""/>
      <w:lvlJc w:val="left"/>
      <w:pPr>
        <w:ind w:left="720" w:hanging="360"/>
      </w:pPr>
      <w:rPr>
        <w:rFonts w:ascii="Symbol" w:hAnsi="Symbol" w:hint="default"/>
      </w:rPr>
    </w:lvl>
    <w:lvl w:ilvl="1" w:tplc="AABC6F44">
      <w:start w:val="1"/>
      <w:numFmt w:val="bullet"/>
      <w:lvlText w:val="o"/>
      <w:lvlJc w:val="left"/>
      <w:pPr>
        <w:ind w:left="1440" w:hanging="360"/>
      </w:pPr>
      <w:rPr>
        <w:rFonts w:ascii="Courier New" w:hAnsi="Courier New" w:hint="default"/>
      </w:rPr>
    </w:lvl>
    <w:lvl w:ilvl="2" w:tplc="F1FE4744">
      <w:start w:val="1"/>
      <w:numFmt w:val="bullet"/>
      <w:lvlText w:val=""/>
      <w:lvlJc w:val="left"/>
      <w:pPr>
        <w:ind w:left="2160" w:hanging="360"/>
      </w:pPr>
      <w:rPr>
        <w:rFonts w:ascii="Wingdings" w:hAnsi="Wingdings" w:hint="default"/>
      </w:rPr>
    </w:lvl>
    <w:lvl w:ilvl="3" w:tplc="89D42734">
      <w:start w:val="1"/>
      <w:numFmt w:val="bullet"/>
      <w:lvlText w:val=""/>
      <w:lvlJc w:val="left"/>
      <w:pPr>
        <w:ind w:left="2880" w:hanging="360"/>
      </w:pPr>
      <w:rPr>
        <w:rFonts w:ascii="Symbol" w:hAnsi="Symbol" w:hint="default"/>
      </w:rPr>
    </w:lvl>
    <w:lvl w:ilvl="4" w:tplc="52B43B60">
      <w:start w:val="1"/>
      <w:numFmt w:val="bullet"/>
      <w:lvlText w:val="o"/>
      <w:lvlJc w:val="left"/>
      <w:pPr>
        <w:ind w:left="3600" w:hanging="360"/>
      </w:pPr>
      <w:rPr>
        <w:rFonts w:ascii="Courier New" w:hAnsi="Courier New" w:hint="default"/>
      </w:rPr>
    </w:lvl>
    <w:lvl w:ilvl="5" w:tplc="34029AE6">
      <w:start w:val="1"/>
      <w:numFmt w:val="bullet"/>
      <w:lvlText w:val=""/>
      <w:lvlJc w:val="left"/>
      <w:pPr>
        <w:ind w:left="4320" w:hanging="360"/>
      </w:pPr>
      <w:rPr>
        <w:rFonts w:ascii="Wingdings" w:hAnsi="Wingdings" w:hint="default"/>
      </w:rPr>
    </w:lvl>
    <w:lvl w:ilvl="6" w:tplc="FE26BC16">
      <w:start w:val="1"/>
      <w:numFmt w:val="bullet"/>
      <w:lvlText w:val=""/>
      <w:lvlJc w:val="left"/>
      <w:pPr>
        <w:ind w:left="5040" w:hanging="360"/>
      </w:pPr>
      <w:rPr>
        <w:rFonts w:ascii="Symbol" w:hAnsi="Symbol" w:hint="default"/>
      </w:rPr>
    </w:lvl>
    <w:lvl w:ilvl="7" w:tplc="07B644D0">
      <w:start w:val="1"/>
      <w:numFmt w:val="bullet"/>
      <w:lvlText w:val="o"/>
      <w:lvlJc w:val="left"/>
      <w:pPr>
        <w:ind w:left="5760" w:hanging="360"/>
      </w:pPr>
      <w:rPr>
        <w:rFonts w:ascii="Courier New" w:hAnsi="Courier New" w:hint="default"/>
      </w:rPr>
    </w:lvl>
    <w:lvl w:ilvl="8" w:tplc="63483064">
      <w:start w:val="1"/>
      <w:numFmt w:val="bullet"/>
      <w:lvlText w:val=""/>
      <w:lvlJc w:val="left"/>
      <w:pPr>
        <w:ind w:left="6480" w:hanging="360"/>
      </w:pPr>
      <w:rPr>
        <w:rFonts w:ascii="Wingdings" w:hAnsi="Wingdings" w:hint="default"/>
      </w:rPr>
    </w:lvl>
  </w:abstractNum>
  <w:abstractNum w:abstractNumId="53" w15:restartNumberingAfterBreak="0">
    <w:nsid w:val="6999D13A"/>
    <w:multiLevelType w:val="hybridMultilevel"/>
    <w:tmpl w:val="FFFFFFFF"/>
    <w:lvl w:ilvl="0" w:tplc="AC76CAD0">
      <w:start w:val="1"/>
      <w:numFmt w:val="bullet"/>
      <w:lvlText w:val=""/>
      <w:lvlJc w:val="left"/>
      <w:pPr>
        <w:ind w:left="720" w:hanging="360"/>
      </w:pPr>
      <w:rPr>
        <w:rFonts w:ascii="Symbol" w:hAnsi="Symbol" w:hint="default"/>
      </w:rPr>
    </w:lvl>
    <w:lvl w:ilvl="1" w:tplc="013EF604">
      <w:start w:val="1"/>
      <w:numFmt w:val="bullet"/>
      <w:lvlText w:val="o"/>
      <w:lvlJc w:val="left"/>
      <w:pPr>
        <w:ind w:left="1440" w:hanging="360"/>
      </w:pPr>
      <w:rPr>
        <w:rFonts w:ascii="Courier New" w:hAnsi="Courier New" w:hint="default"/>
      </w:rPr>
    </w:lvl>
    <w:lvl w:ilvl="2" w:tplc="B54257F2">
      <w:start w:val="1"/>
      <w:numFmt w:val="bullet"/>
      <w:lvlText w:val=""/>
      <w:lvlJc w:val="left"/>
      <w:pPr>
        <w:ind w:left="2160" w:hanging="360"/>
      </w:pPr>
      <w:rPr>
        <w:rFonts w:ascii="Wingdings" w:hAnsi="Wingdings" w:hint="default"/>
      </w:rPr>
    </w:lvl>
    <w:lvl w:ilvl="3" w:tplc="666002FE">
      <w:start w:val="1"/>
      <w:numFmt w:val="bullet"/>
      <w:lvlText w:val=""/>
      <w:lvlJc w:val="left"/>
      <w:pPr>
        <w:ind w:left="2880" w:hanging="360"/>
      </w:pPr>
      <w:rPr>
        <w:rFonts w:ascii="Symbol" w:hAnsi="Symbol" w:hint="default"/>
      </w:rPr>
    </w:lvl>
    <w:lvl w:ilvl="4" w:tplc="32729914">
      <w:start w:val="1"/>
      <w:numFmt w:val="bullet"/>
      <w:lvlText w:val="o"/>
      <w:lvlJc w:val="left"/>
      <w:pPr>
        <w:ind w:left="3600" w:hanging="360"/>
      </w:pPr>
      <w:rPr>
        <w:rFonts w:ascii="Courier New" w:hAnsi="Courier New" w:hint="default"/>
      </w:rPr>
    </w:lvl>
    <w:lvl w:ilvl="5" w:tplc="2CDC3A3E">
      <w:start w:val="1"/>
      <w:numFmt w:val="bullet"/>
      <w:lvlText w:val=""/>
      <w:lvlJc w:val="left"/>
      <w:pPr>
        <w:ind w:left="4320" w:hanging="360"/>
      </w:pPr>
      <w:rPr>
        <w:rFonts w:ascii="Wingdings" w:hAnsi="Wingdings" w:hint="default"/>
      </w:rPr>
    </w:lvl>
    <w:lvl w:ilvl="6" w:tplc="E41EFB2C">
      <w:start w:val="1"/>
      <w:numFmt w:val="bullet"/>
      <w:lvlText w:val=""/>
      <w:lvlJc w:val="left"/>
      <w:pPr>
        <w:ind w:left="5040" w:hanging="360"/>
      </w:pPr>
      <w:rPr>
        <w:rFonts w:ascii="Symbol" w:hAnsi="Symbol" w:hint="default"/>
      </w:rPr>
    </w:lvl>
    <w:lvl w:ilvl="7" w:tplc="582CEBF6">
      <w:start w:val="1"/>
      <w:numFmt w:val="bullet"/>
      <w:lvlText w:val="o"/>
      <w:lvlJc w:val="left"/>
      <w:pPr>
        <w:ind w:left="5760" w:hanging="360"/>
      </w:pPr>
      <w:rPr>
        <w:rFonts w:ascii="Courier New" w:hAnsi="Courier New" w:hint="default"/>
      </w:rPr>
    </w:lvl>
    <w:lvl w:ilvl="8" w:tplc="02D2A12E">
      <w:start w:val="1"/>
      <w:numFmt w:val="bullet"/>
      <w:lvlText w:val=""/>
      <w:lvlJc w:val="left"/>
      <w:pPr>
        <w:ind w:left="6480" w:hanging="360"/>
      </w:pPr>
      <w:rPr>
        <w:rFonts w:ascii="Wingdings" w:hAnsi="Wingdings" w:hint="default"/>
      </w:rPr>
    </w:lvl>
  </w:abstractNum>
  <w:abstractNum w:abstractNumId="54" w15:restartNumberingAfterBreak="0">
    <w:nsid w:val="6A8AEE06"/>
    <w:multiLevelType w:val="hybridMultilevel"/>
    <w:tmpl w:val="FFFFFFFF"/>
    <w:lvl w:ilvl="0" w:tplc="5CA492F0">
      <w:start w:val="1"/>
      <w:numFmt w:val="bullet"/>
      <w:lvlText w:val=""/>
      <w:lvlJc w:val="left"/>
      <w:pPr>
        <w:ind w:left="720" w:hanging="360"/>
      </w:pPr>
      <w:rPr>
        <w:rFonts w:ascii="Symbol" w:hAnsi="Symbol" w:hint="default"/>
      </w:rPr>
    </w:lvl>
    <w:lvl w:ilvl="1" w:tplc="77402FB2">
      <w:start w:val="1"/>
      <w:numFmt w:val="bullet"/>
      <w:lvlText w:val="o"/>
      <w:lvlJc w:val="left"/>
      <w:pPr>
        <w:ind w:left="1440" w:hanging="360"/>
      </w:pPr>
      <w:rPr>
        <w:rFonts w:ascii="Courier New" w:hAnsi="Courier New" w:hint="default"/>
      </w:rPr>
    </w:lvl>
    <w:lvl w:ilvl="2" w:tplc="17A20706">
      <w:start w:val="1"/>
      <w:numFmt w:val="bullet"/>
      <w:lvlText w:val=""/>
      <w:lvlJc w:val="left"/>
      <w:pPr>
        <w:ind w:left="2160" w:hanging="360"/>
      </w:pPr>
      <w:rPr>
        <w:rFonts w:ascii="Wingdings" w:hAnsi="Wingdings" w:hint="default"/>
      </w:rPr>
    </w:lvl>
    <w:lvl w:ilvl="3" w:tplc="C338E38E">
      <w:start w:val="1"/>
      <w:numFmt w:val="bullet"/>
      <w:lvlText w:val=""/>
      <w:lvlJc w:val="left"/>
      <w:pPr>
        <w:ind w:left="2880" w:hanging="360"/>
      </w:pPr>
      <w:rPr>
        <w:rFonts w:ascii="Symbol" w:hAnsi="Symbol" w:hint="default"/>
      </w:rPr>
    </w:lvl>
    <w:lvl w:ilvl="4" w:tplc="723CFFC8">
      <w:start w:val="1"/>
      <w:numFmt w:val="bullet"/>
      <w:lvlText w:val="o"/>
      <w:lvlJc w:val="left"/>
      <w:pPr>
        <w:ind w:left="3600" w:hanging="360"/>
      </w:pPr>
      <w:rPr>
        <w:rFonts w:ascii="Courier New" w:hAnsi="Courier New" w:hint="default"/>
      </w:rPr>
    </w:lvl>
    <w:lvl w:ilvl="5" w:tplc="2B3E4E00">
      <w:start w:val="1"/>
      <w:numFmt w:val="bullet"/>
      <w:lvlText w:val=""/>
      <w:lvlJc w:val="left"/>
      <w:pPr>
        <w:ind w:left="4320" w:hanging="360"/>
      </w:pPr>
      <w:rPr>
        <w:rFonts w:ascii="Wingdings" w:hAnsi="Wingdings" w:hint="default"/>
      </w:rPr>
    </w:lvl>
    <w:lvl w:ilvl="6" w:tplc="BD90E5DC">
      <w:start w:val="1"/>
      <w:numFmt w:val="bullet"/>
      <w:lvlText w:val=""/>
      <w:lvlJc w:val="left"/>
      <w:pPr>
        <w:ind w:left="5040" w:hanging="360"/>
      </w:pPr>
      <w:rPr>
        <w:rFonts w:ascii="Symbol" w:hAnsi="Symbol" w:hint="default"/>
      </w:rPr>
    </w:lvl>
    <w:lvl w:ilvl="7" w:tplc="EFC62832">
      <w:start w:val="1"/>
      <w:numFmt w:val="bullet"/>
      <w:lvlText w:val="o"/>
      <w:lvlJc w:val="left"/>
      <w:pPr>
        <w:ind w:left="5760" w:hanging="360"/>
      </w:pPr>
      <w:rPr>
        <w:rFonts w:ascii="Courier New" w:hAnsi="Courier New" w:hint="default"/>
      </w:rPr>
    </w:lvl>
    <w:lvl w:ilvl="8" w:tplc="6E96D368">
      <w:start w:val="1"/>
      <w:numFmt w:val="bullet"/>
      <w:lvlText w:val=""/>
      <w:lvlJc w:val="left"/>
      <w:pPr>
        <w:ind w:left="6480" w:hanging="360"/>
      </w:pPr>
      <w:rPr>
        <w:rFonts w:ascii="Wingdings" w:hAnsi="Wingdings" w:hint="default"/>
      </w:rPr>
    </w:lvl>
  </w:abstractNum>
  <w:abstractNum w:abstractNumId="55" w15:restartNumberingAfterBreak="0">
    <w:nsid w:val="6AB4CED4"/>
    <w:multiLevelType w:val="hybridMultilevel"/>
    <w:tmpl w:val="FFFFFFFF"/>
    <w:lvl w:ilvl="0" w:tplc="2FA06D82">
      <w:start w:val="1"/>
      <w:numFmt w:val="bullet"/>
      <w:lvlText w:val=""/>
      <w:lvlJc w:val="left"/>
      <w:pPr>
        <w:ind w:left="720" w:hanging="360"/>
      </w:pPr>
      <w:rPr>
        <w:rFonts w:ascii="Symbol" w:hAnsi="Symbol" w:hint="default"/>
      </w:rPr>
    </w:lvl>
    <w:lvl w:ilvl="1" w:tplc="8252F4B2">
      <w:start w:val="1"/>
      <w:numFmt w:val="bullet"/>
      <w:lvlText w:val="o"/>
      <w:lvlJc w:val="left"/>
      <w:pPr>
        <w:ind w:left="1440" w:hanging="360"/>
      </w:pPr>
      <w:rPr>
        <w:rFonts w:ascii="Courier New" w:hAnsi="Courier New" w:hint="default"/>
      </w:rPr>
    </w:lvl>
    <w:lvl w:ilvl="2" w:tplc="E3525406">
      <w:start w:val="1"/>
      <w:numFmt w:val="bullet"/>
      <w:lvlText w:val=""/>
      <w:lvlJc w:val="left"/>
      <w:pPr>
        <w:ind w:left="2160" w:hanging="360"/>
      </w:pPr>
      <w:rPr>
        <w:rFonts w:ascii="Wingdings" w:hAnsi="Wingdings" w:hint="default"/>
      </w:rPr>
    </w:lvl>
    <w:lvl w:ilvl="3" w:tplc="C8A613EE">
      <w:start w:val="1"/>
      <w:numFmt w:val="bullet"/>
      <w:lvlText w:val=""/>
      <w:lvlJc w:val="left"/>
      <w:pPr>
        <w:ind w:left="2880" w:hanging="360"/>
      </w:pPr>
      <w:rPr>
        <w:rFonts w:ascii="Symbol" w:hAnsi="Symbol" w:hint="default"/>
      </w:rPr>
    </w:lvl>
    <w:lvl w:ilvl="4" w:tplc="12105344">
      <w:start w:val="1"/>
      <w:numFmt w:val="bullet"/>
      <w:lvlText w:val="o"/>
      <w:lvlJc w:val="left"/>
      <w:pPr>
        <w:ind w:left="3600" w:hanging="360"/>
      </w:pPr>
      <w:rPr>
        <w:rFonts w:ascii="Courier New" w:hAnsi="Courier New" w:hint="default"/>
      </w:rPr>
    </w:lvl>
    <w:lvl w:ilvl="5" w:tplc="C7708648">
      <w:start w:val="1"/>
      <w:numFmt w:val="bullet"/>
      <w:lvlText w:val=""/>
      <w:lvlJc w:val="left"/>
      <w:pPr>
        <w:ind w:left="4320" w:hanging="360"/>
      </w:pPr>
      <w:rPr>
        <w:rFonts w:ascii="Wingdings" w:hAnsi="Wingdings" w:hint="default"/>
      </w:rPr>
    </w:lvl>
    <w:lvl w:ilvl="6" w:tplc="DB18EB8A">
      <w:start w:val="1"/>
      <w:numFmt w:val="bullet"/>
      <w:lvlText w:val=""/>
      <w:lvlJc w:val="left"/>
      <w:pPr>
        <w:ind w:left="5040" w:hanging="360"/>
      </w:pPr>
      <w:rPr>
        <w:rFonts w:ascii="Symbol" w:hAnsi="Symbol" w:hint="default"/>
      </w:rPr>
    </w:lvl>
    <w:lvl w:ilvl="7" w:tplc="C4B28B68">
      <w:start w:val="1"/>
      <w:numFmt w:val="bullet"/>
      <w:lvlText w:val="o"/>
      <w:lvlJc w:val="left"/>
      <w:pPr>
        <w:ind w:left="5760" w:hanging="360"/>
      </w:pPr>
      <w:rPr>
        <w:rFonts w:ascii="Courier New" w:hAnsi="Courier New" w:hint="default"/>
      </w:rPr>
    </w:lvl>
    <w:lvl w:ilvl="8" w:tplc="9932821E">
      <w:start w:val="1"/>
      <w:numFmt w:val="bullet"/>
      <w:lvlText w:val=""/>
      <w:lvlJc w:val="left"/>
      <w:pPr>
        <w:ind w:left="6480" w:hanging="360"/>
      </w:pPr>
      <w:rPr>
        <w:rFonts w:ascii="Wingdings" w:hAnsi="Wingdings" w:hint="default"/>
      </w:rPr>
    </w:lvl>
  </w:abstractNum>
  <w:abstractNum w:abstractNumId="56" w15:restartNumberingAfterBreak="0">
    <w:nsid w:val="6B736A0A"/>
    <w:multiLevelType w:val="hybridMultilevel"/>
    <w:tmpl w:val="80A0F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6FF3E8AA"/>
    <w:multiLevelType w:val="hybridMultilevel"/>
    <w:tmpl w:val="FFFFFFFF"/>
    <w:lvl w:ilvl="0" w:tplc="771E4482">
      <w:start w:val="1"/>
      <w:numFmt w:val="bullet"/>
      <w:lvlText w:val=""/>
      <w:lvlJc w:val="left"/>
      <w:pPr>
        <w:ind w:left="720" w:hanging="360"/>
      </w:pPr>
      <w:rPr>
        <w:rFonts w:ascii="Symbol" w:hAnsi="Symbol" w:hint="default"/>
      </w:rPr>
    </w:lvl>
    <w:lvl w:ilvl="1" w:tplc="894A656A">
      <w:start w:val="1"/>
      <w:numFmt w:val="bullet"/>
      <w:lvlText w:val="o"/>
      <w:lvlJc w:val="left"/>
      <w:pPr>
        <w:ind w:left="1440" w:hanging="360"/>
      </w:pPr>
      <w:rPr>
        <w:rFonts w:ascii="Courier New" w:hAnsi="Courier New" w:hint="default"/>
      </w:rPr>
    </w:lvl>
    <w:lvl w:ilvl="2" w:tplc="EE66425A">
      <w:start w:val="1"/>
      <w:numFmt w:val="bullet"/>
      <w:lvlText w:val=""/>
      <w:lvlJc w:val="left"/>
      <w:pPr>
        <w:ind w:left="2160" w:hanging="360"/>
      </w:pPr>
      <w:rPr>
        <w:rFonts w:ascii="Wingdings" w:hAnsi="Wingdings" w:hint="default"/>
      </w:rPr>
    </w:lvl>
    <w:lvl w:ilvl="3" w:tplc="CC94DCEE">
      <w:start w:val="1"/>
      <w:numFmt w:val="bullet"/>
      <w:lvlText w:val=""/>
      <w:lvlJc w:val="left"/>
      <w:pPr>
        <w:ind w:left="2880" w:hanging="360"/>
      </w:pPr>
      <w:rPr>
        <w:rFonts w:ascii="Symbol" w:hAnsi="Symbol" w:hint="default"/>
      </w:rPr>
    </w:lvl>
    <w:lvl w:ilvl="4" w:tplc="265A8D34">
      <w:start w:val="1"/>
      <w:numFmt w:val="bullet"/>
      <w:lvlText w:val="o"/>
      <w:lvlJc w:val="left"/>
      <w:pPr>
        <w:ind w:left="3600" w:hanging="360"/>
      </w:pPr>
      <w:rPr>
        <w:rFonts w:ascii="Courier New" w:hAnsi="Courier New" w:hint="default"/>
      </w:rPr>
    </w:lvl>
    <w:lvl w:ilvl="5" w:tplc="9792356E">
      <w:start w:val="1"/>
      <w:numFmt w:val="bullet"/>
      <w:lvlText w:val=""/>
      <w:lvlJc w:val="left"/>
      <w:pPr>
        <w:ind w:left="4320" w:hanging="360"/>
      </w:pPr>
      <w:rPr>
        <w:rFonts w:ascii="Wingdings" w:hAnsi="Wingdings" w:hint="default"/>
      </w:rPr>
    </w:lvl>
    <w:lvl w:ilvl="6" w:tplc="3FF2A0F4">
      <w:start w:val="1"/>
      <w:numFmt w:val="bullet"/>
      <w:lvlText w:val=""/>
      <w:lvlJc w:val="left"/>
      <w:pPr>
        <w:ind w:left="5040" w:hanging="360"/>
      </w:pPr>
      <w:rPr>
        <w:rFonts w:ascii="Symbol" w:hAnsi="Symbol" w:hint="default"/>
      </w:rPr>
    </w:lvl>
    <w:lvl w:ilvl="7" w:tplc="42008102">
      <w:start w:val="1"/>
      <w:numFmt w:val="bullet"/>
      <w:lvlText w:val="o"/>
      <w:lvlJc w:val="left"/>
      <w:pPr>
        <w:ind w:left="5760" w:hanging="360"/>
      </w:pPr>
      <w:rPr>
        <w:rFonts w:ascii="Courier New" w:hAnsi="Courier New" w:hint="default"/>
      </w:rPr>
    </w:lvl>
    <w:lvl w:ilvl="8" w:tplc="9E76AE6A">
      <w:start w:val="1"/>
      <w:numFmt w:val="bullet"/>
      <w:lvlText w:val=""/>
      <w:lvlJc w:val="left"/>
      <w:pPr>
        <w:ind w:left="6480" w:hanging="360"/>
      </w:pPr>
      <w:rPr>
        <w:rFonts w:ascii="Wingdings" w:hAnsi="Wingdings" w:hint="default"/>
      </w:rPr>
    </w:lvl>
  </w:abstractNum>
  <w:abstractNum w:abstractNumId="58" w15:restartNumberingAfterBreak="0">
    <w:nsid w:val="7746282E"/>
    <w:multiLevelType w:val="hybridMultilevel"/>
    <w:tmpl w:val="FFFFFFFF"/>
    <w:lvl w:ilvl="0" w:tplc="BE5EC0E8">
      <w:start w:val="1"/>
      <w:numFmt w:val="bullet"/>
      <w:lvlText w:val=""/>
      <w:lvlJc w:val="left"/>
      <w:pPr>
        <w:ind w:left="720" w:hanging="360"/>
      </w:pPr>
      <w:rPr>
        <w:rFonts w:ascii="Symbol" w:hAnsi="Symbol" w:hint="default"/>
      </w:rPr>
    </w:lvl>
    <w:lvl w:ilvl="1" w:tplc="18D85568">
      <w:start w:val="1"/>
      <w:numFmt w:val="bullet"/>
      <w:lvlText w:val="o"/>
      <w:lvlJc w:val="left"/>
      <w:pPr>
        <w:ind w:left="1440" w:hanging="360"/>
      </w:pPr>
      <w:rPr>
        <w:rFonts w:ascii="Courier New" w:hAnsi="Courier New" w:hint="default"/>
      </w:rPr>
    </w:lvl>
    <w:lvl w:ilvl="2" w:tplc="0576FA96">
      <w:start w:val="1"/>
      <w:numFmt w:val="bullet"/>
      <w:lvlText w:val=""/>
      <w:lvlJc w:val="left"/>
      <w:pPr>
        <w:ind w:left="2160" w:hanging="360"/>
      </w:pPr>
      <w:rPr>
        <w:rFonts w:ascii="Wingdings" w:hAnsi="Wingdings" w:hint="default"/>
      </w:rPr>
    </w:lvl>
    <w:lvl w:ilvl="3" w:tplc="E148189E">
      <w:start w:val="1"/>
      <w:numFmt w:val="bullet"/>
      <w:lvlText w:val=""/>
      <w:lvlJc w:val="left"/>
      <w:pPr>
        <w:ind w:left="2880" w:hanging="360"/>
      </w:pPr>
      <w:rPr>
        <w:rFonts w:ascii="Symbol" w:hAnsi="Symbol" w:hint="default"/>
      </w:rPr>
    </w:lvl>
    <w:lvl w:ilvl="4" w:tplc="DB80376E">
      <w:start w:val="1"/>
      <w:numFmt w:val="bullet"/>
      <w:lvlText w:val="o"/>
      <w:lvlJc w:val="left"/>
      <w:pPr>
        <w:ind w:left="3600" w:hanging="360"/>
      </w:pPr>
      <w:rPr>
        <w:rFonts w:ascii="Courier New" w:hAnsi="Courier New" w:hint="default"/>
      </w:rPr>
    </w:lvl>
    <w:lvl w:ilvl="5" w:tplc="E550F482">
      <w:start w:val="1"/>
      <w:numFmt w:val="bullet"/>
      <w:lvlText w:val=""/>
      <w:lvlJc w:val="left"/>
      <w:pPr>
        <w:ind w:left="4320" w:hanging="360"/>
      </w:pPr>
      <w:rPr>
        <w:rFonts w:ascii="Wingdings" w:hAnsi="Wingdings" w:hint="default"/>
      </w:rPr>
    </w:lvl>
    <w:lvl w:ilvl="6" w:tplc="D7B262BE">
      <w:start w:val="1"/>
      <w:numFmt w:val="bullet"/>
      <w:lvlText w:val=""/>
      <w:lvlJc w:val="left"/>
      <w:pPr>
        <w:ind w:left="5040" w:hanging="360"/>
      </w:pPr>
      <w:rPr>
        <w:rFonts w:ascii="Symbol" w:hAnsi="Symbol" w:hint="default"/>
      </w:rPr>
    </w:lvl>
    <w:lvl w:ilvl="7" w:tplc="7B968512">
      <w:start w:val="1"/>
      <w:numFmt w:val="bullet"/>
      <w:lvlText w:val="o"/>
      <w:lvlJc w:val="left"/>
      <w:pPr>
        <w:ind w:left="5760" w:hanging="360"/>
      </w:pPr>
      <w:rPr>
        <w:rFonts w:ascii="Courier New" w:hAnsi="Courier New" w:hint="default"/>
      </w:rPr>
    </w:lvl>
    <w:lvl w:ilvl="8" w:tplc="65107FA8">
      <w:start w:val="1"/>
      <w:numFmt w:val="bullet"/>
      <w:lvlText w:val=""/>
      <w:lvlJc w:val="left"/>
      <w:pPr>
        <w:ind w:left="6480" w:hanging="360"/>
      </w:pPr>
      <w:rPr>
        <w:rFonts w:ascii="Wingdings" w:hAnsi="Wingdings" w:hint="default"/>
      </w:rPr>
    </w:lvl>
  </w:abstractNum>
  <w:abstractNum w:abstractNumId="59" w15:restartNumberingAfterBreak="0">
    <w:nsid w:val="774851E6"/>
    <w:multiLevelType w:val="hybridMultilevel"/>
    <w:tmpl w:val="462EE9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81C2609"/>
    <w:multiLevelType w:val="hybridMultilevel"/>
    <w:tmpl w:val="B972C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AEDA16A"/>
    <w:multiLevelType w:val="hybridMultilevel"/>
    <w:tmpl w:val="FFFFFFFF"/>
    <w:lvl w:ilvl="0" w:tplc="C400DDBA">
      <w:start w:val="1"/>
      <w:numFmt w:val="bullet"/>
      <w:lvlText w:val=""/>
      <w:lvlJc w:val="left"/>
      <w:pPr>
        <w:ind w:left="720" w:hanging="360"/>
      </w:pPr>
      <w:rPr>
        <w:rFonts w:ascii="Symbol" w:hAnsi="Symbol" w:hint="default"/>
      </w:rPr>
    </w:lvl>
    <w:lvl w:ilvl="1" w:tplc="CC2683F8">
      <w:start w:val="1"/>
      <w:numFmt w:val="bullet"/>
      <w:lvlText w:val="o"/>
      <w:lvlJc w:val="left"/>
      <w:pPr>
        <w:ind w:left="1440" w:hanging="360"/>
      </w:pPr>
      <w:rPr>
        <w:rFonts w:ascii="Courier New" w:hAnsi="Courier New" w:hint="default"/>
      </w:rPr>
    </w:lvl>
    <w:lvl w:ilvl="2" w:tplc="55E82592">
      <w:start w:val="1"/>
      <w:numFmt w:val="bullet"/>
      <w:lvlText w:val=""/>
      <w:lvlJc w:val="left"/>
      <w:pPr>
        <w:ind w:left="2160" w:hanging="360"/>
      </w:pPr>
      <w:rPr>
        <w:rFonts w:ascii="Wingdings" w:hAnsi="Wingdings" w:hint="default"/>
      </w:rPr>
    </w:lvl>
    <w:lvl w:ilvl="3" w:tplc="A148B676">
      <w:start w:val="1"/>
      <w:numFmt w:val="bullet"/>
      <w:lvlText w:val=""/>
      <w:lvlJc w:val="left"/>
      <w:pPr>
        <w:ind w:left="2880" w:hanging="360"/>
      </w:pPr>
      <w:rPr>
        <w:rFonts w:ascii="Symbol" w:hAnsi="Symbol" w:hint="default"/>
      </w:rPr>
    </w:lvl>
    <w:lvl w:ilvl="4" w:tplc="720EFC66">
      <w:start w:val="1"/>
      <w:numFmt w:val="bullet"/>
      <w:lvlText w:val="o"/>
      <w:lvlJc w:val="left"/>
      <w:pPr>
        <w:ind w:left="3600" w:hanging="360"/>
      </w:pPr>
      <w:rPr>
        <w:rFonts w:ascii="Courier New" w:hAnsi="Courier New" w:hint="default"/>
      </w:rPr>
    </w:lvl>
    <w:lvl w:ilvl="5" w:tplc="6EC4CF24">
      <w:start w:val="1"/>
      <w:numFmt w:val="bullet"/>
      <w:lvlText w:val=""/>
      <w:lvlJc w:val="left"/>
      <w:pPr>
        <w:ind w:left="4320" w:hanging="360"/>
      </w:pPr>
      <w:rPr>
        <w:rFonts w:ascii="Wingdings" w:hAnsi="Wingdings" w:hint="default"/>
      </w:rPr>
    </w:lvl>
    <w:lvl w:ilvl="6" w:tplc="42E60166">
      <w:start w:val="1"/>
      <w:numFmt w:val="bullet"/>
      <w:lvlText w:val=""/>
      <w:lvlJc w:val="left"/>
      <w:pPr>
        <w:ind w:left="5040" w:hanging="360"/>
      </w:pPr>
      <w:rPr>
        <w:rFonts w:ascii="Symbol" w:hAnsi="Symbol" w:hint="default"/>
      </w:rPr>
    </w:lvl>
    <w:lvl w:ilvl="7" w:tplc="1D4AF3DA">
      <w:start w:val="1"/>
      <w:numFmt w:val="bullet"/>
      <w:lvlText w:val="o"/>
      <w:lvlJc w:val="left"/>
      <w:pPr>
        <w:ind w:left="5760" w:hanging="360"/>
      </w:pPr>
      <w:rPr>
        <w:rFonts w:ascii="Courier New" w:hAnsi="Courier New" w:hint="default"/>
      </w:rPr>
    </w:lvl>
    <w:lvl w:ilvl="8" w:tplc="AA2CCA16">
      <w:start w:val="1"/>
      <w:numFmt w:val="bullet"/>
      <w:lvlText w:val=""/>
      <w:lvlJc w:val="left"/>
      <w:pPr>
        <w:ind w:left="6480" w:hanging="360"/>
      </w:pPr>
      <w:rPr>
        <w:rFonts w:ascii="Wingdings" w:hAnsi="Wingdings" w:hint="default"/>
      </w:rPr>
    </w:lvl>
  </w:abstractNum>
  <w:abstractNum w:abstractNumId="62" w15:restartNumberingAfterBreak="0">
    <w:nsid w:val="7BC90016"/>
    <w:multiLevelType w:val="hybridMultilevel"/>
    <w:tmpl w:val="FFFFFFFF"/>
    <w:lvl w:ilvl="0" w:tplc="DC80B0F4">
      <w:start w:val="1"/>
      <w:numFmt w:val="bullet"/>
      <w:lvlText w:val=""/>
      <w:lvlJc w:val="left"/>
      <w:pPr>
        <w:ind w:left="720" w:hanging="360"/>
      </w:pPr>
      <w:rPr>
        <w:rFonts w:ascii="Symbol" w:hAnsi="Symbol" w:hint="default"/>
      </w:rPr>
    </w:lvl>
    <w:lvl w:ilvl="1" w:tplc="13AE4908">
      <w:start w:val="1"/>
      <w:numFmt w:val="bullet"/>
      <w:lvlText w:val="o"/>
      <w:lvlJc w:val="left"/>
      <w:pPr>
        <w:ind w:left="1440" w:hanging="360"/>
      </w:pPr>
      <w:rPr>
        <w:rFonts w:ascii="Courier New" w:hAnsi="Courier New" w:hint="default"/>
      </w:rPr>
    </w:lvl>
    <w:lvl w:ilvl="2" w:tplc="1D4E7900">
      <w:start w:val="1"/>
      <w:numFmt w:val="bullet"/>
      <w:lvlText w:val=""/>
      <w:lvlJc w:val="left"/>
      <w:pPr>
        <w:ind w:left="2160" w:hanging="360"/>
      </w:pPr>
      <w:rPr>
        <w:rFonts w:ascii="Wingdings" w:hAnsi="Wingdings" w:hint="default"/>
      </w:rPr>
    </w:lvl>
    <w:lvl w:ilvl="3" w:tplc="75ACB2AC">
      <w:start w:val="1"/>
      <w:numFmt w:val="bullet"/>
      <w:lvlText w:val=""/>
      <w:lvlJc w:val="left"/>
      <w:pPr>
        <w:ind w:left="2880" w:hanging="360"/>
      </w:pPr>
      <w:rPr>
        <w:rFonts w:ascii="Symbol" w:hAnsi="Symbol" w:hint="default"/>
      </w:rPr>
    </w:lvl>
    <w:lvl w:ilvl="4" w:tplc="09CE7624">
      <w:start w:val="1"/>
      <w:numFmt w:val="bullet"/>
      <w:lvlText w:val="o"/>
      <w:lvlJc w:val="left"/>
      <w:pPr>
        <w:ind w:left="3600" w:hanging="360"/>
      </w:pPr>
      <w:rPr>
        <w:rFonts w:ascii="Courier New" w:hAnsi="Courier New" w:hint="default"/>
      </w:rPr>
    </w:lvl>
    <w:lvl w:ilvl="5" w:tplc="CCA0D3D2">
      <w:start w:val="1"/>
      <w:numFmt w:val="bullet"/>
      <w:lvlText w:val=""/>
      <w:lvlJc w:val="left"/>
      <w:pPr>
        <w:ind w:left="4320" w:hanging="360"/>
      </w:pPr>
      <w:rPr>
        <w:rFonts w:ascii="Wingdings" w:hAnsi="Wingdings" w:hint="default"/>
      </w:rPr>
    </w:lvl>
    <w:lvl w:ilvl="6" w:tplc="B1F44FA6">
      <w:start w:val="1"/>
      <w:numFmt w:val="bullet"/>
      <w:lvlText w:val=""/>
      <w:lvlJc w:val="left"/>
      <w:pPr>
        <w:ind w:left="5040" w:hanging="360"/>
      </w:pPr>
      <w:rPr>
        <w:rFonts w:ascii="Symbol" w:hAnsi="Symbol" w:hint="default"/>
      </w:rPr>
    </w:lvl>
    <w:lvl w:ilvl="7" w:tplc="E9D405DE">
      <w:start w:val="1"/>
      <w:numFmt w:val="bullet"/>
      <w:lvlText w:val="o"/>
      <w:lvlJc w:val="left"/>
      <w:pPr>
        <w:ind w:left="5760" w:hanging="360"/>
      </w:pPr>
      <w:rPr>
        <w:rFonts w:ascii="Courier New" w:hAnsi="Courier New" w:hint="default"/>
      </w:rPr>
    </w:lvl>
    <w:lvl w:ilvl="8" w:tplc="941EB256">
      <w:start w:val="1"/>
      <w:numFmt w:val="bullet"/>
      <w:lvlText w:val=""/>
      <w:lvlJc w:val="left"/>
      <w:pPr>
        <w:ind w:left="6480" w:hanging="360"/>
      </w:pPr>
      <w:rPr>
        <w:rFonts w:ascii="Wingdings" w:hAnsi="Wingdings" w:hint="default"/>
      </w:rPr>
    </w:lvl>
  </w:abstractNum>
  <w:abstractNum w:abstractNumId="63" w15:restartNumberingAfterBreak="0">
    <w:nsid w:val="7C8A7DFE"/>
    <w:multiLevelType w:val="hybridMultilevel"/>
    <w:tmpl w:val="EA06AA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7D5818DC"/>
    <w:multiLevelType w:val="hybridMultilevel"/>
    <w:tmpl w:val="FFFFFFFF"/>
    <w:lvl w:ilvl="0" w:tplc="3B106252">
      <w:start w:val="1"/>
      <w:numFmt w:val="bullet"/>
      <w:lvlText w:val=""/>
      <w:lvlJc w:val="left"/>
      <w:pPr>
        <w:ind w:left="720" w:hanging="360"/>
      </w:pPr>
      <w:rPr>
        <w:rFonts w:ascii="Symbol" w:hAnsi="Symbol" w:hint="default"/>
      </w:rPr>
    </w:lvl>
    <w:lvl w:ilvl="1" w:tplc="6DB2A558">
      <w:start w:val="1"/>
      <w:numFmt w:val="bullet"/>
      <w:lvlText w:val="o"/>
      <w:lvlJc w:val="left"/>
      <w:pPr>
        <w:ind w:left="1440" w:hanging="360"/>
      </w:pPr>
      <w:rPr>
        <w:rFonts w:ascii="Courier New" w:hAnsi="Courier New" w:hint="default"/>
      </w:rPr>
    </w:lvl>
    <w:lvl w:ilvl="2" w:tplc="947E4DB8">
      <w:start w:val="1"/>
      <w:numFmt w:val="bullet"/>
      <w:lvlText w:val=""/>
      <w:lvlJc w:val="left"/>
      <w:pPr>
        <w:ind w:left="2160" w:hanging="360"/>
      </w:pPr>
      <w:rPr>
        <w:rFonts w:ascii="Wingdings" w:hAnsi="Wingdings" w:hint="default"/>
      </w:rPr>
    </w:lvl>
    <w:lvl w:ilvl="3" w:tplc="071E6E42">
      <w:start w:val="1"/>
      <w:numFmt w:val="bullet"/>
      <w:lvlText w:val=""/>
      <w:lvlJc w:val="left"/>
      <w:pPr>
        <w:ind w:left="2880" w:hanging="360"/>
      </w:pPr>
      <w:rPr>
        <w:rFonts w:ascii="Symbol" w:hAnsi="Symbol" w:hint="default"/>
      </w:rPr>
    </w:lvl>
    <w:lvl w:ilvl="4" w:tplc="5B9E2F82">
      <w:start w:val="1"/>
      <w:numFmt w:val="bullet"/>
      <w:lvlText w:val="o"/>
      <w:lvlJc w:val="left"/>
      <w:pPr>
        <w:ind w:left="3600" w:hanging="360"/>
      </w:pPr>
      <w:rPr>
        <w:rFonts w:ascii="Courier New" w:hAnsi="Courier New" w:hint="default"/>
      </w:rPr>
    </w:lvl>
    <w:lvl w:ilvl="5" w:tplc="FB4E7B5C">
      <w:start w:val="1"/>
      <w:numFmt w:val="bullet"/>
      <w:lvlText w:val=""/>
      <w:lvlJc w:val="left"/>
      <w:pPr>
        <w:ind w:left="4320" w:hanging="360"/>
      </w:pPr>
      <w:rPr>
        <w:rFonts w:ascii="Wingdings" w:hAnsi="Wingdings" w:hint="default"/>
      </w:rPr>
    </w:lvl>
    <w:lvl w:ilvl="6" w:tplc="1750D4CE">
      <w:start w:val="1"/>
      <w:numFmt w:val="bullet"/>
      <w:lvlText w:val=""/>
      <w:lvlJc w:val="left"/>
      <w:pPr>
        <w:ind w:left="5040" w:hanging="360"/>
      </w:pPr>
      <w:rPr>
        <w:rFonts w:ascii="Symbol" w:hAnsi="Symbol" w:hint="default"/>
      </w:rPr>
    </w:lvl>
    <w:lvl w:ilvl="7" w:tplc="9F120D22">
      <w:start w:val="1"/>
      <w:numFmt w:val="bullet"/>
      <w:lvlText w:val="o"/>
      <w:lvlJc w:val="left"/>
      <w:pPr>
        <w:ind w:left="5760" w:hanging="360"/>
      </w:pPr>
      <w:rPr>
        <w:rFonts w:ascii="Courier New" w:hAnsi="Courier New" w:hint="default"/>
      </w:rPr>
    </w:lvl>
    <w:lvl w:ilvl="8" w:tplc="0BC27CEC">
      <w:start w:val="1"/>
      <w:numFmt w:val="bullet"/>
      <w:lvlText w:val=""/>
      <w:lvlJc w:val="left"/>
      <w:pPr>
        <w:ind w:left="6480" w:hanging="360"/>
      </w:pPr>
      <w:rPr>
        <w:rFonts w:ascii="Wingdings" w:hAnsi="Wingdings" w:hint="default"/>
      </w:rPr>
    </w:lvl>
  </w:abstractNum>
  <w:num w:numId="1">
    <w:abstractNumId w:val="62"/>
  </w:num>
  <w:num w:numId="2">
    <w:abstractNumId w:val="6"/>
  </w:num>
  <w:num w:numId="3">
    <w:abstractNumId w:val="15"/>
  </w:num>
  <w:num w:numId="4">
    <w:abstractNumId w:val="49"/>
  </w:num>
  <w:num w:numId="5">
    <w:abstractNumId w:val="20"/>
  </w:num>
  <w:num w:numId="6">
    <w:abstractNumId w:val="9"/>
  </w:num>
  <w:num w:numId="7">
    <w:abstractNumId w:val="48"/>
  </w:num>
  <w:num w:numId="8">
    <w:abstractNumId w:val="53"/>
  </w:num>
  <w:num w:numId="9">
    <w:abstractNumId w:val="44"/>
  </w:num>
  <w:num w:numId="10">
    <w:abstractNumId w:val="23"/>
  </w:num>
  <w:num w:numId="11">
    <w:abstractNumId w:val="0"/>
  </w:num>
  <w:num w:numId="12">
    <w:abstractNumId w:val="16"/>
  </w:num>
  <w:num w:numId="13">
    <w:abstractNumId w:val="10"/>
  </w:num>
  <w:num w:numId="14">
    <w:abstractNumId w:val="37"/>
  </w:num>
  <w:num w:numId="15">
    <w:abstractNumId w:val="36"/>
  </w:num>
  <w:num w:numId="16">
    <w:abstractNumId w:val="58"/>
  </w:num>
  <w:num w:numId="17">
    <w:abstractNumId w:val="17"/>
  </w:num>
  <w:num w:numId="18">
    <w:abstractNumId w:val="45"/>
  </w:num>
  <w:num w:numId="19">
    <w:abstractNumId w:val="57"/>
  </w:num>
  <w:num w:numId="20">
    <w:abstractNumId w:val="51"/>
  </w:num>
  <w:num w:numId="21">
    <w:abstractNumId w:val="29"/>
  </w:num>
  <w:num w:numId="22">
    <w:abstractNumId w:val="50"/>
  </w:num>
  <w:num w:numId="23">
    <w:abstractNumId w:val="40"/>
  </w:num>
  <w:num w:numId="24">
    <w:abstractNumId w:val="4"/>
  </w:num>
  <w:num w:numId="25">
    <w:abstractNumId w:val="2"/>
  </w:num>
  <w:num w:numId="26">
    <w:abstractNumId w:val="38"/>
  </w:num>
  <w:num w:numId="27">
    <w:abstractNumId w:val="28"/>
  </w:num>
  <w:num w:numId="28">
    <w:abstractNumId w:val="54"/>
  </w:num>
  <w:num w:numId="29">
    <w:abstractNumId w:val="52"/>
  </w:num>
  <w:num w:numId="30">
    <w:abstractNumId w:val="32"/>
  </w:num>
  <w:num w:numId="31">
    <w:abstractNumId w:val="35"/>
  </w:num>
  <w:num w:numId="32">
    <w:abstractNumId w:val="41"/>
  </w:num>
  <w:num w:numId="33">
    <w:abstractNumId w:val="39"/>
  </w:num>
  <w:num w:numId="34">
    <w:abstractNumId w:val="61"/>
  </w:num>
  <w:num w:numId="35">
    <w:abstractNumId w:val="25"/>
  </w:num>
  <w:num w:numId="36">
    <w:abstractNumId w:val="55"/>
  </w:num>
  <w:num w:numId="37">
    <w:abstractNumId w:val="64"/>
  </w:num>
  <w:num w:numId="38">
    <w:abstractNumId w:val="31"/>
  </w:num>
  <w:num w:numId="39">
    <w:abstractNumId w:val="22"/>
  </w:num>
  <w:num w:numId="40">
    <w:abstractNumId w:val="3"/>
  </w:num>
  <w:num w:numId="41">
    <w:abstractNumId w:val="7"/>
  </w:num>
  <w:num w:numId="42">
    <w:abstractNumId w:val="19"/>
  </w:num>
  <w:num w:numId="43">
    <w:abstractNumId w:val="59"/>
  </w:num>
  <w:num w:numId="44">
    <w:abstractNumId w:val="1"/>
  </w:num>
  <w:num w:numId="45">
    <w:abstractNumId w:val="43"/>
  </w:num>
  <w:num w:numId="46">
    <w:abstractNumId w:val="26"/>
  </w:num>
  <w:num w:numId="47">
    <w:abstractNumId w:val="63"/>
  </w:num>
  <w:num w:numId="48">
    <w:abstractNumId w:val="30"/>
  </w:num>
  <w:num w:numId="49">
    <w:abstractNumId w:val="47"/>
  </w:num>
  <w:num w:numId="50">
    <w:abstractNumId w:val="27"/>
  </w:num>
  <w:num w:numId="51">
    <w:abstractNumId w:val="13"/>
  </w:num>
  <w:num w:numId="52">
    <w:abstractNumId w:val="56"/>
  </w:num>
  <w:num w:numId="53">
    <w:abstractNumId w:val="33"/>
  </w:num>
  <w:num w:numId="54">
    <w:abstractNumId w:val="14"/>
  </w:num>
  <w:num w:numId="55">
    <w:abstractNumId w:val="60"/>
  </w:num>
  <w:num w:numId="56">
    <w:abstractNumId w:val="24"/>
  </w:num>
  <w:num w:numId="57">
    <w:abstractNumId w:val="46"/>
  </w:num>
  <w:num w:numId="58">
    <w:abstractNumId w:val="11"/>
  </w:num>
  <w:num w:numId="59">
    <w:abstractNumId w:val="18"/>
  </w:num>
  <w:num w:numId="60">
    <w:abstractNumId w:val="21"/>
  </w:num>
  <w:num w:numId="61">
    <w:abstractNumId w:val="12"/>
  </w:num>
  <w:num w:numId="62">
    <w:abstractNumId w:val="8"/>
  </w:num>
  <w:num w:numId="63">
    <w:abstractNumId w:val="5"/>
  </w:num>
  <w:num w:numId="64">
    <w:abstractNumId w:val="42"/>
  </w:num>
  <w:num w:numId="65">
    <w:abstractNumId w:val="3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228EF17-192A-4E35-AD72-132B5DBB1906"/>
    <w:docVar w:name="LW_COVERPAGE_TYPE" w:val="1"/>
    <w:docVar w:name="LW_CROSSREFERENCE" w:val="&lt;UNUSED&gt;"/>
    <w:docVar w:name="LW_DocType" w:val="NORMAL"/>
    <w:docVar w:name="LW_EMISSION" w:val="19.5.2026"/>
    <w:docVar w:name="LW_EMISSION_ISODATE" w:val="2026-05-19"/>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action sur les engrais: un partenariat pour garantir la disponibilité et le caractère abordable des engrais produits dans l'UE, ainsi que l'autonomie stratégique dans ce domaine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A110A8"/>
    <w:rsid w:val="000002AE"/>
    <w:rsid w:val="000002E2"/>
    <w:rsid w:val="000003FC"/>
    <w:rsid w:val="0000083E"/>
    <w:rsid w:val="00000866"/>
    <w:rsid w:val="0000105F"/>
    <w:rsid w:val="000011A3"/>
    <w:rsid w:val="0000126A"/>
    <w:rsid w:val="000015CD"/>
    <w:rsid w:val="00001A87"/>
    <w:rsid w:val="00001E58"/>
    <w:rsid w:val="00001E93"/>
    <w:rsid w:val="00001FAF"/>
    <w:rsid w:val="00002191"/>
    <w:rsid w:val="000026DD"/>
    <w:rsid w:val="00002B20"/>
    <w:rsid w:val="00002E7A"/>
    <w:rsid w:val="000031A4"/>
    <w:rsid w:val="0000350C"/>
    <w:rsid w:val="00003539"/>
    <w:rsid w:val="000038F6"/>
    <w:rsid w:val="00003B76"/>
    <w:rsid w:val="00003E89"/>
    <w:rsid w:val="000049C5"/>
    <w:rsid w:val="00004AD0"/>
    <w:rsid w:val="00004E03"/>
    <w:rsid w:val="00005562"/>
    <w:rsid w:val="000055F6"/>
    <w:rsid w:val="000058A3"/>
    <w:rsid w:val="000064D7"/>
    <w:rsid w:val="000064FD"/>
    <w:rsid w:val="00006663"/>
    <w:rsid w:val="000066E0"/>
    <w:rsid w:val="00006B0D"/>
    <w:rsid w:val="00006EB7"/>
    <w:rsid w:val="00007049"/>
    <w:rsid w:val="00007207"/>
    <w:rsid w:val="00007277"/>
    <w:rsid w:val="0000756F"/>
    <w:rsid w:val="00007675"/>
    <w:rsid w:val="0000776A"/>
    <w:rsid w:val="000077DE"/>
    <w:rsid w:val="000077FA"/>
    <w:rsid w:val="000079C7"/>
    <w:rsid w:val="00007C2A"/>
    <w:rsid w:val="00007C46"/>
    <w:rsid w:val="000101A8"/>
    <w:rsid w:val="0001025B"/>
    <w:rsid w:val="000102C5"/>
    <w:rsid w:val="000103C1"/>
    <w:rsid w:val="0001046B"/>
    <w:rsid w:val="0001056F"/>
    <w:rsid w:val="000106A5"/>
    <w:rsid w:val="00010963"/>
    <w:rsid w:val="00010BB0"/>
    <w:rsid w:val="0001186E"/>
    <w:rsid w:val="00011937"/>
    <w:rsid w:val="00011976"/>
    <w:rsid w:val="00011F32"/>
    <w:rsid w:val="00012380"/>
    <w:rsid w:val="000123D2"/>
    <w:rsid w:val="00012663"/>
    <w:rsid w:val="000128EC"/>
    <w:rsid w:val="00012CFF"/>
    <w:rsid w:val="00013056"/>
    <w:rsid w:val="00013237"/>
    <w:rsid w:val="0001355A"/>
    <w:rsid w:val="00013661"/>
    <w:rsid w:val="000138FC"/>
    <w:rsid w:val="000139A6"/>
    <w:rsid w:val="00013A9E"/>
    <w:rsid w:val="00013BE9"/>
    <w:rsid w:val="00013BF3"/>
    <w:rsid w:val="00013DFF"/>
    <w:rsid w:val="000144DF"/>
    <w:rsid w:val="00014553"/>
    <w:rsid w:val="0001486A"/>
    <w:rsid w:val="000149AD"/>
    <w:rsid w:val="00014CBE"/>
    <w:rsid w:val="00014D43"/>
    <w:rsid w:val="00014E81"/>
    <w:rsid w:val="00014E98"/>
    <w:rsid w:val="0001529D"/>
    <w:rsid w:val="000155F7"/>
    <w:rsid w:val="000157F9"/>
    <w:rsid w:val="00015807"/>
    <w:rsid w:val="000158CA"/>
    <w:rsid w:val="00015C43"/>
    <w:rsid w:val="00015E2D"/>
    <w:rsid w:val="00016126"/>
    <w:rsid w:val="000162CC"/>
    <w:rsid w:val="0001659F"/>
    <w:rsid w:val="000168DC"/>
    <w:rsid w:val="00016BCA"/>
    <w:rsid w:val="00016DD0"/>
    <w:rsid w:val="00017050"/>
    <w:rsid w:val="0001724F"/>
    <w:rsid w:val="000172A3"/>
    <w:rsid w:val="000172D4"/>
    <w:rsid w:val="00017312"/>
    <w:rsid w:val="000177F4"/>
    <w:rsid w:val="00017826"/>
    <w:rsid w:val="00017850"/>
    <w:rsid w:val="00017957"/>
    <w:rsid w:val="000179C3"/>
    <w:rsid w:val="00017C25"/>
    <w:rsid w:val="00017DAA"/>
    <w:rsid w:val="00017E74"/>
    <w:rsid w:val="000200A3"/>
    <w:rsid w:val="0002012D"/>
    <w:rsid w:val="00020312"/>
    <w:rsid w:val="000206E6"/>
    <w:rsid w:val="000207B7"/>
    <w:rsid w:val="000208C7"/>
    <w:rsid w:val="00020C19"/>
    <w:rsid w:val="00020D07"/>
    <w:rsid w:val="00020EA2"/>
    <w:rsid w:val="00020FF8"/>
    <w:rsid w:val="000211A0"/>
    <w:rsid w:val="0002168D"/>
    <w:rsid w:val="0002192D"/>
    <w:rsid w:val="00021A16"/>
    <w:rsid w:val="0002207C"/>
    <w:rsid w:val="00022189"/>
    <w:rsid w:val="00022374"/>
    <w:rsid w:val="0002254A"/>
    <w:rsid w:val="0002276D"/>
    <w:rsid w:val="0002281E"/>
    <w:rsid w:val="000229FD"/>
    <w:rsid w:val="00022B29"/>
    <w:rsid w:val="00022B37"/>
    <w:rsid w:val="00023347"/>
    <w:rsid w:val="00023675"/>
    <w:rsid w:val="00023A8F"/>
    <w:rsid w:val="00023D56"/>
    <w:rsid w:val="00023D86"/>
    <w:rsid w:val="00023DFB"/>
    <w:rsid w:val="00023EFF"/>
    <w:rsid w:val="000243AC"/>
    <w:rsid w:val="000244EC"/>
    <w:rsid w:val="000246FA"/>
    <w:rsid w:val="00024987"/>
    <w:rsid w:val="000258DF"/>
    <w:rsid w:val="000259D8"/>
    <w:rsid w:val="00025FA7"/>
    <w:rsid w:val="00026537"/>
    <w:rsid w:val="00026556"/>
    <w:rsid w:val="000265DB"/>
    <w:rsid w:val="000266E4"/>
    <w:rsid w:val="00026B53"/>
    <w:rsid w:val="00026D1C"/>
    <w:rsid w:val="00026EC0"/>
    <w:rsid w:val="00026EF8"/>
    <w:rsid w:val="00027408"/>
    <w:rsid w:val="00027B06"/>
    <w:rsid w:val="00027B2D"/>
    <w:rsid w:val="00027B59"/>
    <w:rsid w:val="00027B60"/>
    <w:rsid w:val="00030047"/>
    <w:rsid w:val="0003042A"/>
    <w:rsid w:val="00030455"/>
    <w:rsid w:val="00030457"/>
    <w:rsid w:val="00030A71"/>
    <w:rsid w:val="00030CFD"/>
    <w:rsid w:val="00030EF9"/>
    <w:rsid w:val="000311E4"/>
    <w:rsid w:val="00031334"/>
    <w:rsid w:val="00031340"/>
    <w:rsid w:val="000315E1"/>
    <w:rsid w:val="000317C0"/>
    <w:rsid w:val="00031ACE"/>
    <w:rsid w:val="00031BC2"/>
    <w:rsid w:val="00031C30"/>
    <w:rsid w:val="00031DE7"/>
    <w:rsid w:val="00031EBA"/>
    <w:rsid w:val="00031FA2"/>
    <w:rsid w:val="00032459"/>
    <w:rsid w:val="00032506"/>
    <w:rsid w:val="00032731"/>
    <w:rsid w:val="000327A5"/>
    <w:rsid w:val="000329C9"/>
    <w:rsid w:val="00032A4D"/>
    <w:rsid w:val="00033265"/>
    <w:rsid w:val="00033424"/>
    <w:rsid w:val="00033565"/>
    <w:rsid w:val="00033BC1"/>
    <w:rsid w:val="00033CC3"/>
    <w:rsid w:val="0003448A"/>
    <w:rsid w:val="00034A69"/>
    <w:rsid w:val="00034C1F"/>
    <w:rsid w:val="00034DBA"/>
    <w:rsid w:val="00034EF0"/>
    <w:rsid w:val="000354EC"/>
    <w:rsid w:val="000357A6"/>
    <w:rsid w:val="00035834"/>
    <w:rsid w:val="000358E4"/>
    <w:rsid w:val="00035B35"/>
    <w:rsid w:val="0003631B"/>
    <w:rsid w:val="000364CB"/>
    <w:rsid w:val="000365FC"/>
    <w:rsid w:val="0003678D"/>
    <w:rsid w:val="00036B80"/>
    <w:rsid w:val="00036D83"/>
    <w:rsid w:val="00037050"/>
    <w:rsid w:val="000372A3"/>
    <w:rsid w:val="000373F2"/>
    <w:rsid w:val="000373F3"/>
    <w:rsid w:val="0003767F"/>
    <w:rsid w:val="000376D5"/>
    <w:rsid w:val="00037816"/>
    <w:rsid w:val="00037B32"/>
    <w:rsid w:val="00037C65"/>
    <w:rsid w:val="00037EE1"/>
    <w:rsid w:val="00040AA0"/>
    <w:rsid w:val="00040ACF"/>
    <w:rsid w:val="00041236"/>
    <w:rsid w:val="000414A3"/>
    <w:rsid w:val="000417A5"/>
    <w:rsid w:val="00041E34"/>
    <w:rsid w:val="0004221B"/>
    <w:rsid w:val="00042821"/>
    <w:rsid w:val="00042A60"/>
    <w:rsid w:val="00042B3A"/>
    <w:rsid w:val="00042B41"/>
    <w:rsid w:val="00042EB4"/>
    <w:rsid w:val="00042F79"/>
    <w:rsid w:val="000434C4"/>
    <w:rsid w:val="000439CB"/>
    <w:rsid w:val="00043B24"/>
    <w:rsid w:val="00043D05"/>
    <w:rsid w:val="00043FDB"/>
    <w:rsid w:val="000440FF"/>
    <w:rsid w:val="000443A4"/>
    <w:rsid w:val="000444B3"/>
    <w:rsid w:val="000444D8"/>
    <w:rsid w:val="0004459B"/>
    <w:rsid w:val="0004472C"/>
    <w:rsid w:val="000449CE"/>
    <w:rsid w:val="00044AB1"/>
    <w:rsid w:val="00044C63"/>
    <w:rsid w:val="000450F4"/>
    <w:rsid w:val="000450FA"/>
    <w:rsid w:val="00045377"/>
    <w:rsid w:val="0004582A"/>
    <w:rsid w:val="00045BEE"/>
    <w:rsid w:val="00045BFF"/>
    <w:rsid w:val="00045D2B"/>
    <w:rsid w:val="00045EE4"/>
    <w:rsid w:val="00045F5D"/>
    <w:rsid w:val="0004609F"/>
    <w:rsid w:val="000466F8"/>
    <w:rsid w:val="0004697B"/>
    <w:rsid w:val="00046C28"/>
    <w:rsid w:val="00046DF2"/>
    <w:rsid w:val="00046E80"/>
    <w:rsid w:val="00046F93"/>
    <w:rsid w:val="00047410"/>
    <w:rsid w:val="00047515"/>
    <w:rsid w:val="00047596"/>
    <w:rsid w:val="00047B0A"/>
    <w:rsid w:val="00047B3E"/>
    <w:rsid w:val="00047E2B"/>
    <w:rsid w:val="00047F2E"/>
    <w:rsid w:val="00047F47"/>
    <w:rsid w:val="00050188"/>
    <w:rsid w:val="000508F4"/>
    <w:rsid w:val="000509CB"/>
    <w:rsid w:val="00050A05"/>
    <w:rsid w:val="00050A75"/>
    <w:rsid w:val="000515F3"/>
    <w:rsid w:val="000516A9"/>
    <w:rsid w:val="00051807"/>
    <w:rsid w:val="00051E32"/>
    <w:rsid w:val="00051ED3"/>
    <w:rsid w:val="000520D3"/>
    <w:rsid w:val="000521D6"/>
    <w:rsid w:val="00052308"/>
    <w:rsid w:val="000524EE"/>
    <w:rsid w:val="00052B4A"/>
    <w:rsid w:val="00052C05"/>
    <w:rsid w:val="00052C09"/>
    <w:rsid w:val="000535C5"/>
    <w:rsid w:val="0005374F"/>
    <w:rsid w:val="000538B5"/>
    <w:rsid w:val="00054678"/>
    <w:rsid w:val="000547C6"/>
    <w:rsid w:val="0005482E"/>
    <w:rsid w:val="0005496E"/>
    <w:rsid w:val="00054977"/>
    <w:rsid w:val="00054C2B"/>
    <w:rsid w:val="00054C39"/>
    <w:rsid w:val="0005511B"/>
    <w:rsid w:val="00055365"/>
    <w:rsid w:val="000553F1"/>
    <w:rsid w:val="000557B4"/>
    <w:rsid w:val="00055C73"/>
    <w:rsid w:val="00055DEB"/>
    <w:rsid w:val="00056337"/>
    <w:rsid w:val="000567E4"/>
    <w:rsid w:val="00056824"/>
    <w:rsid w:val="00056E18"/>
    <w:rsid w:val="000576AD"/>
    <w:rsid w:val="00057870"/>
    <w:rsid w:val="00057C89"/>
    <w:rsid w:val="00057E6D"/>
    <w:rsid w:val="00057E79"/>
    <w:rsid w:val="00057EE7"/>
    <w:rsid w:val="0006028A"/>
    <w:rsid w:val="0006040A"/>
    <w:rsid w:val="000608D1"/>
    <w:rsid w:val="00060D66"/>
    <w:rsid w:val="00060EA7"/>
    <w:rsid w:val="00060F35"/>
    <w:rsid w:val="000612BD"/>
    <w:rsid w:val="0006195B"/>
    <w:rsid w:val="00061BC4"/>
    <w:rsid w:val="000620E4"/>
    <w:rsid w:val="00062246"/>
    <w:rsid w:val="000622B1"/>
    <w:rsid w:val="00062312"/>
    <w:rsid w:val="00062367"/>
    <w:rsid w:val="00062C77"/>
    <w:rsid w:val="00062F58"/>
    <w:rsid w:val="000630ED"/>
    <w:rsid w:val="0006321A"/>
    <w:rsid w:val="000634B6"/>
    <w:rsid w:val="000634E1"/>
    <w:rsid w:val="000636CD"/>
    <w:rsid w:val="00063A62"/>
    <w:rsid w:val="00063B8F"/>
    <w:rsid w:val="00063F60"/>
    <w:rsid w:val="0006402E"/>
    <w:rsid w:val="000642EE"/>
    <w:rsid w:val="0006478E"/>
    <w:rsid w:val="00064A54"/>
    <w:rsid w:val="00064B0D"/>
    <w:rsid w:val="00064C6A"/>
    <w:rsid w:val="00064CDC"/>
    <w:rsid w:val="00064D62"/>
    <w:rsid w:val="00064FD1"/>
    <w:rsid w:val="000650FE"/>
    <w:rsid w:val="00065250"/>
    <w:rsid w:val="000656EE"/>
    <w:rsid w:val="00065765"/>
    <w:rsid w:val="000657AC"/>
    <w:rsid w:val="00065838"/>
    <w:rsid w:val="00065CFB"/>
    <w:rsid w:val="00065EE7"/>
    <w:rsid w:val="000660D7"/>
    <w:rsid w:val="000662B0"/>
    <w:rsid w:val="00066388"/>
    <w:rsid w:val="00066496"/>
    <w:rsid w:val="00066B11"/>
    <w:rsid w:val="00066C47"/>
    <w:rsid w:val="00066F3B"/>
    <w:rsid w:val="000672D0"/>
    <w:rsid w:val="00067788"/>
    <w:rsid w:val="000678EF"/>
    <w:rsid w:val="00067B4E"/>
    <w:rsid w:val="00067F1A"/>
    <w:rsid w:val="000700A5"/>
    <w:rsid w:val="0007012D"/>
    <w:rsid w:val="00070526"/>
    <w:rsid w:val="000705A1"/>
    <w:rsid w:val="00071061"/>
    <w:rsid w:val="0007112F"/>
    <w:rsid w:val="00071159"/>
    <w:rsid w:val="00071440"/>
    <w:rsid w:val="0007170A"/>
    <w:rsid w:val="00071AF5"/>
    <w:rsid w:val="00071BC3"/>
    <w:rsid w:val="00071D11"/>
    <w:rsid w:val="00071EF9"/>
    <w:rsid w:val="000721D8"/>
    <w:rsid w:val="000726DF"/>
    <w:rsid w:val="00072BBB"/>
    <w:rsid w:val="00072C63"/>
    <w:rsid w:val="00072CCA"/>
    <w:rsid w:val="00073090"/>
    <w:rsid w:val="000730A2"/>
    <w:rsid w:val="000730B6"/>
    <w:rsid w:val="00073183"/>
    <w:rsid w:val="0007332F"/>
    <w:rsid w:val="00073598"/>
    <w:rsid w:val="00073987"/>
    <w:rsid w:val="00073C2B"/>
    <w:rsid w:val="00073CE9"/>
    <w:rsid w:val="00073DE2"/>
    <w:rsid w:val="00073FA3"/>
    <w:rsid w:val="000746C7"/>
    <w:rsid w:val="000747FC"/>
    <w:rsid w:val="0007490F"/>
    <w:rsid w:val="00074B3C"/>
    <w:rsid w:val="00074C76"/>
    <w:rsid w:val="00074D2E"/>
    <w:rsid w:val="00074F00"/>
    <w:rsid w:val="000752D0"/>
    <w:rsid w:val="000753E7"/>
    <w:rsid w:val="000758ED"/>
    <w:rsid w:val="00075A59"/>
    <w:rsid w:val="00075BD2"/>
    <w:rsid w:val="00075D8E"/>
    <w:rsid w:val="0007631B"/>
    <w:rsid w:val="00076A8E"/>
    <w:rsid w:val="00076B18"/>
    <w:rsid w:val="0007709B"/>
    <w:rsid w:val="0007714D"/>
    <w:rsid w:val="0007739E"/>
    <w:rsid w:val="000775A4"/>
    <w:rsid w:val="0007761D"/>
    <w:rsid w:val="0007771E"/>
    <w:rsid w:val="00077A35"/>
    <w:rsid w:val="00077CD7"/>
    <w:rsid w:val="00077CE1"/>
    <w:rsid w:val="00077E4E"/>
    <w:rsid w:val="000803C8"/>
    <w:rsid w:val="00080C71"/>
    <w:rsid w:val="00080D71"/>
    <w:rsid w:val="000813EF"/>
    <w:rsid w:val="0008184B"/>
    <w:rsid w:val="00081CB9"/>
    <w:rsid w:val="0008279C"/>
    <w:rsid w:val="000828F2"/>
    <w:rsid w:val="00082926"/>
    <w:rsid w:val="00082F0D"/>
    <w:rsid w:val="00082F73"/>
    <w:rsid w:val="00083114"/>
    <w:rsid w:val="00083195"/>
    <w:rsid w:val="000832DE"/>
    <w:rsid w:val="00083338"/>
    <w:rsid w:val="00083588"/>
    <w:rsid w:val="00083758"/>
    <w:rsid w:val="0008395C"/>
    <w:rsid w:val="00083BF8"/>
    <w:rsid w:val="00083D00"/>
    <w:rsid w:val="00083DF3"/>
    <w:rsid w:val="00083E43"/>
    <w:rsid w:val="00083ED8"/>
    <w:rsid w:val="00083FB2"/>
    <w:rsid w:val="000844E1"/>
    <w:rsid w:val="000848C9"/>
    <w:rsid w:val="000849E0"/>
    <w:rsid w:val="00084BAC"/>
    <w:rsid w:val="00085187"/>
    <w:rsid w:val="0008535F"/>
    <w:rsid w:val="000853EA"/>
    <w:rsid w:val="0008550B"/>
    <w:rsid w:val="00085FED"/>
    <w:rsid w:val="0008606E"/>
    <w:rsid w:val="000863C9"/>
    <w:rsid w:val="00086698"/>
    <w:rsid w:val="0008690E"/>
    <w:rsid w:val="00086B00"/>
    <w:rsid w:val="0008702D"/>
    <w:rsid w:val="0008712E"/>
    <w:rsid w:val="00087512"/>
    <w:rsid w:val="00087681"/>
    <w:rsid w:val="00087A65"/>
    <w:rsid w:val="00087DB3"/>
    <w:rsid w:val="00087FB5"/>
    <w:rsid w:val="000900A4"/>
    <w:rsid w:val="00090423"/>
    <w:rsid w:val="00090C48"/>
    <w:rsid w:val="00090EAC"/>
    <w:rsid w:val="00091238"/>
    <w:rsid w:val="00091483"/>
    <w:rsid w:val="0009177A"/>
    <w:rsid w:val="000918A5"/>
    <w:rsid w:val="000918B8"/>
    <w:rsid w:val="00091FED"/>
    <w:rsid w:val="00092000"/>
    <w:rsid w:val="00092001"/>
    <w:rsid w:val="0009207D"/>
    <w:rsid w:val="000922E7"/>
    <w:rsid w:val="00092409"/>
    <w:rsid w:val="00092533"/>
    <w:rsid w:val="000927BC"/>
    <w:rsid w:val="00092ACA"/>
    <w:rsid w:val="00092C55"/>
    <w:rsid w:val="00092C5D"/>
    <w:rsid w:val="00093039"/>
    <w:rsid w:val="00093201"/>
    <w:rsid w:val="000935E4"/>
    <w:rsid w:val="00093647"/>
    <w:rsid w:val="00093877"/>
    <w:rsid w:val="00093956"/>
    <w:rsid w:val="000939CD"/>
    <w:rsid w:val="00093AC3"/>
    <w:rsid w:val="00093C58"/>
    <w:rsid w:val="00093F0F"/>
    <w:rsid w:val="00094211"/>
    <w:rsid w:val="0009466A"/>
    <w:rsid w:val="000946C4"/>
    <w:rsid w:val="00094A66"/>
    <w:rsid w:val="00094E5A"/>
    <w:rsid w:val="000950D5"/>
    <w:rsid w:val="00095424"/>
    <w:rsid w:val="0009544F"/>
    <w:rsid w:val="00095505"/>
    <w:rsid w:val="000956C2"/>
    <w:rsid w:val="00095B0A"/>
    <w:rsid w:val="00095B80"/>
    <w:rsid w:val="0009616E"/>
    <w:rsid w:val="00096647"/>
    <w:rsid w:val="000966D1"/>
    <w:rsid w:val="000967F1"/>
    <w:rsid w:val="000971D9"/>
    <w:rsid w:val="00097525"/>
    <w:rsid w:val="000976A8"/>
    <w:rsid w:val="00097996"/>
    <w:rsid w:val="00097DBD"/>
    <w:rsid w:val="00097DC5"/>
    <w:rsid w:val="00097F74"/>
    <w:rsid w:val="000A00C9"/>
    <w:rsid w:val="000A02EE"/>
    <w:rsid w:val="000A0488"/>
    <w:rsid w:val="000A0622"/>
    <w:rsid w:val="000A06F4"/>
    <w:rsid w:val="000A08D5"/>
    <w:rsid w:val="000A0AB5"/>
    <w:rsid w:val="000A0DCF"/>
    <w:rsid w:val="000A0FFC"/>
    <w:rsid w:val="000A1166"/>
    <w:rsid w:val="000A1211"/>
    <w:rsid w:val="000A147A"/>
    <w:rsid w:val="000A14D0"/>
    <w:rsid w:val="000A1649"/>
    <w:rsid w:val="000A1652"/>
    <w:rsid w:val="000A18E0"/>
    <w:rsid w:val="000A205F"/>
    <w:rsid w:val="000A22EC"/>
    <w:rsid w:val="000A248C"/>
    <w:rsid w:val="000A24D5"/>
    <w:rsid w:val="000A26BC"/>
    <w:rsid w:val="000A26F0"/>
    <w:rsid w:val="000A2804"/>
    <w:rsid w:val="000A2815"/>
    <w:rsid w:val="000A281C"/>
    <w:rsid w:val="000A295C"/>
    <w:rsid w:val="000A2C64"/>
    <w:rsid w:val="000A2C6F"/>
    <w:rsid w:val="000A2C8C"/>
    <w:rsid w:val="000A2D78"/>
    <w:rsid w:val="000A2E46"/>
    <w:rsid w:val="000A2E47"/>
    <w:rsid w:val="000A2E61"/>
    <w:rsid w:val="000A305F"/>
    <w:rsid w:val="000A313D"/>
    <w:rsid w:val="000A337A"/>
    <w:rsid w:val="000A33C5"/>
    <w:rsid w:val="000A37E0"/>
    <w:rsid w:val="000A38A4"/>
    <w:rsid w:val="000A3910"/>
    <w:rsid w:val="000A3C90"/>
    <w:rsid w:val="000A3FC2"/>
    <w:rsid w:val="000A4343"/>
    <w:rsid w:val="000A4372"/>
    <w:rsid w:val="000A438B"/>
    <w:rsid w:val="000A4497"/>
    <w:rsid w:val="000A4798"/>
    <w:rsid w:val="000A48BF"/>
    <w:rsid w:val="000A499B"/>
    <w:rsid w:val="000A4D79"/>
    <w:rsid w:val="000A4ECB"/>
    <w:rsid w:val="000A5763"/>
    <w:rsid w:val="000A57B0"/>
    <w:rsid w:val="000A5FC0"/>
    <w:rsid w:val="000A6407"/>
    <w:rsid w:val="000A64F4"/>
    <w:rsid w:val="000A66D9"/>
    <w:rsid w:val="000A6819"/>
    <w:rsid w:val="000A6A82"/>
    <w:rsid w:val="000A7226"/>
    <w:rsid w:val="000A747C"/>
    <w:rsid w:val="000A7882"/>
    <w:rsid w:val="000A7B1B"/>
    <w:rsid w:val="000A7E13"/>
    <w:rsid w:val="000A7FB4"/>
    <w:rsid w:val="000B001F"/>
    <w:rsid w:val="000B01BC"/>
    <w:rsid w:val="000B0215"/>
    <w:rsid w:val="000B032B"/>
    <w:rsid w:val="000B05D9"/>
    <w:rsid w:val="000B0839"/>
    <w:rsid w:val="000B08C4"/>
    <w:rsid w:val="000B0B61"/>
    <w:rsid w:val="000B0BAB"/>
    <w:rsid w:val="000B0D2E"/>
    <w:rsid w:val="000B1AF8"/>
    <w:rsid w:val="000B205B"/>
    <w:rsid w:val="000B22AD"/>
    <w:rsid w:val="000B29A6"/>
    <w:rsid w:val="000B3112"/>
    <w:rsid w:val="000B3373"/>
    <w:rsid w:val="000B35AA"/>
    <w:rsid w:val="000B3B70"/>
    <w:rsid w:val="000B3C88"/>
    <w:rsid w:val="000B4075"/>
    <w:rsid w:val="000B421F"/>
    <w:rsid w:val="000B4A2E"/>
    <w:rsid w:val="000B4B17"/>
    <w:rsid w:val="000B4D11"/>
    <w:rsid w:val="000B4E32"/>
    <w:rsid w:val="000B531A"/>
    <w:rsid w:val="000B5B15"/>
    <w:rsid w:val="000B5D96"/>
    <w:rsid w:val="000B606C"/>
    <w:rsid w:val="000B61A8"/>
    <w:rsid w:val="000B6214"/>
    <w:rsid w:val="000B675B"/>
    <w:rsid w:val="000B6BCB"/>
    <w:rsid w:val="000B6C88"/>
    <w:rsid w:val="000B7005"/>
    <w:rsid w:val="000B735A"/>
    <w:rsid w:val="000B7561"/>
    <w:rsid w:val="000B75DE"/>
    <w:rsid w:val="000B7B39"/>
    <w:rsid w:val="000C0160"/>
    <w:rsid w:val="000C01D1"/>
    <w:rsid w:val="000C06C6"/>
    <w:rsid w:val="000C080F"/>
    <w:rsid w:val="000C0E49"/>
    <w:rsid w:val="000C10E6"/>
    <w:rsid w:val="000C10F1"/>
    <w:rsid w:val="000C1643"/>
    <w:rsid w:val="000C16D9"/>
    <w:rsid w:val="000C170B"/>
    <w:rsid w:val="000C180D"/>
    <w:rsid w:val="000C1943"/>
    <w:rsid w:val="000C1A42"/>
    <w:rsid w:val="000C1D6C"/>
    <w:rsid w:val="000C22A2"/>
    <w:rsid w:val="000C2402"/>
    <w:rsid w:val="000C279E"/>
    <w:rsid w:val="000C2940"/>
    <w:rsid w:val="000C297A"/>
    <w:rsid w:val="000C2D71"/>
    <w:rsid w:val="000C2DBF"/>
    <w:rsid w:val="000C2F6B"/>
    <w:rsid w:val="000C2F7B"/>
    <w:rsid w:val="000C303C"/>
    <w:rsid w:val="000C3335"/>
    <w:rsid w:val="000C33AD"/>
    <w:rsid w:val="000C3440"/>
    <w:rsid w:val="000C35B3"/>
    <w:rsid w:val="000C369C"/>
    <w:rsid w:val="000C3D7F"/>
    <w:rsid w:val="000C3DD1"/>
    <w:rsid w:val="000C3E54"/>
    <w:rsid w:val="000C3F5C"/>
    <w:rsid w:val="000C3F8D"/>
    <w:rsid w:val="000C42E9"/>
    <w:rsid w:val="000C44CB"/>
    <w:rsid w:val="000C45A0"/>
    <w:rsid w:val="000C46D0"/>
    <w:rsid w:val="000C479C"/>
    <w:rsid w:val="000C480F"/>
    <w:rsid w:val="000C485A"/>
    <w:rsid w:val="000C4993"/>
    <w:rsid w:val="000C49DD"/>
    <w:rsid w:val="000C49FB"/>
    <w:rsid w:val="000C4C1B"/>
    <w:rsid w:val="000C5201"/>
    <w:rsid w:val="000C5301"/>
    <w:rsid w:val="000C584A"/>
    <w:rsid w:val="000C5B89"/>
    <w:rsid w:val="000C5DA3"/>
    <w:rsid w:val="000C64BE"/>
    <w:rsid w:val="000C65B8"/>
    <w:rsid w:val="000C65E3"/>
    <w:rsid w:val="000C6926"/>
    <w:rsid w:val="000C6A02"/>
    <w:rsid w:val="000C6A0B"/>
    <w:rsid w:val="000C6A61"/>
    <w:rsid w:val="000C6F0D"/>
    <w:rsid w:val="000C70E3"/>
    <w:rsid w:val="000C7171"/>
    <w:rsid w:val="000C7773"/>
    <w:rsid w:val="000C7878"/>
    <w:rsid w:val="000C789B"/>
    <w:rsid w:val="000C7C8F"/>
    <w:rsid w:val="000C7D6E"/>
    <w:rsid w:val="000C7FF0"/>
    <w:rsid w:val="000D0123"/>
    <w:rsid w:val="000D067C"/>
    <w:rsid w:val="000D06FD"/>
    <w:rsid w:val="000D08F0"/>
    <w:rsid w:val="000D09E3"/>
    <w:rsid w:val="000D09FA"/>
    <w:rsid w:val="000D0A8E"/>
    <w:rsid w:val="000D0B38"/>
    <w:rsid w:val="000D0BE1"/>
    <w:rsid w:val="000D11D9"/>
    <w:rsid w:val="000D131B"/>
    <w:rsid w:val="000D1487"/>
    <w:rsid w:val="000D1B45"/>
    <w:rsid w:val="000D1E26"/>
    <w:rsid w:val="000D26A2"/>
    <w:rsid w:val="000D2742"/>
    <w:rsid w:val="000D2790"/>
    <w:rsid w:val="000D290A"/>
    <w:rsid w:val="000D2D51"/>
    <w:rsid w:val="000D2E68"/>
    <w:rsid w:val="000D33AC"/>
    <w:rsid w:val="000D342D"/>
    <w:rsid w:val="000D3465"/>
    <w:rsid w:val="000D37E7"/>
    <w:rsid w:val="000D39AD"/>
    <w:rsid w:val="000D3B1D"/>
    <w:rsid w:val="000D3C1B"/>
    <w:rsid w:val="000D42FF"/>
    <w:rsid w:val="000D44AB"/>
    <w:rsid w:val="000D4516"/>
    <w:rsid w:val="000D471E"/>
    <w:rsid w:val="000D4D38"/>
    <w:rsid w:val="000D4D63"/>
    <w:rsid w:val="000D4E82"/>
    <w:rsid w:val="000D4F4D"/>
    <w:rsid w:val="000D5052"/>
    <w:rsid w:val="000D508C"/>
    <w:rsid w:val="000D5470"/>
    <w:rsid w:val="000D54BE"/>
    <w:rsid w:val="000D5627"/>
    <w:rsid w:val="000D56DB"/>
    <w:rsid w:val="000D5B11"/>
    <w:rsid w:val="000D5ED9"/>
    <w:rsid w:val="000D6465"/>
    <w:rsid w:val="000D64D3"/>
    <w:rsid w:val="000D67C5"/>
    <w:rsid w:val="000D716C"/>
    <w:rsid w:val="000D7240"/>
    <w:rsid w:val="000D7331"/>
    <w:rsid w:val="000D7562"/>
    <w:rsid w:val="000D77C0"/>
    <w:rsid w:val="000D7A98"/>
    <w:rsid w:val="000D7D9E"/>
    <w:rsid w:val="000D7E2B"/>
    <w:rsid w:val="000D7F32"/>
    <w:rsid w:val="000E02E8"/>
    <w:rsid w:val="000E04B4"/>
    <w:rsid w:val="000E04BD"/>
    <w:rsid w:val="000E0635"/>
    <w:rsid w:val="000E07F4"/>
    <w:rsid w:val="000E08FA"/>
    <w:rsid w:val="000E0A6C"/>
    <w:rsid w:val="000E175A"/>
    <w:rsid w:val="000E1BFB"/>
    <w:rsid w:val="000E1DC0"/>
    <w:rsid w:val="000E1F13"/>
    <w:rsid w:val="000E2270"/>
    <w:rsid w:val="000E23D1"/>
    <w:rsid w:val="000E24FB"/>
    <w:rsid w:val="000E260C"/>
    <w:rsid w:val="000E2752"/>
    <w:rsid w:val="000E27AB"/>
    <w:rsid w:val="000E2B30"/>
    <w:rsid w:val="000E2D50"/>
    <w:rsid w:val="000E2DD8"/>
    <w:rsid w:val="000E2E55"/>
    <w:rsid w:val="000E2FFA"/>
    <w:rsid w:val="000E3178"/>
    <w:rsid w:val="000E37E3"/>
    <w:rsid w:val="000E41AB"/>
    <w:rsid w:val="000E4310"/>
    <w:rsid w:val="000E46DD"/>
    <w:rsid w:val="000E4796"/>
    <w:rsid w:val="000E4990"/>
    <w:rsid w:val="000E4D94"/>
    <w:rsid w:val="000E4E46"/>
    <w:rsid w:val="000E4EC9"/>
    <w:rsid w:val="000E4F30"/>
    <w:rsid w:val="000E531A"/>
    <w:rsid w:val="000E5372"/>
    <w:rsid w:val="000E57B5"/>
    <w:rsid w:val="000E5BC4"/>
    <w:rsid w:val="000E622F"/>
    <w:rsid w:val="000E623B"/>
    <w:rsid w:val="000E64A3"/>
    <w:rsid w:val="000E68A7"/>
    <w:rsid w:val="000E6A55"/>
    <w:rsid w:val="000E6A87"/>
    <w:rsid w:val="000E6A90"/>
    <w:rsid w:val="000E6CA0"/>
    <w:rsid w:val="000E6CC0"/>
    <w:rsid w:val="000E6F3F"/>
    <w:rsid w:val="000E7700"/>
    <w:rsid w:val="000E7907"/>
    <w:rsid w:val="000E7BE4"/>
    <w:rsid w:val="000F0EB5"/>
    <w:rsid w:val="000F11F8"/>
    <w:rsid w:val="000F1902"/>
    <w:rsid w:val="000F1AAB"/>
    <w:rsid w:val="000F1C67"/>
    <w:rsid w:val="000F2299"/>
    <w:rsid w:val="000F22C3"/>
    <w:rsid w:val="000F2307"/>
    <w:rsid w:val="000F253E"/>
    <w:rsid w:val="000F2597"/>
    <w:rsid w:val="000F2789"/>
    <w:rsid w:val="000F27C2"/>
    <w:rsid w:val="000F2B53"/>
    <w:rsid w:val="000F2F0A"/>
    <w:rsid w:val="000F2F42"/>
    <w:rsid w:val="000F3041"/>
    <w:rsid w:val="000F311E"/>
    <w:rsid w:val="000F33C5"/>
    <w:rsid w:val="000F33DC"/>
    <w:rsid w:val="000F3558"/>
    <w:rsid w:val="000F3903"/>
    <w:rsid w:val="000F3B4E"/>
    <w:rsid w:val="000F3C0D"/>
    <w:rsid w:val="000F41F6"/>
    <w:rsid w:val="000F423D"/>
    <w:rsid w:val="000F436F"/>
    <w:rsid w:val="000F46D6"/>
    <w:rsid w:val="000F46FA"/>
    <w:rsid w:val="000F4CF4"/>
    <w:rsid w:val="000F4D1A"/>
    <w:rsid w:val="000F4F41"/>
    <w:rsid w:val="000F5471"/>
    <w:rsid w:val="000F5812"/>
    <w:rsid w:val="000F5A9E"/>
    <w:rsid w:val="000F5AF6"/>
    <w:rsid w:val="000F5E98"/>
    <w:rsid w:val="000F6889"/>
    <w:rsid w:val="000F68AE"/>
    <w:rsid w:val="000F68C9"/>
    <w:rsid w:val="000F6A66"/>
    <w:rsid w:val="000F6B19"/>
    <w:rsid w:val="000F6BED"/>
    <w:rsid w:val="000F6E4D"/>
    <w:rsid w:val="000F6E59"/>
    <w:rsid w:val="000F72B3"/>
    <w:rsid w:val="000F72FE"/>
    <w:rsid w:val="000F7300"/>
    <w:rsid w:val="000F768B"/>
    <w:rsid w:val="000F7754"/>
    <w:rsid w:val="000F77A3"/>
    <w:rsid w:val="000F7970"/>
    <w:rsid w:val="000F7A05"/>
    <w:rsid w:val="000F7E65"/>
    <w:rsid w:val="0010064C"/>
    <w:rsid w:val="001008F4"/>
    <w:rsid w:val="00100A25"/>
    <w:rsid w:val="00100CF3"/>
    <w:rsid w:val="00100D5D"/>
    <w:rsid w:val="00100FF7"/>
    <w:rsid w:val="001013F6"/>
    <w:rsid w:val="001018F2"/>
    <w:rsid w:val="001019F3"/>
    <w:rsid w:val="00101B26"/>
    <w:rsid w:val="00101C76"/>
    <w:rsid w:val="00101E75"/>
    <w:rsid w:val="001021C9"/>
    <w:rsid w:val="001022AA"/>
    <w:rsid w:val="00102768"/>
    <w:rsid w:val="00102871"/>
    <w:rsid w:val="00102F25"/>
    <w:rsid w:val="001030A7"/>
    <w:rsid w:val="00103197"/>
    <w:rsid w:val="001032F2"/>
    <w:rsid w:val="001037D7"/>
    <w:rsid w:val="00103BD7"/>
    <w:rsid w:val="00103E35"/>
    <w:rsid w:val="0010405C"/>
    <w:rsid w:val="0010410F"/>
    <w:rsid w:val="001048E0"/>
    <w:rsid w:val="00104A47"/>
    <w:rsid w:val="00104D93"/>
    <w:rsid w:val="00104E59"/>
    <w:rsid w:val="001051B1"/>
    <w:rsid w:val="001052DD"/>
    <w:rsid w:val="001053D7"/>
    <w:rsid w:val="00105431"/>
    <w:rsid w:val="001054F3"/>
    <w:rsid w:val="00105649"/>
    <w:rsid w:val="001056B7"/>
    <w:rsid w:val="001056F3"/>
    <w:rsid w:val="00105F9B"/>
    <w:rsid w:val="00106666"/>
    <w:rsid w:val="001066DE"/>
    <w:rsid w:val="00106712"/>
    <w:rsid w:val="001069ED"/>
    <w:rsid w:val="001069FA"/>
    <w:rsid w:val="00106EC9"/>
    <w:rsid w:val="00106ED5"/>
    <w:rsid w:val="001075E1"/>
    <w:rsid w:val="0010761C"/>
    <w:rsid w:val="00107720"/>
    <w:rsid w:val="00107917"/>
    <w:rsid w:val="00107988"/>
    <w:rsid w:val="00107A30"/>
    <w:rsid w:val="00107C81"/>
    <w:rsid w:val="00107CA5"/>
    <w:rsid w:val="00110002"/>
    <w:rsid w:val="0011020C"/>
    <w:rsid w:val="0011041B"/>
    <w:rsid w:val="00110952"/>
    <w:rsid w:val="0011095E"/>
    <w:rsid w:val="00110AB2"/>
    <w:rsid w:val="00110C4F"/>
    <w:rsid w:val="00110F85"/>
    <w:rsid w:val="00110F86"/>
    <w:rsid w:val="0011106D"/>
    <w:rsid w:val="00111102"/>
    <w:rsid w:val="0011136F"/>
    <w:rsid w:val="001113D0"/>
    <w:rsid w:val="0011146C"/>
    <w:rsid w:val="0011192C"/>
    <w:rsid w:val="001119E7"/>
    <w:rsid w:val="00111A2E"/>
    <w:rsid w:val="00111EFC"/>
    <w:rsid w:val="00111FD9"/>
    <w:rsid w:val="001120C9"/>
    <w:rsid w:val="00112362"/>
    <w:rsid w:val="001124F5"/>
    <w:rsid w:val="001125BE"/>
    <w:rsid w:val="001129B4"/>
    <w:rsid w:val="00112A69"/>
    <w:rsid w:val="00112B09"/>
    <w:rsid w:val="00112E56"/>
    <w:rsid w:val="00112EE9"/>
    <w:rsid w:val="00112F12"/>
    <w:rsid w:val="001130C3"/>
    <w:rsid w:val="00113435"/>
    <w:rsid w:val="001137F5"/>
    <w:rsid w:val="00113863"/>
    <w:rsid w:val="001139FD"/>
    <w:rsid w:val="00113B06"/>
    <w:rsid w:val="00113C30"/>
    <w:rsid w:val="00114050"/>
    <w:rsid w:val="0011429D"/>
    <w:rsid w:val="0011442C"/>
    <w:rsid w:val="001144D4"/>
    <w:rsid w:val="001145F5"/>
    <w:rsid w:val="00114E3C"/>
    <w:rsid w:val="00114EC3"/>
    <w:rsid w:val="00114F52"/>
    <w:rsid w:val="00114F65"/>
    <w:rsid w:val="001151B8"/>
    <w:rsid w:val="001152CB"/>
    <w:rsid w:val="00115365"/>
    <w:rsid w:val="001153F8"/>
    <w:rsid w:val="0011581D"/>
    <w:rsid w:val="00115CE7"/>
    <w:rsid w:val="0011636F"/>
    <w:rsid w:val="001164B6"/>
    <w:rsid w:val="00116B59"/>
    <w:rsid w:val="00116B70"/>
    <w:rsid w:val="00116F40"/>
    <w:rsid w:val="00116F51"/>
    <w:rsid w:val="00116FE7"/>
    <w:rsid w:val="0011722A"/>
    <w:rsid w:val="0011726F"/>
    <w:rsid w:val="001175F4"/>
    <w:rsid w:val="00117A5A"/>
    <w:rsid w:val="00120201"/>
    <w:rsid w:val="001208B5"/>
    <w:rsid w:val="00120941"/>
    <w:rsid w:val="0012156C"/>
    <w:rsid w:val="00121E03"/>
    <w:rsid w:val="00121FA0"/>
    <w:rsid w:val="0012205D"/>
    <w:rsid w:val="001225EA"/>
    <w:rsid w:val="001226B7"/>
    <w:rsid w:val="001228A6"/>
    <w:rsid w:val="001228E5"/>
    <w:rsid w:val="00122A43"/>
    <w:rsid w:val="00122C5C"/>
    <w:rsid w:val="00122CCE"/>
    <w:rsid w:val="00122D41"/>
    <w:rsid w:val="00122E10"/>
    <w:rsid w:val="00123117"/>
    <w:rsid w:val="00123350"/>
    <w:rsid w:val="00123427"/>
    <w:rsid w:val="00123788"/>
    <w:rsid w:val="00123924"/>
    <w:rsid w:val="00123BC2"/>
    <w:rsid w:val="00123E70"/>
    <w:rsid w:val="0012424D"/>
    <w:rsid w:val="00124596"/>
    <w:rsid w:val="00124B0C"/>
    <w:rsid w:val="00124D74"/>
    <w:rsid w:val="00124DE6"/>
    <w:rsid w:val="00124FEB"/>
    <w:rsid w:val="0012564A"/>
    <w:rsid w:val="00125A05"/>
    <w:rsid w:val="00125A0D"/>
    <w:rsid w:val="00125D9B"/>
    <w:rsid w:val="00125F81"/>
    <w:rsid w:val="00126476"/>
    <w:rsid w:val="001264AD"/>
    <w:rsid w:val="001264F6"/>
    <w:rsid w:val="00126535"/>
    <w:rsid w:val="001265B6"/>
    <w:rsid w:val="00126886"/>
    <w:rsid w:val="00126B05"/>
    <w:rsid w:val="00126C68"/>
    <w:rsid w:val="00126E6A"/>
    <w:rsid w:val="00126F34"/>
    <w:rsid w:val="00127241"/>
    <w:rsid w:val="001277C3"/>
    <w:rsid w:val="001278DD"/>
    <w:rsid w:val="00127F4F"/>
    <w:rsid w:val="001302BF"/>
    <w:rsid w:val="00130381"/>
    <w:rsid w:val="001303B2"/>
    <w:rsid w:val="001309DD"/>
    <w:rsid w:val="00130A4F"/>
    <w:rsid w:val="00130A64"/>
    <w:rsid w:val="00130B6D"/>
    <w:rsid w:val="00130C0F"/>
    <w:rsid w:val="00130CBE"/>
    <w:rsid w:val="0013120F"/>
    <w:rsid w:val="00131661"/>
    <w:rsid w:val="00131666"/>
    <w:rsid w:val="001316CE"/>
    <w:rsid w:val="001319CB"/>
    <w:rsid w:val="00131B4B"/>
    <w:rsid w:val="00131BC7"/>
    <w:rsid w:val="00131CC3"/>
    <w:rsid w:val="00131E74"/>
    <w:rsid w:val="001322F8"/>
    <w:rsid w:val="001324D5"/>
    <w:rsid w:val="001326D4"/>
    <w:rsid w:val="00132990"/>
    <w:rsid w:val="00132A11"/>
    <w:rsid w:val="00132AB7"/>
    <w:rsid w:val="00133001"/>
    <w:rsid w:val="00133197"/>
    <w:rsid w:val="00133C03"/>
    <w:rsid w:val="00134060"/>
    <w:rsid w:val="00134153"/>
    <w:rsid w:val="0013421C"/>
    <w:rsid w:val="00134360"/>
    <w:rsid w:val="001343BE"/>
    <w:rsid w:val="001345B8"/>
    <w:rsid w:val="0013481A"/>
    <w:rsid w:val="00134867"/>
    <w:rsid w:val="001349F8"/>
    <w:rsid w:val="00134B3F"/>
    <w:rsid w:val="00134CA0"/>
    <w:rsid w:val="00134EE9"/>
    <w:rsid w:val="0013531C"/>
    <w:rsid w:val="00135576"/>
    <w:rsid w:val="0013567D"/>
    <w:rsid w:val="00135801"/>
    <w:rsid w:val="00135967"/>
    <w:rsid w:val="00135F14"/>
    <w:rsid w:val="00136284"/>
    <w:rsid w:val="0013639D"/>
    <w:rsid w:val="001366B0"/>
    <w:rsid w:val="00136847"/>
    <w:rsid w:val="00136C9A"/>
    <w:rsid w:val="00136DA2"/>
    <w:rsid w:val="00136F6E"/>
    <w:rsid w:val="00137154"/>
    <w:rsid w:val="0013717F"/>
    <w:rsid w:val="0013721C"/>
    <w:rsid w:val="001377CB"/>
    <w:rsid w:val="00137B4F"/>
    <w:rsid w:val="00137CC0"/>
    <w:rsid w:val="00137E17"/>
    <w:rsid w:val="00137E25"/>
    <w:rsid w:val="00137F3D"/>
    <w:rsid w:val="00137F4C"/>
    <w:rsid w:val="0014022A"/>
    <w:rsid w:val="00140266"/>
    <w:rsid w:val="0014087F"/>
    <w:rsid w:val="00140A04"/>
    <w:rsid w:val="00140C66"/>
    <w:rsid w:val="001412D5"/>
    <w:rsid w:val="001414D1"/>
    <w:rsid w:val="00141690"/>
    <w:rsid w:val="001417B6"/>
    <w:rsid w:val="00141915"/>
    <w:rsid w:val="00141A00"/>
    <w:rsid w:val="00141A11"/>
    <w:rsid w:val="00141B4C"/>
    <w:rsid w:val="00141C5F"/>
    <w:rsid w:val="00141D24"/>
    <w:rsid w:val="00141DB9"/>
    <w:rsid w:val="00141DCE"/>
    <w:rsid w:val="001423FA"/>
    <w:rsid w:val="0014255B"/>
    <w:rsid w:val="0014294A"/>
    <w:rsid w:val="001429AA"/>
    <w:rsid w:val="00142A0D"/>
    <w:rsid w:val="00142E6C"/>
    <w:rsid w:val="00142F62"/>
    <w:rsid w:val="00142F9E"/>
    <w:rsid w:val="001431BD"/>
    <w:rsid w:val="00143264"/>
    <w:rsid w:val="001433E4"/>
    <w:rsid w:val="001436C2"/>
    <w:rsid w:val="001436D6"/>
    <w:rsid w:val="00143A89"/>
    <w:rsid w:val="00143D5E"/>
    <w:rsid w:val="0014430B"/>
    <w:rsid w:val="00144312"/>
    <w:rsid w:val="00144F73"/>
    <w:rsid w:val="0014501E"/>
    <w:rsid w:val="0014507B"/>
    <w:rsid w:val="0014528A"/>
    <w:rsid w:val="00145432"/>
    <w:rsid w:val="001455E7"/>
    <w:rsid w:val="001457A9"/>
    <w:rsid w:val="00145952"/>
    <w:rsid w:val="00145A7F"/>
    <w:rsid w:val="00145D2F"/>
    <w:rsid w:val="00145EB0"/>
    <w:rsid w:val="00145FAB"/>
    <w:rsid w:val="00146102"/>
    <w:rsid w:val="0014627F"/>
    <w:rsid w:val="00146BD7"/>
    <w:rsid w:val="00146CA1"/>
    <w:rsid w:val="00146D62"/>
    <w:rsid w:val="00146DDE"/>
    <w:rsid w:val="00146E95"/>
    <w:rsid w:val="00146EC6"/>
    <w:rsid w:val="001471F6"/>
    <w:rsid w:val="001474BD"/>
    <w:rsid w:val="00147651"/>
    <w:rsid w:val="001477DE"/>
    <w:rsid w:val="0014787F"/>
    <w:rsid w:val="0014796F"/>
    <w:rsid w:val="00147C55"/>
    <w:rsid w:val="00147CF2"/>
    <w:rsid w:val="00147D48"/>
    <w:rsid w:val="001500B4"/>
    <w:rsid w:val="001502F5"/>
    <w:rsid w:val="0015035C"/>
    <w:rsid w:val="00150503"/>
    <w:rsid w:val="0015059E"/>
    <w:rsid w:val="001505BD"/>
    <w:rsid w:val="0015060A"/>
    <w:rsid w:val="00150BAF"/>
    <w:rsid w:val="00151260"/>
    <w:rsid w:val="0015196D"/>
    <w:rsid w:val="00151AB0"/>
    <w:rsid w:val="00151BB7"/>
    <w:rsid w:val="00151D5E"/>
    <w:rsid w:val="00151EC8"/>
    <w:rsid w:val="0015249B"/>
    <w:rsid w:val="001525AE"/>
    <w:rsid w:val="001525E5"/>
    <w:rsid w:val="0015260D"/>
    <w:rsid w:val="00152669"/>
    <w:rsid w:val="001529AD"/>
    <w:rsid w:val="00152C6C"/>
    <w:rsid w:val="00152CEF"/>
    <w:rsid w:val="0015321D"/>
    <w:rsid w:val="00153906"/>
    <w:rsid w:val="0015397E"/>
    <w:rsid w:val="00153994"/>
    <w:rsid w:val="00153A25"/>
    <w:rsid w:val="00153B8E"/>
    <w:rsid w:val="00153C0B"/>
    <w:rsid w:val="00154151"/>
    <w:rsid w:val="00154399"/>
    <w:rsid w:val="00154763"/>
    <w:rsid w:val="001549AC"/>
    <w:rsid w:val="00154E7C"/>
    <w:rsid w:val="00155105"/>
    <w:rsid w:val="0015521E"/>
    <w:rsid w:val="001553A6"/>
    <w:rsid w:val="0015575F"/>
    <w:rsid w:val="00155AB2"/>
    <w:rsid w:val="00155E5D"/>
    <w:rsid w:val="00155F4F"/>
    <w:rsid w:val="00156892"/>
    <w:rsid w:val="00156B64"/>
    <w:rsid w:val="00156D91"/>
    <w:rsid w:val="00156ED9"/>
    <w:rsid w:val="001577D4"/>
    <w:rsid w:val="0015781F"/>
    <w:rsid w:val="001578BF"/>
    <w:rsid w:val="001579CC"/>
    <w:rsid w:val="00157A6F"/>
    <w:rsid w:val="00157A86"/>
    <w:rsid w:val="00157D7E"/>
    <w:rsid w:val="001604AE"/>
    <w:rsid w:val="001609EE"/>
    <w:rsid w:val="00160BCA"/>
    <w:rsid w:val="00160D77"/>
    <w:rsid w:val="00160F54"/>
    <w:rsid w:val="001611B4"/>
    <w:rsid w:val="0016169D"/>
    <w:rsid w:val="0016173D"/>
    <w:rsid w:val="0016190C"/>
    <w:rsid w:val="00161DDA"/>
    <w:rsid w:val="001620E8"/>
    <w:rsid w:val="00162158"/>
    <w:rsid w:val="001622B1"/>
    <w:rsid w:val="001624A8"/>
    <w:rsid w:val="0016253D"/>
    <w:rsid w:val="0016318A"/>
    <w:rsid w:val="00163200"/>
    <w:rsid w:val="00163419"/>
    <w:rsid w:val="00163432"/>
    <w:rsid w:val="0016345F"/>
    <w:rsid w:val="001639EF"/>
    <w:rsid w:val="00163AF7"/>
    <w:rsid w:val="0016471A"/>
    <w:rsid w:val="00165120"/>
    <w:rsid w:val="00165582"/>
    <w:rsid w:val="001655A9"/>
    <w:rsid w:val="00165768"/>
    <w:rsid w:val="00165B66"/>
    <w:rsid w:val="00165CF3"/>
    <w:rsid w:val="0016618F"/>
    <w:rsid w:val="001663F1"/>
    <w:rsid w:val="00166441"/>
    <w:rsid w:val="0016669F"/>
    <w:rsid w:val="00166924"/>
    <w:rsid w:val="0016696B"/>
    <w:rsid w:val="001669A4"/>
    <w:rsid w:val="00166AA6"/>
    <w:rsid w:val="00166AC7"/>
    <w:rsid w:val="00166AEA"/>
    <w:rsid w:val="00166B1E"/>
    <w:rsid w:val="00166C26"/>
    <w:rsid w:val="00166D5F"/>
    <w:rsid w:val="00167066"/>
    <w:rsid w:val="001670CE"/>
    <w:rsid w:val="00167487"/>
    <w:rsid w:val="00167531"/>
    <w:rsid w:val="001675E4"/>
    <w:rsid w:val="0016791C"/>
    <w:rsid w:val="00167A7D"/>
    <w:rsid w:val="00167B15"/>
    <w:rsid w:val="00167C4F"/>
    <w:rsid w:val="00167E54"/>
    <w:rsid w:val="0017029E"/>
    <w:rsid w:val="00170312"/>
    <w:rsid w:val="00170369"/>
    <w:rsid w:val="001707A8"/>
    <w:rsid w:val="00170920"/>
    <w:rsid w:val="00170CB9"/>
    <w:rsid w:val="00170DBC"/>
    <w:rsid w:val="001710ED"/>
    <w:rsid w:val="0017125C"/>
    <w:rsid w:val="00171462"/>
    <w:rsid w:val="00171813"/>
    <w:rsid w:val="00171F9C"/>
    <w:rsid w:val="00171FC5"/>
    <w:rsid w:val="001721CC"/>
    <w:rsid w:val="00172332"/>
    <w:rsid w:val="0017287B"/>
    <w:rsid w:val="001729FF"/>
    <w:rsid w:val="00172B20"/>
    <w:rsid w:val="0017301B"/>
    <w:rsid w:val="001730B3"/>
    <w:rsid w:val="001730D3"/>
    <w:rsid w:val="001733A5"/>
    <w:rsid w:val="00174780"/>
    <w:rsid w:val="00174B50"/>
    <w:rsid w:val="00174C74"/>
    <w:rsid w:val="001750E2"/>
    <w:rsid w:val="00175151"/>
    <w:rsid w:val="00175176"/>
    <w:rsid w:val="001752AA"/>
    <w:rsid w:val="001752C9"/>
    <w:rsid w:val="001754A3"/>
    <w:rsid w:val="001754DB"/>
    <w:rsid w:val="00175670"/>
    <w:rsid w:val="00175988"/>
    <w:rsid w:val="00175CD7"/>
    <w:rsid w:val="00175E48"/>
    <w:rsid w:val="00176063"/>
    <w:rsid w:val="00176376"/>
    <w:rsid w:val="0017673C"/>
    <w:rsid w:val="0017695F"/>
    <w:rsid w:val="001772A0"/>
    <w:rsid w:val="001772CB"/>
    <w:rsid w:val="00177760"/>
    <w:rsid w:val="0017779B"/>
    <w:rsid w:val="001778CB"/>
    <w:rsid w:val="00177D16"/>
    <w:rsid w:val="00177E23"/>
    <w:rsid w:val="001801FC"/>
    <w:rsid w:val="001802D8"/>
    <w:rsid w:val="00180342"/>
    <w:rsid w:val="001805C5"/>
    <w:rsid w:val="00180819"/>
    <w:rsid w:val="001809C6"/>
    <w:rsid w:val="00180C28"/>
    <w:rsid w:val="00180F81"/>
    <w:rsid w:val="00181081"/>
    <w:rsid w:val="00181ABE"/>
    <w:rsid w:val="00181C52"/>
    <w:rsid w:val="00182329"/>
    <w:rsid w:val="0018251E"/>
    <w:rsid w:val="00182568"/>
    <w:rsid w:val="001826B8"/>
    <w:rsid w:val="00182792"/>
    <w:rsid w:val="00182854"/>
    <w:rsid w:val="001829AC"/>
    <w:rsid w:val="00182CE6"/>
    <w:rsid w:val="00182D3A"/>
    <w:rsid w:val="001830CF"/>
    <w:rsid w:val="0018356C"/>
    <w:rsid w:val="00183763"/>
    <w:rsid w:val="0018398E"/>
    <w:rsid w:val="00183BC5"/>
    <w:rsid w:val="00183C38"/>
    <w:rsid w:val="00183CAA"/>
    <w:rsid w:val="00183D01"/>
    <w:rsid w:val="00183DC0"/>
    <w:rsid w:val="00183E4B"/>
    <w:rsid w:val="00183EDD"/>
    <w:rsid w:val="00183FA0"/>
    <w:rsid w:val="00183FB1"/>
    <w:rsid w:val="001842B0"/>
    <w:rsid w:val="00184537"/>
    <w:rsid w:val="00184795"/>
    <w:rsid w:val="00184A54"/>
    <w:rsid w:val="001853B1"/>
    <w:rsid w:val="0018555C"/>
    <w:rsid w:val="00185570"/>
    <w:rsid w:val="001855A1"/>
    <w:rsid w:val="00185973"/>
    <w:rsid w:val="00185CB3"/>
    <w:rsid w:val="001863AC"/>
    <w:rsid w:val="001867C2"/>
    <w:rsid w:val="001868E9"/>
    <w:rsid w:val="00186F6F"/>
    <w:rsid w:val="00187251"/>
    <w:rsid w:val="00187573"/>
    <w:rsid w:val="00187A87"/>
    <w:rsid w:val="00187B76"/>
    <w:rsid w:val="00187E1D"/>
    <w:rsid w:val="00187E94"/>
    <w:rsid w:val="00190016"/>
    <w:rsid w:val="00190168"/>
    <w:rsid w:val="00190214"/>
    <w:rsid w:val="00190319"/>
    <w:rsid w:val="0019053E"/>
    <w:rsid w:val="001909F6"/>
    <w:rsid w:val="00190A36"/>
    <w:rsid w:val="00190D8E"/>
    <w:rsid w:val="00190DD3"/>
    <w:rsid w:val="00191113"/>
    <w:rsid w:val="001911AC"/>
    <w:rsid w:val="00191317"/>
    <w:rsid w:val="00191531"/>
    <w:rsid w:val="001917D1"/>
    <w:rsid w:val="00191A06"/>
    <w:rsid w:val="00191B08"/>
    <w:rsid w:val="00191DC5"/>
    <w:rsid w:val="00191E65"/>
    <w:rsid w:val="00191EFF"/>
    <w:rsid w:val="0019219F"/>
    <w:rsid w:val="001921EE"/>
    <w:rsid w:val="001923A6"/>
    <w:rsid w:val="00192732"/>
    <w:rsid w:val="00192816"/>
    <w:rsid w:val="001928E5"/>
    <w:rsid w:val="001928FE"/>
    <w:rsid w:val="00192C2A"/>
    <w:rsid w:val="00192C99"/>
    <w:rsid w:val="00192D4D"/>
    <w:rsid w:val="00192E34"/>
    <w:rsid w:val="0019302D"/>
    <w:rsid w:val="00193077"/>
    <w:rsid w:val="001930F7"/>
    <w:rsid w:val="001933B1"/>
    <w:rsid w:val="00193407"/>
    <w:rsid w:val="0019372F"/>
    <w:rsid w:val="00193734"/>
    <w:rsid w:val="00193CDA"/>
    <w:rsid w:val="00194130"/>
    <w:rsid w:val="0019430F"/>
    <w:rsid w:val="001944D4"/>
    <w:rsid w:val="00194708"/>
    <w:rsid w:val="00194888"/>
    <w:rsid w:val="00194A04"/>
    <w:rsid w:val="00194AF3"/>
    <w:rsid w:val="00194E9D"/>
    <w:rsid w:val="00194EEA"/>
    <w:rsid w:val="00194F6D"/>
    <w:rsid w:val="00194FC9"/>
    <w:rsid w:val="00195074"/>
    <w:rsid w:val="00195109"/>
    <w:rsid w:val="00195197"/>
    <w:rsid w:val="00195290"/>
    <w:rsid w:val="00195343"/>
    <w:rsid w:val="001955A2"/>
    <w:rsid w:val="0019576C"/>
    <w:rsid w:val="0019578B"/>
    <w:rsid w:val="0019595F"/>
    <w:rsid w:val="0019599B"/>
    <w:rsid w:val="00195CEA"/>
    <w:rsid w:val="00195CFE"/>
    <w:rsid w:val="00196401"/>
    <w:rsid w:val="001964EA"/>
    <w:rsid w:val="00196657"/>
    <w:rsid w:val="00196899"/>
    <w:rsid w:val="00196FBA"/>
    <w:rsid w:val="001970A5"/>
    <w:rsid w:val="00197105"/>
    <w:rsid w:val="00197190"/>
    <w:rsid w:val="00197377"/>
    <w:rsid w:val="0019761F"/>
    <w:rsid w:val="00197F24"/>
    <w:rsid w:val="001A020E"/>
    <w:rsid w:val="001A0292"/>
    <w:rsid w:val="001A0AB1"/>
    <w:rsid w:val="001A0ED9"/>
    <w:rsid w:val="001A0F5B"/>
    <w:rsid w:val="001A1906"/>
    <w:rsid w:val="001A19E3"/>
    <w:rsid w:val="001A1C38"/>
    <w:rsid w:val="001A1D22"/>
    <w:rsid w:val="001A229A"/>
    <w:rsid w:val="001A2364"/>
    <w:rsid w:val="001A24FA"/>
    <w:rsid w:val="001A2802"/>
    <w:rsid w:val="001A293F"/>
    <w:rsid w:val="001A2DEC"/>
    <w:rsid w:val="001A33EE"/>
    <w:rsid w:val="001A3794"/>
    <w:rsid w:val="001A518D"/>
    <w:rsid w:val="001A5337"/>
    <w:rsid w:val="001A5991"/>
    <w:rsid w:val="001A5B12"/>
    <w:rsid w:val="001A5E6E"/>
    <w:rsid w:val="001A6004"/>
    <w:rsid w:val="001A6058"/>
    <w:rsid w:val="001A6092"/>
    <w:rsid w:val="001A60FE"/>
    <w:rsid w:val="001A6295"/>
    <w:rsid w:val="001A6333"/>
    <w:rsid w:val="001A6571"/>
    <w:rsid w:val="001A6672"/>
    <w:rsid w:val="001A67D0"/>
    <w:rsid w:val="001A6801"/>
    <w:rsid w:val="001A697B"/>
    <w:rsid w:val="001A6A2E"/>
    <w:rsid w:val="001A6EE6"/>
    <w:rsid w:val="001A6FF9"/>
    <w:rsid w:val="001A70D5"/>
    <w:rsid w:val="001A715E"/>
    <w:rsid w:val="001A76DD"/>
    <w:rsid w:val="001A79C5"/>
    <w:rsid w:val="001AA310"/>
    <w:rsid w:val="001B000F"/>
    <w:rsid w:val="001B0096"/>
    <w:rsid w:val="001B0230"/>
    <w:rsid w:val="001B043D"/>
    <w:rsid w:val="001B0BFC"/>
    <w:rsid w:val="001B0DC4"/>
    <w:rsid w:val="001B0E08"/>
    <w:rsid w:val="001B109F"/>
    <w:rsid w:val="001B142F"/>
    <w:rsid w:val="001B1595"/>
    <w:rsid w:val="001B159C"/>
    <w:rsid w:val="001B1D4A"/>
    <w:rsid w:val="001B1FC4"/>
    <w:rsid w:val="001B1FE9"/>
    <w:rsid w:val="001B21B5"/>
    <w:rsid w:val="001B22B3"/>
    <w:rsid w:val="001B2648"/>
    <w:rsid w:val="001B297A"/>
    <w:rsid w:val="001B3087"/>
    <w:rsid w:val="001B3098"/>
    <w:rsid w:val="001B325C"/>
    <w:rsid w:val="001B329E"/>
    <w:rsid w:val="001B331F"/>
    <w:rsid w:val="001B3693"/>
    <w:rsid w:val="001B3D56"/>
    <w:rsid w:val="001B40D8"/>
    <w:rsid w:val="001B4113"/>
    <w:rsid w:val="001B413B"/>
    <w:rsid w:val="001B427F"/>
    <w:rsid w:val="001B43C6"/>
    <w:rsid w:val="001B4457"/>
    <w:rsid w:val="001B450E"/>
    <w:rsid w:val="001B4696"/>
    <w:rsid w:val="001B4811"/>
    <w:rsid w:val="001B49EF"/>
    <w:rsid w:val="001B4CA4"/>
    <w:rsid w:val="001B5439"/>
    <w:rsid w:val="001B5677"/>
    <w:rsid w:val="001B5913"/>
    <w:rsid w:val="001B59BB"/>
    <w:rsid w:val="001B5BC1"/>
    <w:rsid w:val="001B6272"/>
    <w:rsid w:val="001B65D1"/>
    <w:rsid w:val="001B69D3"/>
    <w:rsid w:val="001B6B98"/>
    <w:rsid w:val="001B6B9A"/>
    <w:rsid w:val="001B6BC7"/>
    <w:rsid w:val="001B6E20"/>
    <w:rsid w:val="001B7120"/>
    <w:rsid w:val="001B7162"/>
    <w:rsid w:val="001B76AA"/>
    <w:rsid w:val="001B7878"/>
    <w:rsid w:val="001B78E6"/>
    <w:rsid w:val="001B794E"/>
    <w:rsid w:val="001B7D49"/>
    <w:rsid w:val="001B7D50"/>
    <w:rsid w:val="001B7E49"/>
    <w:rsid w:val="001B7EAD"/>
    <w:rsid w:val="001B7F41"/>
    <w:rsid w:val="001C0081"/>
    <w:rsid w:val="001C0256"/>
    <w:rsid w:val="001C0312"/>
    <w:rsid w:val="001C06C3"/>
    <w:rsid w:val="001C09DB"/>
    <w:rsid w:val="001C0BF3"/>
    <w:rsid w:val="001C1395"/>
    <w:rsid w:val="001C1406"/>
    <w:rsid w:val="001C16CE"/>
    <w:rsid w:val="001C1764"/>
    <w:rsid w:val="001C18F0"/>
    <w:rsid w:val="001C1E04"/>
    <w:rsid w:val="001C1E84"/>
    <w:rsid w:val="001C2342"/>
    <w:rsid w:val="001C23BE"/>
    <w:rsid w:val="001C2862"/>
    <w:rsid w:val="001C2C72"/>
    <w:rsid w:val="001C3AA9"/>
    <w:rsid w:val="001C3D59"/>
    <w:rsid w:val="001C3DB0"/>
    <w:rsid w:val="001C4075"/>
    <w:rsid w:val="001C409D"/>
    <w:rsid w:val="001C4167"/>
    <w:rsid w:val="001C422B"/>
    <w:rsid w:val="001C426C"/>
    <w:rsid w:val="001C4360"/>
    <w:rsid w:val="001C45A2"/>
    <w:rsid w:val="001C4646"/>
    <w:rsid w:val="001C4864"/>
    <w:rsid w:val="001C4E76"/>
    <w:rsid w:val="001C4ED7"/>
    <w:rsid w:val="001C5671"/>
    <w:rsid w:val="001C56AF"/>
    <w:rsid w:val="001C58D6"/>
    <w:rsid w:val="001C5BAC"/>
    <w:rsid w:val="001C5BB8"/>
    <w:rsid w:val="001C5CF4"/>
    <w:rsid w:val="001C6208"/>
    <w:rsid w:val="001C6249"/>
    <w:rsid w:val="001C65CC"/>
    <w:rsid w:val="001C65DE"/>
    <w:rsid w:val="001C667E"/>
    <w:rsid w:val="001C66B6"/>
    <w:rsid w:val="001C66B7"/>
    <w:rsid w:val="001C673A"/>
    <w:rsid w:val="001C6D9F"/>
    <w:rsid w:val="001C6DC6"/>
    <w:rsid w:val="001C6ECB"/>
    <w:rsid w:val="001C7118"/>
    <w:rsid w:val="001C7359"/>
    <w:rsid w:val="001C742C"/>
    <w:rsid w:val="001C75DB"/>
    <w:rsid w:val="001C7944"/>
    <w:rsid w:val="001C7D8C"/>
    <w:rsid w:val="001C7D92"/>
    <w:rsid w:val="001C7EBB"/>
    <w:rsid w:val="001D0029"/>
    <w:rsid w:val="001D0116"/>
    <w:rsid w:val="001D01A6"/>
    <w:rsid w:val="001D036D"/>
    <w:rsid w:val="001D05A3"/>
    <w:rsid w:val="001D0796"/>
    <w:rsid w:val="001D0C37"/>
    <w:rsid w:val="001D1022"/>
    <w:rsid w:val="001D118C"/>
    <w:rsid w:val="001D12E8"/>
    <w:rsid w:val="001D146A"/>
    <w:rsid w:val="001D148E"/>
    <w:rsid w:val="001D14B2"/>
    <w:rsid w:val="001D1634"/>
    <w:rsid w:val="001D199C"/>
    <w:rsid w:val="001D19F2"/>
    <w:rsid w:val="001D1AAF"/>
    <w:rsid w:val="001D1C7B"/>
    <w:rsid w:val="001D218E"/>
    <w:rsid w:val="001D2207"/>
    <w:rsid w:val="001D2329"/>
    <w:rsid w:val="001D2E02"/>
    <w:rsid w:val="001D3483"/>
    <w:rsid w:val="001D366B"/>
    <w:rsid w:val="001D36CF"/>
    <w:rsid w:val="001D3E26"/>
    <w:rsid w:val="001D4380"/>
    <w:rsid w:val="001D4551"/>
    <w:rsid w:val="001D4573"/>
    <w:rsid w:val="001D4B49"/>
    <w:rsid w:val="001D4DF9"/>
    <w:rsid w:val="001D4F8F"/>
    <w:rsid w:val="001D515B"/>
    <w:rsid w:val="001D5217"/>
    <w:rsid w:val="001D53CC"/>
    <w:rsid w:val="001D55E0"/>
    <w:rsid w:val="001D57A1"/>
    <w:rsid w:val="001D5860"/>
    <w:rsid w:val="001D5A20"/>
    <w:rsid w:val="001D5B57"/>
    <w:rsid w:val="001D5E07"/>
    <w:rsid w:val="001D616E"/>
    <w:rsid w:val="001D6198"/>
    <w:rsid w:val="001D64E9"/>
    <w:rsid w:val="001D6783"/>
    <w:rsid w:val="001D6BA7"/>
    <w:rsid w:val="001D6C06"/>
    <w:rsid w:val="001D6C27"/>
    <w:rsid w:val="001D6F19"/>
    <w:rsid w:val="001D6F76"/>
    <w:rsid w:val="001D737E"/>
    <w:rsid w:val="001D7989"/>
    <w:rsid w:val="001D7DB3"/>
    <w:rsid w:val="001D7E5F"/>
    <w:rsid w:val="001E036C"/>
    <w:rsid w:val="001E0444"/>
    <w:rsid w:val="001E084D"/>
    <w:rsid w:val="001E085D"/>
    <w:rsid w:val="001E0B34"/>
    <w:rsid w:val="001E0CE6"/>
    <w:rsid w:val="001E18E8"/>
    <w:rsid w:val="001E1A24"/>
    <w:rsid w:val="001E1BF4"/>
    <w:rsid w:val="001E1BF7"/>
    <w:rsid w:val="001E1C0E"/>
    <w:rsid w:val="001E1E8F"/>
    <w:rsid w:val="001E1FBD"/>
    <w:rsid w:val="001E20B5"/>
    <w:rsid w:val="001E228A"/>
    <w:rsid w:val="001E2316"/>
    <w:rsid w:val="001E2793"/>
    <w:rsid w:val="001E279E"/>
    <w:rsid w:val="001E2C0F"/>
    <w:rsid w:val="001E370D"/>
    <w:rsid w:val="001E38CA"/>
    <w:rsid w:val="001E39A4"/>
    <w:rsid w:val="001E412E"/>
    <w:rsid w:val="001E428E"/>
    <w:rsid w:val="001E46CB"/>
    <w:rsid w:val="001E47A1"/>
    <w:rsid w:val="001E483B"/>
    <w:rsid w:val="001E48AA"/>
    <w:rsid w:val="001E4C33"/>
    <w:rsid w:val="001E5193"/>
    <w:rsid w:val="001E5218"/>
    <w:rsid w:val="001E5279"/>
    <w:rsid w:val="001E54E6"/>
    <w:rsid w:val="001E56A5"/>
    <w:rsid w:val="001E56E0"/>
    <w:rsid w:val="001E591B"/>
    <w:rsid w:val="001E5F50"/>
    <w:rsid w:val="001E60BD"/>
    <w:rsid w:val="001E66E5"/>
    <w:rsid w:val="001E6877"/>
    <w:rsid w:val="001E68FF"/>
    <w:rsid w:val="001E6B89"/>
    <w:rsid w:val="001E6C37"/>
    <w:rsid w:val="001E6D4C"/>
    <w:rsid w:val="001E6DBF"/>
    <w:rsid w:val="001E6DDA"/>
    <w:rsid w:val="001E7194"/>
    <w:rsid w:val="001E73D1"/>
    <w:rsid w:val="001E74E9"/>
    <w:rsid w:val="001E754F"/>
    <w:rsid w:val="001E780A"/>
    <w:rsid w:val="001E7B2E"/>
    <w:rsid w:val="001E7CCF"/>
    <w:rsid w:val="001E7CF3"/>
    <w:rsid w:val="001E7F82"/>
    <w:rsid w:val="001F0482"/>
    <w:rsid w:val="001F0AE6"/>
    <w:rsid w:val="001F0D05"/>
    <w:rsid w:val="001F0E36"/>
    <w:rsid w:val="001F10D3"/>
    <w:rsid w:val="001F1102"/>
    <w:rsid w:val="001F151F"/>
    <w:rsid w:val="001F1594"/>
    <w:rsid w:val="001F162B"/>
    <w:rsid w:val="001F1C3C"/>
    <w:rsid w:val="001F1D2E"/>
    <w:rsid w:val="001F1D8B"/>
    <w:rsid w:val="001F1EC6"/>
    <w:rsid w:val="001F1F96"/>
    <w:rsid w:val="001F2001"/>
    <w:rsid w:val="001F23C2"/>
    <w:rsid w:val="001F2B49"/>
    <w:rsid w:val="001F2E13"/>
    <w:rsid w:val="001F36B3"/>
    <w:rsid w:val="001F387D"/>
    <w:rsid w:val="001F3F97"/>
    <w:rsid w:val="001F4103"/>
    <w:rsid w:val="001F4117"/>
    <w:rsid w:val="001F436C"/>
    <w:rsid w:val="001F4432"/>
    <w:rsid w:val="001F4798"/>
    <w:rsid w:val="001F4866"/>
    <w:rsid w:val="001F4973"/>
    <w:rsid w:val="001F49FC"/>
    <w:rsid w:val="001F54CF"/>
    <w:rsid w:val="001F558F"/>
    <w:rsid w:val="001F55C2"/>
    <w:rsid w:val="001F5653"/>
    <w:rsid w:val="001F571E"/>
    <w:rsid w:val="001F5A9D"/>
    <w:rsid w:val="001F6663"/>
    <w:rsid w:val="001F6889"/>
    <w:rsid w:val="001F6DCF"/>
    <w:rsid w:val="001F73A9"/>
    <w:rsid w:val="001F73BA"/>
    <w:rsid w:val="001F7694"/>
    <w:rsid w:val="001F7721"/>
    <w:rsid w:val="001F795A"/>
    <w:rsid w:val="001F795E"/>
    <w:rsid w:val="001F7DB6"/>
    <w:rsid w:val="001F7ECE"/>
    <w:rsid w:val="001F7EF6"/>
    <w:rsid w:val="00200007"/>
    <w:rsid w:val="00200165"/>
    <w:rsid w:val="00200AAC"/>
    <w:rsid w:val="00200B15"/>
    <w:rsid w:val="00200DFD"/>
    <w:rsid w:val="00200EC5"/>
    <w:rsid w:val="00200FFE"/>
    <w:rsid w:val="0020103C"/>
    <w:rsid w:val="002011CE"/>
    <w:rsid w:val="00201258"/>
    <w:rsid w:val="002012F8"/>
    <w:rsid w:val="00202012"/>
    <w:rsid w:val="00202099"/>
    <w:rsid w:val="00202D06"/>
    <w:rsid w:val="00202D5D"/>
    <w:rsid w:val="00202E35"/>
    <w:rsid w:val="00202E53"/>
    <w:rsid w:val="00203B2B"/>
    <w:rsid w:val="00203B5D"/>
    <w:rsid w:val="00203B75"/>
    <w:rsid w:val="00203D58"/>
    <w:rsid w:val="00204001"/>
    <w:rsid w:val="00204317"/>
    <w:rsid w:val="00204876"/>
    <w:rsid w:val="002049DA"/>
    <w:rsid w:val="00204A50"/>
    <w:rsid w:val="00204A8C"/>
    <w:rsid w:val="00204DD4"/>
    <w:rsid w:val="00204E52"/>
    <w:rsid w:val="002051C0"/>
    <w:rsid w:val="00205373"/>
    <w:rsid w:val="002055EE"/>
    <w:rsid w:val="0020580D"/>
    <w:rsid w:val="00205857"/>
    <w:rsid w:val="00205A4D"/>
    <w:rsid w:val="00205A97"/>
    <w:rsid w:val="00205B23"/>
    <w:rsid w:val="00205E05"/>
    <w:rsid w:val="00205E29"/>
    <w:rsid w:val="00206140"/>
    <w:rsid w:val="00206306"/>
    <w:rsid w:val="002063A8"/>
    <w:rsid w:val="0020685E"/>
    <w:rsid w:val="002069C5"/>
    <w:rsid w:val="00206DC1"/>
    <w:rsid w:val="00206E0C"/>
    <w:rsid w:val="00206FAE"/>
    <w:rsid w:val="002070A0"/>
    <w:rsid w:val="00207167"/>
    <w:rsid w:val="00207294"/>
    <w:rsid w:val="0020763B"/>
    <w:rsid w:val="00207A25"/>
    <w:rsid w:val="00207E2E"/>
    <w:rsid w:val="00207E71"/>
    <w:rsid w:val="00207FAD"/>
    <w:rsid w:val="002100A8"/>
    <w:rsid w:val="002104ED"/>
    <w:rsid w:val="00210596"/>
    <w:rsid w:val="0021078A"/>
    <w:rsid w:val="00210BF6"/>
    <w:rsid w:val="00210E11"/>
    <w:rsid w:val="00210EB0"/>
    <w:rsid w:val="00210F67"/>
    <w:rsid w:val="002111CD"/>
    <w:rsid w:val="002112EA"/>
    <w:rsid w:val="00211300"/>
    <w:rsid w:val="00211509"/>
    <w:rsid w:val="00211719"/>
    <w:rsid w:val="002118AC"/>
    <w:rsid w:val="002119A3"/>
    <w:rsid w:val="00211AB9"/>
    <w:rsid w:val="00211E4B"/>
    <w:rsid w:val="00212AD5"/>
    <w:rsid w:val="00212B75"/>
    <w:rsid w:val="00212CF3"/>
    <w:rsid w:val="00212DF7"/>
    <w:rsid w:val="00212F2C"/>
    <w:rsid w:val="00213136"/>
    <w:rsid w:val="00213199"/>
    <w:rsid w:val="002135FF"/>
    <w:rsid w:val="002137E0"/>
    <w:rsid w:val="00213811"/>
    <w:rsid w:val="00213899"/>
    <w:rsid w:val="00213D00"/>
    <w:rsid w:val="00213D8B"/>
    <w:rsid w:val="00213D97"/>
    <w:rsid w:val="002140F1"/>
    <w:rsid w:val="00214117"/>
    <w:rsid w:val="0021415D"/>
    <w:rsid w:val="0021419D"/>
    <w:rsid w:val="002142AF"/>
    <w:rsid w:val="002143F3"/>
    <w:rsid w:val="002146C8"/>
    <w:rsid w:val="00214F34"/>
    <w:rsid w:val="002150E8"/>
    <w:rsid w:val="002153EC"/>
    <w:rsid w:val="0021548F"/>
    <w:rsid w:val="002154BD"/>
    <w:rsid w:val="00215F90"/>
    <w:rsid w:val="002161AA"/>
    <w:rsid w:val="00216233"/>
    <w:rsid w:val="0021627B"/>
    <w:rsid w:val="00216431"/>
    <w:rsid w:val="00216549"/>
    <w:rsid w:val="00216590"/>
    <w:rsid w:val="00216791"/>
    <w:rsid w:val="00216C95"/>
    <w:rsid w:val="00217269"/>
    <w:rsid w:val="002175DB"/>
    <w:rsid w:val="00217B82"/>
    <w:rsid w:val="00217CB6"/>
    <w:rsid w:val="00217F67"/>
    <w:rsid w:val="0022020F"/>
    <w:rsid w:val="002205C3"/>
    <w:rsid w:val="002206DF"/>
    <w:rsid w:val="00220793"/>
    <w:rsid w:val="002208BE"/>
    <w:rsid w:val="002209E6"/>
    <w:rsid w:val="00220CEB"/>
    <w:rsid w:val="00220EED"/>
    <w:rsid w:val="002211EC"/>
    <w:rsid w:val="00221337"/>
    <w:rsid w:val="00221398"/>
    <w:rsid w:val="00221881"/>
    <w:rsid w:val="00221B88"/>
    <w:rsid w:val="00221C6A"/>
    <w:rsid w:val="00221E0E"/>
    <w:rsid w:val="00221F3F"/>
    <w:rsid w:val="00221FDA"/>
    <w:rsid w:val="002220F1"/>
    <w:rsid w:val="0022240C"/>
    <w:rsid w:val="00222451"/>
    <w:rsid w:val="00222AE9"/>
    <w:rsid w:val="00222C33"/>
    <w:rsid w:val="00222FAD"/>
    <w:rsid w:val="00222FF0"/>
    <w:rsid w:val="0022326D"/>
    <w:rsid w:val="0022342A"/>
    <w:rsid w:val="002234F7"/>
    <w:rsid w:val="0022358C"/>
    <w:rsid w:val="002237FD"/>
    <w:rsid w:val="00223B6A"/>
    <w:rsid w:val="00223DD5"/>
    <w:rsid w:val="00223E5E"/>
    <w:rsid w:val="00224231"/>
    <w:rsid w:val="002246C6"/>
    <w:rsid w:val="0022472E"/>
    <w:rsid w:val="00224819"/>
    <w:rsid w:val="00224A16"/>
    <w:rsid w:val="00224DA2"/>
    <w:rsid w:val="002250AF"/>
    <w:rsid w:val="0022528E"/>
    <w:rsid w:val="0022537A"/>
    <w:rsid w:val="00225389"/>
    <w:rsid w:val="002254D4"/>
    <w:rsid w:val="0022584F"/>
    <w:rsid w:val="002258A7"/>
    <w:rsid w:val="00225BF2"/>
    <w:rsid w:val="002269BE"/>
    <w:rsid w:val="00226A16"/>
    <w:rsid w:val="00226B55"/>
    <w:rsid w:val="00226BFD"/>
    <w:rsid w:val="00226C43"/>
    <w:rsid w:val="00226DA9"/>
    <w:rsid w:val="00227370"/>
    <w:rsid w:val="00227C18"/>
    <w:rsid w:val="00227D30"/>
    <w:rsid w:val="00227E46"/>
    <w:rsid w:val="0023006C"/>
    <w:rsid w:val="002300B4"/>
    <w:rsid w:val="00230981"/>
    <w:rsid w:val="00230EFB"/>
    <w:rsid w:val="00230F62"/>
    <w:rsid w:val="00231481"/>
    <w:rsid w:val="0023158A"/>
    <w:rsid w:val="00231607"/>
    <w:rsid w:val="002319D1"/>
    <w:rsid w:val="00231B9D"/>
    <w:rsid w:val="00231E41"/>
    <w:rsid w:val="00231E83"/>
    <w:rsid w:val="0023208D"/>
    <w:rsid w:val="00232216"/>
    <w:rsid w:val="002323F0"/>
    <w:rsid w:val="00232571"/>
    <w:rsid w:val="00232D80"/>
    <w:rsid w:val="00233207"/>
    <w:rsid w:val="00233654"/>
    <w:rsid w:val="00233972"/>
    <w:rsid w:val="00234168"/>
    <w:rsid w:val="00234593"/>
    <w:rsid w:val="0023478F"/>
    <w:rsid w:val="00234985"/>
    <w:rsid w:val="00234A1E"/>
    <w:rsid w:val="00234A39"/>
    <w:rsid w:val="00234CB4"/>
    <w:rsid w:val="00234F6E"/>
    <w:rsid w:val="00234FA7"/>
    <w:rsid w:val="002352EA"/>
    <w:rsid w:val="0023542D"/>
    <w:rsid w:val="00235800"/>
    <w:rsid w:val="00235902"/>
    <w:rsid w:val="00235B2E"/>
    <w:rsid w:val="00235E08"/>
    <w:rsid w:val="00235F7C"/>
    <w:rsid w:val="00236008"/>
    <w:rsid w:val="002363FF"/>
    <w:rsid w:val="00236878"/>
    <w:rsid w:val="0023691A"/>
    <w:rsid w:val="00236D04"/>
    <w:rsid w:val="00236E40"/>
    <w:rsid w:val="00237551"/>
    <w:rsid w:val="002376E7"/>
    <w:rsid w:val="00237749"/>
    <w:rsid w:val="00237B32"/>
    <w:rsid w:val="00237BA6"/>
    <w:rsid w:val="00237CC0"/>
    <w:rsid w:val="00237E92"/>
    <w:rsid w:val="00237F4D"/>
    <w:rsid w:val="0024027F"/>
    <w:rsid w:val="00240335"/>
    <w:rsid w:val="002403D4"/>
    <w:rsid w:val="002404E0"/>
    <w:rsid w:val="00240585"/>
    <w:rsid w:val="0024058C"/>
    <w:rsid w:val="002405E3"/>
    <w:rsid w:val="0024070F"/>
    <w:rsid w:val="00240799"/>
    <w:rsid w:val="002407DA"/>
    <w:rsid w:val="00240A80"/>
    <w:rsid w:val="00241023"/>
    <w:rsid w:val="002412E4"/>
    <w:rsid w:val="002415FA"/>
    <w:rsid w:val="002416AD"/>
    <w:rsid w:val="00241813"/>
    <w:rsid w:val="002418AD"/>
    <w:rsid w:val="00241ED9"/>
    <w:rsid w:val="002420E5"/>
    <w:rsid w:val="0024210E"/>
    <w:rsid w:val="00242192"/>
    <w:rsid w:val="002422DF"/>
    <w:rsid w:val="002426B9"/>
    <w:rsid w:val="0024280B"/>
    <w:rsid w:val="00242A87"/>
    <w:rsid w:val="002433F9"/>
    <w:rsid w:val="002438A9"/>
    <w:rsid w:val="002438BF"/>
    <w:rsid w:val="00243B31"/>
    <w:rsid w:val="00243BE7"/>
    <w:rsid w:val="00243D3D"/>
    <w:rsid w:val="00243D4B"/>
    <w:rsid w:val="00244041"/>
    <w:rsid w:val="00244128"/>
    <w:rsid w:val="002443C0"/>
    <w:rsid w:val="002445DA"/>
    <w:rsid w:val="002448EF"/>
    <w:rsid w:val="00244983"/>
    <w:rsid w:val="0024510E"/>
    <w:rsid w:val="00245124"/>
    <w:rsid w:val="0024586C"/>
    <w:rsid w:val="00245988"/>
    <w:rsid w:val="002459E4"/>
    <w:rsid w:val="00245C95"/>
    <w:rsid w:val="0024607D"/>
    <w:rsid w:val="00246139"/>
    <w:rsid w:val="002461DA"/>
    <w:rsid w:val="00246230"/>
    <w:rsid w:val="00246260"/>
    <w:rsid w:val="00246642"/>
    <w:rsid w:val="00246952"/>
    <w:rsid w:val="00246C7A"/>
    <w:rsid w:val="00246D59"/>
    <w:rsid w:val="00246E7A"/>
    <w:rsid w:val="00247016"/>
    <w:rsid w:val="002473C7"/>
    <w:rsid w:val="002474C9"/>
    <w:rsid w:val="0024776F"/>
    <w:rsid w:val="0024779A"/>
    <w:rsid w:val="00247862"/>
    <w:rsid w:val="002478FF"/>
    <w:rsid w:val="00247BD1"/>
    <w:rsid w:val="00247FB9"/>
    <w:rsid w:val="002502E9"/>
    <w:rsid w:val="00250477"/>
    <w:rsid w:val="00250661"/>
    <w:rsid w:val="002507B3"/>
    <w:rsid w:val="00250B35"/>
    <w:rsid w:val="00250B64"/>
    <w:rsid w:val="00250B74"/>
    <w:rsid w:val="00250C3B"/>
    <w:rsid w:val="00250DA2"/>
    <w:rsid w:val="00250E90"/>
    <w:rsid w:val="00250F11"/>
    <w:rsid w:val="00250FB7"/>
    <w:rsid w:val="00251973"/>
    <w:rsid w:val="00251A55"/>
    <w:rsid w:val="00251ADC"/>
    <w:rsid w:val="00251BCA"/>
    <w:rsid w:val="00251DB7"/>
    <w:rsid w:val="00251F2C"/>
    <w:rsid w:val="00252391"/>
    <w:rsid w:val="0025285D"/>
    <w:rsid w:val="00252921"/>
    <w:rsid w:val="00252972"/>
    <w:rsid w:val="00252E51"/>
    <w:rsid w:val="00252F14"/>
    <w:rsid w:val="00252F21"/>
    <w:rsid w:val="00253300"/>
    <w:rsid w:val="002534F3"/>
    <w:rsid w:val="002537BD"/>
    <w:rsid w:val="002539A1"/>
    <w:rsid w:val="00253CCB"/>
    <w:rsid w:val="00253D8D"/>
    <w:rsid w:val="00253DA7"/>
    <w:rsid w:val="00254059"/>
    <w:rsid w:val="002547EF"/>
    <w:rsid w:val="0025488C"/>
    <w:rsid w:val="00254ADD"/>
    <w:rsid w:val="00254B53"/>
    <w:rsid w:val="00254BBB"/>
    <w:rsid w:val="002552C9"/>
    <w:rsid w:val="0025545C"/>
    <w:rsid w:val="00255644"/>
    <w:rsid w:val="002556B7"/>
    <w:rsid w:val="0025581F"/>
    <w:rsid w:val="00255B55"/>
    <w:rsid w:val="00256074"/>
    <w:rsid w:val="00256129"/>
    <w:rsid w:val="00256500"/>
    <w:rsid w:val="00256675"/>
    <w:rsid w:val="002566B2"/>
    <w:rsid w:val="002568BE"/>
    <w:rsid w:val="00256C4A"/>
    <w:rsid w:val="00256DF2"/>
    <w:rsid w:val="002576C5"/>
    <w:rsid w:val="0025791D"/>
    <w:rsid w:val="002579EE"/>
    <w:rsid w:val="00257B82"/>
    <w:rsid w:val="00257CDE"/>
    <w:rsid w:val="00257D13"/>
    <w:rsid w:val="0026005F"/>
    <w:rsid w:val="002600B6"/>
    <w:rsid w:val="0026017B"/>
    <w:rsid w:val="00260687"/>
    <w:rsid w:val="00260844"/>
    <w:rsid w:val="002609FD"/>
    <w:rsid w:val="00260CC8"/>
    <w:rsid w:val="00260CC9"/>
    <w:rsid w:val="00260FB9"/>
    <w:rsid w:val="00261135"/>
    <w:rsid w:val="002617CE"/>
    <w:rsid w:val="00261AC6"/>
    <w:rsid w:val="00261B25"/>
    <w:rsid w:val="00261EBC"/>
    <w:rsid w:val="00261F09"/>
    <w:rsid w:val="00261FCF"/>
    <w:rsid w:val="0026203E"/>
    <w:rsid w:val="00262068"/>
    <w:rsid w:val="002624FA"/>
    <w:rsid w:val="00262640"/>
    <w:rsid w:val="00262D96"/>
    <w:rsid w:val="00262E6D"/>
    <w:rsid w:val="002633D5"/>
    <w:rsid w:val="002639C4"/>
    <w:rsid w:val="00263A06"/>
    <w:rsid w:val="00263CC2"/>
    <w:rsid w:val="0026403C"/>
    <w:rsid w:val="00264270"/>
    <w:rsid w:val="0026455F"/>
    <w:rsid w:val="0026457D"/>
    <w:rsid w:val="00264781"/>
    <w:rsid w:val="0026488F"/>
    <w:rsid w:val="002649D8"/>
    <w:rsid w:val="00264EEA"/>
    <w:rsid w:val="00264FB4"/>
    <w:rsid w:val="00265617"/>
    <w:rsid w:val="00265727"/>
    <w:rsid w:val="0026597C"/>
    <w:rsid w:val="00265D7C"/>
    <w:rsid w:val="00266305"/>
    <w:rsid w:val="00266328"/>
    <w:rsid w:val="002663B8"/>
    <w:rsid w:val="00266526"/>
    <w:rsid w:val="0026678C"/>
    <w:rsid w:val="002669E0"/>
    <w:rsid w:val="00267173"/>
    <w:rsid w:val="00267285"/>
    <w:rsid w:val="00267416"/>
    <w:rsid w:val="0026747A"/>
    <w:rsid w:val="002674FD"/>
    <w:rsid w:val="00267739"/>
    <w:rsid w:val="00267808"/>
    <w:rsid w:val="00267820"/>
    <w:rsid w:val="00267897"/>
    <w:rsid w:val="00267B78"/>
    <w:rsid w:val="00267BD2"/>
    <w:rsid w:val="00270150"/>
    <w:rsid w:val="002701EB"/>
    <w:rsid w:val="00270847"/>
    <w:rsid w:val="00270959"/>
    <w:rsid w:val="00270DCC"/>
    <w:rsid w:val="00270E36"/>
    <w:rsid w:val="00271537"/>
    <w:rsid w:val="002715CE"/>
    <w:rsid w:val="002719D0"/>
    <w:rsid w:val="00271E65"/>
    <w:rsid w:val="00272295"/>
    <w:rsid w:val="00272915"/>
    <w:rsid w:val="00272936"/>
    <w:rsid w:val="002729B6"/>
    <w:rsid w:val="00272B4B"/>
    <w:rsid w:val="00272BB1"/>
    <w:rsid w:val="00272DB6"/>
    <w:rsid w:val="00273020"/>
    <w:rsid w:val="0027307A"/>
    <w:rsid w:val="00273139"/>
    <w:rsid w:val="00273193"/>
    <w:rsid w:val="0027331A"/>
    <w:rsid w:val="002733CA"/>
    <w:rsid w:val="002733EA"/>
    <w:rsid w:val="0027352C"/>
    <w:rsid w:val="0027356A"/>
    <w:rsid w:val="0027385C"/>
    <w:rsid w:val="002738DC"/>
    <w:rsid w:val="002739A0"/>
    <w:rsid w:val="00273BBA"/>
    <w:rsid w:val="00273D1A"/>
    <w:rsid w:val="00273FDE"/>
    <w:rsid w:val="0027431D"/>
    <w:rsid w:val="002745BC"/>
    <w:rsid w:val="002746BF"/>
    <w:rsid w:val="00274795"/>
    <w:rsid w:val="00274818"/>
    <w:rsid w:val="00274980"/>
    <w:rsid w:val="00274EE5"/>
    <w:rsid w:val="00274EF1"/>
    <w:rsid w:val="002750A0"/>
    <w:rsid w:val="00275134"/>
    <w:rsid w:val="002753F2"/>
    <w:rsid w:val="00275509"/>
    <w:rsid w:val="00275C01"/>
    <w:rsid w:val="002763F1"/>
    <w:rsid w:val="00276DF2"/>
    <w:rsid w:val="00276E7F"/>
    <w:rsid w:val="00276F54"/>
    <w:rsid w:val="00276FB1"/>
    <w:rsid w:val="002771A5"/>
    <w:rsid w:val="002773DF"/>
    <w:rsid w:val="00277740"/>
    <w:rsid w:val="002777F9"/>
    <w:rsid w:val="002779AB"/>
    <w:rsid w:val="00277A1A"/>
    <w:rsid w:val="00277FE9"/>
    <w:rsid w:val="0027DAD1"/>
    <w:rsid w:val="0028012A"/>
    <w:rsid w:val="0028047B"/>
    <w:rsid w:val="002804A3"/>
    <w:rsid w:val="00280640"/>
    <w:rsid w:val="00280AD7"/>
    <w:rsid w:val="00280B67"/>
    <w:rsid w:val="00280E4A"/>
    <w:rsid w:val="0028110C"/>
    <w:rsid w:val="0028130B"/>
    <w:rsid w:val="00281326"/>
    <w:rsid w:val="00281672"/>
    <w:rsid w:val="002818AC"/>
    <w:rsid w:val="00281B69"/>
    <w:rsid w:val="00281E9E"/>
    <w:rsid w:val="00281F87"/>
    <w:rsid w:val="002821A4"/>
    <w:rsid w:val="002822A9"/>
    <w:rsid w:val="0028235E"/>
    <w:rsid w:val="0028238C"/>
    <w:rsid w:val="002823A5"/>
    <w:rsid w:val="0028283B"/>
    <w:rsid w:val="002828EC"/>
    <w:rsid w:val="00282968"/>
    <w:rsid w:val="00282EA8"/>
    <w:rsid w:val="00282F13"/>
    <w:rsid w:val="002832C8"/>
    <w:rsid w:val="00283958"/>
    <w:rsid w:val="00283B43"/>
    <w:rsid w:val="00283D3E"/>
    <w:rsid w:val="00284639"/>
    <w:rsid w:val="002847A5"/>
    <w:rsid w:val="00284921"/>
    <w:rsid w:val="00284954"/>
    <w:rsid w:val="00284AB6"/>
    <w:rsid w:val="00284B79"/>
    <w:rsid w:val="00284BAA"/>
    <w:rsid w:val="00284F32"/>
    <w:rsid w:val="00284FCA"/>
    <w:rsid w:val="00285415"/>
    <w:rsid w:val="0028550C"/>
    <w:rsid w:val="002855E6"/>
    <w:rsid w:val="00285753"/>
    <w:rsid w:val="002857A6"/>
    <w:rsid w:val="0028592C"/>
    <w:rsid w:val="00285ACE"/>
    <w:rsid w:val="00285AEC"/>
    <w:rsid w:val="00285B51"/>
    <w:rsid w:val="00285E77"/>
    <w:rsid w:val="00286169"/>
    <w:rsid w:val="00286253"/>
    <w:rsid w:val="00286CF4"/>
    <w:rsid w:val="002870FA"/>
    <w:rsid w:val="00287126"/>
    <w:rsid w:val="00287198"/>
    <w:rsid w:val="002872AE"/>
    <w:rsid w:val="00287592"/>
    <w:rsid w:val="0028763C"/>
    <w:rsid w:val="00287B3C"/>
    <w:rsid w:val="00287B78"/>
    <w:rsid w:val="00287EEF"/>
    <w:rsid w:val="00287FA4"/>
    <w:rsid w:val="00290650"/>
    <w:rsid w:val="002907DD"/>
    <w:rsid w:val="00290850"/>
    <w:rsid w:val="00290F31"/>
    <w:rsid w:val="00290FF2"/>
    <w:rsid w:val="0029114E"/>
    <w:rsid w:val="0029118F"/>
    <w:rsid w:val="00291342"/>
    <w:rsid w:val="00291495"/>
    <w:rsid w:val="002915BB"/>
    <w:rsid w:val="00291848"/>
    <w:rsid w:val="00291A7F"/>
    <w:rsid w:val="00291D5B"/>
    <w:rsid w:val="00292078"/>
    <w:rsid w:val="002924DD"/>
    <w:rsid w:val="00292999"/>
    <w:rsid w:val="00292A18"/>
    <w:rsid w:val="00292B27"/>
    <w:rsid w:val="00292BBE"/>
    <w:rsid w:val="00292E55"/>
    <w:rsid w:val="00293429"/>
    <w:rsid w:val="00293506"/>
    <w:rsid w:val="002937D1"/>
    <w:rsid w:val="00293838"/>
    <w:rsid w:val="0029387C"/>
    <w:rsid w:val="0029388B"/>
    <w:rsid w:val="002939CD"/>
    <w:rsid w:val="002939CE"/>
    <w:rsid w:val="002939FF"/>
    <w:rsid w:val="00293B47"/>
    <w:rsid w:val="00293D25"/>
    <w:rsid w:val="00293E57"/>
    <w:rsid w:val="00294105"/>
    <w:rsid w:val="002942AB"/>
    <w:rsid w:val="0029443E"/>
    <w:rsid w:val="00294630"/>
    <w:rsid w:val="00294BEA"/>
    <w:rsid w:val="00294DD5"/>
    <w:rsid w:val="00294EB9"/>
    <w:rsid w:val="00294FD4"/>
    <w:rsid w:val="0029513B"/>
    <w:rsid w:val="0029551D"/>
    <w:rsid w:val="0029568A"/>
    <w:rsid w:val="0029599A"/>
    <w:rsid w:val="00295E60"/>
    <w:rsid w:val="00295E8D"/>
    <w:rsid w:val="0029617A"/>
    <w:rsid w:val="002962E9"/>
    <w:rsid w:val="00296422"/>
    <w:rsid w:val="002964FB"/>
    <w:rsid w:val="002968AE"/>
    <w:rsid w:val="00296CC4"/>
    <w:rsid w:val="00297240"/>
    <w:rsid w:val="00297510"/>
    <w:rsid w:val="0029756A"/>
    <w:rsid w:val="002975D6"/>
    <w:rsid w:val="00297ADC"/>
    <w:rsid w:val="00297D22"/>
    <w:rsid w:val="00297F48"/>
    <w:rsid w:val="00297FCE"/>
    <w:rsid w:val="002A0266"/>
    <w:rsid w:val="002A0377"/>
    <w:rsid w:val="002A0409"/>
    <w:rsid w:val="002A0818"/>
    <w:rsid w:val="002A0A3B"/>
    <w:rsid w:val="002A0CE3"/>
    <w:rsid w:val="002A0F4E"/>
    <w:rsid w:val="002A0F96"/>
    <w:rsid w:val="002A1412"/>
    <w:rsid w:val="002A199A"/>
    <w:rsid w:val="002A1A32"/>
    <w:rsid w:val="002A1A6B"/>
    <w:rsid w:val="002A1C9F"/>
    <w:rsid w:val="002A1DDF"/>
    <w:rsid w:val="002A1E39"/>
    <w:rsid w:val="002A204B"/>
    <w:rsid w:val="002A2204"/>
    <w:rsid w:val="002A28B0"/>
    <w:rsid w:val="002A2963"/>
    <w:rsid w:val="002A2C4D"/>
    <w:rsid w:val="002A3070"/>
    <w:rsid w:val="002A337B"/>
    <w:rsid w:val="002A38C5"/>
    <w:rsid w:val="002A3A92"/>
    <w:rsid w:val="002A3C08"/>
    <w:rsid w:val="002A3C19"/>
    <w:rsid w:val="002A4209"/>
    <w:rsid w:val="002A4265"/>
    <w:rsid w:val="002A432E"/>
    <w:rsid w:val="002A463A"/>
    <w:rsid w:val="002A471B"/>
    <w:rsid w:val="002A486B"/>
    <w:rsid w:val="002A4B49"/>
    <w:rsid w:val="002A4BB0"/>
    <w:rsid w:val="002A4DCA"/>
    <w:rsid w:val="002A5075"/>
    <w:rsid w:val="002A527F"/>
    <w:rsid w:val="002A541F"/>
    <w:rsid w:val="002A5496"/>
    <w:rsid w:val="002A54A5"/>
    <w:rsid w:val="002A552D"/>
    <w:rsid w:val="002A5746"/>
    <w:rsid w:val="002A588D"/>
    <w:rsid w:val="002A5A22"/>
    <w:rsid w:val="002A5F9D"/>
    <w:rsid w:val="002A6241"/>
    <w:rsid w:val="002A668B"/>
    <w:rsid w:val="002A69D4"/>
    <w:rsid w:val="002A6A35"/>
    <w:rsid w:val="002A6BDF"/>
    <w:rsid w:val="002A6E28"/>
    <w:rsid w:val="002A7189"/>
    <w:rsid w:val="002A71FA"/>
    <w:rsid w:val="002A7208"/>
    <w:rsid w:val="002A769F"/>
    <w:rsid w:val="002A7726"/>
    <w:rsid w:val="002A782C"/>
    <w:rsid w:val="002A7911"/>
    <w:rsid w:val="002A7938"/>
    <w:rsid w:val="002A795D"/>
    <w:rsid w:val="002A7A2E"/>
    <w:rsid w:val="002A7C09"/>
    <w:rsid w:val="002A7D39"/>
    <w:rsid w:val="002A7E99"/>
    <w:rsid w:val="002B03E0"/>
    <w:rsid w:val="002B03EC"/>
    <w:rsid w:val="002B0567"/>
    <w:rsid w:val="002B0851"/>
    <w:rsid w:val="002B0943"/>
    <w:rsid w:val="002B09B4"/>
    <w:rsid w:val="002B0AB6"/>
    <w:rsid w:val="002B0C0C"/>
    <w:rsid w:val="002B0CB7"/>
    <w:rsid w:val="002B0E61"/>
    <w:rsid w:val="002B0EBB"/>
    <w:rsid w:val="002B0F11"/>
    <w:rsid w:val="002B1070"/>
    <w:rsid w:val="002B144E"/>
    <w:rsid w:val="002B1457"/>
    <w:rsid w:val="002B1731"/>
    <w:rsid w:val="002B1853"/>
    <w:rsid w:val="002B198A"/>
    <w:rsid w:val="002B1A7C"/>
    <w:rsid w:val="002B1C08"/>
    <w:rsid w:val="002B1F86"/>
    <w:rsid w:val="002B1F8A"/>
    <w:rsid w:val="002B2151"/>
    <w:rsid w:val="002B21B3"/>
    <w:rsid w:val="002B2362"/>
    <w:rsid w:val="002B23D6"/>
    <w:rsid w:val="002B258C"/>
    <w:rsid w:val="002B2DAB"/>
    <w:rsid w:val="002B2E68"/>
    <w:rsid w:val="002B3006"/>
    <w:rsid w:val="002B3122"/>
    <w:rsid w:val="002B314A"/>
    <w:rsid w:val="002B3232"/>
    <w:rsid w:val="002B3668"/>
    <w:rsid w:val="002B3739"/>
    <w:rsid w:val="002B37AA"/>
    <w:rsid w:val="002B37DB"/>
    <w:rsid w:val="002B3827"/>
    <w:rsid w:val="002B39DE"/>
    <w:rsid w:val="002B3BF0"/>
    <w:rsid w:val="002B3D32"/>
    <w:rsid w:val="002B3F93"/>
    <w:rsid w:val="002B40F9"/>
    <w:rsid w:val="002B41D7"/>
    <w:rsid w:val="002B4447"/>
    <w:rsid w:val="002B4536"/>
    <w:rsid w:val="002B471A"/>
    <w:rsid w:val="002B49F8"/>
    <w:rsid w:val="002B5247"/>
    <w:rsid w:val="002B58A3"/>
    <w:rsid w:val="002B5B93"/>
    <w:rsid w:val="002B5C58"/>
    <w:rsid w:val="002B5FD7"/>
    <w:rsid w:val="002B6070"/>
    <w:rsid w:val="002B61E0"/>
    <w:rsid w:val="002B6265"/>
    <w:rsid w:val="002B627B"/>
    <w:rsid w:val="002B6350"/>
    <w:rsid w:val="002B639B"/>
    <w:rsid w:val="002B64CB"/>
    <w:rsid w:val="002B6D85"/>
    <w:rsid w:val="002B6E13"/>
    <w:rsid w:val="002B7140"/>
    <w:rsid w:val="002B7521"/>
    <w:rsid w:val="002B756E"/>
    <w:rsid w:val="002B7652"/>
    <w:rsid w:val="002B77C1"/>
    <w:rsid w:val="002B7A2A"/>
    <w:rsid w:val="002C0075"/>
    <w:rsid w:val="002C028B"/>
    <w:rsid w:val="002C05D0"/>
    <w:rsid w:val="002C089E"/>
    <w:rsid w:val="002C0D17"/>
    <w:rsid w:val="002C0D4F"/>
    <w:rsid w:val="002C0EE6"/>
    <w:rsid w:val="002C1001"/>
    <w:rsid w:val="002C14D4"/>
    <w:rsid w:val="002C1627"/>
    <w:rsid w:val="002C16B1"/>
    <w:rsid w:val="002C1AAF"/>
    <w:rsid w:val="002C1B91"/>
    <w:rsid w:val="002C206D"/>
    <w:rsid w:val="002C2557"/>
    <w:rsid w:val="002C2576"/>
    <w:rsid w:val="002C264D"/>
    <w:rsid w:val="002C272F"/>
    <w:rsid w:val="002C2BFA"/>
    <w:rsid w:val="002C2D0F"/>
    <w:rsid w:val="002C2D5E"/>
    <w:rsid w:val="002C31E5"/>
    <w:rsid w:val="002C3430"/>
    <w:rsid w:val="002C39F2"/>
    <w:rsid w:val="002C3B7D"/>
    <w:rsid w:val="002C3D04"/>
    <w:rsid w:val="002C3DFB"/>
    <w:rsid w:val="002C45C2"/>
    <w:rsid w:val="002C4690"/>
    <w:rsid w:val="002C4782"/>
    <w:rsid w:val="002C47D2"/>
    <w:rsid w:val="002C4CC5"/>
    <w:rsid w:val="002C4E07"/>
    <w:rsid w:val="002C508A"/>
    <w:rsid w:val="002C5261"/>
    <w:rsid w:val="002C52B5"/>
    <w:rsid w:val="002C5662"/>
    <w:rsid w:val="002C59E3"/>
    <w:rsid w:val="002C6276"/>
    <w:rsid w:val="002C68F0"/>
    <w:rsid w:val="002C70F7"/>
    <w:rsid w:val="002C7281"/>
    <w:rsid w:val="002C761E"/>
    <w:rsid w:val="002C7B65"/>
    <w:rsid w:val="002C7F8D"/>
    <w:rsid w:val="002D02B0"/>
    <w:rsid w:val="002D0352"/>
    <w:rsid w:val="002D0400"/>
    <w:rsid w:val="002D042B"/>
    <w:rsid w:val="002D0938"/>
    <w:rsid w:val="002D097A"/>
    <w:rsid w:val="002D0ACC"/>
    <w:rsid w:val="002D111E"/>
    <w:rsid w:val="002D125B"/>
    <w:rsid w:val="002D1395"/>
    <w:rsid w:val="002D153D"/>
    <w:rsid w:val="002D1876"/>
    <w:rsid w:val="002D196C"/>
    <w:rsid w:val="002D1A68"/>
    <w:rsid w:val="002D1B6F"/>
    <w:rsid w:val="002D1E71"/>
    <w:rsid w:val="002D1E97"/>
    <w:rsid w:val="002D224D"/>
    <w:rsid w:val="002D269B"/>
    <w:rsid w:val="002D272F"/>
    <w:rsid w:val="002D28AC"/>
    <w:rsid w:val="002D290B"/>
    <w:rsid w:val="002D306D"/>
    <w:rsid w:val="002D331A"/>
    <w:rsid w:val="002D3697"/>
    <w:rsid w:val="002D3798"/>
    <w:rsid w:val="002D3989"/>
    <w:rsid w:val="002D3C7A"/>
    <w:rsid w:val="002D4004"/>
    <w:rsid w:val="002D4015"/>
    <w:rsid w:val="002D481C"/>
    <w:rsid w:val="002D4D0E"/>
    <w:rsid w:val="002D5054"/>
    <w:rsid w:val="002D520C"/>
    <w:rsid w:val="002D550C"/>
    <w:rsid w:val="002D57CC"/>
    <w:rsid w:val="002D57FD"/>
    <w:rsid w:val="002D585A"/>
    <w:rsid w:val="002D590A"/>
    <w:rsid w:val="002D5D01"/>
    <w:rsid w:val="002D649D"/>
    <w:rsid w:val="002D66B8"/>
    <w:rsid w:val="002D686F"/>
    <w:rsid w:val="002D6A60"/>
    <w:rsid w:val="002D6B19"/>
    <w:rsid w:val="002D6B87"/>
    <w:rsid w:val="002D6F8C"/>
    <w:rsid w:val="002D727E"/>
    <w:rsid w:val="002D7C88"/>
    <w:rsid w:val="002E0202"/>
    <w:rsid w:val="002E03BC"/>
    <w:rsid w:val="002E04B1"/>
    <w:rsid w:val="002E055F"/>
    <w:rsid w:val="002E0CC1"/>
    <w:rsid w:val="002E0D98"/>
    <w:rsid w:val="002E0DA8"/>
    <w:rsid w:val="002E0F51"/>
    <w:rsid w:val="002E1315"/>
    <w:rsid w:val="002E1611"/>
    <w:rsid w:val="002E162A"/>
    <w:rsid w:val="002E1704"/>
    <w:rsid w:val="002E171A"/>
    <w:rsid w:val="002E1848"/>
    <w:rsid w:val="002E1C62"/>
    <w:rsid w:val="002E1E0B"/>
    <w:rsid w:val="002E1E5D"/>
    <w:rsid w:val="002E2C89"/>
    <w:rsid w:val="002E2CD2"/>
    <w:rsid w:val="002E2EEE"/>
    <w:rsid w:val="002E3482"/>
    <w:rsid w:val="002E37E1"/>
    <w:rsid w:val="002E3800"/>
    <w:rsid w:val="002E3891"/>
    <w:rsid w:val="002E3B72"/>
    <w:rsid w:val="002E3E18"/>
    <w:rsid w:val="002E3E62"/>
    <w:rsid w:val="002E3F6E"/>
    <w:rsid w:val="002E42E2"/>
    <w:rsid w:val="002E44F6"/>
    <w:rsid w:val="002E4BA3"/>
    <w:rsid w:val="002E501B"/>
    <w:rsid w:val="002E5539"/>
    <w:rsid w:val="002E57C3"/>
    <w:rsid w:val="002E5838"/>
    <w:rsid w:val="002E58D9"/>
    <w:rsid w:val="002E59CE"/>
    <w:rsid w:val="002E5DDC"/>
    <w:rsid w:val="002E5DF0"/>
    <w:rsid w:val="002E5EA6"/>
    <w:rsid w:val="002E60EF"/>
    <w:rsid w:val="002E62C7"/>
    <w:rsid w:val="002E6979"/>
    <w:rsid w:val="002E6A6A"/>
    <w:rsid w:val="002E6BA9"/>
    <w:rsid w:val="002E6F1F"/>
    <w:rsid w:val="002E737B"/>
    <w:rsid w:val="002E75BA"/>
    <w:rsid w:val="002E77AE"/>
    <w:rsid w:val="002E77EE"/>
    <w:rsid w:val="002E7902"/>
    <w:rsid w:val="002F00BC"/>
    <w:rsid w:val="002F01D8"/>
    <w:rsid w:val="002F0696"/>
    <w:rsid w:val="002F0BEA"/>
    <w:rsid w:val="002F0CB9"/>
    <w:rsid w:val="002F0D57"/>
    <w:rsid w:val="002F136C"/>
    <w:rsid w:val="002F157E"/>
    <w:rsid w:val="002F17AE"/>
    <w:rsid w:val="002F1D04"/>
    <w:rsid w:val="002F1DC6"/>
    <w:rsid w:val="002F2C7E"/>
    <w:rsid w:val="002F2ED1"/>
    <w:rsid w:val="002F3026"/>
    <w:rsid w:val="002F31A6"/>
    <w:rsid w:val="002F3271"/>
    <w:rsid w:val="002F3767"/>
    <w:rsid w:val="002F3816"/>
    <w:rsid w:val="002F3965"/>
    <w:rsid w:val="002F3C05"/>
    <w:rsid w:val="002F3D0A"/>
    <w:rsid w:val="002F3E02"/>
    <w:rsid w:val="002F3ECA"/>
    <w:rsid w:val="002F4550"/>
    <w:rsid w:val="002F4C57"/>
    <w:rsid w:val="002F4D94"/>
    <w:rsid w:val="002F504A"/>
    <w:rsid w:val="002F5190"/>
    <w:rsid w:val="002F5204"/>
    <w:rsid w:val="002F524D"/>
    <w:rsid w:val="002F5269"/>
    <w:rsid w:val="002F54D4"/>
    <w:rsid w:val="002F5D59"/>
    <w:rsid w:val="002F5DAC"/>
    <w:rsid w:val="002F5FDC"/>
    <w:rsid w:val="002F5FF1"/>
    <w:rsid w:val="002F6000"/>
    <w:rsid w:val="002F60AC"/>
    <w:rsid w:val="002F6102"/>
    <w:rsid w:val="002F6124"/>
    <w:rsid w:val="002F664A"/>
    <w:rsid w:val="002F6733"/>
    <w:rsid w:val="002F678D"/>
    <w:rsid w:val="002F67D4"/>
    <w:rsid w:val="002F6AC6"/>
    <w:rsid w:val="002F6CA5"/>
    <w:rsid w:val="002F6E2E"/>
    <w:rsid w:val="002F6EE9"/>
    <w:rsid w:val="002F6F72"/>
    <w:rsid w:val="002F6FB3"/>
    <w:rsid w:val="002F70ED"/>
    <w:rsid w:val="002F71DC"/>
    <w:rsid w:val="002F7248"/>
    <w:rsid w:val="002F7464"/>
    <w:rsid w:val="002F7647"/>
    <w:rsid w:val="002F7952"/>
    <w:rsid w:val="002F7957"/>
    <w:rsid w:val="002F7BAB"/>
    <w:rsid w:val="002F7ECA"/>
    <w:rsid w:val="0030010D"/>
    <w:rsid w:val="00300190"/>
    <w:rsid w:val="00300236"/>
    <w:rsid w:val="003002A2"/>
    <w:rsid w:val="00300313"/>
    <w:rsid w:val="003006EC"/>
    <w:rsid w:val="00300770"/>
    <w:rsid w:val="00300883"/>
    <w:rsid w:val="003009DD"/>
    <w:rsid w:val="00300A67"/>
    <w:rsid w:val="003010E0"/>
    <w:rsid w:val="003012D2"/>
    <w:rsid w:val="0030167E"/>
    <w:rsid w:val="003016B9"/>
    <w:rsid w:val="003017FE"/>
    <w:rsid w:val="0030187A"/>
    <w:rsid w:val="00301F4C"/>
    <w:rsid w:val="00302189"/>
    <w:rsid w:val="003024BC"/>
    <w:rsid w:val="00302535"/>
    <w:rsid w:val="003026BD"/>
    <w:rsid w:val="003029A8"/>
    <w:rsid w:val="00302B88"/>
    <w:rsid w:val="00302D8C"/>
    <w:rsid w:val="0030301D"/>
    <w:rsid w:val="003033FD"/>
    <w:rsid w:val="00303407"/>
    <w:rsid w:val="0030346C"/>
    <w:rsid w:val="0030379A"/>
    <w:rsid w:val="00303817"/>
    <w:rsid w:val="003038CC"/>
    <w:rsid w:val="00303AE4"/>
    <w:rsid w:val="003044BE"/>
    <w:rsid w:val="0030480B"/>
    <w:rsid w:val="00304CF4"/>
    <w:rsid w:val="00304D42"/>
    <w:rsid w:val="003051AB"/>
    <w:rsid w:val="00305457"/>
    <w:rsid w:val="00305648"/>
    <w:rsid w:val="003059A3"/>
    <w:rsid w:val="00305B22"/>
    <w:rsid w:val="00305B29"/>
    <w:rsid w:val="003060A6"/>
    <w:rsid w:val="003063C9"/>
    <w:rsid w:val="003066D7"/>
    <w:rsid w:val="00306B11"/>
    <w:rsid w:val="00306E1E"/>
    <w:rsid w:val="0030728A"/>
    <w:rsid w:val="003072A1"/>
    <w:rsid w:val="00307832"/>
    <w:rsid w:val="003078B8"/>
    <w:rsid w:val="00307A86"/>
    <w:rsid w:val="003102CC"/>
    <w:rsid w:val="0031041D"/>
    <w:rsid w:val="003108B6"/>
    <w:rsid w:val="0031090C"/>
    <w:rsid w:val="00310995"/>
    <w:rsid w:val="00310FEF"/>
    <w:rsid w:val="003110E7"/>
    <w:rsid w:val="00311169"/>
    <w:rsid w:val="00311457"/>
    <w:rsid w:val="0031157B"/>
    <w:rsid w:val="003115AB"/>
    <w:rsid w:val="00311962"/>
    <w:rsid w:val="00311A5C"/>
    <w:rsid w:val="00311B1A"/>
    <w:rsid w:val="00311D4A"/>
    <w:rsid w:val="00311DC7"/>
    <w:rsid w:val="00311E47"/>
    <w:rsid w:val="00311EED"/>
    <w:rsid w:val="00311EF7"/>
    <w:rsid w:val="00311F93"/>
    <w:rsid w:val="0031206F"/>
    <w:rsid w:val="00312161"/>
    <w:rsid w:val="0031228B"/>
    <w:rsid w:val="003126A3"/>
    <w:rsid w:val="0031276C"/>
    <w:rsid w:val="003129AE"/>
    <w:rsid w:val="00312AB4"/>
    <w:rsid w:val="00312C02"/>
    <w:rsid w:val="00312CD1"/>
    <w:rsid w:val="00312E06"/>
    <w:rsid w:val="00312E61"/>
    <w:rsid w:val="00313396"/>
    <w:rsid w:val="00313C5B"/>
    <w:rsid w:val="00313CDB"/>
    <w:rsid w:val="00313D00"/>
    <w:rsid w:val="00313FC1"/>
    <w:rsid w:val="003146F9"/>
    <w:rsid w:val="00314936"/>
    <w:rsid w:val="003149CB"/>
    <w:rsid w:val="00314CFE"/>
    <w:rsid w:val="00314DB5"/>
    <w:rsid w:val="00314E4E"/>
    <w:rsid w:val="003157D7"/>
    <w:rsid w:val="00316054"/>
    <w:rsid w:val="00316176"/>
    <w:rsid w:val="003162D7"/>
    <w:rsid w:val="0031674D"/>
    <w:rsid w:val="00316A94"/>
    <w:rsid w:val="00316BBE"/>
    <w:rsid w:val="00316CBD"/>
    <w:rsid w:val="00316E06"/>
    <w:rsid w:val="003172B9"/>
    <w:rsid w:val="003173F7"/>
    <w:rsid w:val="003176E5"/>
    <w:rsid w:val="0031779D"/>
    <w:rsid w:val="00317A74"/>
    <w:rsid w:val="00317C19"/>
    <w:rsid w:val="003200CC"/>
    <w:rsid w:val="003204AC"/>
    <w:rsid w:val="003205B9"/>
    <w:rsid w:val="003209A9"/>
    <w:rsid w:val="00320ACF"/>
    <w:rsid w:val="00321DBE"/>
    <w:rsid w:val="00321FA0"/>
    <w:rsid w:val="00322164"/>
    <w:rsid w:val="003223A2"/>
    <w:rsid w:val="0032283B"/>
    <w:rsid w:val="00322F7B"/>
    <w:rsid w:val="00323417"/>
    <w:rsid w:val="003234FA"/>
    <w:rsid w:val="003236CF"/>
    <w:rsid w:val="0032381E"/>
    <w:rsid w:val="003238F8"/>
    <w:rsid w:val="00323B37"/>
    <w:rsid w:val="00323E79"/>
    <w:rsid w:val="003247B9"/>
    <w:rsid w:val="003247BD"/>
    <w:rsid w:val="0032493B"/>
    <w:rsid w:val="0032494B"/>
    <w:rsid w:val="00325200"/>
    <w:rsid w:val="00325425"/>
    <w:rsid w:val="0032546C"/>
    <w:rsid w:val="003256AC"/>
    <w:rsid w:val="003256FF"/>
    <w:rsid w:val="003258B0"/>
    <w:rsid w:val="0032598B"/>
    <w:rsid w:val="003259CA"/>
    <w:rsid w:val="00325F1B"/>
    <w:rsid w:val="00325FD8"/>
    <w:rsid w:val="003262C6"/>
    <w:rsid w:val="00326411"/>
    <w:rsid w:val="0032655E"/>
    <w:rsid w:val="00326580"/>
    <w:rsid w:val="0032660A"/>
    <w:rsid w:val="00326675"/>
    <w:rsid w:val="003268B2"/>
    <w:rsid w:val="00326B67"/>
    <w:rsid w:val="00326BCB"/>
    <w:rsid w:val="00326CB6"/>
    <w:rsid w:val="003273C3"/>
    <w:rsid w:val="0032743C"/>
    <w:rsid w:val="003274A6"/>
    <w:rsid w:val="0032786F"/>
    <w:rsid w:val="003304A9"/>
    <w:rsid w:val="00330543"/>
    <w:rsid w:val="00330712"/>
    <w:rsid w:val="003309CB"/>
    <w:rsid w:val="00330A60"/>
    <w:rsid w:val="00331343"/>
    <w:rsid w:val="00331521"/>
    <w:rsid w:val="00331657"/>
    <w:rsid w:val="00331915"/>
    <w:rsid w:val="003319BA"/>
    <w:rsid w:val="00331B25"/>
    <w:rsid w:val="00331D47"/>
    <w:rsid w:val="00331DED"/>
    <w:rsid w:val="00332430"/>
    <w:rsid w:val="0033283E"/>
    <w:rsid w:val="00332AA7"/>
    <w:rsid w:val="003332C5"/>
    <w:rsid w:val="003332CA"/>
    <w:rsid w:val="00333548"/>
    <w:rsid w:val="00333699"/>
    <w:rsid w:val="00333778"/>
    <w:rsid w:val="00333886"/>
    <w:rsid w:val="0033392F"/>
    <w:rsid w:val="003343FC"/>
    <w:rsid w:val="00334560"/>
    <w:rsid w:val="003347FD"/>
    <w:rsid w:val="00334B33"/>
    <w:rsid w:val="00334CA3"/>
    <w:rsid w:val="00334E87"/>
    <w:rsid w:val="00334EE9"/>
    <w:rsid w:val="003351FA"/>
    <w:rsid w:val="00335332"/>
    <w:rsid w:val="00335AD3"/>
    <w:rsid w:val="00335DB2"/>
    <w:rsid w:val="00335EA5"/>
    <w:rsid w:val="003360ED"/>
    <w:rsid w:val="00336364"/>
    <w:rsid w:val="003363A1"/>
    <w:rsid w:val="00336416"/>
    <w:rsid w:val="00336668"/>
    <w:rsid w:val="003368E0"/>
    <w:rsid w:val="003368E5"/>
    <w:rsid w:val="00336A5F"/>
    <w:rsid w:val="00336A88"/>
    <w:rsid w:val="00336AA4"/>
    <w:rsid w:val="00336DBA"/>
    <w:rsid w:val="00336E82"/>
    <w:rsid w:val="00336F9D"/>
    <w:rsid w:val="00336FAE"/>
    <w:rsid w:val="00337033"/>
    <w:rsid w:val="003371C2"/>
    <w:rsid w:val="0033724B"/>
    <w:rsid w:val="00337292"/>
    <w:rsid w:val="0033787B"/>
    <w:rsid w:val="00337D83"/>
    <w:rsid w:val="00337F32"/>
    <w:rsid w:val="00337F54"/>
    <w:rsid w:val="00337FEB"/>
    <w:rsid w:val="003402B6"/>
    <w:rsid w:val="003402CF"/>
    <w:rsid w:val="00340371"/>
    <w:rsid w:val="003404CC"/>
    <w:rsid w:val="00340545"/>
    <w:rsid w:val="00340638"/>
    <w:rsid w:val="00340717"/>
    <w:rsid w:val="00340C15"/>
    <w:rsid w:val="0034112D"/>
    <w:rsid w:val="003411F0"/>
    <w:rsid w:val="00341223"/>
    <w:rsid w:val="003412C0"/>
    <w:rsid w:val="003418F3"/>
    <w:rsid w:val="00341A21"/>
    <w:rsid w:val="00341AF4"/>
    <w:rsid w:val="00341E8D"/>
    <w:rsid w:val="00341FD8"/>
    <w:rsid w:val="0034209E"/>
    <w:rsid w:val="003421E2"/>
    <w:rsid w:val="00342340"/>
    <w:rsid w:val="00342682"/>
    <w:rsid w:val="00342796"/>
    <w:rsid w:val="003427C0"/>
    <w:rsid w:val="003428B7"/>
    <w:rsid w:val="00342BAF"/>
    <w:rsid w:val="00343072"/>
    <w:rsid w:val="0034313F"/>
    <w:rsid w:val="00343148"/>
    <w:rsid w:val="00343250"/>
    <w:rsid w:val="003434F8"/>
    <w:rsid w:val="00343737"/>
    <w:rsid w:val="00343885"/>
    <w:rsid w:val="003438DA"/>
    <w:rsid w:val="00343C11"/>
    <w:rsid w:val="00343F6E"/>
    <w:rsid w:val="0034410F"/>
    <w:rsid w:val="00344113"/>
    <w:rsid w:val="003443CA"/>
    <w:rsid w:val="00344776"/>
    <w:rsid w:val="00344FF4"/>
    <w:rsid w:val="0034524F"/>
    <w:rsid w:val="003454E6"/>
    <w:rsid w:val="00345532"/>
    <w:rsid w:val="0034559D"/>
    <w:rsid w:val="00345741"/>
    <w:rsid w:val="00345821"/>
    <w:rsid w:val="00345B40"/>
    <w:rsid w:val="003460E7"/>
    <w:rsid w:val="00346170"/>
    <w:rsid w:val="003467A8"/>
    <w:rsid w:val="003472B7"/>
    <w:rsid w:val="00347462"/>
    <w:rsid w:val="00347717"/>
    <w:rsid w:val="00347EAA"/>
    <w:rsid w:val="00347ED3"/>
    <w:rsid w:val="00350081"/>
    <w:rsid w:val="003502C8"/>
    <w:rsid w:val="00350479"/>
    <w:rsid w:val="00350A01"/>
    <w:rsid w:val="00350A84"/>
    <w:rsid w:val="00350CB8"/>
    <w:rsid w:val="00351188"/>
    <w:rsid w:val="00351397"/>
    <w:rsid w:val="003513BF"/>
    <w:rsid w:val="0035142B"/>
    <w:rsid w:val="0035153B"/>
    <w:rsid w:val="003515BE"/>
    <w:rsid w:val="003516D3"/>
    <w:rsid w:val="003517F4"/>
    <w:rsid w:val="00351BBC"/>
    <w:rsid w:val="00351BBD"/>
    <w:rsid w:val="00351E42"/>
    <w:rsid w:val="00351F1A"/>
    <w:rsid w:val="00352176"/>
    <w:rsid w:val="0035221E"/>
    <w:rsid w:val="0035228A"/>
    <w:rsid w:val="003524BB"/>
    <w:rsid w:val="003526EF"/>
    <w:rsid w:val="00352735"/>
    <w:rsid w:val="00352E29"/>
    <w:rsid w:val="00353118"/>
    <w:rsid w:val="0035320E"/>
    <w:rsid w:val="00353285"/>
    <w:rsid w:val="003533F1"/>
    <w:rsid w:val="00353714"/>
    <w:rsid w:val="00353754"/>
    <w:rsid w:val="0035392D"/>
    <w:rsid w:val="003539D4"/>
    <w:rsid w:val="00353E60"/>
    <w:rsid w:val="00353FF5"/>
    <w:rsid w:val="00354141"/>
    <w:rsid w:val="003541BA"/>
    <w:rsid w:val="00354237"/>
    <w:rsid w:val="00354320"/>
    <w:rsid w:val="0035474A"/>
    <w:rsid w:val="00354970"/>
    <w:rsid w:val="00354BD5"/>
    <w:rsid w:val="00354C02"/>
    <w:rsid w:val="00354CA9"/>
    <w:rsid w:val="0035524A"/>
    <w:rsid w:val="00355307"/>
    <w:rsid w:val="00355323"/>
    <w:rsid w:val="0035533B"/>
    <w:rsid w:val="00355378"/>
    <w:rsid w:val="00355441"/>
    <w:rsid w:val="003554CA"/>
    <w:rsid w:val="0035586B"/>
    <w:rsid w:val="003560DF"/>
    <w:rsid w:val="00356171"/>
    <w:rsid w:val="00356325"/>
    <w:rsid w:val="0035681B"/>
    <w:rsid w:val="003568E6"/>
    <w:rsid w:val="00356B34"/>
    <w:rsid w:val="00356B37"/>
    <w:rsid w:val="00356B7A"/>
    <w:rsid w:val="0035719E"/>
    <w:rsid w:val="00357A0E"/>
    <w:rsid w:val="00357B98"/>
    <w:rsid w:val="00357E66"/>
    <w:rsid w:val="00357EFB"/>
    <w:rsid w:val="00360240"/>
    <w:rsid w:val="00360644"/>
    <w:rsid w:val="00360C48"/>
    <w:rsid w:val="00360E8C"/>
    <w:rsid w:val="00360EBC"/>
    <w:rsid w:val="0036112E"/>
    <w:rsid w:val="00361197"/>
    <w:rsid w:val="003612BE"/>
    <w:rsid w:val="003614B3"/>
    <w:rsid w:val="003614CE"/>
    <w:rsid w:val="0036158F"/>
    <w:rsid w:val="003615EE"/>
    <w:rsid w:val="0036193C"/>
    <w:rsid w:val="00361BC0"/>
    <w:rsid w:val="00361C19"/>
    <w:rsid w:val="00361CA2"/>
    <w:rsid w:val="00361EAE"/>
    <w:rsid w:val="0036205C"/>
    <w:rsid w:val="00362105"/>
    <w:rsid w:val="00362118"/>
    <w:rsid w:val="00362490"/>
    <w:rsid w:val="0036270F"/>
    <w:rsid w:val="0036286D"/>
    <w:rsid w:val="003628E6"/>
    <w:rsid w:val="00362964"/>
    <w:rsid w:val="00362C8A"/>
    <w:rsid w:val="00362D5F"/>
    <w:rsid w:val="00363296"/>
    <w:rsid w:val="003632D8"/>
    <w:rsid w:val="003637C9"/>
    <w:rsid w:val="0036382D"/>
    <w:rsid w:val="0036391E"/>
    <w:rsid w:val="00364C03"/>
    <w:rsid w:val="00364C4C"/>
    <w:rsid w:val="00364E93"/>
    <w:rsid w:val="00364FBF"/>
    <w:rsid w:val="003653AE"/>
    <w:rsid w:val="0036541E"/>
    <w:rsid w:val="003657D5"/>
    <w:rsid w:val="00365A67"/>
    <w:rsid w:val="00365BAD"/>
    <w:rsid w:val="00366419"/>
    <w:rsid w:val="003665EB"/>
    <w:rsid w:val="003668A3"/>
    <w:rsid w:val="003668D7"/>
    <w:rsid w:val="00366967"/>
    <w:rsid w:val="00366BAE"/>
    <w:rsid w:val="00366C68"/>
    <w:rsid w:val="00366CA9"/>
    <w:rsid w:val="00366FE8"/>
    <w:rsid w:val="00367029"/>
    <w:rsid w:val="00367034"/>
    <w:rsid w:val="0036705D"/>
    <w:rsid w:val="003670FB"/>
    <w:rsid w:val="00367820"/>
    <w:rsid w:val="003678A6"/>
    <w:rsid w:val="00367CD5"/>
    <w:rsid w:val="003708D5"/>
    <w:rsid w:val="003709B9"/>
    <w:rsid w:val="00370AE7"/>
    <w:rsid w:val="00370EA3"/>
    <w:rsid w:val="00371000"/>
    <w:rsid w:val="003710E0"/>
    <w:rsid w:val="003711AA"/>
    <w:rsid w:val="0037193F"/>
    <w:rsid w:val="00371A24"/>
    <w:rsid w:val="00371F97"/>
    <w:rsid w:val="00372274"/>
    <w:rsid w:val="003722AB"/>
    <w:rsid w:val="003722C9"/>
    <w:rsid w:val="0037236C"/>
    <w:rsid w:val="003723F2"/>
    <w:rsid w:val="003726C9"/>
    <w:rsid w:val="00372A4D"/>
    <w:rsid w:val="00372B1A"/>
    <w:rsid w:val="00372E08"/>
    <w:rsid w:val="00372E1A"/>
    <w:rsid w:val="003732D1"/>
    <w:rsid w:val="00373334"/>
    <w:rsid w:val="00373856"/>
    <w:rsid w:val="003739CA"/>
    <w:rsid w:val="00373B96"/>
    <w:rsid w:val="00373CF9"/>
    <w:rsid w:val="00373DBE"/>
    <w:rsid w:val="00374031"/>
    <w:rsid w:val="003743AF"/>
    <w:rsid w:val="003744B6"/>
    <w:rsid w:val="003744E3"/>
    <w:rsid w:val="003746C4"/>
    <w:rsid w:val="003749E6"/>
    <w:rsid w:val="00374D89"/>
    <w:rsid w:val="00375027"/>
    <w:rsid w:val="00375272"/>
    <w:rsid w:val="00375373"/>
    <w:rsid w:val="003758D4"/>
    <w:rsid w:val="00375A0F"/>
    <w:rsid w:val="00375AAB"/>
    <w:rsid w:val="00375AD7"/>
    <w:rsid w:val="003761A2"/>
    <w:rsid w:val="00376224"/>
    <w:rsid w:val="00376998"/>
    <w:rsid w:val="00376B83"/>
    <w:rsid w:val="00376E2D"/>
    <w:rsid w:val="00376F25"/>
    <w:rsid w:val="003770B9"/>
    <w:rsid w:val="00377E03"/>
    <w:rsid w:val="00377F6D"/>
    <w:rsid w:val="0038015B"/>
    <w:rsid w:val="00380312"/>
    <w:rsid w:val="00380DA9"/>
    <w:rsid w:val="00380FB4"/>
    <w:rsid w:val="00380FE8"/>
    <w:rsid w:val="003810A6"/>
    <w:rsid w:val="00381188"/>
    <w:rsid w:val="0038126E"/>
    <w:rsid w:val="003817C8"/>
    <w:rsid w:val="00381B24"/>
    <w:rsid w:val="00381B97"/>
    <w:rsid w:val="00381BC7"/>
    <w:rsid w:val="00381EA5"/>
    <w:rsid w:val="003822E2"/>
    <w:rsid w:val="0038238F"/>
    <w:rsid w:val="003825BC"/>
    <w:rsid w:val="00383278"/>
    <w:rsid w:val="003834B6"/>
    <w:rsid w:val="00383677"/>
    <w:rsid w:val="00383DA5"/>
    <w:rsid w:val="00383E78"/>
    <w:rsid w:val="00383EA8"/>
    <w:rsid w:val="003843E3"/>
    <w:rsid w:val="00384620"/>
    <w:rsid w:val="003847E7"/>
    <w:rsid w:val="0038485B"/>
    <w:rsid w:val="00384B04"/>
    <w:rsid w:val="00384B69"/>
    <w:rsid w:val="00384CEE"/>
    <w:rsid w:val="00384EA3"/>
    <w:rsid w:val="00384F1D"/>
    <w:rsid w:val="00384FEA"/>
    <w:rsid w:val="0038521A"/>
    <w:rsid w:val="00385264"/>
    <w:rsid w:val="0038552A"/>
    <w:rsid w:val="0038552C"/>
    <w:rsid w:val="0038553C"/>
    <w:rsid w:val="003856AD"/>
    <w:rsid w:val="003863B9"/>
    <w:rsid w:val="00386BAA"/>
    <w:rsid w:val="00386C24"/>
    <w:rsid w:val="00386DFA"/>
    <w:rsid w:val="00387337"/>
    <w:rsid w:val="0038781E"/>
    <w:rsid w:val="00387839"/>
    <w:rsid w:val="003878D7"/>
    <w:rsid w:val="00387A8A"/>
    <w:rsid w:val="00387E99"/>
    <w:rsid w:val="00387F2A"/>
    <w:rsid w:val="0038EDFE"/>
    <w:rsid w:val="00390581"/>
    <w:rsid w:val="00390587"/>
    <w:rsid w:val="0039058A"/>
    <w:rsid w:val="003905E1"/>
    <w:rsid w:val="003909B9"/>
    <w:rsid w:val="00390DD5"/>
    <w:rsid w:val="00391045"/>
    <w:rsid w:val="00391312"/>
    <w:rsid w:val="00391457"/>
    <w:rsid w:val="0039145A"/>
    <w:rsid w:val="00391A09"/>
    <w:rsid w:val="00391AE0"/>
    <w:rsid w:val="00391D52"/>
    <w:rsid w:val="0039228C"/>
    <w:rsid w:val="003922E3"/>
    <w:rsid w:val="003925D0"/>
    <w:rsid w:val="00392629"/>
    <w:rsid w:val="00392781"/>
    <w:rsid w:val="00392CCC"/>
    <w:rsid w:val="00393045"/>
    <w:rsid w:val="0039316D"/>
    <w:rsid w:val="003931BD"/>
    <w:rsid w:val="00393340"/>
    <w:rsid w:val="00393461"/>
    <w:rsid w:val="00393B0F"/>
    <w:rsid w:val="00393D4A"/>
    <w:rsid w:val="00394033"/>
    <w:rsid w:val="00394123"/>
    <w:rsid w:val="0039422D"/>
    <w:rsid w:val="0039429E"/>
    <w:rsid w:val="0039447D"/>
    <w:rsid w:val="00394527"/>
    <w:rsid w:val="00394746"/>
    <w:rsid w:val="003949B6"/>
    <w:rsid w:val="00394A5E"/>
    <w:rsid w:val="00394D46"/>
    <w:rsid w:val="00395331"/>
    <w:rsid w:val="0039558A"/>
    <w:rsid w:val="003955D1"/>
    <w:rsid w:val="003956F0"/>
    <w:rsid w:val="00395DC3"/>
    <w:rsid w:val="00395DDA"/>
    <w:rsid w:val="0039663F"/>
    <w:rsid w:val="00396648"/>
    <w:rsid w:val="003968AA"/>
    <w:rsid w:val="00396A0D"/>
    <w:rsid w:val="0039733E"/>
    <w:rsid w:val="003973E1"/>
    <w:rsid w:val="00397E12"/>
    <w:rsid w:val="003A0384"/>
    <w:rsid w:val="003A03B1"/>
    <w:rsid w:val="003A0572"/>
    <w:rsid w:val="003A1177"/>
    <w:rsid w:val="003A135A"/>
    <w:rsid w:val="003A1659"/>
    <w:rsid w:val="003A1687"/>
    <w:rsid w:val="003A17D6"/>
    <w:rsid w:val="003A1DE2"/>
    <w:rsid w:val="003A220C"/>
    <w:rsid w:val="003A2304"/>
    <w:rsid w:val="003A27C1"/>
    <w:rsid w:val="003A2883"/>
    <w:rsid w:val="003A31B9"/>
    <w:rsid w:val="003A33B6"/>
    <w:rsid w:val="003A3779"/>
    <w:rsid w:val="003A3823"/>
    <w:rsid w:val="003A3A8D"/>
    <w:rsid w:val="003A3B09"/>
    <w:rsid w:val="003A3BFD"/>
    <w:rsid w:val="003A3D60"/>
    <w:rsid w:val="003A4406"/>
    <w:rsid w:val="003A44A4"/>
    <w:rsid w:val="003A461C"/>
    <w:rsid w:val="003A474D"/>
    <w:rsid w:val="003A499E"/>
    <w:rsid w:val="003A4A1B"/>
    <w:rsid w:val="003A4FCC"/>
    <w:rsid w:val="003A5063"/>
    <w:rsid w:val="003A52A0"/>
    <w:rsid w:val="003A53B9"/>
    <w:rsid w:val="003A55F1"/>
    <w:rsid w:val="003A5ACA"/>
    <w:rsid w:val="003A634E"/>
    <w:rsid w:val="003A63D4"/>
    <w:rsid w:val="003A66F2"/>
    <w:rsid w:val="003A67DA"/>
    <w:rsid w:val="003A696A"/>
    <w:rsid w:val="003A6BC8"/>
    <w:rsid w:val="003A78FA"/>
    <w:rsid w:val="003B01DC"/>
    <w:rsid w:val="003B02A2"/>
    <w:rsid w:val="003B051F"/>
    <w:rsid w:val="003B0699"/>
    <w:rsid w:val="003B06AE"/>
    <w:rsid w:val="003B06EC"/>
    <w:rsid w:val="003B08FF"/>
    <w:rsid w:val="003B0B01"/>
    <w:rsid w:val="003B0F36"/>
    <w:rsid w:val="003B1106"/>
    <w:rsid w:val="003B1231"/>
    <w:rsid w:val="003B12B0"/>
    <w:rsid w:val="003B142F"/>
    <w:rsid w:val="003B15ED"/>
    <w:rsid w:val="003B19C8"/>
    <w:rsid w:val="003B1CB7"/>
    <w:rsid w:val="003B1D13"/>
    <w:rsid w:val="003B1D48"/>
    <w:rsid w:val="003B2FFD"/>
    <w:rsid w:val="003B33F9"/>
    <w:rsid w:val="003B341A"/>
    <w:rsid w:val="003B385D"/>
    <w:rsid w:val="003B3A35"/>
    <w:rsid w:val="003B3C09"/>
    <w:rsid w:val="003B3DFB"/>
    <w:rsid w:val="003B3F3C"/>
    <w:rsid w:val="003B3FEE"/>
    <w:rsid w:val="003B42F0"/>
    <w:rsid w:val="003B432E"/>
    <w:rsid w:val="003B43B8"/>
    <w:rsid w:val="003B442F"/>
    <w:rsid w:val="003B4CB1"/>
    <w:rsid w:val="003B4E79"/>
    <w:rsid w:val="003B4F8D"/>
    <w:rsid w:val="003B511B"/>
    <w:rsid w:val="003B5225"/>
    <w:rsid w:val="003B5426"/>
    <w:rsid w:val="003B55B5"/>
    <w:rsid w:val="003B582F"/>
    <w:rsid w:val="003B5931"/>
    <w:rsid w:val="003B5C07"/>
    <w:rsid w:val="003B5C68"/>
    <w:rsid w:val="003B5EB0"/>
    <w:rsid w:val="003B5EED"/>
    <w:rsid w:val="003B6202"/>
    <w:rsid w:val="003B6A68"/>
    <w:rsid w:val="003B6ACC"/>
    <w:rsid w:val="003B6B53"/>
    <w:rsid w:val="003B6B9C"/>
    <w:rsid w:val="003B6CE8"/>
    <w:rsid w:val="003B6E36"/>
    <w:rsid w:val="003B7428"/>
    <w:rsid w:val="003B7491"/>
    <w:rsid w:val="003B765C"/>
    <w:rsid w:val="003B786D"/>
    <w:rsid w:val="003B796E"/>
    <w:rsid w:val="003B79E5"/>
    <w:rsid w:val="003B7A28"/>
    <w:rsid w:val="003B7E1E"/>
    <w:rsid w:val="003C0105"/>
    <w:rsid w:val="003C0190"/>
    <w:rsid w:val="003C0BE8"/>
    <w:rsid w:val="003C0D6E"/>
    <w:rsid w:val="003C0DB1"/>
    <w:rsid w:val="003C0DBC"/>
    <w:rsid w:val="003C0DC1"/>
    <w:rsid w:val="003C0EFE"/>
    <w:rsid w:val="003C0F19"/>
    <w:rsid w:val="003C0F3E"/>
    <w:rsid w:val="003C119A"/>
    <w:rsid w:val="003C1232"/>
    <w:rsid w:val="003C15C2"/>
    <w:rsid w:val="003C1ACC"/>
    <w:rsid w:val="003C1E7F"/>
    <w:rsid w:val="003C1F55"/>
    <w:rsid w:val="003C1FAA"/>
    <w:rsid w:val="003C239C"/>
    <w:rsid w:val="003C2595"/>
    <w:rsid w:val="003C25E6"/>
    <w:rsid w:val="003C2647"/>
    <w:rsid w:val="003C276D"/>
    <w:rsid w:val="003C2936"/>
    <w:rsid w:val="003C2B9B"/>
    <w:rsid w:val="003C2C05"/>
    <w:rsid w:val="003C2C99"/>
    <w:rsid w:val="003C2CA3"/>
    <w:rsid w:val="003C2E0F"/>
    <w:rsid w:val="003C2FB5"/>
    <w:rsid w:val="003C30C8"/>
    <w:rsid w:val="003C3192"/>
    <w:rsid w:val="003C3242"/>
    <w:rsid w:val="003C349B"/>
    <w:rsid w:val="003C370C"/>
    <w:rsid w:val="003C3815"/>
    <w:rsid w:val="003C39FD"/>
    <w:rsid w:val="003C3AB0"/>
    <w:rsid w:val="003C3AD4"/>
    <w:rsid w:val="003C3CFF"/>
    <w:rsid w:val="003C40F8"/>
    <w:rsid w:val="003C44C1"/>
    <w:rsid w:val="003C47B2"/>
    <w:rsid w:val="003C49FA"/>
    <w:rsid w:val="003C4AE5"/>
    <w:rsid w:val="003C4B54"/>
    <w:rsid w:val="003C4D9B"/>
    <w:rsid w:val="003C4DA6"/>
    <w:rsid w:val="003C4DD8"/>
    <w:rsid w:val="003C4E3B"/>
    <w:rsid w:val="003C52FB"/>
    <w:rsid w:val="003C5439"/>
    <w:rsid w:val="003C55DB"/>
    <w:rsid w:val="003C5850"/>
    <w:rsid w:val="003C5C81"/>
    <w:rsid w:val="003C5ED7"/>
    <w:rsid w:val="003C652E"/>
    <w:rsid w:val="003C6951"/>
    <w:rsid w:val="003C6A8B"/>
    <w:rsid w:val="003C7160"/>
    <w:rsid w:val="003C71A5"/>
    <w:rsid w:val="003C73B3"/>
    <w:rsid w:val="003C73CA"/>
    <w:rsid w:val="003C78D9"/>
    <w:rsid w:val="003C7B18"/>
    <w:rsid w:val="003C7C14"/>
    <w:rsid w:val="003D01CF"/>
    <w:rsid w:val="003D0217"/>
    <w:rsid w:val="003D0390"/>
    <w:rsid w:val="003D0514"/>
    <w:rsid w:val="003D0617"/>
    <w:rsid w:val="003D061D"/>
    <w:rsid w:val="003D09A3"/>
    <w:rsid w:val="003D0CCE"/>
    <w:rsid w:val="003D0D57"/>
    <w:rsid w:val="003D1349"/>
    <w:rsid w:val="003D1753"/>
    <w:rsid w:val="003D17C3"/>
    <w:rsid w:val="003D1B7B"/>
    <w:rsid w:val="003D1C81"/>
    <w:rsid w:val="003D204A"/>
    <w:rsid w:val="003D21D7"/>
    <w:rsid w:val="003D245F"/>
    <w:rsid w:val="003D2632"/>
    <w:rsid w:val="003D26EA"/>
    <w:rsid w:val="003D28FC"/>
    <w:rsid w:val="003D2BA9"/>
    <w:rsid w:val="003D2C47"/>
    <w:rsid w:val="003D2FCE"/>
    <w:rsid w:val="003D34F4"/>
    <w:rsid w:val="003D3591"/>
    <w:rsid w:val="003D38D3"/>
    <w:rsid w:val="003D39C3"/>
    <w:rsid w:val="003D3A3C"/>
    <w:rsid w:val="003D3A52"/>
    <w:rsid w:val="003D3BAE"/>
    <w:rsid w:val="003D3C79"/>
    <w:rsid w:val="003D4121"/>
    <w:rsid w:val="003D4257"/>
    <w:rsid w:val="003D47F5"/>
    <w:rsid w:val="003D493A"/>
    <w:rsid w:val="003D4AC6"/>
    <w:rsid w:val="003D4C29"/>
    <w:rsid w:val="003D5354"/>
    <w:rsid w:val="003D5523"/>
    <w:rsid w:val="003D559D"/>
    <w:rsid w:val="003D564E"/>
    <w:rsid w:val="003D5A48"/>
    <w:rsid w:val="003D5A83"/>
    <w:rsid w:val="003D5EBC"/>
    <w:rsid w:val="003D5FF6"/>
    <w:rsid w:val="003D6109"/>
    <w:rsid w:val="003D628B"/>
    <w:rsid w:val="003D66A8"/>
    <w:rsid w:val="003D677F"/>
    <w:rsid w:val="003D6AA3"/>
    <w:rsid w:val="003D76D1"/>
    <w:rsid w:val="003D783D"/>
    <w:rsid w:val="003D7969"/>
    <w:rsid w:val="003D7987"/>
    <w:rsid w:val="003D7BEB"/>
    <w:rsid w:val="003D7BF6"/>
    <w:rsid w:val="003D7D87"/>
    <w:rsid w:val="003D7DFA"/>
    <w:rsid w:val="003D7E84"/>
    <w:rsid w:val="003E017E"/>
    <w:rsid w:val="003E01AC"/>
    <w:rsid w:val="003E01C6"/>
    <w:rsid w:val="003E02E3"/>
    <w:rsid w:val="003E0355"/>
    <w:rsid w:val="003E04AB"/>
    <w:rsid w:val="003E04AE"/>
    <w:rsid w:val="003E0B70"/>
    <w:rsid w:val="003E0F20"/>
    <w:rsid w:val="003E0F98"/>
    <w:rsid w:val="003E1364"/>
    <w:rsid w:val="003E1381"/>
    <w:rsid w:val="003E1498"/>
    <w:rsid w:val="003E1A3C"/>
    <w:rsid w:val="003E1BAB"/>
    <w:rsid w:val="003E1E8D"/>
    <w:rsid w:val="003E1E92"/>
    <w:rsid w:val="003E1E9F"/>
    <w:rsid w:val="003E27CF"/>
    <w:rsid w:val="003E2B2A"/>
    <w:rsid w:val="003E2E1C"/>
    <w:rsid w:val="003E2FFB"/>
    <w:rsid w:val="003E35C5"/>
    <w:rsid w:val="003E373E"/>
    <w:rsid w:val="003E3866"/>
    <w:rsid w:val="003E3BA8"/>
    <w:rsid w:val="003E3EEF"/>
    <w:rsid w:val="003E3FF2"/>
    <w:rsid w:val="003E404E"/>
    <w:rsid w:val="003E508F"/>
    <w:rsid w:val="003E533C"/>
    <w:rsid w:val="003E5459"/>
    <w:rsid w:val="003E54C6"/>
    <w:rsid w:val="003E565F"/>
    <w:rsid w:val="003E5800"/>
    <w:rsid w:val="003E582A"/>
    <w:rsid w:val="003E589D"/>
    <w:rsid w:val="003E596A"/>
    <w:rsid w:val="003E5B39"/>
    <w:rsid w:val="003E5CC7"/>
    <w:rsid w:val="003E5CCF"/>
    <w:rsid w:val="003E5E63"/>
    <w:rsid w:val="003E5F4E"/>
    <w:rsid w:val="003E6034"/>
    <w:rsid w:val="003E6213"/>
    <w:rsid w:val="003E6861"/>
    <w:rsid w:val="003E6B7D"/>
    <w:rsid w:val="003E6F76"/>
    <w:rsid w:val="003E72E9"/>
    <w:rsid w:val="003E7532"/>
    <w:rsid w:val="003E762D"/>
    <w:rsid w:val="003E7846"/>
    <w:rsid w:val="003E790A"/>
    <w:rsid w:val="003E7AC8"/>
    <w:rsid w:val="003E7B40"/>
    <w:rsid w:val="003E7EC0"/>
    <w:rsid w:val="003E7EF3"/>
    <w:rsid w:val="003F016B"/>
    <w:rsid w:val="003F03F1"/>
    <w:rsid w:val="003F03FF"/>
    <w:rsid w:val="003F0673"/>
    <w:rsid w:val="003F0B19"/>
    <w:rsid w:val="003F0CAC"/>
    <w:rsid w:val="003F0F1C"/>
    <w:rsid w:val="003F11D9"/>
    <w:rsid w:val="003F1584"/>
    <w:rsid w:val="003F17B2"/>
    <w:rsid w:val="003F1AD4"/>
    <w:rsid w:val="003F1CCF"/>
    <w:rsid w:val="003F1FF7"/>
    <w:rsid w:val="003F219E"/>
    <w:rsid w:val="003F23FC"/>
    <w:rsid w:val="003F2541"/>
    <w:rsid w:val="003F2781"/>
    <w:rsid w:val="003F2B95"/>
    <w:rsid w:val="003F2E02"/>
    <w:rsid w:val="003F366D"/>
    <w:rsid w:val="003F39B5"/>
    <w:rsid w:val="003F3A53"/>
    <w:rsid w:val="003F3ABF"/>
    <w:rsid w:val="003F3AF3"/>
    <w:rsid w:val="003F3C20"/>
    <w:rsid w:val="003F40B1"/>
    <w:rsid w:val="003F4603"/>
    <w:rsid w:val="003F499C"/>
    <w:rsid w:val="003F4B4F"/>
    <w:rsid w:val="003F4DAB"/>
    <w:rsid w:val="003F4EA9"/>
    <w:rsid w:val="003F503F"/>
    <w:rsid w:val="003F5094"/>
    <w:rsid w:val="003F5232"/>
    <w:rsid w:val="003F540D"/>
    <w:rsid w:val="003F554D"/>
    <w:rsid w:val="003F5566"/>
    <w:rsid w:val="003F5592"/>
    <w:rsid w:val="003F56B1"/>
    <w:rsid w:val="003F5FD3"/>
    <w:rsid w:val="003F5FEC"/>
    <w:rsid w:val="003F612D"/>
    <w:rsid w:val="003F621C"/>
    <w:rsid w:val="003F626B"/>
    <w:rsid w:val="003F63FC"/>
    <w:rsid w:val="003F64B2"/>
    <w:rsid w:val="003F6658"/>
    <w:rsid w:val="003F6C41"/>
    <w:rsid w:val="003F7122"/>
    <w:rsid w:val="003F7142"/>
    <w:rsid w:val="003F7299"/>
    <w:rsid w:val="003F731E"/>
    <w:rsid w:val="003F74D4"/>
    <w:rsid w:val="003F7572"/>
    <w:rsid w:val="003F7A25"/>
    <w:rsid w:val="003F7B45"/>
    <w:rsid w:val="003F7FCB"/>
    <w:rsid w:val="0040019B"/>
    <w:rsid w:val="004008F4"/>
    <w:rsid w:val="004009D1"/>
    <w:rsid w:val="004009D5"/>
    <w:rsid w:val="00400ADA"/>
    <w:rsid w:val="00400E59"/>
    <w:rsid w:val="00400F05"/>
    <w:rsid w:val="00400FE4"/>
    <w:rsid w:val="00401333"/>
    <w:rsid w:val="00401432"/>
    <w:rsid w:val="0040151E"/>
    <w:rsid w:val="00401549"/>
    <w:rsid w:val="004016EB"/>
    <w:rsid w:val="0040187F"/>
    <w:rsid w:val="004018CB"/>
    <w:rsid w:val="00401A5B"/>
    <w:rsid w:val="00401A71"/>
    <w:rsid w:val="00401FDD"/>
    <w:rsid w:val="00402140"/>
    <w:rsid w:val="0040239C"/>
    <w:rsid w:val="004024B9"/>
    <w:rsid w:val="0040280E"/>
    <w:rsid w:val="00402837"/>
    <w:rsid w:val="00402922"/>
    <w:rsid w:val="00402A40"/>
    <w:rsid w:val="00402BD7"/>
    <w:rsid w:val="00402DC9"/>
    <w:rsid w:val="00402F3A"/>
    <w:rsid w:val="00403761"/>
    <w:rsid w:val="004038B0"/>
    <w:rsid w:val="00403978"/>
    <w:rsid w:val="004039DF"/>
    <w:rsid w:val="00403C54"/>
    <w:rsid w:val="00403CB3"/>
    <w:rsid w:val="0040408B"/>
    <w:rsid w:val="004042D9"/>
    <w:rsid w:val="00404532"/>
    <w:rsid w:val="00404641"/>
    <w:rsid w:val="00404791"/>
    <w:rsid w:val="0040480D"/>
    <w:rsid w:val="00404EC4"/>
    <w:rsid w:val="00404F2F"/>
    <w:rsid w:val="004051E2"/>
    <w:rsid w:val="00405627"/>
    <w:rsid w:val="00405715"/>
    <w:rsid w:val="004059DB"/>
    <w:rsid w:val="00405AD1"/>
    <w:rsid w:val="00405B5B"/>
    <w:rsid w:val="00405CBC"/>
    <w:rsid w:val="00406319"/>
    <w:rsid w:val="00406364"/>
    <w:rsid w:val="004063B5"/>
    <w:rsid w:val="0040646E"/>
    <w:rsid w:val="00406594"/>
    <w:rsid w:val="00406B24"/>
    <w:rsid w:val="00406D26"/>
    <w:rsid w:val="00406DAB"/>
    <w:rsid w:val="00407409"/>
    <w:rsid w:val="0040753D"/>
    <w:rsid w:val="004077A7"/>
    <w:rsid w:val="004079FD"/>
    <w:rsid w:val="00407B7B"/>
    <w:rsid w:val="00407DBC"/>
    <w:rsid w:val="00407E2E"/>
    <w:rsid w:val="00407E92"/>
    <w:rsid w:val="00407FFA"/>
    <w:rsid w:val="00410CD7"/>
    <w:rsid w:val="00410D80"/>
    <w:rsid w:val="004110A0"/>
    <w:rsid w:val="004114D0"/>
    <w:rsid w:val="00411D27"/>
    <w:rsid w:val="00411D2D"/>
    <w:rsid w:val="00411DA0"/>
    <w:rsid w:val="00411E21"/>
    <w:rsid w:val="00412124"/>
    <w:rsid w:val="00412624"/>
    <w:rsid w:val="00412B20"/>
    <w:rsid w:val="00412C6E"/>
    <w:rsid w:val="00412F92"/>
    <w:rsid w:val="00412FEC"/>
    <w:rsid w:val="004130CD"/>
    <w:rsid w:val="0041312B"/>
    <w:rsid w:val="004138DD"/>
    <w:rsid w:val="0041399D"/>
    <w:rsid w:val="00413FF6"/>
    <w:rsid w:val="00414339"/>
    <w:rsid w:val="00414515"/>
    <w:rsid w:val="00414622"/>
    <w:rsid w:val="00414D6F"/>
    <w:rsid w:val="00414E46"/>
    <w:rsid w:val="00414F9A"/>
    <w:rsid w:val="00415E8C"/>
    <w:rsid w:val="00415ED2"/>
    <w:rsid w:val="0041606D"/>
    <w:rsid w:val="00416207"/>
    <w:rsid w:val="00416264"/>
    <w:rsid w:val="00416AB3"/>
    <w:rsid w:val="00416BD5"/>
    <w:rsid w:val="00416BDF"/>
    <w:rsid w:val="00416CD7"/>
    <w:rsid w:val="00416D52"/>
    <w:rsid w:val="00416DEB"/>
    <w:rsid w:val="00416E7F"/>
    <w:rsid w:val="0041726C"/>
    <w:rsid w:val="0041785A"/>
    <w:rsid w:val="0041792E"/>
    <w:rsid w:val="00417B28"/>
    <w:rsid w:val="00417C2F"/>
    <w:rsid w:val="00417C35"/>
    <w:rsid w:val="00417C92"/>
    <w:rsid w:val="00417F63"/>
    <w:rsid w:val="00417F91"/>
    <w:rsid w:val="004204A6"/>
    <w:rsid w:val="00420745"/>
    <w:rsid w:val="00420B14"/>
    <w:rsid w:val="00420B7C"/>
    <w:rsid w:val="00420F06"/>
    <w:rsid w:val="0042112A"/>
    <w:rsid w:val="004217E7"/>
    <w:rsid w:val="00421B12"/>
    <w:rsid w:val="00422AE9"/>
    <w:rsid w:val="00422D7C"/>
    <w:rsid w:val="004235D8"/>
    <w:rsid w:val="004235FC"/>
    <w:rsid w:val="0042399C"/>
    <w:rsid w:val="00423D5F"/>
    <w:rsid w:val="00423D8F"/>
    <w:rsid w:val="004241C3"/>
    <w:rsid w:val="0042434C"/>
    <w:rsid w:val="004243D2"/>
    <w:rsid w:val="0042442C"/>
    <w:rsid w:val="00424683"/>
    <w:rsid w:val="00424AC2"/>
    <w:rsid w:val="004255B8"/>
    <w:rsid w:val="004257A1"/>
    <w:rsid w:val="00425E54"/>
    <w:rsid w:val="00425EA0"/>
    <w:rsid w:val="0042604B"/>
    <w:rsid w:val="0042606B"/>
    <w:rsid w:val="0042610C"/>
    <w:rsid w:val="00426546"/>
    <w:rsid w:val="004267C4"/>
    <w:rsid w:val="00426843"/>
    <w:rsid w:val="00426A52"/>
    <w:rsid w:val="00426A7C"/>
    <w:rsid w:val="00426B5C"/>
    <w:rsid w:val="00426E1D"/>
    <w:rsid w:val="00427B5D"/>
    <w:rsid w:val="00430083"/>
    <w:rsid w:val="004300F3"/>
    <w:rsid w:val="00430246"/>
    <w:rsid w:val="004302D9"/>
    <w:rsid w:val="004304F4"/>
    <w:rsid w:val="0043072F"/>
    <w:rsid w:val="00430AA3"/>
    <w:rsid w:val="00430B49"/>
    <w:rsid w:val="00431076"/>
    <w:rsid w:val="00431457"/>
    <w:rsid w:val="0043148F"/>
    <w:rsid w:val="00431766"/>
    <w:rsid w:val="004318A1"/>
    <w:rsid w:val="00431E4A"/>
    <w:rsid w:val="00431EB3"/>
    <w:rsid w:val="004322C3"/>
    <w:rsid w:val="00432407"/>
    <w:rsid w:val="00432460"/>
    <w:rsid w:val="0043269A"/>
    <w:rsid w:val="00432807"/>
    <w:rsid w:val="00432E34"/>
    <w:rsid w:val="00433072"/>
    <w:rsid w:val="00433471"/>
    <w:rsid w:val="00433545"/>
    <w:rsid w:val="004337E4"/>
    <w:rsid w:val="00433BF1"/>
    <w:rsid w:val="00433D98"/>
    <w:rsid w:val="00433F08"/>
    <w:rsid w:val="004340AE"/>
    <w:rsid w:val="004341D7"/>
    <w:rsid w:val="004344B3"/>
    <w:rsid w:val="004345E9"/>
    <w:rsid w:val="00434698"/>
    <w:rsid w:val="0043484D"/>
    <w:rsid w:val="00434949"/>
    <w:rsid w:val="00434F22"/>
    <w:rsid w:val="00434F5C"/>
    <w:rsid w:val="004350EA"/>
    <w:rsid w:val="004351B6"/>
    <w:rsid w:val="00435E38"/>
    <w:rsid w:val="004360AB"/>
    <w:rsid w:val="0043628E"/>
    <w:rsid w:val="004362BA"/>
    <w:rsid w:val="0043640F"/>
    <w:rsid w:val="004364A9"/>
    <w:rsid w:val="00436675"/>
    <w:rsid w:val="0043681A"/>
    <w:rsid w:val="00436BC2"/>
    <w:rsid w:val="00436D84"/>
    <w:rsid w:val="00436E43"/>
    <w:rsid w:val="00436F1D"/>
    <w:rsid w:val="004374ED"/>
    <w:rsid w:val="004377BB"/>
    <w:rsid w:val="004379E7"/>
    <w:rsid w:val="00437B8B"/>
    <w:rsid w:val="00437BD2"/>
    <w:rsid w:val="00437E86"/>
    <w:rsid w:val="00437F12"/>
    <w:rsid w:val="0044034E"/>
    <w:rsid w:val="004406C1"/>
    <w:rsid w:val="00440884"/>
    <w:rsid w:val="00440C5B"/>
    <w:rsid w:val="00440FBC"/>
    <w:rsid w:val="004411B8"/>
    <w:rsid w:val="00441421"/>
    <w:rsid w:val="004418FE"/>
    <w:rsid w:val="00441B8F"/>
    <w:rsid w:val="00441DE5"/>
    <w:rsid w:val="00441ED5"/>
    <w:rsid w:val="00441F6B"/>
    <w:rsid w:val="004422A7"/>
    <w:rsid w:val="0044252A"/>
    <w:rsid w:val="004429C6"/>
    <w:rsid w:val="00442B2D"/>
    <w:rsid w:val="00442BBB"/>
    <w:rsid w:val="00442C02"/>
    <w:rsid w:val="00442C89"/>
    <w:rsid w:val="00442E46"/>
    <w:rsid w:val="00442ED8"/>
    <w:rsid w:val="0044300C"/>
    <w:rsid w:val="004430D9"/>
    <w:rsid w:val="0044314A"/>
    <w:rsid w:val="00443215"/>
    <w:rsid w:val="00443457"/>
    <w:rsid w:val="004434C8"/>
    <w:rsid w:val="004435A3"/>
    <w:rsid w:val="00443679"/>
    <w:rsid w:val="0044367F"/>
    <w:rsid w:val="0044376B"/>
    <w:rsid w:val="00443C8C"/>
    <w:rsid w:val="00443CC1"/>
    <w:rsid w:val="00443FD5"/>
    <w:rsid w:val="004447F9"/>
    <w:rsid w:val="0044486C"/>
    <w:rsid w:val="00444931"/>
    <w:rsid w:val="00444B19"/>
    <w:rsid w:val="00444B4C"/>
    <w:rsid w:val="00444D64"/>
    <w:rsid w:val="00444DAE"/>
    <w:rsid w:val="00444F02"/>
    <w:rsid w:val="00445174"/>
    <w:rsid w:val="00445390"/>
    <w:rsid w:val="004453C1"/>
    <w:rsid w:val="00445426"/>
    <w:rsid w:val="0044569D"/>
    <w:rsid w:val="0044597C"/>
    <w:rsid w:val="00445CB8"/>
    <w:rsid w:val="00445DAD"/>
    <w:rsid w:val="00445FE6"/>
    <w:rsid w:val="004461C7"/>
    <w:rsid w:val="004468EB"/>
    <w:rsid w:val="00446A7C"/>
    <w:rsid w:val="00446B80"/>
    <w:rsid w:val="00446C4E"/>
    <w:rsid w:val="00446DEE"/>
    <w:rsid w:val="004472AF"/>
    <w:rsid w:val="0044782C"/>
    <w:rsid w:val="00447A03"/>
    <w:rsid w:val="00447E23"/>
    <w:rsid w:val="00450240"/>
    <w:rsid w:val="004507D1"/>
    <w:rsid w:val="004508E9"/>
    <w:rsid w:val="00450A7C"/>
    <w:rsid w:val="00450B7E"/>
    <w:rsid w:val="00450F04"/>
    <w:rsid w:val="00451096"/>
    <w:rsid w:val="004514B5"/>
    <w:rsid w:val="00451505"/>
    <w:rsid w:val="00451BD5"/>
    <w:rsid w:val="00451D07"/>
    <w:rsid w:val="00451DC6"/>
    <w:rsid w:val="00451FA9"/>
    <w:rsid w:val="00452006"/>
    <w:rsid w:val="00452056"/>
    <w:rsid w:val="004522F1"/>
    <w:rsid w:val="004523A3"/>
    <w:rsid w:val="004525F5"/>
    <w:rsid w:val="0045263D"/>
    <w:rsid w:val="00452825"/>
    <w:rsid w:val="00452AE8"/>
    <w:rsid w:val="00452E95"/>
    <w:rsid w:val="00453341"/>
    <w:rsid w:val="00453393"/>
    <w:rsid w:val="004533CF"/>
    <w:rsid w:val="00453499"/>
    <w:rsid w:val="0045349B"/>
    <w:rsid w:val="00453865"/>
    <w:rsid w:val="00454469"/>
    <w:rsid w:val="0045497C"/>
    <w:rsid w:val="00454ED5"/>
    <w:rsid w:val="00454EEE"/>
    <w:rsid w:val="00454F63"/>
    <w:rsid w:val="00455082"/>
    <w:rsid w:val="00455180"/>
    <w:rsid w:val="004551DF"/>
    <w:rsid w:val="00455318"/>
    <w:rsid w:val="00455348"/>
    <w:rsid w:val="004555F1"/>
    <w:rsid w:val="004559A2"/>
    <w:rsid w:val="00455BE8"/>
    <w:rsid w:val="004561F9"/>
    <w:rsid w:val="00456429"/>
    <w:rsid w:val="004566C6"/>
    <w:rsid w:val="00456A69"/>
    <w:rsid w:val="00456DCB"/>
    <w:rsid w:val="00456EC7"/>
    <w:rsid w:val="00456F33"/>
    <w:rsid w:val="00457289"/>
    <w:rsid w:val="00457809"/>
    <w:rsid w:val="004578C3"/>
    <w:rsid w:val="00460080"/>
    <w:rsid w:val="004609D6"/>
    <w:rsid w:val="00460A64"/>
    <w:rsid w:val="00460F8B"/>
    <w:rsid w:val="004616B7"/>
    <w:rsid w:val="00461756"/>
    <w:rsid w:val="00461A26"/>
    <w:rsid w:val="00461A3B"/>
    <w:rsid w:val="0046223F"/>
    <w:rsid w:val="004623FF"/>
    <w:rsid w:val="00462552"/>
    <w:rsid w:val="00462B70"/>
    <w:rsid w:val="00462C05"/>
    <w:rsid w:val="00462D64"/>
    <w:rsid w:val="00462E57"/>
    <w:rsid w:val="0046313E"/>
    <w:rsid w:val="0046315C"/>
    <w:rsid w:val="00463267"/>
    <w:rsid w:val="004632FF"/>
    <w:rsid w:val="0046345C"/>
    <w:rsid w:val="004634D8"/>
    <w:rsid w:val="0046386F"/>
    <w:rsid w:val="00463FBE"/>
    <w:rsid w:val="00464216"/>
    <w:rsid w:val="004643BC"/>
    <w:rsid w:val="004645B7"/>
    <w:rsid w:val="0046464D"/>
    <w:rsid w:val="00464719"/>
    <w:rsid w:val="00464DC9"/>
    <w:rsid w:val="0046510C"/>
    <w:rsid w:val="00465129"/>
    <w:rsid w:val="00465A09"/>
    <w:rsid w:val="00465ABC"/>
    <w:rsid w:val="00465E8C"/>
    <w:rsid w:val="00466097"/>
    <w:rsid w:val="004661A8"/>
    <w:rsid w:val="004662DD"/>
    <w:rsid w:val="00466485"/>
    <w:rsid w:val="0046653B"/>
    <w:rsid w:val="00466634"/>
    <w:rsid w:val="00466728"/>
    <w:rsid w:val="004668E5"/>
    <w:rsid w:val="00466B79"/>
    <w:rsid w:val="00466DF4"/>
    <w:rsid w:val="00466ED9"/>
    <w:rsid w:val="00467125"/>
    <w:rsid w:val="00467330"/>
    <w:rsid w:val="00467CF8"/>
    <w:rsid w:val="00467FCD"/>
    <w:rsid w:val="004700E9"/>
    <w:rsid w:val="00470234"/>
    <w:rsid w:val="00470414"/>
    <w:rsid w:val="004705D8"/>
    <w:rsid w:val="00470A07"/>
    <w:rsid w:val="00470D94"/>
    <w:rsid w:val="00470E6F"/>
    <w:rsid w:val="004710C7"/>
    <w:rsid w:val="00471334"/>
    <w:rsid w:val="0047145F"/>
    <w:rsid w:val="0047169A"/>
    <w:rsid w:val="00471EA6"/>
    <w:rsid w:val="00471F4E"/>
    <w:rsid w:val="00471F6C"/>
    <w:rsid w:val="00471FEE"/>
    <w:rsid w:val="00472531"/>
    <w:rsid w:val="00472561"/>
    <w:rsid w:val="00472605"/>
    <w:rsid w:val="00472EAB"/>
    <w:rsid w:val="00472F69"/>
    <w:rsid w:val="00473224"/>
    <w:rsid w:val="0047350E"/>
    <w:rsid w:val="00473724"/>
    <w:rsid w:val="004739E9"/>
    <w:rsid w:val="00473B4B"/>
    <w:rsid w:val="00473C2A"/>
    <w:rsid w:val="00473D65"/>
    <w:rsid w:val="00473E67"/>
    <w:rsid w:val="00474136"/>
    <w:rsid w:val="004742FA"/>
    <w:rsid w:val="004743A3"/>
    <w:rsid w:val="00474425"/>
    <w:rsid w:val="0047457F"/>
    <w:rsid w:val="004745A7"/>
    <w:rsid w:val="004747FC"/>
    <w:rsid w:val="00474DDE"/>
    <w:rsid w:val="00474E06"/>
    <w:rsid w:val="004752CE"/>
    <w:rsid w:val="00475492"/>
    <w:rsid w:val="00475534"/>
    <w:rsid w:val="00475748"/>
    <w:rsid w:val="0047585F"/>
    <w:rsid w:val="004758A2"/>
    <w:rsid w:val="004758F2"/>
    <w:rsid w:val="00475C8F"/>
    <w:rsid w:val="00475E9E"/>
    <w:rsid w:val="0047646E"/>
    <w:rsid w:val="00476573"/>
    <w:rsid w:val="00476587"/>
    <w:rsid w:val="00476C09"/>
    <w:rsid w:val="00476EBD"/>
    <w:rsid w:val="00476FEF"/>
    <w:rsid w:val="004770D8"/>
    <w:rsid w:val="004775B9"/>
    <w:rsid w:val="004775FE"/>
    <w:rsid w:val="00477C67"/>
    <w:rsid w:val="00477D01"/>
    <w:rsid w:val="00477FA0"/>
    <w:rsid w:val="0047CEFD"/>
    <w:rsid w:val="00480149"/>
    <w:rsid w:val="0048033B"/>
    <w:rsid w:val="0048055B"/>
    <w:rsid w:val="004807F3"/>
    <w:rsid w:val="00480886"/>
    <w:rsid w:val="004808A9"/>
    <w:rsid w:val="00480DF6"/>
    <w:rsid w:val="00480E77"/>
    <w:rsid w:val="00480F46"/>
    <w:rsid w:val="00481344"/>
    <w:rsid w:val="004813AC"/>
    <w:rsid w:val="004814C9"/>
    <w:rsid w:val="004814F8"/>
    <w:rsid w:val="00481FCE"/>
    <w:rsid w:val="0048248B"/>
    <w:rsid w:val="004825E4"/>
    <w:rsid w:val="0048275D"/>
    <w:rsid w:val="00482B64"/>
    <w:rsid w:val="00482C7F"/>
    <w:rsid w:val="0048325C"/>
    <w:rsid w:val="00483A5B"/>
    <w:rsid w:val="004840C8"/>
    <w:rsid w:val="00484215"/>
    <w:rsid w:val="004842D7"/>
    <w:rsid w:val="004843E2"/>
    <w:rsid w:val="00484580"/>
    <w:rsid w:val="004846DE"/>
    <w:rsid w:val="00484782"/>
    <w:rsid w:val="004849A4"/>
    <w:rsid w:val="00484B7D"/>
    <w:rsid w:val="00484BCB"/>
    <w:rsid w:val="00484E45"/>
    <w:rsid w:val="00484F0C"/>
    <w:rsid w:val="00484F2B"/>
    <w:rsid w:val="004851E3"/>
    <w:rsid w:val="004853E6"/>
    <w:rsid w:val="0048556C"/>
    <w:rsid w:val="00485617"/>
    <w:rsid w:val="0048575C"/>
    <w:rsid w:val="00485C80"/>
    <w:rsid w:val="00486033"/>
    <w:rsid w:val="004864BB"/>
    <w:rsid w:val="00486946"/>
    <w:rsid w:val="00486A53"/>
    <w:rsid w:val="00486ACA"/>
    <w:rsid w:val="00486B14"/>
    <w:rsid w:val="00486CF6"/>
    <w:rsid w:val="00486DBB"/>
    <w:rsid w:val="00487051"/>
    <w:rsid w:val="00487608"/>
    <w:rsid w:val="00487C41"/>
    <w:rsid w:val="00487C78"/>
    <w:rsid w:val="00487F4A"/>
    <w:rsid w:val="0049010D"/>
    <w:rsid w:val="00490335"/>
    <w:rsid w:val="0049044A"/>
    <w:rsid w:val="004906A2"/>
    <w:rsid w:val="00491207"/>
    <w:rsid w:val="0049123A"/>
    <w:rsid w:val="004914D2"/>
    <w:rsid w:val="00491567"/>
    <w:rsid w:val="004915D3"/>
    <w:rsid w:val="004919F8"/>
    <w:rsid w:val="00491E7C"/>
    <w:rsid w:val="0049234A"/>
    <w:rsid w:val="0049277E"/>
    <w:rsid w:val="00492B03"/>
    <w:rsid w:val="00492B99"/>
    <w:rsid w:val="00493196"/>
    <w:rsid w:val="0049325B"/>
    <w:rsid w:val="0049360E"/>
    <w:rsid w:val="004936A2"/>
    <w:rsid w:val="00493B7B"/>
    <w:rsid w:val="00493C43"/>
    <w:rsid w:val="00493E9D"/>
    <w:rsid w:val="00493F18"/>
    <w:rsid w:val="0049415C"/>
    <w:rsid w:val="00494523"/>
    <w:rsid w:val="004945F2"/>
    <w:rsid w:val="00494699"/>
    <w:rsid w:val="004948C8"/>
    <w:rsid w:val="00494943"/>
    <w:rsid w:val="00494ACC"/>
    <w:rsid w:val="00494B59"/>
    <w:rsid w:val="00494B94"/>
    <w:rsid w:val="00494C10"/>
    <w:rsid w:val="00494E0D"/>
    <w:rsid w:val="00494FDB"/>
    <w:rsid w:val="00495716"/>
    <w:rsid w:val="00495736"/>
    <w:rsid w:val="0049594F"/>
    <w:rsid w:val="004961A4"/>
    <w:rsid w:val="004963D2"/>
    <w:rsid w:val="00496937"/>
    <w:rsid w:val="00496AD7"/>
    <w:rsid w:val="00496B38"/>
    <w:rsid w:val="00496E5D"/>
    <w:rsid w:val="00496FAE"/>
    <w:rsid w:val="0049713C"/>
    <w:rsid w:val="00497635"/>
    <w:rsid w:val="004979D1"/>
    <w:rsid w:val="00497B02"/>
    <w:rsid w:val="00497F27"/>
    <w:rsid w:val="00497F99"/>
    <w:rsid w:val="004A003A"/>
    <w:rsid w:val="004A012E"/>
    <w:rsid w:val="004A0499"/>
    <w:rsid w:val="004A13FB"/>
    <w:rsid w:val="004A1439"/>
    <w:rsid w:val="004A15EA"/>
    <w:rsid w:val="004A1627"/>
    <w:rsid w:val="004A1724"/>
    <w:rsid w:val="004A195C"/>
    <w:rsid w:val="004A1A46"/>
    <w:rsid w:val="004A1BEE"/>
    <w:rsid w:val="004A1D7B"/>
    <w:rsid w:val="004A1D9E"/>
    <w:rsid w:val="004A1F81"/>
    <w:rsid w:val="004A20A5"/>
    <w:rsid w:val="004A2134"/>
    <w:rsid w:val="004A25C1"/>
    <w:rsid w:val="004A2673"/>
    <w:rsid w:val="004A2E99"/>
    <w:rsid w:val="004A2FAC"/>
    <w:rsid w:val="004A3573"/>
    <w:rsid w:val="004A3605"/>
    <w:rsid w:val="004A3639"/>
    <w:rsid w:val="004A3B94"/>
    <w:rsid w:val="004A3DC7"/>
    <w:rsid w:val="004A3EBD"/>
    <w:rsid w:val="004A3FB4"/>
    <w:rsid w:val="004A3FFB"/>
    <w:rsid w:val="004A4211"/>
    <w:rsid w:val="004A4B6D"/>
    <w:rsid w:val="004A4BCE"/>
    <w:rsid w:val="004A4F52"/>
    <w:rsid w:val="004A510F"/>
    <w:rsid w:val="004A5750"/>
    <w:rsid w:val="004A597F"/>
    <w:rsid w:val="004A5EF0"/>
    <w:rsid w:val="004A6017"/>
    <w:rsid w:val="004A6293"/>
    <w:rsid w:val="004A629C"/>
    <w:rsid w:val="004A64A0"/>
    <w:rsid w:val="004A64D7"/>
    <w:rsid w:val="004A65E2"/>
    <w:rsid w:val="004A6DA1"/>
    <w:rsid w:val="004A710A"/>
    <w:rsid w:val="004A7ACE"/>
    <w:rsid w:val="004B0058"/>
    <w:rsid w:val="004B08D4"/>
    <w:rsid w:val="004B0CE3"/>
    <w:rsid w:val="004B0E82"/>
    <w:rsid w:val="004B1461"/>
    <w:rsid w:val="004B1498"/>
    <w:rsid w:val="004B1644"/>
    <w:rsid w:val="004B19E6"/>
    <w:rsid w:val="004B1A0F"/>
    <w:rsid w:val="004B1A23"/>
    <w:rsid w:val="004B1ABF"/>
    <w:rsid w:val="004B1F54"/>
    <w:rsid w:val="004B201B"/>
    <w:rsid w:val="004B2096"/>
    <w:rsid w:val="004B2DE6"/>
    <w:rsid w:val="004B3253"/>
    <w:rsid w:val="004B32E3"/>
    <w:rsid w:val="004B3562"/>
    <w:rsid w:val="004B3746"/>
    <w:rsid w:val="004B3824"/>
    <w:rsid w:val="004B3C22"/>
    <w:rsid w:val="004B3D90"/>
    <w:rsid w:val="004B3DE6"/>
    <w:rsid w:val="004B3E20"/>
    <w:rsid w:val="004B3F3F"/>
    <w:rsid w:val="004B4078"/>
    <w:rsid w:val="004B4B94"/>
    <w:rsid w:val="004B4BE2"/>
    <w:rsid w:val="004B4CA7"/>
    <w:rsid w:val="004B4EC4"/>
    <w:rsid w:val="004B4F1D"/>
    <w:rsid w:val="004B51F2"/>
    <w:rsid w:val="004B5230"/>
    <w:rsid w:val="004B5274"/>
    <w:rsid w:val="004B53A4"/>
    <w:rsid w:val="004B59B6"/>
    <w:rsid w:val="004B5C2C"/>
    <w:rsid w:val="004B5C95"/>
    <w:rsid w:val="004B5FDE"/>
    <w:rsid w:val="004B6372"/>
    <w:rsid w:val="004B6782"/>
    <w:rsid w:val="004B68ED"/>
    <w:rsid w:val="004B6973"/>
    <w:rsid w:val="004B6987"/>
    <w:rsid w:val="004B6A24"/>
    <w:rsid w:val="004B6C16"/>
    <w:rsid w:val="004B6E4A"/>
    <w:rsid w:val="004B724F"/>
    <w:rsid w:val="004B7285"/>
    <w:rsid w:val="004B74BE"/>
    <w:rsid w:val="004B75C2"/>
    <w:rsid w:val="004B7D16"/>
    <w:rsid w:val="004C08D5"/>
    <w:rsid w:val="004C0AAC"/>
    <w:rsid w:val="004C0D7E"/>
    <w:rsid w:val="004C0E3E"/>
    <w:rsid w:val="004C1022"/>
    <w:rsid w:val="004C12C8"/>
    <w:rsid w:val="004C13A4"/>
    <w:rsid w:val="004C175D"/>
    <w:rsid w:val="004C18C1"/>
    <w:rsid w:val="004C1AEE"/>
    <w:rsid w:val="004C1B0D"/>
    <w:rsid w:val="004C1BD4"/>
    <w:rsid w:val="004C1BDB"/>
    <w:rsid w:val="004C1FBA"/>
    <w:rsid w:val="004C2195"/>
    <w:rsid w:val="004C2B83"/>
    <w:rsid w:val="004C2CFE"/>
    <w:rsid w:val="004C30D4"/>
    <w:rsid w:val="004C3269"/>
    <w:rsid w:val="004C32D5"/>
    <w:rsid w:val="004C3556"/>
    <w:rsid w:val="004C3CB8"/>
    <w:rsid w:val="004C41D0"/>
    <w:rsid w:val="004C422A"/>
    <w:rsid w:val="004C43F3"/>
    <w:rsid w:val="004C4549"/>
    <w:rsid w:val="004C45D2"/>
    <w:rsid w:val="004C46F6"/>
    <w:rsid w:val="004C494C"/>
    <w:rsid w:val="004C49B0"/>
    <w:rsid w:val="004C4EE6"/>
    <w:rsid w:val="004C5058"/>
    <w:rsid w:val="004C515C"/>
    <w:rsid w:val="004C5249"/>
    <w:rsid w:val="004C54DC"/>
    <w:rsid w:val="004C5647"/>
    <w:rsid w:val="004C56E7"/>
    <w:rsid w:val="004C5725"/>
    <w:rsid w:val="004C59C5"/>
    <w:rsid w:val="004C5D08"/>
    <w:rsid w:val="004C5E8A"/>
    <w:rsid w:val="004C5F3E"/>
    <w:rsid w:val="004C6202"/>
    <w:rsid w:val="004C6316"/>
    <w:rsid w:val="004C63CB"/>
    <w:rsid w:val="004C6406"/>
    <w:rsid w:val="004C652C"/>
    <w:rsid w:val="004C6752"/>
    <w:rsid w:val="004C69AD"/>
    <w:rsid w:val="004C6A8B"/>
    <w:rsid w:val="004C6C47"/>
    <w:rsid w:val="004C6E3C"/>
    <w:rsid w:val="004C6E8A"/>
    <w:rsid w:val="004C7082"/>
    <w:rsid w:val="004C7479"/>
    <w:rsid w:val="004C74D9"/>
    <w:rsid w:val="004C75B5"/>
    <w:rsid w:val="004C7BDA"/>
    <w:rsid w:val="004C7E4F"/>
    <w:rsid w:val="004D0191"/>
    <w:rsid w:val="004D0266"/>
    <w:rsid w:val="004D031A"/>
    <w:rsid w:val="004D0818"/>
    <w:rsid w:val="004D08FF"/>
    <w:rsid w:val="004D0ADE"/>
    <w:rsid w:val="004D0AF9"/>
    <w:rsid w:val="004D0E67"/>
    <w:rsid w:val="004D0F1B"/>
    <w:rsid w:val="004D0FCE"/>
    <w:rsid w:val="004D10A4"/>
    <w:rsid w:val="004D127A"/>
    <w:rsid w:val="004D1508"/>
    <w:rsid w:val="004D18F8"/>
    <w:rsid w:val="004D194C"/>
    <w:rsid w:val="004D1978"/>
    <w:rsid w:val="004D19A3"/>
    <w:rsid w:val="004D1A6C"/>
    <w:rsid w:val="004D1A77"/>
    <w:rsid w:val="004D1C04"/>
    <w:rsid w:val="004D1C66"/>
    <w:rsid w:val="004D1C81"/>
    <w:rsid w:val="004D1D95"/>
    <w:rsid w:val="004D2055"/>
    <w:rsid w:val="004D20A4"/>
    <w:rsid w:val="004D23BC"/>
    <w:rsid w:val="004D274B"/>
    <w:rsid w:val="004D28CF"/>
    <w:rsid w:val="004D2C0A"/>
    <w:rsid w:val="004D2EE7"/>
    <w:rsid w:val="004D3120"/>
    <w:rsid w:val="004D3499"/>
    <w:rsid w:val="004D35E8"/>
    <w:rsid w:val="004D365F"/>
    <w:rsid w:val="004D39FE"/>
    <w:rsid w:val="004D3A94"/>
    <w:rsid w:val="004D3B64"/>
    <w:rsid w:val="004D3C82"/>
    <w:rsid w:val="004D3D3F"/>
    <w:rsid w:val="004D3FBF"/>
    <w:rsid w:val="004D428D"/>
    <w:rsid w:val="004D4896"/>
    <w:rsid w:val="004D4AA8"/>
    <w:rsid w:val="004D4AEB"/>
    <w:rsid w:val="004D4B88"/>
    <w:rsid w:val="004D4D23"/>
    <w:rsid w:val="004D4D4C"/>
    <w:rsid w:val="004D4FEC"/>
    <w:rsid w:val="004D5123"/>
    <w:rsid w:val="004D5305"/>
    <w:rsid w:val="004D552D"/>
    <w:rsid w:val="004D57B7"/>
    <w:rsid w:val="004D591A"/>
    <w:rsid w:val="004D5D67"/>
    <w:rsid w:val="004D5E06"/>
    <w:rsid w:val="004D6097"/>
    <w:rsid w:val="004D6288"/>
    <w:rsid w:val="004D62A7"/>
    <w:rsid w:val="004D62CC"/>
    <w:rsid w:val="004D6494"/>
    <w:rsid w:val="004D6D21"/>
    <w:rsid w:val="004D6D3B"/>
    <w:rsid w:val="004D743F"/>
    <w:rsid w:val="004D7A3B"/>
    <w:rsid w:val="004D7C43"/>
    <w:rsid w:val="004D7D13"/>
    <w:rsid w:val="004E006B"/>
    <w:rsid w:val="004E04F5"/>
    <w:rsid w:val="004E05CB"/>
    <w:rsid w:val="004E0801"/>
    <w:rsid w:val="004E0971"/>
    <w:rsid w:val="004E0CAF"/>
    <w:rsid w:val="004E0CD0"/>
    <w:rsid w:val="004E0FAD"/>
    <w:rsid w:val="004E1114"/>
    <w:rsid w:val="004E1581"/>
    <w:rsid w:val="004E190F"/>
    <w:rsid w:val="004E1B85"/>
    <w:rsid w:val="004E1C10"/>
    <w:rsid w:val="004E1D93"/>
    <w:rsid w:val="004E20A2"/>
    <w:rsid w:val="004E228E"/>
    <w:rsid w:val="004E2EF1"/>
    <w:rsid w:val="004E2FEA"/>
    <w:rsid w:val="004E3337"/>
    <w:rsid w:val="004E34E9"/>
    <w:rsid w:val="004E3512"/>
    <w:rsid w:val="004E3608"/>
    <w:rsid w:val="004E3669"/>
    <w:rsid w:val="004E3A42"/>
    <w:rsid w:val="004E3C17"/>
    <w:rsid w:val="004E403C"/>
    <w:rsid w:val="004E4065"/>
    <w:rsid w:val="004E4750"/>
    <w:rsid w:val="004E4825"/>
    <w:rsid w:val="004E4AEB"/>
    <w:rsid w:val="004E4E1C"/>
    <w:rsid w:val="004E4E49"/>
    <w:rsid w:val="004E5316"/>
    <w:rsid w:val="004E5C2D"/>
    <w:rsid w:val="004E5C6C"/>
    <w:rsid w:val="004E5F6F"/>
    <w:rsid w:val="004E63CD"/>
    <w:rsid w:val="004E6615"/>
    <w:rsid w:val="004E664B"/>
    <w:rsid w:val="004E6A51"/>
    <w:rsid w:val="004E6C8A"/>
    <w:rsid w:val="004E6D9A"/>
    <w:rsid w:val="004E6DC9"/>
    <w:rsid w:val="004E71E7"/>
    <w:rsid w:val="004E7296"/>
    <w:rsid w:val="004E753F"/>
    <w:rsid w:val="004E7934"/>
    <w:rsid w:val="004E7ABF"/>
    <w:rsid w:val="004F0367"/>
    <w:rsid w:val="004F0503"/>
    <w:rsid w:val="004F0948"/>
    <w:rsid w:val="004F0E94"/>
    <w:rsid w:val="004F1099"/>
    <w:rsid w:val="004F13BE"/>
    <w:rsid w:val="004F148A"/>
    <w:rsid w:val="004F14FF"/>
    <w:rsid w:val="004F16AF"/>
    <w:rsid w:val="004F1905"/>
    <w:rsid w:val="004F1A0B"/>
    <w:rsid w:val="004F1A19"/>
    <w:rsid w:val="004F1AB5"/>
    <w:rsid w:val="004F1C39"/>
    <w:rsid w:val="004F1D47"/>
    <w:rsid w:val="004F1D55"/>
    <w:rsid w:val="004F1D72"/>
    <w:rsid w:val="004F1FF8"/>
    <w:rsid w:val="004F211E"/>
    <w:rsid w:val="004F24C9"/>
    <w:rsid w:val="004F25CB"/>
    <w:rsid w:val="004F2692"/>
    <w:rsid w:val="004F26F2"/>
    <w:rsid w:val="004F2755"/>
    <w:rsid w:val="004F2E66"/>
    <w:rsid w:val="004F3091"/>
    <w:rsid w:val="004F3215"/>
    <w:rsid w:val="004F32B3"/>
    <w:rsid w:val="004F3670"/>
    <w:rsid w:val="004F388B"/>
    <w:rsid w:val="004F3899"/>
    <w:rsid w:val="004F3B8E"/>
    <w:rsid w:val="004F3CB0"/>
    <w:rsid w:val="004F4140"/>
    <w:rsid w:val="004F4247"/>
    <w:rsid w:val="004F42C9"/>
    <w:rsid w:val="004F496C"/>
    <w:rsid w:val="004F4AC5"/>
    <w:rsid w:val="004F4C5D"/>
    <w:rsid w:val="004F4EEF"/>
    <w:rsid w:val="004F4F9F"/>
    <w:rsid w:val="004F5592"/>
    <w:rsid w:val="004F567B"/>
    <w:rsid w:val="004F59FC"/>
    <w:rsid w:val="004F615E"/>
    <w:rsid w:val="004F6430"/>
    <w:rsid w:val="004F67A1"/>
    <w:rsid w:val="004F67D4"/>
    <w:rsid w:val="004F682C"/>
    <w:rsid w:val="004F685A"/>
    <w:rsid w:val="004F6FD2"/>
    <w:rsid w:val="004F741D"/>
    <w:rsid w:val="004F76AC"/>
    <w:rsid w:val="004F7880"/>
    <w:rsid w:val="004F7B97"/>
    <w:rsid w:val="004F7C70"/>
    <w:rsid w:val="00500563"/>
    <w:rsid w:val="0050060C"/>
    <w:rsid w:val="00500AC3"/>
    <w:rsid w:val="00500B49"/>
    <w:rsid w:val="00500D9E"/>
    <w:rsid w:val="00500ED6"/>
    <w:rsid w:val="005010A7"/>
    <w:rsid w:val="00501279"/>
    <w:rsid w:val="00501361"/>
    <w:rsid w:val="0050141E"/>
    <w:rsid w:val="00501D81"/>
    <w:rsid w:val="005021CE"/>
    <w:rsid w:val="00502278"/>
    <w:rsid w:val="005023DF"/>
    <w:rsid w:val="0050251D"/>
    <w:rsid w:val="0050255F"/>
    <w:rsid w:val="005027A8"/>
    <w:rsid w:val="00502AC6"/>
    <w:rsid w:val="00502B0D"/>
    <w:rsid w:val="00502FE0"/>
    <w:rsid w:val="0050301A"/>
    <w:rsid w:val="00503216"/>
    <w:rsid w:val="00503519"/>
    <w:rsid w:val="005036D4"/>
    <w:rsid w:val="005036D9"/>
    <w:rsid w:val="005036EB"/>
    <w:rsid w:val="00503A06"/>
    <w:rsid w:val="00503AFC"/>
    <w:rsid w:val="00503C97"/>
    <w:rsid w:val="00504217"/>
    <w:rsid w:val="0050426E"/>
    <w:rsid w:val="00504675"/>
    <w:rsid w:val="00504C4C"/>
    <w:rsid w:val="0050509D"/>
    <w:rsid w:val="005051F3"/>
    <w:rsid w:val="00505366"/>
    <w:rsid w:val="00505512"/>
    <w:rsid w:val="00505645"/>
    <w:rsid w:val="005056B8"/>
    <w:rsid w:val="005056F7"/>
    <w:rsid w:val="00505C78"/>
    <w:rsid w:val="00505F7B"/>
    <w:rsid w:val="005060A0"/>
    <w:rsid w:val="0050631D"/>
    <w:rsid w:val="00506846"/>
    <w:rsid w:val="00506DBD"/>
    <w:rsid w:val="005072A1"/>
    <w:rsid w:val="005072B6"/>
    <w:rsid w:val="00507368"/>
    <w:rsid w:val="005074CE"/>
    <w:rsid w:val="0050766B"/>
    <w:rsid w:val="005076BF"/>
    <w:rsid w:val="005078ED"/>
    <w:rsid w:val="00507BE0"/>
    <w:rsid w:val="00507CA0"/>
    <w:rsid w:val="00507CF9"/>
    <w:rsid w:val="00510253"/>
    <w:rsid w:val="00510560"/>
    <w:rsid w:val="005105BD"/>
    <w:rsid w:val="0051060F"/>
    <w:rsid w:val="0051083B"/>
    <w:rsid w:val="005108BA"/>
    <w:rsid w:val="00510901"/>
    <w:rsid w:val="00510C62"/>
    <w:rsid w:val="00510D22"/>
    <w:rsid w:val="00510DEB"/>
    <w:rsid w:val="00510EFF"/>
    <w:rsid w:val="00510FB1"/>
    <w:rsid w:val="00511125"/>
    <w:rsid w:val="0051112E"/>
    <w:rsid w:val="005114D8"/>
    <w:rsid w:val="00511849"/>
    <w:rsid w:val="00511FE0"/>
    <w:rsid w:val="0051201E"/>
    <w:rsid w:val="00512111"/>
    <w:rsid w:val="00512155"/>
    <w:rsid w:val="005123FB"/>
    <w:rsid w:val="0051241B"/>
    <w:rsid w:val="0051249E"/>
    <w:rsid w:val="00512857"/>
    <w:rsid w:val="00512B06"/>
    <w:rsid w:val="00512B77"/>
    <w:rsid w:val="00512CCE"/>
    <w:rsid w:val="00513272"/>
    <w:rsid w:val="0051342A"/>
    <w:rsid w:val="005136BB"/>
    <w:rsid w:val="00513904"/>
    <w:rsid w:val="0051397B"/>
    <w:rsid w:val="00513C8C"/>
    <w:rsid w:val="005140EC"/>
    <w:rsid w:val="005141E5"/>
    <w:rsid w:val="00514274"/>
    <w:rsid w:val="0051434F"/>
    <w:rsid w:val="00514728"/>
    <w:rsid w:val="0051491B"/>
    <w:rsid w:val="00514CC9"/>
    <w:rsid w:val="00515770"/>
    <w:rsid w:val="00515835"/>
    <w:rsid w:val="0051593A"/>
    <w:rsid w:val="0051597C"/>
    <w:rsid w:val="00515EFD"/>
    <w:rsid w:val="005160BB"/>
    <w:rsid w:val="00516391"/>
    <w:rsid w:val="005164EE"/>
    <w:rsid w:val="00516683"/>
    <w:rsid w:val="005168C8"/>
    <w:rsid w:val="00516919"/>
    <w:rsid w:val="00516B00"/>
    <w:rsid w:val="00516DAA"/>
    <w:rsid w:val="00516EE2"/>
    <w:rsid w:val="005170D3"/>
    <w:rsid w:val="005171F4"/>
    <w:rsid w:val="0051748F"/>
    <w:rsid w:val="00517496"/>
    <w:rsid w:val="00517802"/>
    <w:rsid w:val="0051785A"/>
    <w:rsid w:val="005178FB"/>
    <w:rsid w:val="005179F1"/>
    <w:rsid w:val="00517C13"/>
    <w:rsid w:val="005200CB"/>
    <w:rsid w:val="00520205"/>
    <w:rsid w:val="00520256"/>
    <w:rsid w:val="00520620"/>
    <w:rsid w:val="005206D1"/>
    <w:rsid w:val="0052093F"/>
    <w:rsid w:val="00520BCF"/>
    <w:rsid w:val="00520E07"/>
    <w:rsid w:val="00520F1C"/>
    <w:rsid w:val="00520FBA"/>
    <w:rsid w:val="00521035"/>
    <w:rsid w:val="00521226"/>
    <w:rsid w:val="005214E5"/>
    <w:rsid w:val="005216AD"/>
    <w:rsid w:val="00521A34"/>
    <w:rsid w:val="00522380"/>
    <w:rsid w:val="0052247D"/>
    <w:rsid w:val="00522FE4"/>
    <w:rsid w:val="0052309A"/>
    <w:rsid w:val="005231E8"/>
    <w:rsid w:val="005233C6"/>
    <w:rsid w:val="0052340D"/>
    <w:rsid w:val="00523430"/>
    <w:rsid w:val="00523998"/>
    <w:rsid w:val="005239D0"/>
    <w:rsid w:val="00523A29"/>
    <w:rsid w:val="00524015"/>
    <w:rsid w:val="005240C7"/>
    <w:rsid w:val="00524824"/>
    <w:rsid w:val="0052487C"/>
    <w:rsid w:val="00524B8E"/>
    <w:rsid w:val="00524C3B"/>
    <w:rsid w:val="00524C59"/>
    <w:rsid w:val="00524CEA"/>
    <w:rsid w:val="00525214"/>
    <w:rsid w:val="005255E2"/>
    <w:rsid w:val="005256CE"/>
    <w:rsid w:val="005257FD"/>
    <w:rsid w:val="005259F8"/>
    <w:rsid w:val="00525B9C"/>
    <w:rsid w:val="00525D5C"/>
    <w:rsid w:val="00525FFF"/>
    <w:rsid w:val="005260A9"/>
    <w:rsid w:val="005263FE"/>
    <w:rsid w:val="005265AA"/>
    <w:rsid w:val="005266F9"/>
    <w:rsid w:val="00526B63"/>
    <w:rsid w:val="00526B94"/>
    <w:rsid w:val="00526C31"/>
    <w:rsid w:val="00526DAE"/>
    <w:rsid w:val="005271C8"/>
    <w:rsid w:val="00527390"/>
    <w:rsid w:val="00527533"/>
    <w:rsid w:val="00527660"/>
    <w:rsid w:val="0052783C"/>
    <w:rsid w:val="0052798F"/>
    <w:rsid w:val="00527D70"/>
    <w:rsid w:val="00527E47"/>
    <w:rsid w:val="00527FD6"/>
    <w:rsid w:val="0053025E"/>
    <w:rsid w:val="0053045D"/>
    <w:rsid w:val="005304E6"/>
    <w:rsid w:val="0053065B"/>
    <w:rsid w:val="00530715"/>
    <w:rsid w:val="0053079C"/>
    <w:rsid w:val="00530855"/>
    <w:rsid w:val="00530A64"/>
    <w:rsid w:val="00530CD8"/>
    <w:rsid w:val="00530D1E"/>
    <w:rsid w:val="00530D89"/>
    <w:rsid w:val="00530D8D"/>
    <w:rsid w:val="0053134E"/>
    <w:rsid w:val="0053150A"/>
    <w:rsid w:val="005315AB"/>
    <w:rsid w:val="005315BB"/>
    <w:rsid w:val="005316C5"/>
    <w:rsid w:val="005318C6"/>
    <w:rsid w:val="005318E4"/>
    <w:rsid w:val="00531A54"/>
    <w:rsid w:val="00531BE5"/>
    <w:rsid w:val="00531DA8"/>
    <w:rsid w:val="00531F25"/>
    <w:rsid w:val="00532164"/>
    <w:rsid w:val="00532391"/>
    <w:rsid w:val="00532517"/>
    <w:rsid w:val="00532577"/>
    <w:rsid w:val="00532791"/>
    <w:rsid w:val="00532C2E"/>
    <w:rsid w:val="00532F6F"/>
    <w:rsid w:val="005330D9"/>
    <w:rsid w:val="0053317B"/>
    <w:rsid w:val="005333DA"/>
    <w:rsid w:val="005334A6"/>
    <w:rsid w:val="005334FD"/>
    <w:rsid w:val="005335B8"/>
    <w:rsid w:val="0053371A"/>
    <w:rsid w:val="0053382A"/>
    <w:rsid w:val="00533B88"/>
    <w:rsid w:val="00533BC4"/>
    <w:rsid w:val="00533E7B"/>
    <w:rsid w:val="0053400A"/>
    <w:rsid w:val="00534250"/>
    <w:rsid w:val="0053427D"/>
    <w:rsid w:val="0053429B"/>
    <w:rsid w:val="00534518"/>
    <w:rsid w:val="0053464F"/>
    <w:rsid w:val="005348B5"/>
    <w:rsid w:val="005348B8"/>
    <w:rsid w:val="00534A0F"/>
    <w:rsid w:val="00534B0C"/>
    <w:rsid w:val="00534C96"/>
    <w:rsid w:val="00534E32"/>
    <w:rsid w:val="005351DC"/>
    <w:rsid w:val="00535530"/>
    <w:rsid w:val="0053555A"/>
    <w:rsid w:val="005358D8"/>
    <w:rsid w:val="00535D46"/>
    <w:rsid w:val="00536115"/>
    <w:rsid w:val="00536173"/>
    <w:rsid w:val="005363CA"/>
    <w:rsid w:val="0053699B"/>
    <w:rsid w:val="00536A56"/>
    <w:rsid w:val="00536D87"/>
    <w:rsid w:val="005370F6"/>
    <w:rsid w:val="005374C4"/>
    <w:rsid w:val="005374EC"/>
    <w:rsid w:val="00537A4D"/>
    <w:rsid w:val="00537A8A"/>
    <w:rsid w:val="00537C21"/>
    <w:rsid w:val="00537FBA"/>
    <w:rsid w:val="005406D8"/>
    <w:rsid w:val="005407F1"/>
    <w:rsid w:val="00540975"/>
    <w:rsid w:val="005416FC"/>
    <w:rsid w:val="00541B2D"/>
    <w:rsid w:val="00541DFA"/>
    <w:rsid w:val="00541DFF"/>
    <w:rsid w:val="00542403"/>
    <w:rsid w:val="005424AF"/>
    <w:rsid w:val="005425D9"/>
    <w:rsid w:val="0054269D"/>
    <w:rsid w:val="005428EC"/>
    <w:rsid w:val="00542992"/>
    <w:rsid w:val="00542A2E"/>
    <w:rsid w:val="00542A79"/>
    <w:rsid w:val="00542D15"/>
    <w:rsid w:val="00543014"/>
    <w:rsid w:val="0054314C"/>
    <w:rsid w:val="0054326F"/>
    <w:rsid w:val="005438A9"/>
    <w:rsid w:val="0054397D"/>
    <w:rsid w:val="005439C1"/>
    <w:rsid w:val="00543B9D"/>
    <w:rsid w:val="00543BAC"/>
    <w:rsid w:val="00543BD1"/>
    <w:rsid w:val="00543CD9"/>
    <w:rsid w:val="00543F55"/>
    <w:rsid w:val="00544126"/>
    <w:rsid w:val="00544143"/>
    <w:rsid w:val="005445BD"/>
    <w:rsid w:val="0054462E"/>
    <w:rsid w:val="00544989"/>
    <w:rsid w:val="00544C90"/>
    <w:rsid w:val="00544D5C"/>
    <w:rsid w:val="00544D95"/>
    <w:rsid w:val="00544F8B"/>
    <w:rsid w:val="00545197"/>
    <w:rsid w:val="00545483"/>
    <w:rsid w:val="00545731"/>
    <w:rsid w:val="0054586B"/>
    <w:rsid w:val="00545A0B"/>
    <w:rsid w:val="00545C05"/>
    <w:rsid w:val="00546099"/>
    <w:rsid w:val="005461FB"/>
    <w:rsid w:val="005466B6"/>
    <w:rsid w:val="00546887"/>
    <w:rsid w:val="00546B14"/>
    <w:rsid w:val="00546FA3"/>
    <w:rsid w:val="00546FCC"/>
    <w:rsid w:val="0054723A"/>
    <w:rsid w:val="005475F2"/>
    <w:rsid w:val="00547680"/>
    <w:rsid w:val="005476E5"/>
    <w:rsid w:val="00547853"/>
    <w:rsid w:val="00547BE9"/>
    <w:rsid w:val="00547D8C"/>
    <w:rsid w:val="00547EDA"/>
    <w:rsid w:val="0055011B"/>
    <w:rsid w:val="005501B4"/>
    <w:rsid w:val="00550234"/>
    <w:rsid w:val="005503F8"/>
    <w:rsid w:val="005509BB"/>
    <w:rsid w:val="00550CAC"/>
    <w:rsid w:val="00550EDE"/>
    <w:rsid w:val="00550FC5"/>
    <w:rsid w:val="00551222"/>
    <w:rsid w:val="00551235"/>
    <w:rsid w:val="00551309"/>
    <w:rsid w:val="005516C3"/>
    <w:rsid w:val="00551A91"/>
    <w:rsid w:val="00551DD1"/>
    <w:rsid w:val="005521C7"/>
    <w:rsid w:val="00552495"/>
    <w:rsid w:val="005524D0"/>
    <w:rsid w:val="00552726"/>
    <w:rsid w:val="00552CE3"/>
    <w:rsid w:val="00552E2A"/>
    <w:rsid w:val="00552ED8"/>
    <w:rsid w:val="00552F79"/>
    <w:rsid w:val="00553271"/>
    <w:rsid w:val="0055360A"/>
    <w:rsid w:val="0055376B"/>
    <w:rsid w:val="00553796"/>
    <w:rsid w:val="005537CD"/>
    <w:rsid w:val="00553AFA"/>
    <w:rsid w:val="00553C40"/>
    <w:rsid w:val="00553EE2"/>
    <w:rsid w:val="0055414E"/>
    <w:rsid w:val="00554742"/>
    <w:rsid w:val="00554AB1"/>
    <w:rsid w:val="00554C01"/>
    <w:rsid w:val="00554D86"/>
    <w:rsid w:val="00554E62"/>
    <w:rsid w:val="0055530E"/>
    <w:rsid w:val="00555605"/>
    <w:rsid w:val="005558D8"/>
    <w:rsid w:val="00555C7F"/>
    <w:rsid w:val="00555CE5"/>
    <w:rsid w:val="00555D4B"/>
    <w:rsid w:val="005563E2"/>
    <w:rsid w:val="0055643F"/>
    <w:rsid w:val="0055699B"/>
    <w:rsid w:val="00556E18"/>
    <w:rsid w:val="00557336"/>
    <w:rsid w:val="00557857"/>
    <w:rsid w:val="0055799A"/>
    <w:rsid w:val="00557ABB"/>
    <w:rsid w:val="00557EC9"/>
    <w:rsid w:val="00557FF0"/>
    <w:rsid w:val="005600A8"/>
    <w:rsid w:val="00560212"/>
    <w:rsid w:val="005602D3"/>
    <w:rsid w:val="00560491"/>
    <w:rsid w:val="005605E5"/>
    <w:rsid w:val="00560712"/>
    <w:rsid w:val="005608C8"/>
    <w:rsid w:val="0056093A"/>
    <w:rsid w:val="00560AC6"/>
    <w:rsid w:val="00560C75"/>
    <w:rsid w:val="00560D21"/>
    <w:rsid w:val="00561066"/>
    <w:rsid w:val="005610EB"/>
    <w:rsid w:val="00561366"/>
    <w:rsid w:val="005613D9"/>
    <w:rsid w:val="005616DF"/>
    <w:rsid w:val="00561A6D"/>
    <w:rsid w:val="00561A9F"/>
    <w:rsid w:val="00561BBC"/>
    <w:rsid w:val="00561C05"/>
    <w:rsid w:val="0056207B"/>
    <w:rsid w:val="00562137"/>
    <w:rsid w:val="005622B1"/>
    <w:rsid w:val="005622DD"/>
    <w:rsid w:val="00562378"/>
    <w:rsid w:val="00562648"/>
    <w:rsid w:val="00562770"/>
    <w:rsid w:val="00562913"/>
    <w:rsid w:val="00562A96"/>
    <w:rsid w:val="00562AFE"/>
    <w:rsid w:val="00562C67"/>
    <w:rsid w:val="00562D46"/>
    <w:rsid w:val="00562DE1"/>
    <w:rsid w:val="00562E85"/>
    <w:rsid w:val="00562FBD"/>
    <w:rsid w:val="00563248"/>
    <w:rsid w:val="005632D4"/>
    <w:rsid w:val="00563376"/>
    <w:rsid w:val="0056356B"/>
    <w:rsid w:val="00563A0A"/>
    <w:rsid w:val="00563BBC"/>
    <w:rsid w:val="0056426D"/>
    <w:rsid w:val="00564434"/>
    <w:rsid w:val="00564749"/>
    <w:rsid w:val="00564C10"/>
    <w:rsid w:val="00564E43"/>
    <w:rsid w:val="005650DC"/>
    <w:rsid w:val="005652BA"/>
    <w:rsid w:val="0056587F"/>
    <w:rsid w:val="00565B52"/>
    <w:rsid w:val="00565CF7"/>
    <w:rsid w:val="00565EFD"/>
    <w:rsid w:val="0056611F"/>
    <w:rsid w:val="00566389"/>
    <w:rsid w:val="0056641A"/>
    <w:rsid w:val="005665E4"/>
    <w:rsid w:val="00566903"/>
    <w:rsid w:val="00566A03"/>
    <w:rsid w:val="00566A32"/>
    <w:rsid w:val="00566A84"/>
    <w:rsid w:val="00566E5A"/>
    <w:rsid w:val="00566EBB"/>
    <w:rsid w:val="00567070"/>
    <w:rsid w:val="00567191"/>
    <w:rsid w:val="0056736F"/>
    <w:rsid w:val="0056770F"/>
    <w:rsid w:val="00567982"/>
    <w:rsid w:val="00567A42"/>
    <w:rsid w:val="00567A55"/>
    <w:rsid w:val="00567EB3"/>
    <w:rsid w:val="0057007C"/>
    <w:rsid w:val="005700E0"/>
    <w:rsid w:val="005700E2"/>
    <w:rsid w:val="0057011F"/>
    <w:rsid w:val="00570153"/>
    <w:rsid w:val="00570159"/>
    <w:rsid w:val="0057030F"/>
    <w:rsid w:val="00570B20"/>
    <w:rsid w:val="00570CDA"/>
    <w:rsid w:val="0057102D"/>
    <w:rsid w:val="0057106F"/>
    <w:rsid w:val="0057127B"/>
    <w:rsid w:val="005712DD"/>
    <w:rsid w:val="00571593"/>
    <w:rsid w:val="00571617"/>
    <w:rsid w:val="00571798"/>
    <w:rsid w:val="0057198F"/>
    <w:rsid w:val="00571A01"/>
    <w:rsid w:val="00571AC4"/>
    <w:rsid w:val="00571D0B"/>
    <w:rsid w:val="00571F4B"/>
    <w:rsid w:val="00571FA7"/>
    <w:rsid w:val="00572034"/>
    <w:rsid w:val="00572293"/>
    <w:rsid w:val="00572332"/>
    <w:rsid w:val="005725E9"/>
    <w:rsid w:val="00572625"/>
    <w:rsid w:val="005728C7"/>
    <w:rsid w:val="005729E3"/>
    <w:rsid w:val="00572A67"/>
    <w:rsid w:val="00572B4D"/>
    <w:rsid w:val="00572C11"/>
    <w:rsid w:val="005731A3"/>
    <w:rsid w:val="005735B9"/>
    <w:rsid w:val="00573727"/>
    <w:rsid w:val="00573777"/>
    <w:rsid w:val="00573787"/>
    <w:rsid w:val="00573C63"/>
    <w:rsid w:val="00573F8C"/>
    <w:rsid w:val="00574034"/>
    <w:rsid w:val="005741C1"/>
    <w:rsid w:val="0057456B"/>
    <w:rsid w:val="005745E0"/>
    <w:rsid w:val="005746F9"/>
    <w:rsid w:val="00574A7B"/>
    <w:rsid w:val="00574EDA"/>
    <w:rsid w:val="00575052"/>
    <w:rsid w:val="005750F7"/>
    <w:rsid w:val="00575137"/>
    <w:rsid w:val="0057570A"/>
    <w:rsid w:val="0057570E"/>
    <w:rsid w:val="00576022"/>
    <w:rsid w:val="0057608A"/>
    <w:rsid w:val="0057623B"/>
    <w:rsid w:val="0057630C"/>
    <w:rsid w:val="005763F5"/>
    <w:rsid w:val="00576591"/>
    <w:rsid w:val="00576BEC"/>
    <w:rsid w:val="00576FC7"/>
    <w:rsid w:val="0057711C"/>
    <w:rsid w:val="0057760E"/>
    <w:rsid w:val="00577BDF"/>
    <w:rsid w:val="00577EB1"/>
    <w:rsid w:val="00580368"/>
    <w:rsid w:val="005804CF"/>
    <w:rsid w:val="005804D4"/>
    <w:rsid w:val="005806B5"/>
    <w:rsid w:val="0058078A"/>
    <w:rsid w:val="005807B2"/>
    <w:rsid w:val="005807C0"/>
    <w:rsid w:val="00580DE8"/>
    <w:rsid w:val="00580DF0"/>
    <w:rsid w:val="00580F11"/>
    <w:rsid w:val="005811F0"/>
    <w:rsid w:val="00581BA7"/>
    <w:rsid w:val="00581C48"/>
    <w:rsid w:val="00581DF2"/>
    <w:rsid w:val="00581E72"/>
    <w:rsid w:val="0058214F"/>
    <w:rsid w:val="005824CF"/>
    <w:rsid w:val="00582A32"/>
    <w:rsid w:val="00582C97"/>
    <w:rsid w:val="00582D66"/>
    <w:rsid w:val="00582E9D"/>
    <w:rsid w:val="005830FD"/>
    <w:rsid w:val="005831E2"/>
    <w:rsid w:val="00583420"/>
    <w:rsid w:val="005836C7"/>
    <w:rsid w:val="005837F2"/>
    <w:rsid w:val="005839AF"/>
    <w:rsid w:val="005839F8"/>
    <w:rsid w:val="00583B4B"/>
    <w:rsid w:val="00583F52"/>
    <w:rsid w:val="00583F80"/>
    <w:rsid w:val="005840DE"/>
    <w:rsid w:val="00584112"/>
    <w:rsid w:val="00584187"/>
    <w:rsid w:val="005841E9"/>
    <w:rsid w:val="0058421F"/>
    <w:rsid w:val="0058461D"/>
    <w:rsid w:val="005846F9"/>
    <w:rsid w:val="00584C0A"/>
    <w:rsid w:val="00584F41"/>
    <w:rsid w:val="00584FF1"/>
    <w:rsid w:val="0058545B"/>
    <w:rsid w:val="005856A0"/>
    <w:rsid w:val="00585969"/>
    <w:rsid w:val="00586A85"/>
    <w:rsid w:val="00586BAE"/>
    <w:rsid w:val="00586C18"/>
    <w:rsid w:val="00586C4C"/>
    <w:rsid w:val="00586CC5"/>
    <w:rsid w:val="00586D72"/>
    <w:rsid w:val="005870A2"/>
    <w:rsid w:val="00587A64"/>
    <w:rsid w:val="00590068"/>
    <w:rsid w:val="00590085"/>
    <w:rsid w:val="005901AF"/>
    <w:rsid w:val="005901B6"/>
    <w:rsid w:val="0059054C"/>
    <w:rsid w:val="00590863"/>
    <w:rsid w:val="005908C3"/>
    <w:rsid w:val="00590AAE"/>
    <w:rsid w:val="00590C6C"/>
    <w:rsid w:val="005910E0"/>
    <w:rsid w:val="005911CC"/>
    <w:rsid w:val="0059121F"/>
    <w:rsid w:val="005912B9"/>
    <w:rsid w:val="005913C9"/>
    <w:rsid w:val="0059183D"/>
    <w:rsid w:val="00591A42"/>
    <w:rsid w:val="00591C6F"/>
    <w:rsid w:val="00591D60"/>
    <w:rsid w:val="00591ED9"/>
    <w:rsid w:val="005923F9"/>
    <w:rsid w:val="005924C9"/>
    <w:rsid w:val="005924DF"/>
    <w:rsid w:val="00592792"/>
    <w:rsid w:val="005929DF"/>
    <w:rsid w:val="00592B50"/>
    <w:rsid w:val="005936C8"/>
    <w:rsid w:val="00593B4D"/>
    <w:rsid w:val="00593BA9"/>
    <w:rsid w:val="00593DC9"/>
    <w:rsid w:val="00593F32"/>
    <w:rsid w:val="0059412D"/>
    <w:rsid w:val="0059415F"/>
    <w:rsid w:val="00594378"/>
    <w:rsid w:val="00594661"/>
    <w:rsid w:val="005947DF"/>
    <w:rsid w:val="0059499B"/>
    <w:rsid w:val="00594AD2"/>
    <w:rsid w:val="00594BEF"/>
    <w:rsid w:val="00594D7E"/>
    <w:rsid w:val="00594EE0"/>
    <w:rsid w:val="005950F2"/>
    <w:rsid w:val="00595227"/>
    <w:rsid w:val="00595268"/>
    <w:rsid w:val="005952C7"/>
    <w:rsid w:val="00595510"/>
    <w:rsid w:val="00595679"/>
    <w:rsid w:val="005963DC"/>
    <w:rsid w:val="005965D8"/>
    <w:rsid w:val="00596C50"/>
    <w:rsid w:val="00596F7C"/>
    <w:rsid w:val="00597B5A"/>
    <w:rsid w:val="00597C61"/>
    <w:rsid w:val="00597FB0"/>
    <w:rsid w:val="005A0300"/>
    <w:rsid w:val="005A0351"/>
    <w:rsid w:val="005A0564"/>
    <w:rsid w:val="005A0693"/>
    <w:rsid w:val="005A07D6"/>
    <w:rsid w:val="005A07E8"/>
    <w:rsid w:val="005A0883"/>
    <w:rsid w:val="005A0A0C"/>
    <w:rsid w:val="005A0A54"/>
    <w:rsid w:val="005A0B2C"/>
    <w:rsid w:val="005A0F50"/>
    <w:rsid w:val="005A104C"/>
    <w:rsid w:val="005A132F"/>
    <w:rsid w:val="005A149D"/>
    <w:rsid w:val="005A14ED"/>
    <w:rsid w:val="005A1575"/>
    <w:rsid w:val="005A19E4"/>
    <w:rsid w:val="005A1BD5"/>
    <w:rsid w:val="005A1DE8"/>
    <w:rsid w:val="005A2063"/>
    <w:rsid w:val="005A2176"/>
    <w:rsid w:val="005A22F2"/>
    <w:rsid w:val="005A2386"/>
    <w:rsid w:val="005A24E1"/>
    <w:rsid w:val="005A2B44"/>
    <w:rsid w:val="005A33A8"/>
    <w:rsid w:val="005A33AC"/>
    <w:rsid w:val="005A3A5C"/>
    <w:rsid w:val="005A3D73"/>
    <w:rsid w:val="005A4018"/>
    <w:rsid w:val="005A403F"/>
    <w:rsid w:val="005A472F"/>
    <w:rsid w:val="005A47F5"/>
    <w:rsid w:val="005A4901"/>
    <w:rsid w:val="005A4CDB"/>
    <w:rsid w:val="005A527A"/>
    <w:rsid w:val="005A5493"/>
    <w:rsid w:val="005A5751"/>
    <w:rsid w:val="005A5B36"/>
    <w:rsid w:val="005A62A6"/>
    <w:rsid w:val="005A64C1"/>
    <w:rsid w:val="005A6659"/>
    <w:rsid w:val="005A6B23"/>
    <w:rsid w:val="005A6B31"/>
    <w:rsid w:val="005A6B64"/>
    <w:rsid w:val="005A6C32"/>
    <w:rsid w:val="005A6CEE"/>
    <w:rsid w:val="005A6E56"/>
    <w:rsid w:val="005A70E5"/>
    <w:rsid w:val="005A72E8"/>
    <w:rsid w:val="005A7423"/>
    <w:rsid w:val="005A745F"/>
    <w:rsid w:val="005A758F"/>
    <w:rsid w:val="005A76EB"/>
    <w:rsid w:val="005A77EF"/>
    <w:rsid w:val="005A7DEB"/>
    <w:rsid w:val="005B00B1"/>
    <w:rsid w:val="005B00E1"/>
    <w:rsid w:val="005B01DA"/>
    <w:rsid w:val="005B0212"/>
    <w:rsid w:val="005B0686"/>
    <w:rsid w:val="005B076F"/>
    <w:rsid w:val="005B095F"/>
    <w:rsid w:val="005B0987"/>
    <w:rsid w:val="005B0D13"/>
    <w:rsid w:val="005B0D23"/>
    <w:rsid w:val="005B0E55"/>
    <w:rsid w:val="005B0F02"/>
    <w:rsid w:val="005B112D"/>
    <w:rsid w:val="005B1895"/>
    <w:rsid w:val="005B1C38"/>
    <w:rsid w:val="005B1C59"/>
    <w:rsid w:val="005B1FFC"/>
    <w:rsid w:val="005B2015"/>
    <w:rsid w:val="005B203E"/>
    <w:rsid w:val="005B237E"/>
    <w:rsid w:val="005B23BB"/>
    <w:rsid w:val="005B26D5"/>
    <w:rsid w:val="005B2A56"/>
    <w:rsid w:val="005B304F"/>
    <w:rsid w:val="005B3060"/>
    <w:rsid w:val="005B3136"/>
    <w:rsid w:val="005B339E"/>
    <w:rsid w:val="005B33A5"/>
    <w:rsid w:val="005B349B"/>
    <w:rsid w:val="005B35FF"/>
    <w:rsid w:val="005B379C"/>
    <w:rsid w:val="005B3B61"/>
    <w:rsid w:val="005B3D4A"/>
    <w:rsid w:val="005B3EFE"/>
    <w:rsid w:val="005B41CB"/>
    <w:rsid w:val="005B4675"/>
    <w:rsid w:val="005B49C0"/>
    <w:rsid w:val="005B4BA5"/>
    <w:rsid w:val="005B52FC"/>
    <w:rsid w:val="005B5345"/>
    <w:rsid w:val="005B546B"/>
    <w:rsid w:val="005B556B"/>
    <w:rsid w:val="005B566A"/>
    <w:rsid w:val="005B5758"/>
    <w:rsid w:val="005B5919"/>
    <w:rsid w:val="005B593C"/>
    <w:rsid w:val="005B59E5"/>
    <w:rsid w:val="005B59F7"/>
    <w:rsid w:val="005B5D0E"/>
    <w:rsid w:val="005B60D7"/>
    <w:rsid w:val="005B6476"/>
    <w:rsid w:val="005B70D4"/>
    <w:rsid w:val="005B7304"/>
    <w:rsid w:val="005B778B"/>
    <w:rsid w:val="005B7B05"/>
    <w:rsid w:val="005B7BD9"/>
    <w:rsid w:val="005B7EA7"/>
    <w:rsid w:val="005C03C7"/>
    <w:rsid w:val="005C045A"/>
    <w:rsid w:val="005C08CE"/>
    <w:rsid w:val="005C0BB6"/>
    <w:rsid w:val="005C0D33"/>
    <w:rsid w:val="005C0D91"/>
    <w:rsid w:val="005C0F8D"/>
    <w:rsid w:val="005C1116"/>
    <w:rsid w:val="005C1145"/>
    <w:rsid w:val="005C11CF"/>
    <w:rsid w:val="005C1D60"/>
    <w:rsid w:val="005C1F53"/>
    <w:rsid w:val="005C2355"/>
    <w:rsid w:val="005C249F"/>
    <w:rsid w:val="005C2688"/>
    <w:rsid w:val="005C2A83"/>
    <w:rsid w:val="005C2D77"/>
    <w:rsid w:val="005C2DD0"/>
    <w:rsid w:val="005C2FD7"/>
    <w:rsid w:val="005C35B3"/>
    <w:rsid w:val="005C35B6"/>
    <w:rsid w:val="005C3910"/>
    <w:rsid w:val="005C3A94"/>
    <w:rsid w:val="005C3BC4"/>
    <w:rsid w:val="005C3BDF"/>
    <w:rsid w:val="005C4486"/>
    <w:rsid w:val="005C5094"/>
    <w:rsid w:val="005C544E"/>
    <w:rsid w:val="005C56C3"/>
    <w:rsid w:val="005C5777"/>
    <w:rsid w:val="005C5828"/>
    <w:rsid w:val="005C5872"/>
    <w:rsid w:val="005C5CE4"/>
    <w:rsid w:val="005C5DFB"/>
    <w:rsid w:val="005C5F7E"/>
    <w:rsid w:val="005C5F87"/>
    <w:rsid w:val="005C6380"/>
    <w:rsid w:val="005C64D9"/>
    <w:rsid w:val="005C6864"/>
    <w:rsid w:val="005C6910"/>
    <w:rsid w:val="005C7496"/>
    <w:rsid w:val="005C74D3"/>
    <w:rsid w:val="005C75E2"/>
    <w:rsid w:val="005C76F4"/>
    <w:rsid w:val="005C77FA"/>
    <w:rsid w:val="005C7960"/>
    <w:rsid w:val="005C7B06"/>
    <w:rsid w:val="005C7CB2"/>
    <w:rsid w:val="005C7CE9"/>
    <w:rsid w:val="005C7EB0"/>
    <w:rsid w:val="005C7F46"/>
    <w:rsid w:val="005C7F59"/>
    <w:rsid w:val="005D00DB"/>
    <w:rsid w:val="005D0932"/>
    <w:rsid w:val="005D09E2"/>
    <w:rsid w:val="005D0A2E"/>
    <w:rsid w:val="005D0B6F"/>
    <w:rsid w:val="005D139A"/>
    <w:rsid w:val="005D17BE"/>
    <w:rsid w:val="005D192B"/>
    <w:rsid w:val="005D1A17"/>
    <w:rsid w:val="005D1E0F"/>
    <w:rsid w:val="005D2164"/>
    <w:rsid w:val="005D223C"/>
    <w:rsid w:val="005D2864"/>
    <w:rsid w:val="005D295E"/>
    <w:rsid w:val="005D29B4"/>
    <w:rsid w:val="005D2CCB"/>
    <w:rsid w:val="005D3B2F"/>
    <w:rsid w:val="005D3E16"/>
    <w:rsid w:val="005D43EA"/>
    <w:rsid w:val="005D444A"/>
    <w:rsid w:val="005D45EE"/>
    <w:rsid w:val="005D47CF"/>
    <w:rsid w:val="005D487D"/>
    <w:rsid w:val="005D4C48"/>
    <w:rsid w:val="005D4CD5"/>
    <w:rsid w:val="005D5080"/>
    <w:rsid w:val="005D5592"/>
    <w:rsid w:val="005D5A5B"/>
    <w:rsid w:val="005D5EEF"/>
    <w:rsid w:val="005D62E8"/>
    <w:rsid w:val="005D6316"/>
    <w:rsid w:val="005D64A6"/>
    <w:rsid w:val="005D6678"/>
    <w:rsid w:val="005D66DB"/>
    <w:rsid w:val="005D687E"/>
    <w:rsid w:val="005D6B65"/>
    <w:rsid w:val="005D6B66"/>
    <w:rsid w:val="005D700B"/>
    <w:rsid w:val="005D7224"/>
    <w:rsid w:val="005D731F"/>
    <w:rsid w:val="005D74D0"/>
    <w:rsid w:val="005D7858"/>
    <w:rsid w:val="005D793F"/>
    <w:rsid w:val="005D7CAC"/>
    <w:rsid w:val="005D7DCF"/>
    <w:rsid w:val="005D7E2C"/>
    <w:rsid w:val="005E025E"/>
    <w:rsid w:val="005E0289"/>
    <w:rsid w:val="005E04F3"/>
    <w:rsid w:val="005E0687"/>
    <w:rsid w:val="005E06BD"/>
    <w:rsid w:val="005E0721"/>
    <w:rsid w:val="005E087B"/>
    <w:rsid w:val="005E0B93"/>
    <w:rsid w:val="005E0C11"/>
    <w:rsid w:val="005E0C2D"/>
    <w:rsid w:val="005E0D66"/>
    <w:rsid w:val="005E0EDD"/>
    <w:rsid w:val="005E1004"/>
    <w:rsid w:val="005E1136"/>
    <w:rsid w:val="005E12C4"/>
    <w:rsid w:val="005E1318"/>
    <w:rsid w:val="005E1353"/>
    <w:rsid w:val="005E13F7"/>
    <w:rsid w:val="005E1433"/>
    <w:rsid w:val="005E14FB"/>
    <w:rsid w:val="005E153E"/>
    <w:rsid w:val="005E1A6A"/>
    <w:rsid w:val="005E1B90"/>
    <w:rsid w:val="005E1C35"/>
    <w:rsid w:val="005E1DAD"/>
    <w:rsid w:val="005E1DD6"/>
    <w:rsid w:val="005E1F47"/>
    <w:rsid w:val="005E208E"/>
    <w:rsid w:val="005E227D"/>
    <w:rsid w:val="005E3049"/>
    <w:rsid w:val="005E3322"/>
    <w:rsid w:val="005E347C"/>
    <w:rsid w:val="005E34DC"/>
    <w:rsid w:val="005E35CC"/>
    <w:rsid w:val="005E36F4"/>
    <w:rsid w:val="005E3910"/>
    <w:rsid w:val="005E3B28"/>
    <w:rsid w:val="005E3B9E"/>
    <w:rsid w:val="005E3F67"/>
    <w:rsid w:val="005E44D3"/>
    <w:rsid w:val="005E4536"/>
    <w:rsid w:val="005E4622"/>
    <w:rsid w:val="005E4C17"/>
    <w:rsid w:val="005E4E76"/>
    <w:rsid w:val="005E4E9F"/>
    <w:rsid w:val="005E55AC"/>
    <w:rsid w:val="005E57A4"/>
    <w:rsid w:val="005E5A60"/>
    <w:rsid w:val="005E5EDA"/>
    <w:rsid w:val="005E6074"/>
    <w:rsid w:val="005E647D"/>
    <w:rsid w:val="005E6E0E"/>
    <w:rsid w:val="005E6EE8"/>
    <w:rsid w:val="005E727D"/>
    <w:rsid w:val="005E72FE"/>
    <w:rsid w:val="005E766D"/>
    <w:rsid w:val="005E7768"/>
    <w:rsid w:val="005E79BB"/>
    <w:rsid w:val="005E7BB6"/>
    <w:rsid w:val="005E7C60"/>
    <w:rsid w:val="005E7DF8"/>
    <w:rsid w:val="005E7E27"/>
    <w:rsid w:val="005E7FEC"/>
    <w:rsid w:val="005F00B5"/>
    <w:rsid w:val="005F0289"/>
    <w:rsid w:val="005F153B"/>
    <w:rsid w:val="005F1706"/>
    <w:rsid w:val="005F1711"/>
    <w:rsid w:val="005F19AB"/>
    <w:rsid w:val="005F1C79"/>
    <w:rsid w:val="005F1E46"/>
    <w:rsid w:val="005F2400"/>
    <w:rsid w:val="005F2433"/>
    <w:rsid w:val="005F24A3"/>
    <w:rsid w:val="005F284E"/>
    <w:rsid w:val="005F290C"/>
    <w:rsid w:val="005F2C7A"/>
    <w:rsid w:val="005F2D4D"/>
    <w:rsid w:val="005F35F2"/>
    <w:rsid w:val="005F367C"/>
    <w:rsid w:val="005F37BA"/>
    <w:rsid w:val="005F38AA"/>
    <w:rsid w:val="005F398E"/>
    <w:rsid w:val="005F3B64"/>
    <w:rsid w:val="005F3D29"/>
    <w:rsid w:val="005F3D66"/>
    <w:rsid w:val="005F401E"/>
    <w:rsid w:val="005F4184"/>
    <w:rsid w:val="005F4458"/>
    <w:rsid w:val="005F44D6"/>
    <w:rsid w:val="005F523B"/>
    <w:rsid w:val="005F540F"/>
    <w:rsid w:val="005F5846"/>
    <w:rsid w:val="005F59DE"/>
    <w:rsid w:val="005F5A85"/>
    <w:rsid w:val="005F5AB8"/>
    <w:rsid w:val="005F657C"/>
    <w:rsid w:val="005F672E"/>
    <w:rsid w:val="005F6895"/>
    <w:rsid w:val="005F6B6D"/>
    <w:rsid w:val="005F6CD9"/>
    <w:rsid w:val="005F6EAF"/>
    <w:rsid w:val="005F6EFC"/>
    <w:rsid w:val="005F7655"/>
    <w:rsid w:val="005F7A14"/>
    <w:rsid w:val="005F7A70"/>
    <w:rsid w:val="005F7A9D"/>
    <w:rsid w:val="005F7B00"/>
    <w:rsid w:val="006001A9"/>
    <w:rsid w:val="00600315"/>
    <w:rsid w:val="006003C6"/>
    <w:rsid w:val="006003C7"/>
    <w:rsid w:val="006006EE"/>
    <w:rsid w:val="00600E96"/>
    <w:rsid w:val="00600FEA"/>
    <w:rsid w:val="006011B2"/>
    <w:rsid w:val="006015D8"/>
    <w:rsid w:val="00601778"/>
    <w:rsid w:val="00601A46"/>
    <w:rsid w:val="0060209A"/>
    <w:rsid w:val="006024AB"/>
    <w:rsid w:val="00602731"/>
    <w:rsid w:val="006027B9"/>
    <w:rsid w:val="00602C17"/>
    <w:rsid w:val="00603394"/>
    <w:rsid w:val="0060374B"/>
    <w:rsid w:val="006037E8"/>
    <w:rsid w:val="0060391F"/>
    <w:rsid w:val="00603A77"/>
    <w:rsid w:val="00604799"/>
    <w:rsid w:val="00604E39"/>
    <w:rsid w:val="00604F5E"/>
    <w:rsid w:val="00605CCE"/>
    <w:rsid w:val="0060600C"/>
    <w:rsid w:val="00606112"/>
    <w:rsid w:val="00606119"/>
    <w:rsid w:val="00606231"/>
    <w:rsid w:val="0060668D"/>
    <w:rsid w:val="006066A5"/>
    <w:rsid w:val="00606D67"/>
    <w:rsid w:val="00606D75"/>
    <w:rsid w:val="00606F0E"/>
    <w:rsid w:val="00607130"/>
    <w:rsid w:val="00607499"/>
    <w:rsid w:val="00607594"/>
    <w:rsid w:val="006077C1"/>
    <w:rsid w:val="006077C5"/>
    <w:rsid w:val="00607A32"/>
    <w:rsid w:val="00607CF8"/>
    <w:rsid w:val="00607FF1"/>
    <w:rsid w:val="00610300"/>
    <w:rsid w:val="006104F5"/>
    <w:rsid w:val="00610787"/>
    <w:rsid w:val="006107DD"/>
    <w:rsid w:val="006109AB"/>
    <w:rsid w:val="00610A31"/>
    <w:rsid w:val="00610A39"/>
    <w:rsid w:val="00610B03"/>
    <w:rsid w:val="00610FF1"/>
    <w:rsid w:val="00611037"/>
    <w:rsid w:val="00611066"/>
    <w:rsid w:val="00611BAB"/>
    <w:rsid w:val="0061254E"/>
    <w:rsid w:val="0061257E"/>
    <w:rsid w:val="0061267B"/>
    <w:rsid w:val="006127A7"/>
    <w:rsid w:val="006129EA"/>
    <w:rsid w:val="00612ABF"/>
    <w:rsid w:val="00612D30"/>
    <w:rsid w:val="00612E04"/>
    <w:rsid w:val="00612ECD"/>
    <w:rsid w:val="00612F10"/>
    <w:rsid w:val="00612F5C"/>
    <w:rsid w:val="00613033"/>
    <w:rsid w:val="006130AC"/>
    <w:rsid w:val="006131B6"/>
    <w:rsid w:val="006133FE"/>
    <w:rsid w:val="00613A23"/>
    <w:rsid w:val="00613EB5"/>
    <w:rsid w:val="00613EBD"/>
    <w:rsid w:val="00613F35"/>
    <w:rsid w:val="00614353"/>
    <w:rsid w:val="00614677"/>
    <w:rsid w:val="006146E6"/>
    <w:rsid w:val="00614737"/>
    <w:rsid w:val="0061497C"/>
    <w:rsid w:val="00614A55"/>
    <w:rsid w:val="00614A5C"/>
    <w:rsid w:val="00614E64"/>
    <w:rsid w:val="00615B91"/>
    <w:rsid w:val="00615D8C"/>
    <w:rsid w:val="00615F17"/>
    <w:rsid w:val="00615F51"/>
    <w:rsid w:val="00616044"/>
    <w:rsid w:val="00616571"/>
    <w:rsid w:val="00616953"/>
    <w:rsid w:val="00616BDF"/>
    <w:rsid w:val="00616C21"/>
    <w:rsid w:val="00616ED3"/>
    <w:rsid w:val="00617100"/>
    <w:rsid w:val="00617305"/>
    <w:rsid w:val="00617505"/>
    <w:rsid w:val="00617605"/>
    <w:rsid w:val="00617805"/>
    <w:rsid w:val="00617A04"/>
    <w:rsid w:val="00617A42"/>
    <w:rsid w:val="00620019"/>
    <w:rsid w:val="00620020"/>
    <w:rsid w:val="00620143"/>
    <w:rsid w:val="00620B7E"/>
    <w:rsid w:val="00620B94"/>
    <w:rsid w:val="00620ED5"/>
    <w:rsid w:val="006213C3"/>
    <w:rsid w:val="006216C8"/>
    <w:rsid w:val="006216E9"/>
    <w:rsid w:val="00621BB7"/>
    <w:rsid w:val="00621C14"/>
    <w:rsid w:val="00621C31"/>
    <w:rsid w:val="00621EFC"/>
    <w:rsid w:val="0062226C"/>
    <w:rsid w:val="0062229F"/>
    <w:rsid w:val="00622674"/>
    <w:rsid w:val="006226F9"/>
    <w:rsid w:val="00622FFD"/>
    <w:rsid w:val="0062301E"/>
    <w:rsid w:val="0062312C"/>
    <w:rsid w:val="006233E2"/>
    <w:rsid w:val="006233F7"/>
    <w:rsid w:val="00623E09"/>
    <w:rsid w:val="00623E77"/>
    <w:rsid w:val="0062416D"/>
    <w:rsid w:val="006243C1"/>
    <w:rsid w:val="006244C5"/>
    <w:rsid w:val="006244EE"/>
    <w:rsid w:val="006246BE"/>
    <w:rsid w:val="006246EF"/>
    <w:rsid w:val="006248A3"/>
    <w:rsid w:val="006249BD"/>
    <w:rsid w:val="00624F9F"/>
    <w:rsid w:val="0062527F"/>
    <w:rsid w:val="00625283"/>
    <w:rsid w:val="006252AB"/>
    <w:rsid w:val="00625440"/>
    <w:rsid w:val="006254A4"/>
    <w:rsid w:val="00625B61"/>
    <w:rsid w:val="00625F65"/>
    <w:rsid w:val="006260BC"/>
    <w:rsid w:val="006264D0"/>
    <w:rsid w:val="00626B1F"/>
    <w:rsid w:val="00626D01"/>
    <w:rsid w:val="00627078"/>
    <w:rsid w:val="0062714E"/>
    <w:rsid w:val="00627386"/>
    <w:rsid w:val="00627A8D"/>
    <w:rsid w:val="00627AD8"/>
    <w:rsid w:val="00627BC1"/>
    <w:rsid w:val="00627D4A"/>
    <w:rsid w:val="00627F8A"/>
    <w:rsid w:val="006300F0"/>
    <w:rsid w:val="006301AD"/>
    <w:rsid w:val="0063025C"/>
    <w:rsid w:val="0063032E"/>
    <w:rsid w:val="00630700"/>
    <w:rsid w:val="0063085B"/>
    <w:rsid w:val="00630B71"/>
    <w:rsid w:val="00630D35"/>
    <w:rsid w:val="00630F1E"/>
    <w:rsid w:val="00631172"/>
    <w:rsid w:val="00631564"/>
    <w:rsid w:val="00631655"/>
    <w:rsid w:val="0063170C"/>
    <w:rsid w:val="00631FAC"/>
    <w:rsid w:val="0063209C"/>
    <w:rsid w:val="00632585"/>
    <w:rsid w:val="00632ABF"/>
    <w:rsid w:val="00632C5F"/>
    <w:rsid w:val="00632D14"/>
    <w:rsid w:val="00633345"/>
    <w:rsid w:val="006334E6"/>
    <w:rsid w:val="006334F4"/>
    <w:rsid w:val="00633573"/>
    <w:rsid w:val="0063379C"/>
    <w:rsid w:val="00633D0B"/>
    <w:rsid w:val="0063411C"/>
    <w:rsid w:val="00634373"/>
    <w:rsid w:val="0063456F"/>
    <w:rsid w:val="006348EB"/>
    <w:rsid w:val="00634963"/>
    <w:rsid w:val="006349DD"/>
    <w:rsid w:val="00634A09"/>
    <w:rsid w:val="00634CDA"/>
    <w:rsid w:val="00635421"/>
    <w:rsid w:val="006359C8"/>
    <w:rsid w:val="00635B10"/>
    <w:rsid w:val="00635B69"/>
    <w:rsid w:val="00635C41"/>
    <w:rsid w:val="00635D08"/>
    <w:rsid w:val="006368CE"/>
    <w:rsid w:val="00636CFF"/>
    <w:rsid w:val="00637033"/>
    <w:rsid w:val="0063732D"/>
    <w:rsid w:val="0063781B"/>
    <w:rsid w:val="00637B2B"/>
    <w:rsid w:val="00637BF7"/>
    <w:rsid w:val="00637DCE"/>
    <w:rsid w:val="006400CB"/>
    <w:rsid w:val="00640A38"/>
    <w:rsid w:val="00640AC7"/>
    <w:rsid w:val="00640AF0"/>
    <w:rsid w:val="00640E74"/>
    <w:rsid w:val="00640E8C"/>
    <w:rsid w:val="00640EBC"/>
    <w:rsid w:val="00640FDE"/>
    <w:rsid w:val="00641045"/>
    <w:rsid w:val="00641051"/>
    <w:rsid w:val="0064147D"/>
    <w:rsid w:val="006415AC"/>
    <w:rsid w:val="00641A80"/>
    <w:rsid w:val="00641B60"/>
    <w:rsid w:val="00642074"/>
    <w:rsid w:val="006425A0"/>
    <w:rsid w:val="006425BA"/>
    <w:rsid w:val="00642964"/>
    <w:rsid w:val="00642B8B"/>
    <w:rsid w:val="00642C7E"/>
    <w:rsid w:val="00642F78"/>
    <w:rsid w:val="00643177"/>
    <w:rsid w:val="006431F6"/>
    <w:rsid w:val="006433BF"/>
    <w:rsid w:val="00643408"/>
    <w:rsid w:val="006438EF"/>
    <w:rsid w:val="00643965"/>
    <w:rsid w:val="00643A8D"/>
    <w:rsid w:val="00643BEB"/>
    <w:rsid w:val="00643DA2"/>
    <w:rsid w:val="00643E0F"/>
    <w:rsid w:val="00644438"/>
    <w:rsid w:val="006447A1"/>
    <w:rsid w:val="006449FF"/>
    <w:rsid w:val="00644A40"/>
    <w:rsid w:val="00644B55"/>
    <w:rsid w:val="00644BAE"/>
    <w:rsid w:val="0064506E"/>
    <w:rsid w:val="006450DB"/>
    <w:rsid w:val="006454D4"/>
    <w:rsid w:val="006455A1"/>
    <w:rsid w:val="00645938"/>
    <w:rsid w:val="00645B80"/>
    <w:rsid w:val="00645C76"/>
    <w:rsid w:val="00645D4A"/>
    <w:rsid w:val="00645E18"/>
    <w:rsid w:val="00645F18"/>
    <w:rsid w:val="00645FF7"/>
    <w:rsid w:val="00646544"/>
    <w:rsid w:val="006467CF"/>
    <w:rsid w:val="0064693D"/>
    <w:rsid w:val="00646C6A"/>
    <w:rsid w:val="0064706D"/>
    <w:rsid w:val="0064732D"/>
    <w:rsid w:val="0064750A"/>
    <w:rsid w:val="00647706"/>
    <w:rsid w:val="00647C3A"/>
    <w:rsid w:val="00647D7E"/>
    <w:rsid w:val="006500B2"/>
    <w:rsid w:val="006501CC"/>
    <w:rsid w:val="00650672"/>
    <w:rsid w:val="006509CF"/>
    <w:rsid w:val="00650D2E"/>
    <w:rsid w:val="00650D51"/>
    <w:rsid w:val="0065124D"/>
    <w:rsid w:val="00651669"/>
    <w:rsid w:val="00651C1E"/>
    <w:rsid w:val="00651C73"/>
    <w:rsid w:val="006520BF"/>
    <w:rsid w:val="0065217A"/>
    <w:rsid w:val="0065217B"/>
    <w:rsid w:val="006521AA"/>
    <w:rsid w:val="00652327"/>
    <w:rsid w:val="006523D1"/>
    <w:rsid w:val="006525F7"/>
    <w:rsid w:val="00652603"/>
    <w:rsid w:val="00652A19"/>
    <w:rsid w:val="00652ABE"/>
    <w:rsid w:val="00652C30"/>
    <w:rsid w:val="006530B7"/>
    <w:rsid w:val="0065315E"/>
    <w:rsid w:val="006531B7"/>
    <w:rsid w:val="006536FE"/>
    <w:rsid w:val="00653AE0"/>
    <w:rsid w:val="00653B88"/>
    <w:rsid w:val="00653DD9"/>
    <w:rsid w:val="00653FA8"/>
    <w:rsid w:val="0065469E"/>
    <w:rsid w:val="00654E67"/>
    <w:rsid w:val="006552C1"/>
    <w:rsid w:val="0065567F"/>
    <w:rsid w:val="00655AC6"/>
    <w:rsid w:val="00655D9F"/>
    <w:rsid w:val="00655E87"/>
    <w:rsid w:val="00655E95"/>
    <w:rsid w:val="00655E96"/>
    <w:rsid w:val="00656260"/>
    <w:rsid w:val="00656562"/>
    <w:rsid w:val="006565BF"/>
    <w:rsid w:val="00656605"/>
    <w:rsid w:val="006567D3"/>
    <w:rsid w:val="00656A7C"/>
    <w:rsid w:val="00656AE5"/>
    <w:rsid w:val="00656DE0"/>
    <w:rsid w:val="0065700C"/>
    <w:rsid w:val="006570A7"/>
    <w:rsid w:val="00657223"/>
    <w:rsid w:val="0065722D"/>
    <w:rsid w:val="006573AB"/>
    <w:rsid w:val="0065748E"/>
    <w:rsid w:val="0065773F"/>
    <w:rsid w:val="00657B19"/>
    <w:rsid w:val="00657D7F"/>
    <w:rsid w:val="00657F25"/>
    <w:rsid w:val="0066005E"/>
    <w:rsid w:val="006601DD"/>
    <w:rsid w:val="0066066A"/>
    <w:rsid w:val="0066070B"/>
    <w:rsid w:val="006609EA"/>
    <w:rsid w:val="00660B3E"/>
    <w:rsid w:val="00660D7B"/>
    <w:rsid w:val="00660D95"/>
    <w:rsid w:val="00661146"/>
    <w:rsid w:val="0066117C"/>
    <w:rsid w:val="006614D3"/>
    <w:rsid w:val="00661688"/>
    <w:rsid w:val="006618B4"/>
    <w:rsid w:val="00661C3F"/>
    <w:rsid w:val="00661ECE"/>
    <w:rsid w:val="0066233B"/>
    <w:rsid w:val="00662451"/>
    <w:rsid w:val="00662DFA"/>
    <w:rsid w:val="00662FDE"/>
    <w:rsid w:val="00662FE5"/>
    <w:rsid w:val="0066317A"/>
    <w:rsid w:val="0066322E"/>
    <w:rsid w:val="00663491"/>
    <w:rsid w:val="00663562"/>
    <w:rsid w:val="006638FF"/>
    <w:rsid w:val="00663BA6"/>
    <w:rsid w:val="00663BC5"/>
    <w:rsid w:val="00663D67"/>
    <w:rsid w:val="00663D97"/>
    <w:rsid w:val="00663E4C"/>
    <w:rsid w:val="00663F6B"/>
    <w:rsid w:val="00664114"/>
    <w:rsid w:val="00664212"/>
    <w:rsid w:val="0066431C"/>
    <w:rsid w:val="00664763"/>
    <w:rsid w:val="00664810"/>
    <w:rsid w:val="00664945"/>
    <w:rsid w:val="0066498B"/>
    <w:rsid w:val="00664A78"/>
    <w:rsid w:val="00664ADC"/>
    <w:rsid w:val="00665112"/>
    <w:rsid w:val="006656C5"/>
    <w:rsid w:val="00665877"/>
    <w:rsid w:val="00665887"/>
    <w:rsid w:val="0066598E"/>
    <w:rsid w:val="00665CE1"/>
    <w:rsid w:val="00665DCC"/>
    <w:rsid w:val="00665DD3"/>
    <w:rsid w:val="006660FB"/>
    <w:rsid w:val="00666281"/>
    <w:rsid w:val="00666D1A"/>
    <w:rsid w:val="00666EE7"/>
    <w:rsid w:val="00666FB0"/>
    <w:rsid w:val="006672D5"/>
    <w:rsid w:val="006679D4"/>
    <w:rsid w:val="00667AA1"/>
    <w:rsid w:val="00667CD7"/>
    <w:rsid w:val="00667D51"/>
    <w:rsid w:val="00667D68"/>
    <w:rsid w:val="00667FED"/>
    <w:rsid w:val="00670309"/>
    <w:rsid w:val="006704F0"/>
    <w:rsid w:val="0067057C"/>
    <w:rsid w:val="0067057F"/>
    <w:rsid w:val="006706A0"/>
    <w:rsid w:val="0067080D"/>
    <w:rsid w:val="00670928"/>
    <w:rsid w:val="006709D8"/>
    <w:rsid w:val="00670A19"/>
    <w:rsid w:val="00671334"/>
    <w:rsid w:val="00671460"/>
    <w:rsid w:val="006714AC"/>
    <w:rsid w:val="006714BF"/>
    <w:rsid w:val="006714FF"/>
    <w:rsid w:val="0067172E"/>
    <w:rsid w:val="00671742"/>
    <w:rsid w:val="006717EB"/>
    <w:rsid w:val="006718BF"/>
    <w:rsid w:val="00671D4D"/>
    <w:rsid w:val="00671D62"/>
    <w:rsid w:val="00671E7C"/>
    <w:rsid w:val="00671F60"/>
    <w:rsid w:val="006721DB"/>
    <w:rsid w:val="006726EA"/>
    <w:rsid w:val="00672C7B"/>
    <w:rsid w:val="00672CFC"/>
    <w:rsid w:val="00672FB2"/>
    <w:rsid w:val="00673353"/>
    <w:rsid w:val="0067340C"/>
    <w:rsid w:val="006734C1"/>
    <w:rsid w:val="006734E0"/>
    <w:rsid w:val="006734E2"/>
    <w:rsid w:val="0067361D"/>
    <w:rsid w:val="00673B4C"/>
    <w:rsid w:val="00673CAF"/>
    <w:rsid w:val="00673CF9"/>
    <w:rsid w:val="00673DC3"/>
    <w:rsid w:val="00674087"/>
    <w:rsid w:val="0067432C"/>
    <w:rsid w:val="006745AE"/>
    <w:rsid w:val="006745CD"/>
    <w:rsid w:val="00674A57"/>
    <w:rsid w:val="00674F10"/>
    <w:rsid w:val="0067529C"/>
    <w:rsid w:val="006753FD"/>
    <w:rsid w:val="00675564"/>
    <w:rsid w:val="006758F1"/>
    <w:rsid w:val="00675988"/>
    <w:rsid w:val="00675AFB"/>
    <w:rsid w:val="00675E53"/>
    <w:rsid w:val="006760DD"/>
    <w:rsid w:val="00676105"/>
    <w:rsid w:val="00676282"/>
    <w:rsid w:val="006762DE"/>
    <w:rsid w:val="006767F1"/>
    <w:rsid w:val="0067685B"/>
    <w:rsid w:val="00676860"/>
    <w:rsid w:val="006769DD"/>
    <w:rsid w:val="00676FAD"/>
    <w:rsid w:val="0067702B"/>
    <w:rsid w:val="00677044"/>
    <w:rsid w:val="00677114"/>
    <w:rsid w:val="00677442"/>
    <w:rsid w:val="0067744E"/>
    <w:rsid w:val="00677598"/>
    <w:rsid w:val="00677639"/>
    <w:rsid w:val="006776CE"/>
    <w:rsid w:val="00677C54"/>
    <w:rsid w:val="00677C7B"/>
    <w:rsid w:val="00677C83"/>
    <w:rsid w:val="00677F9C"/>
    <w:rsid w:val="0068061E"/>
    <w:rsid w:val="0068066C"/>
    <w:rsid w:val="00680F32"/>
    <w:rsid w:val="006810AA"/>
    <w:rsid w:val="00681203"/>
    <w:rsid w:val="0068125C"/>
    <w:rsid w:val="0068165B"/>
    <w:rsid w:val="006816CB"/>
    <w:rsid w:val="00681747"/>
    <w:rsid w:val="0068189B"/>
    <w:rsid w:val="00681ABC"/>
    <w:rsid w:val="00681F39"/>
    <w:rsid w:val="006826C5"/>
    <w:rsid w:val="00682798"/>
    <w:rsid w:val="006829B2"/>
    <w:rsid w:val="00682D55"/>
    <w:rsid w:val="00683269"/>
    <w:rsid w:val="00683785"/>
    <w:rsid w:val="0068380F"/>
    <w:rsid w:val="00683890"/>
    <w:rsid w:val="006838BF"/>
    <w:rsid w:val="00683938"/>
    <w:rsid w:val="00683953"/>
    <w:rsid w:val="006839DD"/>
    <w:rsid w:val="00683AF2"/>
    <w:rsid w:val="00683B7B"/>
    <w:rsid w:val="00683BB1"/>
    <w:rsid w:val="006840B2"/>
    <w:rsid w:val="00684716"/>
    <w:rsid w:val="006849AC"/>
    <w:rsid w:val="00685030"/>
    <w:rsid w:val="0068510F"/>
    <w:rsid w:val="00685453"/>
    <w:rsid w:val="0068557B"/>
    <w:rsid w:val="006855D1"/>
    <w:rsid w:val="00685A61"/>
    <w:rsid w:val="00685BE1"/>
    <w:rsid w:val="00685C60"/>
    <w:rsid w:val="00685DE3"/>
    <w:rsid w:val="00685FBD"/>
    <w:rsid w:val="00686362"/>
    <w:rsid w:val="00686623"/>
    <w:rsid w:val="00686902"/>
    <w:rsid w:val="0068697A"/>
    <w:rsid w:val="00686A2B"/>
    <w:rsid w:val="00686AEA"/>
    <w:rsid w:val="00686B4D"/>
    <w:rsid w:val="00686B72"/>
    <w:rsid w:val="00686DD4"/>
    <w:rsid w:val="00686F1E"/>
    <w:rsid w:val="00687398"/>
    <w:rsid w:val="0068744F"/>
    <w:rsid w:val="0068745A"/>
    <w:rsid w:val="006874F2"/>
    <w:rsid w:val="0068778A"/>
    <w:rsid w:val="00687954"/>
    <w:rsid w:val="0069006B"/>
    <w:rsid w:val="0069086D"/>
    <w:rsid w:val="00690A31"/>
    <w:rsid w:val="00690C83"/>
    <w:rsid w:val="0069114D"/>
    <w:rsid w:val="006915DD"/>
    <w:rsid w:val="00691650"/>
    <w:rsid w:val="006917C6"/>
    <w:rsid w:val="0069194A"/>
    <w:rsid w:val="00691C2A"/>
    <w:rsid w:val="0069230E"/>
    <w:rsid w:val="00692348"/>
    <w:rsid w:val="006925BB"/>
    <w:rsid w:val="006928B3"/>
    <w:rsid w:val="006929F0"/>
    <w:rsid w:val="006930C5"/>
    <w:rsid w:val="006931D9"/>
    <w:rsid w:val="006934AD"/>
    <w:rsid w:val="0069373A"/>
    <w:rsid w:val="00693783"/>
    <w:rsid w:val="006939EA"/>
    <w:rsid w:val="00693A1C"/>
    <w:rsid w:val="00693A70"/>
    <w:rsid w:val="00693BDF"/>
    <w:rsid w:val="00693DD2"/>
    <w:rsid w:val="00693E37"/>
    <w:rsid w:val="00694447"/>
    <w:rsid w:val="00694924"/>
    <w:rsid w:val="00694D6B"/>
    <w:rsid w:val="00694E51"/>
    <w:rsid w:val="00694F55"/>
    <w:rsid w:val="0069587A"/>
    <w:rsid w:val="0069590B"/>
    <w:rsid w:val="00695A78"/>
    <w:rsid w:val="00695C09"/>
    <w:rsid w:val="00695F6E"/>
    <w:rsid w:val="00695FA2"/>
    <w:rsid w:val="006960DE"/>
    <w:rsid w:val="00696388"/>
    <w:rsid w:val="006965C7"/>
    <w:rsid w:val="0069673B"/>
    <w:rsid w:val="00696749"/>
    <w:rsid w:val="00696CE7"/>
    <w:rsid w:val="006970DE"/>
    <w:rsid w:val="0069750A"/>
    <w:rsid w:val="00697697"/>
    <w:rsid w:val="00697810"/>
    <w:rsid w:val="00697815"/>
    <w:rsid w:val="006979B3"/>
    <w:rsid w:val="00697ED7"/>
    <w:rsid w:val="006A008E"/>
    <w:rsid w:val="006A01AA"/>
    <w:rsid w:val="006A0235"/>
    <w:rsid w:val="006A03C9"/>
    <w:rsid w:val="006A0DAD"/>
    <w:rsid w:val="006A1D78"/>
    <w:rsid w:val="006A1F76"/>
    <w:rsid w:val="006A22A6"/>
    <w:rsid w:val="006A2867"/>
    <w:rsid w:val="006A2AE9"/>
    <w:rsid w:val="006A2B85"/>
    <w:rsid w:val="006A2BF8"/>
    <w:rsid w:val="006A2C88"/>
    <w:rsid w:val="006A2DC9"/>
    <w:rsid w:val="006A2E68"/>
    <w:rsid w:val="006A32FD"/>
    <w:rsid w:val="006A3387"/>
    <w:rsid w:val="006A36D8"/>
    <w:rsid w:val="006A3A0C"/>
    <w:rsid w:val="006A3E59"/>
    <w:rsid w:val="006A4045"/>
    <w:rsid w:val="006A41A9"/>
    <w:rsid w:val="006A447C"/>
    <w:rsid w:val="006A44CE"/>
    <w:rsid w:val="006A4575"/>
    <w:rsid w:val="006A466F"/>
    <w:rsid w:val="006A4872"/>
    <w:rsid w:val="006A4D71"/>
    <w:rsid w:val="006A5073"/>
    <w:rsid w:val="006A59E9"/>
    <w:rsid w:val="006A5BB9"/>
    <w:rsid w:val="006A5BD0"/>
    <w:rsid w:val="006A5C0E"/>
    <w:rsid w:val="006A5C28"/>
    <w:rsid w:val="006A5EED"/>
    <w:rsid w:val="006A60FE"/>
    <w:rsid w:val="006A642D"/>
    <w:rsid w:val="006A661A"/>
    <w:rsid w:val="006A6674"/>
    <w:rsid w:val="006A6739"/>
    <w:rsid w:val="006A6F30"/>
    <w:rsid w:val="006A6FB9"/>
    <w:rsid w:val="006A6FF2"/>
    <w:rsid w:val="006A718C"/>
    <w:rsid w:val="006A71B8"/>
    <w:rsid w:val="006A71E5"/>
    <w:rsid w:val="006A72B0"/>
    <w:rsid w:val="006A72C4"/>
    <w:rsid w:val="006A740C"/>
    <w:rsid w:val="006A7650"/>
    <w:rsid w:val="006A7852"/>
    <w:rsid w:val="006A7906"/>
    <w:rsid w:val="006A7D78"/>
    <w:rsid w:val="006A7E66"/>
    <w:rsid w:val="006A7F05"/>
    <w:rsid w:val="006B055E"/>
    <w:rsid w:val="006B0BD0"/>
    <w:rsid w:val="006B0D28"/>
    <w:rsid w:val="006B0D6B"/>
    <w:rsid w:val="006B0F8D"/>
    <w:rsid w:val="006B11AC"/>
    <w:rsid w:val="006B1B21"/>
    <w:rsid w:val="006B1C35"/>
    <w:rsid w:val="006B208B"/>
    <w:rsid w:val="006B2837"/>
    <w:rsid w:val="006B2A29"/>
    <w:rsid w:val="006B2C67"/>
    <w:rsid w:val="006B2C6F"/>
    <w:rsid w:val="006B302B"/>
    <w:rsid w:val="006B3081"/>
    <w:rsid w:val="006B31F0"/>
    <w:rsid w:val="006B32FE"/>
    <w:rsid w:val="006B3A25"/>
    <w:rsid w:val="006B3A5B"/>
    <w:rsid w:val="006B40A8"/>
    <w:rsid w:val="006B40DF"/>
    <w:rsid w:val="006B42CF"/>
    <w:rsid w:val="006B43BA"/>
    <w:rsid w:val="006B480E"/>
    <w:rsid w:val="006B48D8"/>
    <w:rsid w:val="006B4EDB"/>
    <w:rsid w:val="006B55CB"/>
    <w:rsid w:val="006B5631"/>
    <w:rsid w:val="006B5938"/>
    <w:rsid w:val="006B59FB"/>
    <w:rsid w:val="006B5A3F"/>
    <w:rsid w:val="006B5C0E"/>
    <w:rsid w:val="006B6709"/>
    <w:rsid w:val="006B67DA"/>
    <w:rsid w:val="006B6EF4"/>
    <w:rsid w:val="006B7125"/>
    <w:rsid w:val="006B7334"/>
    <w:rsid w:val="006B73F3"/>
    <w:rsid w:val="006B74EF"/>
    <w:rsid w:val="006B75BE"/>
    <w:rsid w:val="006B7EEC"/>
    <w:rsid w:val="006B7F8A"/>
    <w:rsid w:val="006C05CA"/>
    <w:rsid w:val="006C05FD"/>
    <w:rsid w:val="006C08E8"/>
    <w:rsid w:val="006C0A58"/>
    <w:rsid w:val="006C0BBD"/>
    <w:rsid w:val="006C0CBB"/>
    <w:rsid w:val="006C0FA3"/>
    <w:rsid w:val="006C0FD2"/>
    <w:rsid w:val="006C135B"/>
    <w:rsid w:val="006C1F93"/>
    <w:rsid w:val="006C24A5"/>
    <w:rsid w:val="006C2585"/>
    <w:rsid w:val="006C2923"/>
    <w:rsid w:val="006C2998"/>
    <w:rsid w:val="006C2AE9"/>
    <w:rsid w:val="006C2B92"/>
    <w:rsid w:val="006C30BA"/>
    <w:rsid w:val="006C30CE"/>
    <w:rsid w:val="006C327A"/>
    <w:rsid w:val="006C32F2"/>
    <w:rsid w:val="006C332E"/>
    <w:rsid w:val="006C3369"/>
    <w:rsid w:val="006C34B7"/>
    <w:rsid w:val="006C3568"/>
    <w:rsid w:val="006C3638"/>
    <w:rsid w:val="006C3A5E"/>
    <w:rsid w:val="006C3C1E"/>
    <w:rsid w:val="006C3D9A"/>
    <w:rsid w:val="006C41B8"/>
    <w:rsid w:val="006C436A"/>
    <w:rsid w:val="006C469A"/>
    <w:rsid w:val="006C47BF"/>
    <w:rsid w:val="006C48EF"/>
    <w:rsid w:val="006C49B2"/>
    <w:rsid w:val="006C4ABA"/>
    <w:rsid w:val="006C4DA3"/>
    <w:rsid w:val="006C4DA8"/>
    <w:rsid w:val="006C4DEB"/>
    <w:rsid w:val="006C4E34"/>
    <w:rsid w:val="006C4F70"/>
    <w:rsid w:val="006C5082"/>
    <w:rsid w:val="006C515E"/>
    <w:rsid w:val="006C530D"/>
    <w:rsid w:val="006C539D"/>
    <w:rsid w:val="006C5892"/>
    <w:rsid w:val="006C5C6A"/>
    <w:rsid w:val="006C5CDE"/>
    <w:rsid w:val="006C5F77"/>
    <w:rsid w:val="006C665B"/>
    <w:rsid w:val="006C66C8"/>
    <w:rsid w:val="006C7129"/>
    <w:rsid w:val="006C7184"/>
    <w:rsid w:val="006C72B0"/>
    <w:rsid w:val="006C783C"/>
    <w:rsid w:val="006C7BE0"/>
    <w:rsid w:val="006D0166"/>
    <w:rsid w:val="006D0250"/>
    <w:rsid w:val="006D0336"/>
    <w:rsid w:val="006D0648"/>
    <w:rsid w:val="006D0806"/>
    <w:rsid w:val="006D08CE"/>
    <w:rsid w:val="006D0920"/>
    <w:rsid w:val="006D0F91"/>
    <w:rsid w:val="006D1107"/>
    <w:rsid w:val="006D19C7"/>
    <w:rsid w:val="006D1D53"/>
    <w:rsid w:val="006D1FEE"/>
    <w:rsid w:val="006D202C"/>
    <w:rsid w:val="006D215C"/>
    <w:rsid w:val="006D236E"/>
    <w:rsid w:val="006D240F"/>
    <w:rsid w:val="006D242B"/>
    <w:rsid w:val="006D25B6"/>
    <w:rsid w:val="006D28B7"/>
    <w:rsid w:val="006D2961"/>
    <w:rsid w:val="006D2D6E"/>
    <w:rsid w:val="006D2EBB"/>
    <w:rsid w:val="006D31D5"/>
    <w:rsid w:val="006D33B8"/>
    <w:rsid w:val="006D3423"/>
    <w:rsid w:val="006D374C"/>
    <w:rsid w:val="006D3A08"/>
    <w:rsid w:val="006D3A47"/>
    <w:rsid w:val="006D3D64"/>
    <w:rsid w:val="006D4358"/>
    <w:rsid w:val="006D436F"/>
    <w:rsid w:val="006D4385"/>
    <w:rsid w:val="006D453D"/>
    <w:rsid w:val="006D4E67"/>
    <w:rsid w:val="006D4FB7"/>
    <w:rsid w:val="006D5A60"/>
    <w:rsid w:val="006D5CF9"/>
    <w:rsid w:val="006D5D94"/>
    <w:rsid w:val="006D6122"/>
    <w:rsid w:val="006D652B"/>
    <w:rsid w:val="006D66D2"/>
    <w:rsid w:val="006D67AA"/>
    <w:rsid w:val="006D6818"/>
    <w:rsid w:val="006D6996"/>
    <w:rsid w:val="006D6A98"/>
    <w:rsid w:val="006D6AFE"/>
    <w:rsid w:val="006D6D5A"/>
    <w:rsid w:val="006D7141"/>
    <w:rsid w:val="006D73E9"/>
    <w:rsid w:val="006D7727"/>
    <w:rsid w:val="006D7801"/>
    <w:rsid w:val="006D7825"/>
    <w:rsid w:val="006D7992"/>
    <w:rsid w:val="006D7C69"/>
    <w:rsid w:val="006E0018"/>
    <w:rsid w:val="006E029A"/>
    <w:rsid w:val="006E02FA"/>
    <w:rsid w:val="006E02FE"/>
    <w:rsid w:val="006E04D4"/>
    <w:rsid w:val="006E0578"/>
    <w:rsid w:val="006E0780"/>
    <w:rsid w:val="006E0A73"/>
    <w:rsid w:val="006E0B1B"/>
    <w:rsid w:val="006E0E9D"/>
    <w:rsid w:val="006E0EEE"/>
    <w:rsid w:val="006E0F9B"/>
    <w:rsid w:val="006E1014"/>
    <w:rsid w:val="006E10DD"/>
    <w:rsid w:val="006E112D"/>
    <w:rsid w:val="006E1493"/>
    <w:rsid w:val="006E1686"/>
    <w:rsid w:val="006E16AE"/>
    <w:rsid w:val="006E16ED"/>
    <w:rsid w:val="006E17CB"/>
    <w:rsid w:val="006E1863"/>
    <w:rsid w:val="006E1907"/>
    <w:rsid w:val="006E1BC1"/>
    <w:rsid w:val="006E208A"/>
    <w:rsid w:val="006E2175"/>
    <w:rsid w:val="006E21FF"/>
    <w:rsid w:val="006E2453"/>
    <w:rsid w:val="006E246E"/>
    <w:rsid w:val="006E24F0"/>
    <w:rsid w:val="006E2769"/>
    <w:rsid w:val="006E2987"/>
    <w:rsid w:val="006E2998"/>
    <w:rsid w:val="006E29A3"/>
    <w:rsid w:val="006E2DDD"/>
    <w:rsid w:val="006E2E9A"/>
    <w:rsid w:val="006E2F2D"/>
    <w:rsid w:val="006E3427"/>
    <w:rsid w:val="006E3612"/>
    <w:rsid w:val="006E36B1"/>
    <w:rsid w:val="006E38CC"/>
    <w:rsid w:val="006E3EA2"/>
    <w:rsid w:val="006E3F8D"/>
    <w:rsid w:val="006E403E"/>
    <w:rsid w:val="006E41CE"/>
    <w:rsid w:val="006E44F2"/>
    <w:rsid w:val="006E4868"/>
    <w:rsid w:val="006E4A0B"/>
    <w:rsid w:val="006E562E"/>
    <w:rsid w:val="006E594F"/>
    <w:rsid w:val="006E5A26"/>
    <w:rsid w:val="006E6050"/>
    <w:rsid w:val="006E63FE"/>
    <w:rsid w:val="006E6541"/>
    <w:rsid w:val="006E6ACD"/>
    <w:rsid w:val="006E6B0C"/>
    <w:rsid w:val="006E6FC6"/>
    <w:rsid w:val="006E7215"/>
    <w:rsid w:val="006E74F5"/>
    <w:rsid w:val="006E7B54"/>
    <w:rsid w:val="006E7BFC"/>
    <w:rsid w:val="006F06C7"/>
    <w:rsid w:val="006F06E0"/>
    <w:rsid w:val="006F06FA"/>
    <w:rsid w:val="006F08B7"/>
    <w:rsid w:val="006F0BF1"/>
    <w:rsid w:val="006F0E1E"/>
    <w:rsid w:val="006F10C4"/>
    <w:rsid w:val="006F1732"/>
    <w:rsid w:val="006F2276"/>
    <w:rsid w:val="006F25EA"/>
    <w:rsid w:val="006F2FFD"/>
    <w:rsid w:val="006F3492"/>
    <w:rsid w:val="006F3527"/>
    <w:rsid w:val="006F3660"/>
    <w:rsid w:val="006F3667"/>
    <w:rsid w:val="006F3AAD"/>
    <w:rsid w:val="006F3ACB"/>
    <w:rsid w:val="006F3C19"/>
    <w:rsid w:val="006F3E64"/>
    <w:rsid w:val="006F3EAF"/>
    <w:rsid w:val="006F40FC"/>
    <w:rsid w:val="006F42BB"/>
    <w:rsid w:val="006F465B"/>
    <w:rsid w:val="006F4777"/>
    <w:rsid w:val="006F4ABD"/>
    <w:rsid w:val="006F4F84"/>
    <w:rsid w:val="006F507B"/>
    <w:rsid w:val="006F514E"/>
    <w:rsid w:val="006F5521"/>
    <w:rsid w:val="006F55E7"/>
    <w:rsid w:val="006F5BBD"/>
    <w:rsid w:val="006F5CB1"/>
    <w:rsid w:val="006F5CD5"/>
    <w:rsid w:val="006F5F46"/>
    <w:rsid w:val="006F5F7C"/>
    <w:rsid w:val="006F629C"/>
    <w:rsid w:val="006F66F3"/>
    <w:rsid w:val="006F6750"/>
    <w:rsid w:val="006F68A4"/>
    <w:rsid w:val="006F69B8"/>
    <w:rsid w:val="006F6BFB"/>
    <w:rsid w:val="006F6C42"/>
    <w:rsid w:val="006F6CBE"/>
    <w:rsid w:val="006F6F21"/>
    <w:rsid w:val="006F7081"/>
    <w:rsid w:val="006F710E"/>
    <w:rsid w:val="006F72B8"/>
    <w:rsid w:val="006F7575"/>
    <w:rsid w:val="006F776E"/>
    <w:rsid w:val="006F790E"/>
    <w:rsid w:val="006F7D86"/>
    <w:rsid w:val="006F7EED"/>
    <w:rsid w:val="006F7EF4"/>
    <w:rsid w:val="006F7F1E"/>
    <w:rsid w:val="00700188"/>
    <w:rsid w:val="007006FD"/>
    <w:rsid w:val="00700A76"/>
    <w:rsid w:val="00700B26"/>
    <w:rsid w:val="00700B5E"/>
    <w:rsid w:val="00700C58"/>
    <w:rsid w:val="007012D8"/>
    <w:rsid w:val="0070130E"/>
    <w:rsid w:val="00701429"/>
    <w:rsid w:val="00701908"/>
    <w:rsid w:val="007020E7"/>
    <w:rsid w:val="007022E3"/>
    <w:rsid w:val="00702361"/>
    <w:rsid w:val="007027F6"/>
    <w:rsid w:val="00702846"/>
    <w:rsid w:val="00702970"/>
    <w:rsid w:val="00702A37"/>
    <w:rsid w:val="00702DFD"/>
    <w:rsid w:val="00702FD9"/>
    <w:rsid w:val="0070321E"/>
    <w:rsid w:val="0070342B"/>
    <w:rsid w:val="007035A2"/>
    <w:rsid w:val="007036AA"/>
    <w:rsid w:val="007039BB"/>
    <w:rsid w:val="00703CA2"/>
    <w:rsid w:val="00703E1A"/>
    <w:rsid w:val="00704196"/>
    <w:rsid w:val="007042D5"/>
    <w:rsid w:val="00704350"/>
    <w:rsid w:val="007048AD"/>
    <w:rsid w:val="00704997"/>
    <w:rsid w:val="00704A09"/>
    <w:rsid w:val="00704F4A"/>
    <w:rsid w:val="00704FAD"/>
    <w:rsid w:val="007050E1"/>
    <w:rsid w:val="007051DE"/>
    <w:rsid w:val="00705628"/>
    <w:rsid w:val="0070569E"/>
    <w:rsid w:val="00705704"/>
    <w:rsid w:val="0070576A"/>
    <w:rsid w:val="00705BCF"/>
    <w:rsid w:val="00705C12"/>
    <w:rsid w:val="0070618B"/>
    <w:rsid w:val="007062A3"/>
    <w:rsid w:val="0070638F"/>
    <w:rsid w:val="007063D8"/>
    <w:rsid w:val="007066DD"/>
    <w:rsid w:val="007067EA"/>
    <w:rsid w:val="00706821"/>
    <w:rsid w:val="00706E64"/>
    <w:rsid w:val="00706F63"/>
    <w:rsid w:val="00707008"/>
    <w:rsid w:val="00707343"/>
    <w:rsid w:val="00707458"/>
    <w:rsid w:val="00707783"/>
    <w:rsid w:val="007078A1"/>
    <w:rsid w:val="00710313"/>
    <w:rsid w:val="00710361"/>
    <w:rsid w:val="0071049A"/>
    <w:rsid w:val="007105D9"/>
    <w:rsid w:val="007107C7"/>
    <w:rsid w:val="00710917"/>
    <w:rsid w:val="0071094E"/>
    <w:rsid w:val="00710ABE"/>
    <w:rsid w:val="00710E5A"/>
    <w:rsid w:val="00710EA4"/>
    <w:rsid w:val="007114EA"/>
    <w:rsid w:val="0071172C"/>
    <w:rsid w:val="0071189D"/>
    <w:rsid w:val="00711961"/>
    <w:rsid w:val="00711970"/>
    <w:rsid w:val="00711F5C"/>
    <w:rsid w:val="0071209E"/>
    <w:rsid w:val="00712193"/>
    <w:rsid w:val="007122C9"/>
    <w:rsid w:val="007124DF"/>
    <w:rsid w:val="00712505"/>
    <w:rsid w:val="00712C8C"/>
    <w:rsid w:val="00712D34"/>
    <w:rsid w:val="00712E74"/>
    <w:rsid w:val="00712E9C"/>
    <w:rsid w:val="00712F93"/>
    <w:rsid w:val="00713096"/>
    <w:rsid w:val="00713506"/>
    <w:rsid w:val="00713575"/>
    <w:rsid w:val="00713803"/>
    <w:rsid w:val="00713862"/>
    <w:rsid w:val="007139A7"/>
    <w:rsid w:val="007139E1"/>
    <w:rsid w:val="00713BD0"/>
    <w:rsid w:val="00713FB6"/>
    <w:rsid w:val="00714723"/>
    <w:rsid w:val="0071475B"/>
    <w:rsid w:val="007149BD"/>
    <w:rsid w:val="007149F1"/>
    <w:rsid w:val="00714B45"/>
    <w:rsid w:val="0071508A"/>
    <w:rsid w:val="0071528B"/>
    <w:rsid w:val="00715516"/>
    <w:rsid w:val="00715680"/>
    <w:rsid w:val="007158D0"/>
    <w:rsid w:val="0071592E"/>
    <w:rsid w:val="00715F4B"/>
    <w:rsid w:val="007162B1"/>
    <w:rsid w:val="0071633A"/>
    <w:rsid w:val="00716888"/>
    <w:rsid w:val="00716C52"/>
    <w:rsid w:val="00716D30"/>
    <w:rsid w:val="00716D91"/>
    <w:rsid w:val="00716E64"/>
    <w:rsid w:val="00716F32"/>
    <w:rsid w:val="00716FE2"/>
    <w:rsid w:val="007172FE"/>
    <w:rsid w:val="00717372"/>
    <w:rsid w:val="0071741D"/>
    <w:rsid w:val="00717863"/>
    <w:rsid w:val="007178D8"/>
    <w:rsid w:val="00717BB4"/>
    <w:rsid w:val="00717C23"/>
    <w:rsid w:val="00720CE6"/>
    <w:rsid w:val="00720D54"/>
    <w:rsid w:val="00720D6C"/>
    <w:rsid w:val="0072149A"/>
    <w:rsid w:val="007216AC"/>
    <w:rsid w:val="0072190D"/>
    <w:rsid w:val="00721D06"/>
    <w:rsid w:val="00721D48"/>
    <w:rsid w:val="00721D6A"/>
    <w:rsid w:val="00721DD1"/>
    <w:rsid w:val="0072206D"/>
    <w:rsid w:val="007220C2"/>
    <w:rsid w:val="007225CA"/>
    <w:rsid w:val="00722ECF"/>
    <w:rsid w:val="00723201"/>
    <w:rsid w:val="0072339A"/>
    <w:rsid w:val="00723454"/>
    <w:rsid w:val="007234E5"/>
    <w:rsid w:val="007235CE"/>
    <w:rsid w:val="0072367C"/>
    <w:rsid w:val="007236FF"/>
    <w:rsid w:val="007239AA"/>
    <w:rsid w:val="0072433E"/>
    <w:rsid w:val="007243BB"/>
    <w:rsid w:val="00724D09"/>
    <w:rsid w:val="00725052"/>
    <w:rsid w:val="0072574C"/>
    <w:rsid w:val="007257F0"/>
    <w:rsid w:val="00725CE1"/>
    <w:rsid w:val="00725E51"/>
    <w:rsid w:val="0072608D"/>
    <w:rsid w:val="00726238"/>
    <w:rsid w:val="00726448"/>
    <w:rsid w:val="007264FF"/>
    <w:rsid w:val="00726A52"/>
    <w:rsid w:val="00726D54"/>
    <w:rsid w:val="00726D86"/>
    <w:rsid w:val="007271C5"/>
    <w:rsid w:val="00727236"/>
    <w:rsid w:val="00727497"/>
    <w:rsid w:val="00727D99"/>
    <w:rsid w:val="0073009C"/>
    <w:rsid w:val="007303B0"/>
    <w:rsid w:val="00730AEF"/>
    <w:rsid w:val="00730B7E"/>
    <w:rsid w:val="0073119E"/>
    <w:rsid w:val="00731925"/>
    <w:rsid w:val="00731933"/>
    <w:rsid w:val="00731A3A"/>
    <w:rsid w:val="00731C7D"/>
    <w:rsid w:val="00731D53"/>
    <w:rsid w:val="00731E39"/>
    <w:rsid w:val="00731EEE"/>
    <w:rsid w:val="0073251D"/>
    <w:rsid w:val="00732704"/>
    <w:rsid w:val="007329A4"/>
    <w:rsid w:val="00732C31"/>
    <w:rsid w:val="007330E2"/>
    <w:rsid w:val="00733196"/>
    <w:rsid w:val="00733302"/>
    <w:rsid w:val="007336D6"/>
    <w:rsid w:val="00733964"/>
    <w:rsid w:val="00733981"/>
    <w:rsid w:val="00733997"/>
    <w:rsid w:val="007339DA"/>
    <w:rsid w:val="00733B5E"/>
    <w:rsid w:val="00733BFF"/>
    <w:rsid w:val="00733DC2"/>
    <w:rsid w:val="00734181"/>
    <w:rsid w:val="0073433E"/>
    <w:rsid w:val="0073479D"/>
    <w:rsid w:val="00734A15"/>
    <w:rsid w:val="00734A9B"/>
    <w:rsid w:val="00734C31"/>
    <w:rsid w:val="00734C92"/>
    <w:rsid w:val="00735322"/>
    <w:rsid w:val="0073568E"/>
    <w:rsid w:val="007359BC"/>
    <w:rsid w:val="007359BF"/>
    <w:rsid w:val="00735A87"/>
    <w:rsid w:val="00735BBF"/>
    <w:rsid w:val="00735C77"/>
    <w:rsid w:val="007367BC"/>
    <w:rsid w:val="00736D21"/>
    <w:rsid w:val="00736F0C"/>
    <w:rsid w:val="0073725B"/>
    <w:rsid w:val="007373A9"/>
    <w:rsid w:val="007375E4"/>
    <w:rsid w:val="0073763E"/>
    <w:rsid w:val="007377BB"/>
    <w:rsid w:val="007377C1"/>
    <w:rsid w:val="00737A2C"/>
    <w:rsid w:val="00737A86"/>
    <w:rsid w:val="00737BF2"/>
    <w:rsid w:val="00740065"/>
    <w:rsid w:val="0074056B"/>
    <w:rsid w:val="00740618"/>
    <w:rsid w:val="00740BF0"/>
    <w:rsid w:val="00740D5E"/>
    <w:rsid w:val="00741274"/>
    <w:rsid w:val="0074138B"/>
    <w:rsid w:val="00741420"/>
    <w:rsid w:val="007415D8"/>
    <w:rsid w:val="0074167D"/>
    <w:rsid w:val="0074184F"/>
    <w:rsid w:val="00741CB9"/>
    <w:rsid w:val="007426BF"/>
    <w:rsid w:val="00742797"/>
    <w:rsid w:val="00742909"/>
    <w:rsid w:val="00742CA4"/>
    <w:rsid w:val="00742EEA"/>
    <w:rsid w:val="00742F69"/>
    <w:rsid w:val="00743094"/>
    <w:rsid w:val="007431AD"/>
    <w:rsid w:val="00743509"/>
    <w:rsid w:val="00743629"/>
    <w:rsid w:val="00743787"/>
    <w:rsid w:val="00743B80"/>
    <w:rsid w:val="00744093"/>
    <w:rsid w:val="007440DC"/>
    <w:rsid w:val="0074451C"/>
    <w:rsid w:val="007446C4"/>
    <w:rsid w:val="007447E8"/>
    <w:rsid w:val="007448E2"/>
    <w:rsid w:val="007449DA"/>
    <w:rsid w:val="00744D3F"/>
    <w:rsid w:val="00744F41"/>
    <w:rsid w:val="00745292"/>
    <w:rsid w:val="00745619"/>
    <w:rsid w:val="00745832"/>
    <w:rsid w:val="00745850"/>
    <w:rsid w:val="00745A97"/>
    <w:rsid w:val="00745E39"/>
    <w:rsid w:val="00745EA5"/>
    <w:rsid w:val="0074635E"/>
    <w:rsid w:val="0074640D"/>
    <w:rsid w:val="00746642"/>
    <w:rsid w:val="007466A1"/>
    <w:rsid w:val="00746A7A"/>
    <w:rsid w:val="00746E04"/>
    <w:rsid w:val="007472F3"/>
    <w:rsid w:val="0074738B"/>
    <w:rsid w:val="00747439"/>
    <w:rsid w:val="00747718"/>
    <w:rsid w:val="00747729"/>
    <w:rsid w:val="00747799"/>
    <w:rsid w:val="0074784B"/>
    <w:rsid w:val="00747906"/>
    <w:rsid w:val="00747C6A"/>
    <w:rsid w:val="00747E18"/>
    <w:rsid w:val="007502EB"/>
    <w:rsid w:val="00750867"/>
    <w:rsid w:val="0075086B"/>
    <w:rsid w:val="00750D26"/>
    <w:rsid w:val="007511AB"/>
    <w:rsid w:val="007512E4"/>
    <w:rsid w:val="007515A6"/>
    <w:rsid w:val="0075175C"/>
    <w:rsid w:val="00751A22"/>
    <w:rsid w:val="00751C3D"/>
    <w:rsid w:val="00751E1F"/>
    <w:rsid w:val="00751FA5"/>
    <w:rsid w:val="0075201D"/>
    <w:rsid w:val="0075229A"/>
    <w:rsid w:val="00752417"/>
    <w:rsid w:val="00752736"/>
    <w:rsid w:val="007528CA"/>
    <w:rsid w:val="00753141"/>
    <w:rsid w:val="00753297"/>
    <w:rsid w:val="0075339D"/>
    <w:rsid w:val="007533B6"/>
    <w:rsid w:val="00753605"/>
    <w:rsid w:val="00753632"/>
    <w:rsid w:val="007543C5"/>
    <w:rsid w:val="007544BA"/>
    <w:rsid w:val="007546F1"/>
    <w:rsid w:val="0075471F"/>
    <w:rsid w:val="00754DF7"/>
    <w:rsid w:val="007550B8"/>
    <w:rsid w:val="007552CF"/>
    <w:rsid w:val="00755A67"/>
    <w:rsid w:val="007560FC"/>
    <w:rsid w:val="007562B7"/>
    <w:rsid w:val="0075636C"/>
    <w:rsid w:val="0075661F"/>
    <w:rsid w:val="0075666D"/>
    <w:rsid w:val="00756B0F"/>
    <w:rsid w:val="00756E9E"/>
    <w:rsid w:val="00756EAA"/>
    <w:rsid w:val="00756FAD"/>
    <w:rsid w:val="007570A0"/>
    <w:rsid w:val="00757267"/>
    <w:rsid w:val="00757459"/>
    <w:rsid w:val="0075755B"/>
    <w:rsid w:val="00757589"/>
    <w:rsid w:val="007576BC"/>
    <w:rsid w:val="00757921"/>
    <w:rsid w:val="00757997"/>
    <w:rsid w:val="00757A1E"/>
    <w:rsid w:val="00760050"/>
    <w:rsid w:val="007601C0"/>
    <w:rsid w:val="00760820"/>
    <w:rsid w:val="00760825"/>
    <w:rsid w:val="007609FA"/>
    <w:rsid w:val="00760A89"/>
    <w:rsid w:val="00760C52"/>
    <w:rsid w:val="00761115"/>
    <w:rsid w:val="00761189"/>
    <w:rsid w:val="00761209"/>
    <w:rsid w:val="0076168E"/>
    <w:rsid w:val="007616A3"/>
    <w:rsid w:val="00761705"/>
    <w:rsid w:val="00761746"/>
    <w:rsid w:val="00761E93"/>
    <w:rsid w:val="007622CC"/>
    <w:rsid w:val="007623DA"/>
    <w:rsid w:val="00762889"/>
    <w:rsid w:val="00763120"/>
    <w:rsid w:val="0076323B"/>
    <w:rsid w:val="007636E5"/>
    <w:rsid w:val="00763779"/>
    <w:rsid w:val="007637B1"/>
    <w:rsid w:val="00763944"/>
    <w:rsid w:val="00763B8D"/>
    <w:rsid w:val="00763C7B"/>
    <w:rsid w:val="007640C6"/>
    <w:rsid w:val="007642DE"/>
    <w:rsid w:val="00764327"/>
    <w:rsid w:val="0076436D"/>
    <w:rsid w:val="0076499A"/>
    <w:rsid w:val="00764D3C"/>
    <w:rsid w:val="00764E82"/>
    <w:rsid w:val="00764F36"/>
    <w:rsid w:val="0076515E"/>
    <w:rsid w:val="00765208"/>
    <w:rsid w:val="00765548"/>
    <w:rsid w:val="00765568"/>
    <w:rsid w:val="0076557F"/>
    <w:rsid w:val="00765663"/>
    <w:rsid w:val="00765A88"/>
    <w:rsid w:val="00765CB9"/>
    <w:rsid w:val="0076634A"/>
    <w:rsid w:val="007665BF"/>
    <w:rsid w:val="00766BD0"/>
    <w:rsid w:val="00766CC4"/>
    <w:rsid w:val="00766DC5"/>
    <w:rsid w:val="00767007"/>
    <w:rsid w:val="0076702F"/>
    <w:rsid w:val="00767161"/>
    <w:rsid w:val="00767361"/>
    <w:rsid w:val="00767591"/>
    <w:rsid w:val="00767F36"/>
    <w:rsid w:val="0077014B"/>
    <w:rsid w:val="00770496"/>
    <w:rsid w:val="007706A1"/>
    <w:rsid w:val="007706BF"/>
    <w:rsid w:val="0077077A"/>
    <w:rsid w:val="00770798"/>
    <w:rsid w:val="00770859"/>
    <w:rsid w:val="00770D28"/>
    <w:rsid w:val="00770F4C"/>
    <w:rsid w:val="00771417"/>
    <w:rsid w:val="0077172F"/>
    <w:rsid w:val="00771C77"/>
    <w:rsid w:val="00771E2E"/>
    <w:rsid w:val="00771E5E"/>
    <w:rsid w:val="00772134"/>
    <w:rsid w:val="0077259E"/>
    <w:rsid w:val="00772A82"/>
    <w:rsid w:val="00772AE4"/>
    <w:rsid w:val="00772C29"/>
    <w:rsid w:val="00772DC1"/>
    <w:rsid w:val="00772DEE"/>
    <w:rsid w:val="00772DF1"/>
    <w:rsid w:val="007731C5"/>
    <w:rsid w:val="007731F2"/>
    <w:rsid w:val="007732CD"/>
    <w:rsid w:val="007736D2"/>
    <w:rsid w:val="00773710"/>
    <w:rsid w:val="007737C0"/>
    <w:rsid w:val="00773EDE"/>
    <w:rsid w:val="007740F3"/>
    <w:rsid w:val="00774259"/>
    <w:rsid w:val="00774370"/>
    <w:rsid w:val="007745E6"/>
    <w:rsid w:val="00774689"/>
    <w:rsid w:val="007747CB"/>
    <w:rsid w:val="007750EB"/>
    <w:rsid w:val="00775259"/>
    <w:rsid w:val="0077531D"/>
    <w:rsid w:val="007753B3"/>
    <w:rsid w:val="00775540"/>
    <w:rsid w:val="0077586F"/>
    <w:rsid w:val="007759A4"/>
    <w:rsid w:val="00775C51"/>
    <w:rsid w:val="0077625B"/>
    <w:rsid w:val="007763BB"/>
    <w:rsid w:val="00776C94"/>
    <w:rsid w:val="00777179"/>
    <w:rsid w:val="007771FE"/>
    <w:rsid w:val="0077725F"/>
    <w:rsid w:val="00777685"/>
    <w:rsid w:val="0077799F"/>
    <w:rsid w:val="00777A50"/>
    <w:rsid w:val="00777D9C"/>
    <w:rsid w:val="00777DA0"/>
    <w:rsid w:val="0078002E"/>
    <w:rsid w:val="00780189"/>
    <w:rsid w:val="00780C91"/>
    <w:rsid w:val="00780DAA"/>
    <w:rsid w:val="007812BB"/>
    <w:rsid w:val="00781712"/>
    <w:rsid w:val="0078186C"/>
    <w:rsid w:val="007819AB"/>
    <w:rsid w:val="00781BD0"/>
    <w:rsid w:val="00781BF5"/>
    <w:rsid w:val="00781C91"/>
    <w:rsid w:val="0078214E"/>
    <w:rsid w:val="0078269C"/>
    <w:rsid w:val="00782890"/>
    <w:rsid w:val="00782D9C"/>
    <w:rsid w:val="00782F4C"/>
    <w:rsid w:val="00783655"/>
    <w:rsid w:val="00783AED"/>
    <w:rsid w:val="00783B1F"/>
    <w:rsid w:val="00783B2B"/>
    <w:rsid w:val="00783B39"/>
    <w:rsid w:val="00783D17"/>
    <w:rsid w:val="00783D38"/>
    <w:rsid w:val="00784570"/>
    <w:rsid w:val="0078476C"/>
    <w:rsid w:val="00785067"/>
    <w:rsid w:val="00785565"/>
    <w:rsid w:val="00785725"/>
    <w:rsid w:val="00785726"/>
    <w:rsid w:val="0078572E"/>
    <w:rsid w:val="00785794"/>
    <w:rsid w:val="00785938"/>
    <w:rsid w:val="00786393"/>
    <w:rsid w:val="007865AE"/>
    <w:rsid w:val="00786639"/>
    <w:rsid w:val="007868BE"/>
    <w:rsid w:val="00786D4B"/>
    <w:rsid w:val="00786E7A"/>
    <w:rsid w:val="00786EF2"/>
    <w:rsid w:val="00787893"/>
    <w:rsid w:val="00787970"/>
    <w:rsid w:val="00787A0A"/>
    <w:rsid w:val="00787B3E"/>
    <w:rsid w:val="00790376"/>
    <w:rsid w:val="00790390"/>
    <w:rsid w:val="00790422"/>
    <w:rsid w:val="00790A91"/>
    <w:rsid w:val="00790BEA"/>
    <w:rsid w:val="00790C52"/>
    <w:rsid w:val="0079100E"/>
    <w:rsid w:val="0079130D"/>
    <w:rsid w:val="007913BA"/>
    <w:rsid w:val="007918D9"/>
    <w:rsid w:val="00791D3D"/>
    <w:rsid w:val="007921F6"/>
    <w:rsid w:val="0079243D"/>
    <w:rsid w:val="007925D1"/>
    <w:rsid w:val="00792647"/>
    <w:rsid w:val="00792744"/>
    <w:rsid w:val="00792B09"/>
    <w:rsid w:val="00792FA3"/>
    <w:rsid w:val="00792FF8"/>
    <w:rsid w:val="00793070"/>
    <w:rsid w:val="00793656"/>
    <w:rsid w:val="007939F9"/>
    <w:rsid w:val="00793B1C"/>
    <w:rsid w:val="00793C61"/>
    <w:rsid w:val="00793E93"/>
    <w:rsid w:val="00794050"/>
    <w:rsid w:val="0079410D"/>
    <w:rsid w:val="0079414E"/>
    <w:rsid w:val="007944E1"/>
    <w:rsid w:val="00794B00"/>
    <w:rsid w:val="00794EF1"/>
    <w:rsid w:val="00795371"/>
    <w:rsid w:val="007953F5"/>
    <w:rsid w:val="0079564A"/>
    <w:rsid w:val="0079577B"/>
    <w:rsid w:val="00795781"/>
    <w:rsid w:val="00795B84"/>
    <w:rsid w:val="0079611C"/>
    <w:rsid w:val="0079620B"/>
    <w:rsid w:val="00796504"/>
    <w:rsid w:val="007967C8"/>
    <w:rsid w:val="007967EF"/>
    <w:rsid w:val="007969EF"/>
    <w:rsid w:val="00797282"/>
    <w:rsid w:val="007974B5"/>
    <w:rsid w:val="0079768C"/>
    <w:rsid w:val="0079774B"/>
    <w:rsid w:val="00797E55"/>
    <w:rsid w:val="007A0006"/>
    <w:rsid w:val="007A093C"/>
    <w:rsid w:val="007A0ABA"/>
    <w:rsid w:val="007A0B0A"/>
    <w:rsid w:val="007A10C0"/>
    <w:rsid w:val="007A142A"/>
    <w:rsid w:val="007A15E2"/>
    <w:rsid w:val="007A1760"/>
    <w:rsid w:val="007A17F2"/>
    <w:rsid w:val="007A1880"/>
    <w:rsid w:val="007A1AB4"/>
    <w:rsid w:val="007A1D08"/>
    <w:rsid w:val="007A1D35"/>
    <w:rsid w:val="007A1FC6"/>
    <w:rsid w:val="007A20E0"/>
    <w:rsid w:val="007A2303"/>
    <w:rsid w:val="007A23B1"/>
    <w:rsid w:val="007A245D"/>
    <w:rsid w:val="007A2600"/>
    <w:rsid w:val="007A27EC"/>
    <w:rsid w:val="007A27F0"/>
    <w:rsid w:val="007A2CAE"/>
    <w:rsid w:val="007A2DB5"/>
    <w:rsid w:val="007A2EF6"/>
    <w:rsid w:val="007A2F77"/>
    <w:rsid w:val="007A2F95"/>
    <w:rsid w:val="007A346E"/>
    <w:rsid w:val="007A34AE"/>
    <w:rsid w:val="007A3CF5"/>
    <w:rsid w:val="007A3F40"/>
    <w:rsid w:val="007A3FF6"/>
    <w:rsid w:val="007A421D"/>
    <w:rsid w:val="007A44C0"/>
    <w:rsid w:val="007A4636"/>
    <w:rsid w:val="007A4922"/>
    <w:rsid w:val="007A4935"/>
    <w:rsid w:val="007A4BDD"/>
    <w:rsid w:val="007A4CAE"/>
    <w:rsid w:val="007A4EAC"/>
    <w:rsid w:val="007A4F1E"/>
    <w:rsid w:val="007A520C"/>
    <w:rsid w:val="007A542D"/>
    <w:rsid w:val="007A560D"/>
    <w:rsid w:val="007A5BC5"/>
    <w:rsid w:val="007A5D09"/>
    <w:rsid w:val="007A5DEF"/>
    <w:rsid w:val="007A5EDA"/>
    <w:rsid w:val="007A5F3D"/>
    <w:rsid w:val="007A5F53"/>
    <w:rsid w:val="007A6018"/>
    <w:rsid w:val="007A62E1"/>
    <w:rsid w:val="007A6501"/>
    <w:rsid w:val="007A6623"/>
    <w:rsid w:val="007A66F7"/>
    <w:rsid w:val="007A6853"/>
    <w:rsid w:val="007A6957"/>
    <w:rsid w:val="007A6B70"/>
    <w:rsid w:val="007A7109"/>
    <w:rsid w:val="007A7325"/>
    <w:rsid w:val="007A7A86"/>
    <w:rsid w:val="007A7B38"/>
    <w:rsid w:val="007A7B78"/>
    <w:rsid w:val="007A7ECB"/>
    <w:rsid w:val="007B0282"/>
    <w:rsid w:val="007B035B"/>
    <w:rsid w:val="007B043F"/>
    <w:rsid w:val="007B0566"/>
    <w:rsid w:val="007B05D9"/>
    <w:rsid w:val="007B0886"/>
    <w:rsid w:val="007B0B1B"/>
    <w:rsid w:val="007B0C36"/>
    <w:rsid w:val="007B14AB"/>
    <w:rsid w:val="007B164B"/>
    <w:rsid w:val="007B1825"/>
    <w:rsid w:val="007B189F"/>
    <w:rsid w:val="007B1CF6"/>
    <w:rsid w:val="007B1E76"/>
    <w:rsid w:val="007B1EE1"/>
    <w:rsid w:val="007B2171"/>
    <w:rsid w:val="007B259A"/>
    <w:rsid w:val="007B262E"/>
    <w:rsid w:val="007B2E62"/>
    <w:rsid w:val="007B2F13"/>
    <w:rsid w:val="007B31DF"/>
    <w:rsid w:val="007B320D"/>
    <w:rsid w:val="007B334C"/>
    <w:rsid w:val="007B3404"/>
    <w:rsid w:val="007B3484"/>
    <w:rsid w:val="007B366F"/>
    <w:rsid w:val="007B3730"/>
    <w:rsid w:val="007B391A"/>
    <w:rsid w:val="007B393D"/>
    <w:rsid w:val="007B399B"/>
    <w:rsid w:val="007B3A96"/>
    <w:rsid w:val="007B3AED"/>
    <w:rsid w:val="007B3D8C"/>
    <w:rsid w:val="007B4076"/>
    <w:rsid w:val="007B4222"/>
    <w:rsid w:val="007B4415"/>
    <w:rsid w:val="007B46AC"/>
    <w:rsid w:val="007B47B4"/>
    <w:rsid w:val="007B4821"/>
    <w:rsid w:val="007B48E1"/>
    <w:rsid w:val="007B4D10"/>
    <w:rsid w:val="007B4E83"/>
    <w:rsid w:val="007B4FCF"/>
    <w:rsid w:val="007B4FD1"/>
    <w:rsid w:val="007B5229"/>
    <w:rsid w:val="007B5B21"/>
    <w:rsid w:val="007B5BCC"/>
    <w:rsid w:val="007B6050"/>
    <w:rsid w:val="007B61F9"/>
    <w:rsid w:val="007B639D"/>
    <w:rsid w:val="007B64B0"/>
    <w:rsid w:val="007B65E5"/>
    <w:rsid w:val="007B6831"/>
    <w:rsid w:val="007B687D"/>
    <w:rsid w:val="007B69D5"/>
    <w:rsid w:val="007B6A0F"/>
    <w:rsid w:val="007B6A68"/>
    <w:rsid w:val="007B6DB4"/>
    <w:rsid w:val="007B7452"/>
    <w:rsid w:val="007B74C5"/>
    <w:rsid w:val="007B752A"/>
    <w:rsid w:val="007B7537"/>
    <w:rsid w:val="007B754E"/>
    <w:rsid w:val="007B75BB"/>
    <w:rsid w:val="007B7C14"/>
    <w:rsid w:val="007B7D36"/>
    <w:rsid w:val="007B7F0F"/>
    <w:rsid w:val="007C02E1"/>
    <w:rsid w:val="007C05B1"/>
    <w:rsid w:val="007C0780"/>
    <w:rsid w:val="007C11FE"/>
    <w:rsid w:val="007C1380"/>
    <w:rsid w:val="007C15AB"/>
    <w:rsid w:val="007C1725"/>
    <w:rsid w:val="007C172D"/>
    <w:rsid w:val="007C1B14"/>
    <w:rsid w:val="007C1FD1"/>
    <w:rsid w:val="007C20D0"/>
    <w:rsid w:val="007C2341"/>
    <w:rsid w:val="007C2453"/>
    <w:rsid w:val="007C24CA"/>
    <w:rsid w:val="007C25F7"/>
    <w:rsid w:val="007C26C4"/>
    <w:rsid w:val="007C2902"/>
    <w:rsid w:val="007C29FE"/>
    <w:rsid w:val="007C2A38"/>
    <w:rsid w:val="007C2CBC"/>
    <w:rsid w:val="007C2E76"/>
    <w:rsid w:val="007C312B"/>
    <w:rsid w:val="007C340B"/>
    <w:rsid w:val="007C3A9A"/>
    <w:rsid w:val="007C3B8C"/>
    <w:rsid w:val="007C4510"/>
    <w:rsid w:val="007C4965"/>
    <w:rsid w:val="007C4A22"/>
    <w:rsid w:val="007C4E50"/>
    <w:rsid w:val="007C4EDD"/>
    <w:rsid w:val="007C4F2D"/>
    <w:rsid w:val="007C4FE6"/>
    <w:rsid w:val="007C50E5"/>
    <w:rsid w:val="007C5304"/>
    <w:rsid w:val="007C53EC"/>
    <w:rsid w:val="007C5841"/>
    <w:rsid w:val="007C5B0E"/>
    <w:rsid w:val="007C5C75"/>
    <w:rsid w:val="007C5C7D"/>
    <w:rsid w:val="007C605A"/>
    <w:rsid w:val="007C6341"/>
    <w:rsid w:val="007C6454"/>
    <w:rsid w:val="007C65A0"/>
    <w:rsid w:val="007C67B4"/>
    <w:rsid w:val="007C6DEC"/>
    <w:rsid w:val="007C6E81"/>
    <w:rsid w:val="007C6FDC"/>
    <w:rsid w:val="007C6FFC"/>
    <w:rsid w:val="007C7398"/>
    <w:rsid w:val="007C7ACC"/>
    <w:rsid w:val="007C7C6B"/>
    <w:rsid w:val="007C7C97"/>
    <w:rsid w:val="007C7D9C"/>
    <w:rsid w:val="007D0054"/>
    <w:rsid w:val="007D03A7"/>
    <w:rsid w:val="007D0553"/>
    <w:rsid w:val="007D072E"/>
    <w:rsid w:val="007D084B"/>
    <w:rsid w:val="007D0A02"/>
    <w:rsid w:val="007D0B24"/>
    <w:rsid w:val="007D0D45"/>
    <w:rsid w:val="007D0F3B"/>
    <w:rsid w:val="007D1611"/>
    <w:rsid w:val="007D1785"/>
    <w:rsid w:val="007D19FD"/>
    <w:rsid w:val="007D1A7D"/>
    <w:rsid w:val="007D224A"/>
    <w:rsid w:val="007D2292"/>
    <w:rsid w:val="007D2387"/>
    <w:rsid w:val="007D23B7"/>
    <w:rsid w:val="007D277A"/>
    <w:rsid w:val="007D280C"/>
    <w:rsid w:val="007D2C61"/>
    <w:rsid w:val="007D2C9D"/>
    <w:rsid w:val="007D2CEA"/>
    <w:rsid w:val="007D2E6C"/>
    <w:rsid w:val="007D2F89"/>
    <w:rsid w:val="007D2FC8"/>
    <w:rsid w:val="007D34F8"/>
    <w:rsid w:val="007D3A37"/>
    <w:rsid w:val="007D3AE7"/>
    <w:rsid w:val="007D3B17"/>
    <w:rsid w:val="007D3C94"/>
    <w:rsid w:val="007D3CF0"/>
    <w:rsid w:val="007D3ECF"/>
    <w:rsid w:val="007D4005"/>
    <w:rsid w:val="007D4240"/>
    <w:rsid w:val="007D436C"/>
    <w:rsid w:val="007D4434"/>
    <w:rsid w:val="007D4459"/>
    <w:rsid w:val="007D44A0"/>
    <w:rsid w:val="007D4726"/>
    <w:rsid w:val="007D50DF"/>
    <w:rsid w:val="007D51EF"/>
    <w:rsid w:val="007D5337"/>
    <w:rsid w:val="007D5512"/>
    <w:rsid w:val="007D575A"/>
    <w:rsid w:val="007D57D7"/>
    <w:rsid w:val="007D5A08"/>
    <w:rsid w:val="007D5DA1"/>
    <w:rsid w:val="007D5DD2"/>
    <w:rsid w:val="007D6141"/>
    <w:rsid w:val="007D62B9"/>
    <w:rsid w:val="007D6A45"/>
    <w:rsid w:val="007D6F29"/>
    <w:rsid w:val="007D7560"/>
    <w:rsid w:val="007D7780"/>
    <w:rsid w:val="007D7845"/>
    <w:rsid w:val="007D7B57"/>
    <w:rsid w:val="007D7FD4"/>
    <w:rsid w:val="007E00AE"/>
    <w:rsid w:val="007E01D5"/>
    <w:rsid w:val="007E037B"/>
    <w:rsid w:val="007E0549"/>
    <w:rsid w:val="007E06EC"/>
    <w:rsid w:val="007E07EF"/>
    <w:rsid w:val="007E09A7"/>
    <w:rsid w:val="007E10C5"/>
    <w:rsid w:val="007E112C"/>
    <w:rsid w:val="007E1149"/>
    <w:rsid w:val="007E15CC"/>
    <w:rsid w:val="007E1836"/>
    <w:rsid w:val="007E1F59"/>
    <w:rsid w:val="007E2212"/>
    <w:rsid w:val="007E2789"/>
    <w:rsid w:val="007E2955"/>
    <w:rsid w:val="007E2F22"/>
    <w:rsid w:val="007E2FE7"/>
    <w:rsid w:val="007E318B"/>
    <w:rsid w:val="007E3196"/>
    <w:rsid w:val="007E37F1"/>
    <w:rsid w:val="007E3A8A"/>
    <w:rsid w:val="007E3D30"/>
    <w:rsid w:val="007E3D95"/>
    <w:rsid w:val="007E3DDD"/>
    <w:rsid w:val="007E4009"/>
    <w:rsid w:val="007E4022"/>
    <w:rsid w:val="007E4481"/>
    <w:rsid w:val="007E4C34"/>
    <w:rsid w:val="007E51CE"/>
    <w:rsid w:val="007E527D"/>
    <w:rsid w:val="007E584C"/>
    <w:rsid w:val="007E5F7A"/>
    <w:rsid w:val="007E5FC4"/>
    <w:rsid w:val="007E6387"/>
    <w:rsid w:val="007E6855"/>
    <w:rsid w:val="007E70E5"/>
    <w:rsid w:val="007E729E"/>
    <w:rsid w:val="007E736C"/>
    <w:rsid w:val="007E76B5"/>
    <w:rsid w:val="007E77B0"/>
    <w:rsid w:val="007E7B77"/>
    <w:rsid w:val="007E7F9D"/>
    <w:rsid w:val="007F0009"/>
    <w:rsid w:val="007F03C1"/>
    <w:rsid w:val="007F0532"/>
    <w:rsid w:val="007F0785"/>
    <w:rsid w:val="007F080E"/>
    <w:rsid w:val="007F0892"/>
    <w:rsid w:val="007F08D9"/>
    <w:rsid w:val="007F08E7"/>
    <w:rsid w:val="007F0D62"/>
    <w:rsid w:val="007F1464"/>
    <w:rsid w:val="007F158B"/>
    <w:rsid w:val="007F15FB"/>
    <w:rsid w:val="007F1658"/>
    <w:rsid w:val="007F1772"/>
    <w:rsid w:val="007F18D1"/>
    <w:rsid w:val="007F1A0D"/>
    <w:rsid w:val="007F1ABD"/>
    <w:rsid w:val="007F1B43"/>
    <w:rsid w:val="007F1E65"/>
    <w:rsid w:val="007F1F97"/>
    <w:rsid w:val="007F2027"/>
    <w:rsid w:val="007F23A6"/>
    <w:rsid w:val="007F29CE"/>
    <w:rsid w:val="007F2A43"/>
    <w:rsid w:val="007F2F62"/>
    <w:rsid w:val="007F3161"/>
    <w:rsid w:val="007F316F"/>
    <w:rsid w:val="007F329C"/>
    <w:rsid w:val="007F3733"/>
    <w:rsid w:val="007F3D74"/>
    <w:rsid w:val="007F470B"/>
    <w:rsid w:val="007F470C"/>
    <w:rsid w:val="007F492D"/>
    <w:rsid w:val="007F4C94"/>
    <w:rsid w:val="007F4CC3"/>
    <w:rsid w:val="007F6A95"/>
    <w:rsid w:val="007F6CEE"/>
    <w:rsid w:val="007F6DA2"/>
    <w:rsid w:val="007F741F"/>
    <w:rsid w:val="007F74D1"/>
    <w:rsid w:val="007F7532"/>
    <w:rsid w:val="007F7941"/>
    <w:rsid w:val="007F7B2C"/>
    <w:rsid w:val="007F7C6D"/>
    <w:rsid w:val="007F7D5C"/>
    <w:rsid w:val="00800136"/>
    <w:rsid w:val="0080032A"/>
    <w:rsid w:val="00800364"/>
    <w:rsid w:val="008004AB"/>
    <w:rsid w:val="00800BF5"/>
    <w:rsid w:val="00800D3E"/>
    <w:rsid w:val="00800D72"/>
    <w:rsid w:val="0080139A"/>
    <w:rsid w:val="008013DD"/>
    <w:rsid w:val="0080158A"/>
    <w:rsid w:val="008019D2"/>
    <w:rsid w:val="00801EC7"/>
    <w:rsid w:val="00802244"/>
    <w:rsid w:val="00802406"/>
    <w:rsid w:val="0080253C"/>
    <w:rsid w:val="00802577"/>
    <w:rsid w:val="00802831"/>
    <w:rsid w:val="00802894"/>
    <w:rsid w:val="00802980"/>
    <w:rsid w:val="00802D70"/>
    <w:rsid w:val="00802F5C"/>
    <w:rsid w:val="008033A4"/>
    <w:rsid w:val="008033E6"/>
    <w:rsid w:val="008037A7"/>
    <w:rsid w:val="00803A6B"/>
    <w:rsid w:val="00803E36"/>
    <w:rsid w:val="00803F3F"/>
    <w:rsid w:val="00804192"/>
    <w:rsid w:val="008041DC"/>
    <w:rsid w:val="008041FF"/>
    <w:rsid w:val="00804562"/>
    <w:rsid w:val="008045B2"/>
    <w:rsid w:val="00804C1D"/>
    <w:rsid w:val="00804CCE"/>
    <w:rsid w:val="00804CFB"/>
    <w:rsid w:val="00804DB6"/>
    <w:rsid w:val="00804F2E"/>
    <w:rsid w:val="00805269"/>
    <w:rsid w:val="0080573F"/>
    <w:rsid w:val="00805A4A"/>
    <w:rsid w:val="00805E82"/>
    <w:rsid w:val="00805F86"/>
    <w:rsid w:val="008061BA"/>
    <w:rsid w:val="00806699"/>
    <w:rsid w:val="00806701"/>
    <w:rsid w:val="0080685F"/>
    <w:rsid w:val="0080694A"/>
    <w:rsid w:val="00806B92"/>
    <w:rsid w:val="00806C8E"/>
    <w:rsid w:val="00806CE8"/>
    <w:rsid w:val="00806E0B"/>
    <w:rsid w:val="00806F29"/>
    <w:rsid w:val="00807118"/>
    <w:rsid w:val="008072D6"/>
    <w:rsid w:val="008072E8"/>
    <w:rsid w:val="00807C7C"/>
    <w:rsid w:val="00807CA4"/>
    <w:rsid w:val="00807E0E"/>
    <w:rsid w:val="00807F7D"/>
    <w:rsid w:val="0081046A"/>
    <w:rsid w:val="008104C7"/>
    <w:rsid w:val="008106AD"/>
    <w:rsid w:val="00810789"/>
    <w:rsid w:val="00810823"/>
    <w:rsid w:val="00810AA8"/>
    <w:rsid w:val="00810B96"/>
    <w:rsid w:val="00810CED"/>
    <w:rsid w:val="00810D35"/>
    <w:rsid w:val="00811095"/>
    <w:rsid w:val="008110C1"/>
    <w:rsid w:val="0081143A"/>
    <w:rsid w:val="008117F4"/>
    <w:rsid w:val="00811997"/>
    <w:rsid w:val="00811B15"/>
    <w:rsid w:val="00811BB9"/>
    <w:rsid w:val="00811F32"/>
    <w:rsid w:val="00812133"/>
    <w:rsid w:val="00812147"/>
    <w:rsid w:val="008121DA"/>
    <w:rsid w:val="00812417"/>
    <w:rsid w:val="008126B0"/>
    <w:rsid w:val="0081271F"/>
    <w:rsid w:val="0081294F"/>
    <w:rsid w:val="00812C15"/>
    <w:rsid w:val="00812CD3"/>
    <w:rsid w:val="008130F7"/>
    <w:rsid w:val="0081310F"/>
    <w:rsid w:val="0081317D"/>
    <w:rsid w:val="00813352"/>
    <w:rsid w:val="00813375"/>
    <w:rsid w:val="008137BB"/>
    <w:rsid w:val="0081389D"/>
    <w:rsid w:val="008138F9"/>
    <w:rsid w:val="00813AAC"/>
    <w:rsid w:val="00813F09"/>
    <w:rsid w:val="008142B4"/>
    <w:rsid w:val="00814366"/>
    <w:rsid w:val="00814ADE"/>
    <w:rsid w:val="00814E17"/>
    <w:rsid w:val="00814FC4"/>
    <w:rsid w:val="00815289"/>
    <w:rsid w:val="008156DD"/>
    <w:rsid w:val="008158A4"/>
    <w:rsid w:val="00816133"/>
    <w:rsid w:val="00816841"/>
    <w:rsid w:val="00816A33"/>
    <w:rsid w:val="00816D01"/>
    <w:rsid w:val="008171DE"/>
    <w:rsid w:val="0081778E"/>
    <w:rsid w:val="008177CC"/>
    <w:rsid w:val="00817BAF"/>
    <w:rsid w:val="00817BB4"/>
    <w:rsid w:val="00817C09"/>
    <w:rsid w:val="00817DE1"/>
    <w:rsid w:val="00817E53"/>
    <w:rsid w:val="00817EE6"/>
    <w:rsid w:val="008203F4"/>
    <w:rsid w:val="0082045B"/>
    <w:rsid w:val="008208D2"/>
    <w:rsid w:val="0082090E"/>
    <w:rsid w:val="0082118E"/>
    <w:rsid w:val="00821195"/>
    <w:rsid w:val="0082138E"/>
    <w:rsid w:val="00821F68"/>
    <w:rsid w:val="0082242A"/>
    <w:rsid w:val="0082251B"/>
    <w:rsid w:val="0082292E"/>
    <w:rsid w:val="0082297C"/>
    <w:rsid w:val="0082303E"/>
    <w:rsid w:val="00823231"/>
    <w:rsid w:val="00823296"/>
    <w:rsid w:val="00823C02"/>
    <w:rsid w:val="00823CFA"/>
    <w:rsid w:val="00823D51"/>
    <w:rsid w:val="00824036"/>
    <w:rsid w:val="008240DA"/>
    <w:rsid w:val="00824228"/>
    <w:rsid w:val="00824310"/>
    <w:rsid w:val="00824386"/>
    <w:rsid w:val="00824E54"/>
    <w:rsid w:val="008251FD"/>
    <w:rsid w:val="00825565"/>
    <w:rsid w:val="00825583"/>
    <w:rsid w:val="0082571B"/>
    <w:rsid w:val="00825A1F"/>
    <w:rsid w:val="00825B11"/>
    <w:rsid w:val="00825F73"/>
    <w:rsid w:val="008260F1"/>
    <w:rsid w:val="00826441"/>
    <w:rsid w:val="008267C0"/>
    <w:rsid w:val="008268CF"/>
    <w:rsid w:val="00826902"/>
    <w:rsid w:val="008269BC"/>
    <w:rsid w:val="00826C80"/>
    <w:rsid w:val="00826EB2"/>
    <w:rsid w:val="0082772E"/>
    <w:rsid w:val="0082777D"/>
    <w:rsid w:val="0082781E"/>
    <w:rsid w:val="008302B7"/>
    <w:rsid w:val="00830917"/>
    <w:rsid w:val="00830C21"/>
    <w:rsid w:val="00830D2C"/>
    <w:rsid w:val="00830D48"/>
    <w:rsid w:val="00830DE9"/>
    <w:rsid w:val="00830E71"/>
    <w:rsid w:val="00830FEB"/>
    <w:rsid w:val="00831004"/>
    <w:rsid w:val="0083125A"/>
    <w:rsid w:val="00831607"/>
    <w:rsid w:val="008317C4"/>
    <w:rsid w:val="00831E78"/>
    <w:rsid w:val="008320D9"/>
    <w:rsid w:val="00832749"/>
    <w:rsid w:val="008329FA"/>
    <w:rsid w:val="00832A05"/>
    <w:rsid w:val="00832C40"/>
    <w:rsid w:val="00832C61"/>
    <w:rsid w:val="00832FF1"/>
    <w:rsid w:val="0083303C"/>
    <w:rsid w:val="00833057"/>
    <w:rsid w:val="00833413"/>
    <w:rsid w:val="00833963"/>
    <w:rsid w:val="00833B9B"/>
    <w:rsid w:val="00833CDB"/>
    <w:rsid w:val="00833D98"/>
    <w:rsid w:val="00833DDC"/>
    <w:rsid w:val="00833DE4"/>
    <w:rsid w:val="00833EFD"/>
    <w:rsid w:val="0083404E"/>
    <w:rsid w:val="00834316"/>
    <w:rsid w:val="008343A2"/>
    <w:rsid w:val="008345F6"/>
    <w:rsid w:val="0083472D"/>
    <w:rsid w:val="0083475C"/>
    <w:rsid w:val="00834863"/>
    <w:rsid w:val="00834899"/>
    <w:rsid w:val="00834AE4"/>
    <w:rsid w:val="00834E18"/>
    <w:rsid w:val="0083560C"/>
    <w:rsid w:val="008357C4"/>
    <w:rsid w:val="0083586B"/>
    <w:rsid w:val="00835A57"/>
    <w:rsid w:val="00835DC5"/>
    <w:rsid w:val="00836060"/>
    <w:rsid w:val="0083608F"/>
    <w:rsid w:val="008360E9"/>
    <w:rsid w:val="00836327"/>
    <w:rsid w:val="008368BB"/>
    <w:rsid w:val="00836BF0"/>
    <w:rsid w:val="00836E05"/>
    <w:rsid w:val="00836FB2"/>
    <w:rsid w:val="008371F1"/>
    <w:rsid w:val="00837343"/>
    <w:rsid w:val="00837E15"/>
    <w:rsid w:val="00837E22"/>
    <w:rsid w:val="0084013D"/>
    <w:rsid w:val="00840197"/>
    <w:rsid w:val="00840427"/>
    <w:rsid w:val="008407E3"/>
    <w:rsid w:val="00840801"/>
    <w:rsid w:val="008408CF"/>
    <w:rsid w:val="00840A89"/>
    <w:rsid w:val="00840AB8"/>
    <w:rsid w:val="00840B3B"/>
    <w:rsid w:val="00840B82"/>
    <w:rsid w:val="008411BF"/>
    <w:rsid w:val="008413C4"/>
    <w:rsid w:val="00841533"/>
    <w:rsid w:val="00841577"/>
    <w:rsid w:val="00841629"/>
    <w:rsid w:val="00841A29"/>
    <w:rsid w:val="00841CBC"/>
    <w:rsid w:val="008420DD"/>
    <w:rsid w:val="008422A0"/>
    <w:rsid w:val="008422C4"/>
    <w:rsid w:val="00842488"/>
    <w:rsid w:val="00842697"/>
    <w:rsid w:val="008428D2"/>
    <w:rsid w:val="0084313F"/>
    <w:rsid w:val="0084321C"/>
    <w:rsid w:val="008434BF"/>
    <w:rsid w:val="00843593"/>
    <w:rsid w:val="00843763"/>
    <w:rsid w:val="00843D58"/>
    <w:rsid w:val="0084404E"/>
    <w:rsid w:val="008444B6"/>
    <w:rsid w:val="00844513"/>
    <w:rsid w:val="0084479B"/>
    <w:rsid w:val="0084506C"/>
    <w:rsid w:val="00845207"/>
    <w:rsid w:val="00845D54"/>
    <w:rsid w:val="00845DF8"/>
    <w:rsid w:val="0084618A"/>
    <w:rsid w:val="008462AD"/>
    <w:rsid w:val="0084647D"/>
    <w:rsid w:val="008465C1"/>
    <w:rsid w:val="00846627"/>
    <w:rsid w:val="00846659"/>
    <w:rsid w:val="00846B85"/>
    <w:rsid w:val="00846BB8"/>
    <w:rsid w:val="00846F03"/>
    <w:rsid w:val="00847045"/>
    <w:rsid w:val="00847154"/>
    <w:rsid w:val="0084718B"/>
    <w:rsid w:val="00847437"/>
    <w:rsid w:val="0084793E"/>
    <w:rsid w:val="00847B82"/>
    <w:rsid w:val="00847E2B"/>
    <w:rsid w:val="00847EA7"/>
    <w:rsid w:val="008501EB"/>
    <w:rsid w:val="00850293"/>
    <w:rsid w:val="008502D8"/>
    <w:rsid w:val="00850417"/>
    <w:rsid w:val="008505D7"/>
    <w:rsid w:val="008508A2"/>
    <w:rsid w:val="00850A33"/>
    <w:rsid w:val="00850EF1"/>
    <w:rsid w:val="00850FDC"/>
    <w:rsid w:val="0085117D"/>
    <w:rsid w:val="0085143F"/>
    <w:rsid w:val="00851823"/>
    <w:rsid w:val="00851EEB"/>
    <w:rsid w:val="00852100"/>
    <w:rsid w:val="00852324"/>
    <w:rsid w:val="00852470"/>
    <w:rsid w:val="008525AC"/>
    <w:rsid w:val="0085267D"/>
    <w:rsid w:val="00852800"/>
    <w:rsid w:val="00852826"/>
    <w:rsid w:val="00852E03"/>
    <w:rsid w:val="0085343A"/>
    <w:rsid w:val="008536A6"/>
    <w:rsid w:val="008536D5"/>
    <w:rsid w:val="00853934"/>
    <w:rsid w:val="0085396D"/>
    <w:rsid w:val="00853A90"/>
    <w:rsid w:val="00853B80"/>
    <w:rsid w:val="00853BC4"/>
    <w:rsid w:val="00853C23"/>
    <w:rsid w:val="008540EF"/>
    <w:rsid w:val="008541EF"/>
    <w:rsid w:val="0085431A"/>
    <w:rsid w:val="00855123"/>
    <w:rsid w:val="00855296"/>
    <w:rsid w:val="008553B9"/>
    <w:rsid w:val="00855491"/>
    <w:rsid w:val="00855CB6"/>
    <w:rsid w:val="00855E6D"/>
    <w:rsid w:val="00856053"/>
    <w:rsid w:val="0085648E"/>
    <w:rsid w:val="008566B7"/>
    <w:rsid w:val="0085698B"/>
    <w:rsid w:val="00856B25"/>
    <w:rsid w:val="00856DEE"/>
    <w:rsid w:val="00856F67"/>
    <w:rsid w:val="00857033"/>
    <w:rsid w:val="00857183"/>
    <w:rsid w:val="008571E2"/>
    <w:rsid w:val="0085728F"/>
    <w:rsid w:val="008572DD"/>
    <w:rsid w:val="008575AB"/>
    <w:rsid w:val="00857628"/>
    <w:rsid w:val="00857673"/>
    <w:rsid w:val="00857746"/>
    <w:rsid w:val="00857959"/>
    <w:rsid w:val="00857B70"/>
    <w:rsid w:val="00857F95"/>
    <w:rsid w:val="00860011"/>
    <w:rsid w:val="00860379"/>
    <w:rsid w:val="008603D4"/>
    <w:rsid w:val="00860A32"/>
    <w:rsid w:val="00860B68"/>
    <w:rsid w:val="00860C4D"/>
    <w:rsid w:val="00860EC0"/>
    <w:rsid w:val="00860F01"/>
    <w:rsid w:val="00860F36"/>
    <w:rsid w:val="00861476"/>
    <w:rsid w:val="00861984"/>
    <w:rsid w:val="00861B9F"/>
    <w:rsid w:val="00861C3C"/>
    <w:rsid w:val="00861E2B"/>
    <w:rsid w:val="00862140"/>
    <w:rsid w:val="0086228E"/>
    <w:rsid w:val="0086246E"/>
    <w:rsid w:val="008624A3"/>
    <w:rsid w:val="008626AE"/>
    <w:rsid w:val="00862A81"/>
    <w:rsid w:val="0086379E"/>
    <w:rsid w:val="00863827"/>
    <w:rsid w:val="0086392A"/>
    <w:rsid w:val="00863E86"/>
    <w:rsid w:val="00864192"/>
    <w:rsid w:val="0086444A"/>
    <w:rsid w:val="00864637"/>
    <w:rsid w:val="008649C1"/>
    <w:rsid w:val="00864AEF"/>
    <w:rsid w:val="00864C0B"/>
    <w:rsid w:val="00864DFB"/>
    <w:rsid w:val="00864E41"/>
    <w:rsid w:val="0086508D"/>
    <w:rsid w:val="00865178"/>
    <w:rsid w:val="00865276"/>
    <w:rsid w:val="008655D2"/>
    <w:rsid w:val="00865638"/>
    <w:rsid w:val="008656A7"/>
    <w:rsid w:val="00865786"/>
    <w:rsid w:val="00865968"/>
    <w:rsid w:val="00865CE6"/>
    <w:rsid w:val="00865D34"/>
    <w:rsid w:val="0086614D"/>
    <w:rsid w:val="00866409"/>
    <w:rsid w:val="00866625"/>
    <w:rsid w:val="00866782"/>
    <w:rsid w:val="00866798"/>
    <w:rsid w:val="0086695C"/>
    <w:rsid w:val="00866BEF"/>
    <w:rsid w:val="00866D33"/>
    <w:rsid w:val="00866DB6"/>
    <w:rsid w:val="00866E83"/>
    <w:rsid w:val="00866E96"/>
    <w:rsid w:val="00867366"/>
    <w:rsid w:val="00867462"/>
    <w:rsid w:val="0086780F"/>
    <w:rsid w:val="00867968"/>
    <w:rsid w:val="00867A5A"/>
    <w:rsid w:val="00867D63"/>
    <w:rsid w:val="00867E30"/>
    <w:rsid w:val="008700D3"/>
    <w:rsid w:val="0087016F"/>
    <w:rsid w:val="0087061E"/>
    <w:rsid w:val="00870815"/>
    <w:rsid w:val="00870B69"/>
    <w:rsid w:val="00870C1C"/>
    <w:rsid w:val="00870CBD"/>
    <w:rsid w:val="00870ED8"/>
    <w:rsid w:val="00870FDC"/>
    <w:rsid w:val="00871161"/>
    <w:rsid w:val="008711A3"/>
    <w:rsid w:val="008712A7"/>
    <w:rsid w:val="008713FC"/>
    <w:rsid w:val="0087149E"/>
    <w:rsid w:val="00871585"/>
    <w:rsid w:val="00871962"/>
    <w:rsid w:val="008719E2"/>
    <w:rsid w:val="00871A10"/>
    <w:rsid w:val="00871BFA"/>
    <w:rsid w:val="00871D7D"/>
    <w:rsid w:val="00871DFC"/>
    <w:rsid w:val="00871EE0"/>
    <w:rsid w:val="00871FB6"/>
    <w:rsid w:val="008722B0"/>
    <w:rsid w:val="008723AB"/>
    <w:rsid w:val="00872CF3"/>
    <w:rsid w:val="00872D04"/>
    <w:rsid w:val="00872E92"/>
    <w:rsid w:val="0087345E"/>
    <w:rsid w:val="00873665"/>
    <w:rsid w:val="008736E7"/>
    <w:rsid w:val="00874082"/>
    <w:rsid w:val="00874091"/>
    <w:rsid w:val="00874111"/>
    <w:rsid w:val="008744A3"/>
    <w:rsid w:val="00874510"/>
    <w:rsid w:val="00874551"/>
    <w:rsid w:val="008748E6"/>
    <w:rsid w:val="00875473"/>
    <w:rsid w:val="00875594"/>
    <w:rsid w:val="008756EB"/>
    <w:rsid w:val="008756F2"/>
    <w:rsid w:val="008757EC"/>
    <w:rsid w:val="00875A1C"/>
    <w:rsid w:val="00875C4E"/>
    <w:rsid w:val="00875F62"/>
    <w:rsid w:val="00875F85"/>
    <w:rsid w:val="00875FEF"/>
    <w:rsid w:val="0087613B"/>
    <w:rsid w:val="0087625B"/>
    <w:rsid w:val="008762AB"/>
    <w:rsid w:val="0087679F"/>
    <w:rsid w:val="008767BA"/>
    <w:rsid w:val="00876A5D"/>
    <w:rsid w:val="00876C37"/>
    <w:rsid w:val="00876C7A"/>
    <w:rsid w:val="008773A8"/>
    <w:rsid w:val="008775CB"/>
    <w:rsid w:val="0087781F"/>
    <w:rsid w:val="00877B8E"/>
    <w:rsid w:val="00877CBA"/>
    <w:rsid w:val="00877D65"/>
    <w:rsid w:val="00877E66"/>
    <w:rsid w:val="00877EDC"/>
    <w:rsid w:val="00877F70"/>
    <w:rsid w:val="00880641"/>
    <w:rsid w:val="00880B51"/>
    <w:rsid w:val="00880EE9"/>
    <w:rsid w:val="00880F09"/>
    <w:rsid w:val="00881159"/>
    <w:rsid w:val="00881746"/>
    <w:rsid w:val="008818A0"/>
    <w:rsid w:val="008819F0"/>
    <w:rsid w:val="00881A02"/>
    <w:rsid w:val="00881AEE"/>
    <w:rsid w:val="00881D72"/>
    <w:rsid w:val="00881F0B"/>
    <w:rsid w:val="00882025"/>
    <w:rsid w:val="008822DE"/>
    <w:rsid w:val="008826D6"/>
    <w:rsid w:val="00883754"/>
    <w:rsid w:val="008837F8"/>
    <w:rsid w:val="008839C9"/>
    <w:rsid w:val="00884057"/>
    <w:rsid w:val="00884761"/>
    <w:rsid w:val="00884901"/>
    <w:rsid w:val="00884A03"/>
    <w:rsid w:val="00884ABC"/>
    <w:rsid w:val="00884FBF"/>
    <w:rsid w:val="008851FB"/>
    <w:rsid w:val="00885526"/>
    <w:rsid w:val="00885B5E"/>
    <w:rsid w:val="00885DB5"/>
    <w:rsid w:val="0088600A"/>
    <w:rsid w:val="008861CA"/>
    <w:rsid w:val="00886316"/>
    <w:rsid w:val="008866FC"/>
    <w:rsid w:val="0088680B"/>
    <w:rsid w:val="008868D9"/>
    <w:rsid w:val="00886A4A"/>
    <w:rsid w:val="00886A64"/>
    <w:rsid w:val="00886E5B"/>
    <w:rsid w:val="00886F49"/>
    <w:rsid w:val="008870E8"/>
    <w:rsid w:val="008875C2"/>
    <w:rsid w:val="00887713"/>
    <w:rsid w:val="0088786B"/>
    <w:rsid w:val="00887901"/>
    <w:rsid w:val="0088794E"/>
    <w:rsid w:val="00887AB1"/>
    <w:rsid w:val="008901A5"/>
    <w:rsid w:val="008901F2"/>
    <w:rsid w:val="0089042E"/>
    <w:rsid w:val="008904AC"/>
    <w:rsid w:val="00890A16"/>
    <w:rsid w:val="00890A93"/>
    <w:rsid w:val="00890E4B"/>
    <w:rsid w:val="00891125"/>
    <w:rsid w:val="00891667"/>
    <w:rsid w:val="00891A55"/>
    <w:rsid w:val="00891CDE"/>
    <w:rsid w:val="008924D9"/>
    <w:rsid w:val="008926FD"/>
    <w:rsid w:val="008929C6"/>
    <w:rsid w:val="00892F31"/>
    <w:rsid w:val="00893193"/>
    <w:rsid w:val="0089320C"/>
    <w:rsid w:val="0089324C"/>
    <w:rsid w:val="008934EA"/>
    <w:rsid w:val="008935E3"/>
    <w:rsid w:val="00893801"/>
    <w:rsid w:val="008939D0"/>
    <w:rsid w:val="00893AAC"/>
    <w:rsid w:val="00893DB0"/>
    <w:rsid w:val="00893F5B"/>
    <w:rsid w:val="00893FC8"/>
    <w:rsid w:val="00894286"/>
    <w:rsid w:val="00894407"/>
    <w:rsid w:val="0089440B"/>
    <w:rsid w:val="0089468F"/>
    <w:rsid w:val="0089469C"/>
    <w:rsid w:val="008946CA"/>
    <w:rsid w:val="008947E5"/>
    <w:rsid w:val="00894978"/>
    <w:rsid w:val="00894A80"/>
    <w:rsid w:val="00894ADF"/>
    <w:rsid w:val="008959C1"/>
    <w:rsid w:val="00895A73"/>
    <w:rsid w:val="00895A7E"/>
    <w:rsid w:val="00895BED"/>
    <w:rsid w:val="00895EFA"/>
    <w:rsid w:val="00895EFB"/>
    <w:rsid w:val="0089601B"/>
    <w:rsid w:val="00896398"/>
    <w:rsid w:val="0089642B"/>
    <w:rsid w:val="008965F8"/>
    <w:rsid w:val="0089667A"/>
    <w:rsid w:val="00896D29"/>
    <w:rsid w:val="00897134"/>
    <w:rsid w:val="008971EB"/>
    <w:rsid w:val="00897254"/>
    <w:rsid w:val="00897430"/>
    <w:rsid w:val="008978AA"/>
    <w:rsid w:val="008978AD"/>
    <w:rsid w:val="00897B37"/>
    <w:rsid w:val="008A00E9"/>
    <w:rsid w:val="008A0279"/>
    <w:rsid w:val="008A02AF"/>
    <w:rsid w:val="008A05AC"/>
    <w:rsid w:val="008A0896"/>
    <w:rsid w:val="008A0946"/>
    <w:rsid w:val="008A0A69"/>
    <w:rsid w:val="008A0BE2"/>
    <w:rsid w:val="008A0C33"/>
    <w:rsid w:val="008A107F"/>
    <w:rsid w:val="008A14E7"/>
    <w:rsid w:val="008A1548"/>
    <w:rsid w:val="008A1656"/>
    <w:rsid w:val="008A1676"/>
    <w:rsid w:val="008A17EB"/>
    <w:rsid w:val="008A1A57"/>
    <w:rsid w:val="008A1B94"/>
    <w:rsid w:val="008A1D0B"/>
    <w:rsid w:val="008A27E6"/>
    <w:rsid w:val="008A2937"/>
    <w:rsid w:val="008A2A33"/>
    <w:rsid w:val="008A2D7C"/>
    <w:rsid w:val="008A31D4"/>
    <w:rsid w:val="008A31EF"/>
    <w:rsid w:val="008A3248"/>
    <w:rsid w:val="008A3307"/>
    <w:rsid w:val="008A3828"/>
    <w:rsid w:val="008A38B3"/>
    <w:rsid w:val="008A3917"/>
    <w:rsid w:val="008A3AA8"/>
    <w:rsid w:val="008A3AF7"/>
    <w:rsid w:val="008A3B93"/>
    <w:rsid w:val="008A3D07"/>
    <w:rsid w:val="008A40B5"/>
    <w:rsid w:val="008A40EE"/>
    <w:rsid w:val="008A4156"/>
    <w:rsid w:val="008A41AB"/>
    <w:rsid w:val="008A4426"/>
    <w:rsid w:val="008A47F1"/>
    <w:rsid w:val="008A4BA9"/>
    <w:rsid w:val="008A4C55"/>
    <w:rsid w:val="008A4DC6"/>
    <w:rsid w:val="008A55D0"/>
    <w:rsid w:val="008A582A"/>
    <w:rsid w:val="008A5C35"/>
    <w:rsid w:val="008A5DD6"/>
    <w:rsid w:val="008A6093"/>
    <w:rsid w:val="008A65C0"/>
    <w:rsid w:val="008A6627"/>
    <w:rsid w:val="008A664A"/>
    <w:rsid w:val="008A67BB"/>
    <w:rsid w:val="008A68A3"/>
    <w:rsid w:val="008A6BBB"/>
    <w:rsid w:val="008A6D4C"/>
    <w:rsid w:val="008A76B5"/>
    <w:rsid w:val="008A7B25"/>
    <w:rsid w:val="008A7B72"/>
    <w:rsid w:val="008B0202"/>
    <w:rsid w:val="008B0254"/>
    <w:rsid w:val="008B08E4"/>
    <w:rsid w:val="008B0971"/>
    <w:rsid w:val="008B136C"/>
    <w:rsid w:val="008B149E"/>
    <w:rsid w:val="008B14B7"/>
    <w:rsid w:val="008B154A"/>
    <w:rsid w:val="008B1611"/>
    <w:rsid w:val="008B1A1C"/>
    <w:rsid w:val="008B20D2"/>
    <w:rsid w:val="008B24AF"/>
    <w:rsid w:val="008B27A0"/>
    <w:rsid w:val="008B2AA5"/>
    <w:rsid w:val="008B2D46"/>
    <w:rsid w:val="008B2F42"/>
    <w:rsid w:val="008B3136"/>
    <w:rsid w:val="008B3358"/>
    <w:rsid w:val="008B365C"/>
    <w:rsid w:val="008B376C"/>
    <w:rsid w:val="008B3802"/>
    <w:rsid w:val="008B3CBA"/>
    <w:rsid w:val="008B3F35"/>
    <w:rsid w:val="008B3F50"/>
    <w:rsid w:val="008B3FDA"/>
    <w:rsid w:val="008B400E"/>
    <w:rsid w:val="008B41D1"/>
    <w:rsid w:val="008B424F"/>
    <w:rsid w:val="008B4333"/>
    <w:rsid w:val="008B4399"/>
    <w:rsid w:val="008B450C"/>
    <w:rsid w:val="008B4732"/>
    <w:rsid w:val="008B47C5"/>
    <w:rsid w:val="008B492A"/>
    <w:rsid w:val="008B4B44"/>
    <w:rsid w:val="008B519B"/>
    <w:rsid w:val="008B5274"/>
    <w:rsid w:val="008B5416"/>
    <w:rsid w:val="008B5670"/>
    <w:rsid w:val="008B5B24"/>
    <w:rsid w:val="008B5CD6"/>
    <w:rsid w:val="008B6735"/>
    <w:rsid w:val="008B68AD"/>
    <w:rsid w:val="008B6D3D"/>
    <w:rsid w:val="008B6E3B"/>
    <w:rsid w:val="008B6F3A"/>
    <w:rsid w:val="008B742E"/>
    <w:rsid w:val="008B74CB"/>
    <w:rsid w:val="008B7B01"/>
    <w:rsid w:val="008B7C5C"/>
    <w:rsid w:val="008B7CA4"/>
    <w:rsid w:val="008B7D96"/>
    <w:rsid w:val="008C0123"/>
    <w:rsid w:val="008C03B2"/>
    <w:rsid w:val="008C04A7"/>
    <w:rsid w:val="008C0625"/>
    <w:rsid w:val="008C066B"/>
    <w:rsid w:val="008C0779"/>
    <w:rsid w:val="008C082A"/>
    <w:rsid w:val="008C086B"/>
    <w:rsid w:val="008C08DD"/>
    <w:rsid w:val="008C0BAC"/>
    <w:rsid w:val="008C0E4C"/>
    <w:rsid w:val="008C12CA"/>
    <w:rsid w:val="008C14DE"/>
    <w:rsid w:val="008C1773"/>
    <w:rsid w:val="008C18D3"/>
    <w:rsid w:val="008C194A"/>
    <w:rsid w:val="008C1990"/>
    <w:rsid w:val="008C1A39"/>
    <w:rsid w:val="008C1AD8"/>
    <w:rsid w:val="008C1B6D"/>
    <w:rsid w:val="008C2161"/>
    <w:rsid w:val="008C2348"/>
    <w:rsid w:val="008C23B5"/>
    <w:rsid w:val="008C2629"/>
    <w:rsid w:val="008C2695"/>
    <w:rsid w:val="008C26E7"/>
    <w:rsid w:val="008C27D7"/>
    <w:rsid w:val="008C29B3"/>
    <w:rsid w:val="008C2D6F"/>
    <w:rsid w:val="008C2F14"/>
    <w:rsid w:val="008C3121"/>
    <w:rsid w:val="008C33B8"/>
    <w:rsid w:val="008C342F"/>
    <w:rsid w:val="008C35B8"/>
    <w:rsid w:val="008C3830"/>
    <w:rsid w:val="008C38C0"/>
    <w:rsid w:val="008C3973"/>
    <w:rsid w:val="008C4059"/>
    <w:rsid w:val="008C40D4"/>
    <w:rsid w:val="008C42A6"/>
    <w:rsid w:val="008C4797"/>
    <w:rsid w:val="008C492C"/>
    <w:rsid w:val="008C4CAE"/>
    <w:rsid w:val="008C4D1A"/>
    <w:rsid w:val="008C4D8C"/>
    <w:rsid w:val="008C4E0E"/>
    <w:rsid w:val="008C508A"/>
    <w:rsid w:val="008C51E1"/>
    <w:rsid w:val="008C58CB"/>
    <w:rsid w:val="008C59C0"/>
    <w:rsid w:val="008C5F72"/>
    <w:rsid w:val="008C5FD8"/>
    <w:rsid w:val="008C61E7"/>
    <w:rsid w:val="008C63B3"/>
    <w:rsid w:val="008C6524"/>
    <w:rsid w:val="008C68FB"/>
    <w:rsid w:val="008C6B4A"/>
    <w:rsid w:val="008C6C29"/>
    <w:rsid w:val="008C6FBD"/>
    <w:rsid w:val="008C74A5"/>
    <w:rsid w:val="008C7539"/>
    <w:rsid w:val="008C79C9"/>
    <w:rsid w:val="008C7A51"/>
    <w:rsid w:val="008C7A6E"/>
    <w:rsid w:val="008C7CB2"/>
    <w:rsid w:val="008C7E96"/>
    <w:rsid w:val="008C7F20"/>
    <w:rsid w:val="008C7FBE"/>
    <w:rsid w:val="008D0205"/>
    <w:rsid w:val="008D0525"/>
    <w:rsid w:val="008D08DA"/>
    <w:rsid w:val="008D0935"/>
    <w:rsid w:val="008D0A9B"/>
    <w:rsid w:val="008D0ADD"/>
    <w:rsid w:val="008D0B02"/>
    <w:rsid w:val="008D0C3A"/>
    <w:rsid w:val="008D0E1A"/>
    <w:rsid w:val="008D0E56"/>
    <w:rsid w:val="008D17E5"/>
    <w:rsid w:val="008D1969"/>
    <w:rsid w:val="008D199D"/>
    <w:rsid w:val="008D1DD7"/>
    <w:rsid w:val="008D1F37"/>
    <w:rsid w:val="008D2522"/>
    <w:rsid w:val="008D2712"/>
    <w:rsid w:val="008D28DA"/>
    <w:rsid w:val="008D28E8"/>
    <w:rsid w:val="008D2A20"/>
    <w:rsid w:val="008D2A90"/>
    <w:rsid w:val="008D2BFB"/>
    <w:rsid w:val="008D2C24"/>
    <w:rsid w:val="008D2C29"/>
    <w:rsid w:val="008D2C92"/>
    <w:rsid w:val="008D2CB3"/>
    <w:rsid w:val="008D2CFD"/>
    <w:rsid w:val="008D2DA4"/>
    <w:rsid w:val="008D2E1C"/>
    <w:rsid w:val="008D2E8F"/>
    <w:rsid w:val="008D2F5D"/>
    <w:rsid w:val="008D2FE4"/>
    <w:rsid w:val="008D304E"/>
    <w:rsid w:val="008D329C"/>
    <w:rsid w:val="008D3379"/>
    <w:rsid w:val="008D356F"/>
    <w:rsid w:val="008D3626"/>
    <w:rsid w:val="008D3739"/>
    <w:rsid w:val="008D3B20"/>
    <w:rsid w:val="008D428D"/>
    <w:rsid w:val="008D4729"/>
    <w:rsid w:val="008D4790"/>
    <w:rsid w:val="008D490F"/>
    <w:rsid w:val="008D4984"/>
    <w:rsid w:val="008D4D65"/>
    <w:rsid w:val="008D4E13"/>
    <w:rsid w:val="008D50B4"/>
    <w:rsid w:val="008D53CD"/>
    <w:rsid w:val="008D53E3"/>
    <w:rsid w:val="008D54F2"/>
    <w:rsid w:val="008D550C"/>
    <w:rsid w:val="008D5567"/>
    <w:rsid w:val="008D589F"/>
    <w:rsid w:val="008D59FC"/>
    <w:rsid w:val="008D5A5F"/>
    <w:rsid w:val="008D5AE0"/>
    <w:rsid w:val="008D5DDE"/>
    <w:rsid w:val="008D5DF6"/>
    <w:rsid w:val="008D5F67"/>
    <w:rsid w:val="008D64D5"/>
    <w:rsid w:val="008D6954"/>
    <w:rsid w:val="008D6E59"/>
    <w:rsid w:val="008D70C2"/>
    <w:rsid w:val="008D72C6"/>
    <w:rsid w:val="008D750E"/>
    <w:rsid w:val="008D7538"/>
    <w:rsid w:val="008D765E"/>
    <w:rsid w:val="008D79E5"/>
    <w:rsid w:val="008D7DD9"/>
    <w:rsid w:val="008D7ED0"/>
    <w:rsid w:val="008D92A1"/>
    <w:rsid w:val="008E01EC"/>
    <w:rsid w:val="008E06A5"/>
    <w:rsid w:val="008E08E3"/>
    <w:rsid w:val="008E09CF"/>
    <w:rsid w:val="008E0B51"/>
    <w:rsid w:val="008E0C9E"/>
    <w:rsid w:val="008E0CD8"/>
    <w:rsid w:val="008E0F1F"/>
    <w:rsid w:val="008E1629"/>
    <w:rsid w:val="008E1BDC"/>
    <w:rsid w:val="008E21F3"/>
    <w:rsid w:val="008E2304"/>
    <w:rsid w:val="008E25DD"/>
    <w:rsid w:val="008E297D"/>
    <w:rsid w:val="008E29BC"/>
    <w:rsid w:val="008E2E26"/>
    <w:rsid w:val="008E2E47"/>
    <w:rsid w:val="008E3115"/>
    <w:rsid w:val="008E3171"/>
    <w:rsid w:val="008E317C"/>
    <w:rsid w:val="008E326A"/>
    <w:rsid w:val="008E33F9"/>
    <w:rsid w:val="008E3A5C"/>
    <w:rsid w:val="008E3AB7"/>
    <w:rsid w:val="008E3B4B"/>
    <w:rsid w:val="008E3C12"/>
    <w:rsid w:val="008E3F60"/>
    <w:rsid w:val="008E4A26"/>
    <w:rsid w:val="008E4A71"/>
    <w:rsid w:val="008E4C64"/>
    <w:rsid w:val="008E4F09"/>
    <w:rsid w:val="008E50A4"/>
    <w:rsid w:val="008E5E41"/>
    <w:rsid w:val="008E5F12"/>
    <w:rsid w:val="008E61AF"/>
    <w:rsid w:val="008E64DF"/>
    <w:rsid w:val="008E6712"/>
    <w:rsid w:val="008E6776"/>
    <w:rsid w:val="008E67E7"/>
    <w:rsid w:val="008E69E6"/>
    <w:rsid w:val="008E6E83"/>
    <w:rsid w:val="008E6EC3"/>
    <w:rsid w:val="008E6EDC"/>
    <w:rsid w:val="008E6F97"/>
    <w:rsid w:val="008E7076"/>
    <w:rsid w:val="008E726E"/>
    <w:rsid w:val="008E74A6"/>
    <w:rsid w:val="008E7586"/>
    <w:rsid w:val="008E7837"/>
    <w:rsid w:val="008E7839"/>
    <w:rsid w:val="008E79FB"/>
    <w:rsid w:val="008E7B49"/>
    <w:rsid w:val="008E7BB7"/>
    <w:rsid w:val="008E7DAA"/>
    <w:rsid w:val="008E7E98"/>
    <w:rsid w:val="008F0140"/>
    <w:rsid w:val="008F0503"/>
    <w:rsid w:val="008F0548"/>
    <w:rsid w:val="008F058A"/>
    <w:rsid w:val="008F058E"/>
    <w:rsid w:val="008F0647"/>
    <w:rsid w:val="008F0A26"/>
    <w:rsid w:val="008F0AE5"/>
    <w:rsid w:val="008F0B01"/>
    <w:rsid w:val="008F0BE0"/>
    <w:rsid w:val="008F0E82"/>
    <w:rsid w:val="008F2055"/>
    <w:rsid w:val="008F23D1"/>
    <w:rsid w:val="008F24C4"/>
    <w:rsid w:val="008F26B2"/>
    <w:rsid w:val="008F27A5"/>
    <w:rsid w:val="008F2938"/>
    <w:rsid w:val="008F293D"/>
    <w:rsid w:val="008F2C77"/>
    <w:rsid w:val="008F30AC"/>
    <w:rsid w:val="008F3452"/>
    <w:rsid w:val="008F36EB"/>
    <w:rsid w:val="008F3871"/>
    <w:rsid w:val="008F4155"/>
    <w:rsid w:val="008F45AB"/>
    <w:rsid w:val="008F468E"/>
    <w:rsid w:val="008F46AB"/>
    <w:rsid w:val="008F475A"/>
    <w:rsid w:val="008F4A05"/>
    <w:rsid w:val="008F4C53"/>
    <w:rsid w:val="008F4E3B"/>
    <w:rsid w:val="008F5067"/>
    <w:rsid w:val="008F511F"/>
    <w:rsid w:val="008F51C5"/>
    <w:rsid w:val="008F5443"/>
    <w:rsid w:val="008F5603"/>
    <w:rsid w:val="008F5889"/>
    <w:rsid w:val="008F5D5F"/>
    <w:rsid w:val="008F5DFA"/>
    <w:rsid w:val="008F645A"/>
    <w:rsid w:val="008F665A"/>
    <w:rsid w:val="008F6DFC"/>
    <w:rsid w:val="008F6E13"/>
    <w:rsid w:val="008F7149"/>
    <w:rsid w:val="008F7398"/>
    <w:rsid w:val="008F77B5"/>
    <w:rsid w:val="008F7816"/>
    <w:rsid w:val="008F78DF"/>
    <w:rsid w:val="008F7A5B"/>
    <w:rsid w:val="008F7B25"/>
    <w:rsid w:val="008F7CE2"/>
    <w:rsid w:val="008F7F64"/>
    <w:rsid w:val="009000C0"/>
    <w:rsid w:val="0090027A"/>
    <w:rsid w:val="009003C6"/>
    <w:rsid w:val="0090127C"/>
    <w:rsid w:val="00901289"/>
    <w:rsid w:val="009013CB"/>
    <w:rsid w:val="00901556"/>
    <w:rsid w:val="0090176E"/>
    <w:rsid w:val="009019CD"/>
    <w:rsid w:val="00901BD8"/>
    <w:rsid w:val="00901F47"/>
    <w:rsid w:val="0090233F"/>
    <w:rsid w:val="009023CD"/>
    <w:rsid w:val="00902FE7"/>
    <w:rsid w:val="00902FF8"/>
    <w:rsid w:val="00903866"/>
    <w:rsid w:val="00903AF8"/>
    <w:rsid w:val="00903D78"/>
    <w:rsid w:val="00903E9F"/>
    <w:rsid w:val="00904610"/>
    <w:rsid w:val="00904855"/>
    <w:rsid w:val="00904857"/>
    <w:rsid w:val="009049AA"/>
    <w:rsid w:val="00904B2C"/>
    <w:rsid w:val="00904BDF"/>
    <w:rsid w:val="00904CFC"/>
    <w:rsid w:val="00904E46"/>
    <w:rsid w:val="00904F01"/>
    <w:rsid w:val="009052BB"/>
    <w:rsid w:val="009053AB"/>
    <w:rsid w:val="009054FD"/>
    <w:rsid w:val="009057BB"/>
    <w:rsid w:val="009057CB"/>
    <w:rsid w:val="00905812"/>
    <w:rsid w:val="00905873"/>
    <w:rsid w:val="00905B26"/>
    <w:rsid w:val="00905BDA"/>
    <w:rsid w:val="00905D36"/>
    <w:rsid w:val="00906005"/>
    <w:rsid w:val="00906187"/>
    <w:rsid w:val="00906246"/>
    <w:rsid w:val="009063A4"/>
    <w:rsid w:val="00906562"/>
    <w:rsid w:val="00906675"/>
    <w:rsid w:val="009066BA"/>
    <w:rsid w:val="00906C54"/>
    <w:rsid w:val="0090777C"/>
    <w:rsid w:val="00907789"/>
    <w:rsid w:val="00907AE8"/>
    <w:rsid w:val="00907BEF"/>
    <w:rsid w:val="00910011"/>
    <w:rsid w:val="009102CD"/>
    <w:rsid w:val="009106BC"/>
    <w:rsid w:val="00910B07"/>
    <w:rsid w:val="00910CF7"/>
    <w:rsid w:val="00910E6F"/>
    <w:rsid w:val="00911077"/>
    <w:rsid w:val="0091162B"/>
    <w:rsid w:val="0091176D"/>
    <w:rsid w:val="009117A9"/>
    <w:rsid w:val="009117AE"/>
    <w:rsid w:val="0091197F"/>
    <w:rsid w:val="009119DF"/>
    <w:rsid w:val="00911C01"/>
    <w:rsid w:val="00912251"/>
    <w:rsid w:val="009124A1"/>
    <w:rsid w:val="009127C8"/>
    <w:rsid w:val="00912B71"/>
    <w:rsid w:val="00912BF5"/>
    <w:rsid w:val="00913013"/>
    <w:rsid w:val="00913215"/>
    <w:rsid w:val="009137E6"/>
    <w:rsid w:val="009138F4"/>
    <w:rsid w:val="009139A9"/>
    <w:rsid w:val="00913D7B"/>
    <w:rsid w:val="0091407F"/>
    <w:rsid w:val="009142A2"/>
    <w:rsid w:val="00914314"/>
    <w:rsid w:val="00915241"/>
    <w:rsid w:val="00915457"/>
    <w:rsid w:val="00915494"/>
    <w:rsid w:val="009155B9"/>
    <w:rsid w:val="00915FFE"/>
    <w:rsid w:val="00916008"/>
    <w:rsid w:val="00916052"/>
    <w:rsid w:val="009160EE"/>
    <w:rsid w:val="00916311"/>
    <w:rsid w:val="0091634F"/>
    <w:rsid w:val="00916414"/>
    <w:rsid w:val="00916813"/>
    <w:rsid w:val="0091685B"/>
    <w:rsid w:val="00916904"/>
    <w:rsid w:val="00916984"/>
    <w:rsid w:val="009169E2"/>
    <w:rsid w:val="009169F7"/>
    <w:rsid w:val="00916F45"/>
    <w:rsid w:val="00917060"/>
    <w:rsid w:val="009173EA"/>
    <w:rsid w:val="0091784D"/>
    <w:rsid w:val="009178CC"/>
    <w:rsid w:val="00917B58"/>
    <w:rsid w:val="00917BFA"/>
    <w:rsid w:val="00917D66"/>
    <w:rsid w:val="00917FAF"/>
    <w:rsid w:val="00920804"/>
    <w:rsid w:val="00920902"/>
    <w:rsid w:val="0092093C"/>
    <w:rsid w:val="00920ABA"/>
    <w:rsid w:val="00920D92"/>
    <w:rsid w:val="00921560"/>
    <w:rsid w:val="0092187D"/>
    <w:rsid w:val="0092195B"/>
    <w:rsid w:val="00921A99"/>
    <w:rsid w:val="00921DD0"/>
    <w:rsid w:val="00921E32"/>
    <w:rsid w:val="00921EEB"/>
    <w:rsid w:val="009223BE"/>
    <w:rsid w:val="0092271C"/>
    <w:rsid w:val="00922787"/>
    <w:rsid w:val="00922798"/>
    <w:rsid w:val="00922AEB"/>
    <w:rsid w:val="0092302C"/>
    <w:rsid w:val="0092303A"/>
    <w:rsid w:val="009230EA"/>
    <w:rsid w:val="009234E9"/>
    <w:rsid w:val="009239B6"/>
    <w:rsid w:val="00923BD1"/>
    <w:rsid w:val="00923D4A"/>
    <w:rsid w:val="00923E0A"/>
    <w:rsid w:val="0092456F"/>
    <w:rsid w:val="0092480D"/>
    <w:rsid w:val="00924823"/>
    <w:rsid w:val="0092499B"/>
    <w:rsid w:val="00924AFE"/>
    <w:rsid w:val="00924BA3"/>
    <w:rsid w:val="00924C12"/>
    <w:rsid w:val="00924D78"/>
    <w:rsid w:val="00924E2E"/>
    <w:rsid w:val="009252A1"/>
    <w:rsid w:val="009252C8"/>
    <w:rsid w:val="00925407"/>
    <w:rsid w:val="00925482"/>
    <w:rsid w:val="0092562F"/>
    <w:rsid w:val="00925817"/>
    <w:rsid w:val="00925869"/>
    <w:rsid w:val="00925948"/>
    <w:rsid w:val="00925DB0"/>
    <w:rsid w:val="00926035"/>
    <w:rsid w:val="0092635C"/>
    <w:rsid w:val="00926712"/>
    <w:rsid w:val="00926986"/>
    <w:rsid w:val="00926B12"/>
    <w:rsid w:val="00926B71"/>
    <w:rsid w:val="00926D4D"/>
    <w:rsid w:val="00926E50"/>
    <w:rsid w:val="00926E8C"/>
    <w:rsid w:val="00927136"/>
    <w:rsid w:val="00927199"/>
    <w:rsid w:val="009274FE"/>
    <w:rsid w:val="0092751E"/>
    <w:rsid w:val="0092755E"/>
    <w:rsid w:val="009276F0"/>
    <w:rsid w:val="00927800"/>
    <w:rsid w:val="00927F27"/>
    <w:rsid w:val="0092A2B4"/>
    <w:rsid w:val="00930231"/>
    <w:rsid w:val="009302F0"/>
    <w:rsid w:val="0093067E"/>
    <w:rsid w:val="009307B0"/>
    <w:rsid w:val="009307C0"/>
    <w:rsid w:val="00930828"/>
    <w:rsid w:val="009309A5"/>
    <w:rsid w:val="00930B43"/>
    <w:rsid w:val="00930BCA"/>
    <w:rsid w:val="00930CD0"/>
    <w:rsid w:val="00930D7E"/>
    <w:rsid w:val="0093113A"/>
    <w:rsid w:val="009311A0"/>
    <w:rsid w:val="009316C1"/>
    <w:rsid w:val="009316D3"/>
    <w:rsid w:val="009319B4"/>
    <w:rsid w:val="00931AB4"/>
    <w:rsid w:val="00931D0D"/>
    <w:rsid w:val="00932441"/>
    <w:rsid w:val="009325FF"/>
    <w:rsid w:val="00932707"/>
    <w:rsid w:val="00932833"/>
    <w:rsid w:val="00932D14"/>
    <w:rsid w:val="00932D7E"/>
    <w:rsid w:val="00932ED1"/>
    <w:rsid w:val="00933281"/>
    <w:rsid w:val="009333D1"/>
    <w:rsid w:val="0093358C"/>
    <w:rsid w:val="00933631"/>
    <w:rsid w:val="009337A1"/>
    <w:rsid w:val="00933DCC"/>
    <w:rsid w:val="00933F9C"/>
    <w:rsid w:val="009341AB"/>
    <w:rsid w:val="00934349"/>
    <w:rsid w:val="00934826"/>
    <w:rsid w:val="00934C51"/>
    <w:rsid w:val="00934EAE"/>
    <w:rsid w:val="009350E5"/>
    <w:rsid w:val="0093579D"/>
    <w:rsid w:val="009357B0"/>
    <w:rsid w:val="009359CC"/>
    <w:rsid w:val="00935A4C"/>
    <w:rsid w:val="00935BB7"/>
    <w:rsid w:val="00935D3A"/>
    <w:rsid w:val="0093608E"/>
    <w:rsid w:val="0093614C"/>
    <w:rsid w:val="0093630F"/>
    <w:rsid w:val="0093634F"/>
    <w:rsid w:val="009366C5"/>
    <w:rsid w:val="0093674A"/>
    <w:rsid w:val="00936914"/>
    <w:rsid w:val="00936BEE"/>
    <w:rsid w:val="00936E20"/>
    <w:rsid w:val="00936EA9"/>
    <w:rsid w:val="009370DE"/>
    <w:rsid w:val="0093725B"/>
    <w:rsid w:val="009372BD"/>
    <w:rsid w:val="00937467"/>
    <w:rsid w:val="009374A4"/>
    <w:rsid w:val="009375D6"/>
    <w:rsid w:val="00937922"/>
    <w:rsid w:val="00937926"/>
    <w:rsid w:val="009379D5"/>
    <w:rsid w:val="00937ADE"/>
    <w:rsid w:val="00937C9A"/>
    <w:rsid w:val="00937EB3"/>
    <w:rsid w:val="009400B8"/>
    <w:rsid w:val="0094042A"/>
    <w:rsid w:val="00940453"/>
    <w:rsid w:val="009407BF"/>
    <w:rsid w:val="009408CE"/>
    <w:rsid w:val="009409AF"/>
    <w:rsid w:val="009412B0"/>
    <w:rsid w:val="00941572"/>
    <w:rsid w:val="00941819"/>
    <w:rsid w:val="00941D46"/>
    <w:rsid w:val="00941E12"/>
    <w:rsid w:val="00942117"/>
    <w:rsid w:val="0094226F"/>
    <w:rsid w:val="009422A4"/>
    <w:rsid w:val="009423B7"/>
    <w:rsid w:val="00942461"/>
    <w:rsid w:val="009424CA"/>
    <w:rsid w:val="009428DD"/>
    <w:rsid w:val="0094340B"/>
    <w:rsid w:val="009436D2"/>
    <w:rsid w:val="0094396F"/>
    <w:rsid w:val="00943B20"/>
    <w:rsid w:val="00943BE4"/>
    <w:rsid w:val="00943DBF"/>
    <w:rsid w:val="00943E1B"/>
    <w:rsid w:val="00943E90"/>
    <w:rsid w:val="00944009"/>
    <w:rsid w:val="009442AB"/>
    <w:rsid w:val="009442FD"/>
    <w:rsid w:val="0094444F"/>
    <w:rsid w:val="00944A3A"/>
    <w:rsid w:val="00944A8E"/>
    <w:rsid w:val="00945069"/>
    <w:rsid w:val="00945191"/>
    <w:rsid w:val="009454A2"/>
    <w:rsid w:val="009455AA"/>
    <w:rsid w:val="009456D0"/>
    <w:rsid w:val="00945783"/>
    <w:rsid w:val="00945AC3"/>
    <w:rsid w:val="00945BF0"/>
    <w:rsid w:val="00945C14"/>
    <w:rsid w:val="009461BE"/>
    <w:rsid w:val="0094647C"/>
    <w:rsid w:val="009464F7"/>
    <w:rsid w:val="009464FB"/>
    <w:rsid w:val="009467BB"/>
    <w:rsid w:val="00946818"/>
    <w:rsid w:val="00946AF5"/>
    <w:rsid w:val="00946CEE"/>
    <w:rsid w:val="00946D66"/>
    <w:rsid w:val="00946D82"/>
    <w:rsid w:val="00946EFC"/>
    <w:rsid w:val="00946F06"/>
    <w:rsid w:val="0094738C"/>
    <w:rsid w:val="0094740B"/>
    <w:rsid w:val="00947597"/>
    <w:rsid w:val="009475C6"/>
    <w:rsid w:val="00947937"/>
    <w:rsid w:val="00947A8D"/>
    <w:rsid w:val="00947B78"/>
    <w:rsid w:val="0095033E"/>
    <w:rsid w:val="00950BCD"/>
    <w:rsid w:val="00950FF6"/>
    <w:rsid w:val="0095101E"/>
    <w:rsid w:val="009510CB"/>
    <w:rsid w:val="009511C6"/>
    <w:rsid w:val="009514B4"/>
    <w:rsid w:val="009516E5"/>
    <w:rsid w:val="00951AA0"/>
    <w:rsid w:val="009521A9"/>
    <w:rsid w:val="009521B8"/>
    <w:rsid w:val="00952202"/>
    <w:rsid w:val="00952512"/>
    <w:rsid w:val="009528C2"/>
    <w:rsid w:val="00952926"/>
    <w:rsid w:val="00952EDD"/>
    <w:rsid w:val="0095323A"/>
    <w:rsid w:val="009538C9"/>
    <w:rsid w:val="00953964"/>
    <w:rsid w:val="00953A3A"/>
    <w:rsid w:val="00953A50"/>
    <w:rsid w:val="00953C5D"/>
    <w:rsid w:val="00953CA1"/>
    <w:rsid w:val="009540E6"/>
    <w:rsid w:val="00954470"/>
    <w:rsid w:val="00954AA9"/>
    <w:rsid w:val="00954F9E"/>
    <w:rsid w:val="00955138"/>
    <w:rsid w:val="009554DD"/>
    <w:rsid w:val="0095550D"/>
    <w:rsid w:val="00955559"/>
    <w:rsid w:val="009555C4"/>
    <w:rsid w:val="00955764"/>
    <w:rsid w:val="0095578F"/>
    <w:rsid w:val="009557EA"/>
    <w:rsid w:val="00955BD9"/>
    <w:rsid w:val="00955F17"/>
    <w:rsid w:val="00955F3A"/>
    <w:rsid w:val="00955F75"/>
    <w:rsid w:val="00956116"/>
    <w:rsid w:val="0095622E"/>
    <w:rsid w:val="009565DB"/>
    <w:rsid w:val="00956969"/>
    <w:rsid w:val="00956B0F"/>
    <w:rsid w:val="00956D93"/>
    <w:rsid w:val="00956FA2"/>
    <w:rsid w:val="00957152"/>
    <w:rsid w:val="009571BC"/>
    <w:rsid w:val="009578EE"/>
    <w:rsid w:val="00957B48"/>
    <w:rsid w:val="00957B52"/>
    <w:rsid w:val="00957D4E"/>
    <w:rsid w:val="00957F1F"/>
    <w:rsid w:val="009600F7"/>
    <w:rsid w:val="0096032E"/>
    <w:rsid w:val="0096068B"/>
    <w:rsid w:val="009608C8"/>
    <w:rsid w:val="00960966"/>
    <w:rsid w:val="00960970"/>
    <w:rsid w:val="009609BC"/>
    <w:rsid w:val="00960C7F"/>
    <w:rsid w:val="00960E66"/>
    <w:rsid w:val="00960E82"/>
    <w:rsid w:val="00960FE3"/>
    <w:rsid w:val="009611F9"/>
    <w:rsid w:val="009614F1"/>
    <w:rsid w:val="009616E6"/>
    <w:rsid w:val="0096196A"/>
    <w:rsid w:val="00961A7F"/>
    <w:rsid w:val="00961F6B"/>
    <w:rsid w:val="00962500"/>
    <w:rsid w:val="00962914"/>
    <w:rsid w:val="00962A8E"/>
    <w:rsid w:val="00962E37"/>
    <w:rsid w:val="00963002"/>
    <w:rsid w:val="009630C3"/>
    <w:rsid w:val="0096342C"/>
    <w:rsid w:val="009634DA"/>
    <w:rsid w:val="00963534"/>
    <w:rsid w:val="0096361C"/>
    <w:rsid w:val="0096369B"/>
    <w:rsid w:val="0096392C"/>
    <w:rsid w:val="00963A6B"/>
    <w:rsid w:val="00963B41"/>
    <w:rsid w:val="00963C0C"/>
    <w:rsid w:val="009641AA"/>
    <w:rsid w:val="0096428A"/>
    <w:rsid w:val="009644B6"/>
    <w:rsid w:val="0096455E"/>
    <w:rsid w:val="00964898"/>
    <w:rsid w:val="00964DDC"/>
    <w:rsid w:val="0096535A"/>
    <w:rsid w:val="0096535F"/>
    <w:rsid w:val="00965476"/>
    <w:rsid w:val="00965A1B"/>
    <w:rsid w:val="00965C5B"/>
    <w:rsid w:val="00965CF9"/>
    <w:rsid w:val="00965E3B"/>
    <w:rsid w:val="00965F86"/>
    <w:rsid w:val="00965FFD"/>
    <w:rsid w:val="0096616E"/>
    <w:rsid w:val="009661E3"/>
    <w:rsid w:val="00966519"/>
    <w:rsid w:val="00966C57"/>
    <w:rsid w:val="00966EE0"/>
    <w:rsid w:val="00966FB8"/>
    <w:rsid w:val="00967036"/>
    <w:rsid w:val="00967038"/>
    <w:rsid w:val="00967127"/>
    <w:rsid w:val="009671B7"/>
    <w:rsid w:val="009676E0"/>
    <w:rsid w:val="00967776"/>
    <w:rsid w:val="009701B9"/>
    <w:rsid w:val="00970241"/>
    <w:rsid w:val="00970440"/>
    <w:rsid w:val="00970442"/>
    <w:rsid w:val="009704A8"/>
    <w:rsid w:val="009705BA"/>
    <w:rsid w:val="0097079E"/>
    <w:rsid w:val="00970AA2"/>
    <w:rsid w:val="00970B14"/>
    <w:rsid w:val="00970B61"/>
    <w:rsid w:val="00970FCD"/>
    <w:rsid w:val="009711B9"/>
    <w:rsid w:val="00971256"/>
    <w:rsid w:val="009713C2"/>
    <w:rsid w:val="0097185E"/>
    <w:rsid w:val="00971869"/>
    <w:rsid w:val="009719DF"/>
    <w:rsid w:val="00971A73"/>
    <w:rsid w:val="00971AF4"/>
    <w:rsid w:val="00971BA5"/>
    <w:rsid w:val="00971DB0"/>
    <w:rsid w:val="00972516"/>
    <w:rsid w:val="00972744"/>
    <w:rsid w:val="00972BD5"/>
    <w:rsid w:val="00972C25"/>
    <w:rsid w:val="00972C45"/>
    <w:rsid w:val="00972D55"/>
    <w:rsid w:val="00972F2E"/>
    <w:rsid w:val="00973441"/>
    <w:rsid w:val="00973681"/>
    <w:rsid w:val="0097369D"/>
    <w:rsid w:val="00973CE4"/>
    <w:rsid w:val="009746B6"/>
    <w:rsid w:val="009748EE"/>
    <w:rsid w:val="00974F22"/>
    <w:rsid w:val="00974FC8"/>
    <w:rsid w:val="00975D05"/>
    <w:rsid w:val="00975D44"/>
    <w:rsid w:val="0097699C"/>
    <w:rsid w:val="00976CFB"/>
    <w:rsid w:val="00976D15"/>
    <w:rsid w:val="00976F78"/>
    <w:rsid w:val="0097740D"/>
    <w:rsid w:val="009777E2"/>
    <w:rsid w:val="00977B25"/>
    <w:rsid w:val="00977BDD"/>
    <w:rsid w:val="00977DB8"/>
    <w:rsid w:val="00977F09"/>
    <w:rsid w:val="009800A5"/>
    <w:rsid w:val="009801A0"/>
    <w:rsid w:val="009804AA"/>
    <w:rsid w:val="0098066B"/>
    <w:rsid w:val="00980914"/>
    <w:rsid w:val="00980DC0"/>
    <w:rsid w:val="00980E13"/>
    <w:rsid w:val="00981164"/>
    <w:rsid w:val="009813F1"/>
    <w:rsid w:val="00981A3A"/>
    <w:rsid w:val="00981D8B"/>
    <w:rsid w:val="00981E92"/>
    <w:rsid w:val="00981EBE"/>
    <w:rsid w:val="0098266F"/>
    <w:rsid w:val="009826C6"/>
    <w:rsid w:val="00982D3A"/>
    <w:rsid w:val="00982F9B"/>
    <w:rsid w:val="0098374F"/>
    <w:rsid w:val="0098384A"/>
    <w:rsid w:val="00983B1E"/>
    <w:rsid w:val="00983B33"/>
    <w:rsid w:val="009844CE"/>
    <w:rsid w:val="00984563"/>
    <w:rsid w:val="00984911"/>
    <w:rsid w:val="00984AC6"/>
    <w:rsid w:val="00984B9F"/>
    <w:rsid w:val="00984CDE"/>
    <w:rsid w:val="00984E8B"/>
    <w:rsid w:val="00984EDA"/>
    <w:rsid w:val="00985113"/>
    <w:rsid w:val="009851D0"/>
    <w:rsid w:val="00985498"/>
    <w:rsid w:val="009855FF"/>
    <w:rsid w:val="00985666"/>
    <w:rsid w:val="00985D23"/>
    <w:rsid w:val="009860D2"/>
    <w:rsid w:val="00986239"/>
    <w:rsid w:val="009865B2"/>
    <w:rsid w:val="0098698F"/>
    <w:rsid w:val="00986D09"/>
    <w:rsid w:val="0098727F"/>
    <w:rsid w:val="009878E5"/>
    <w:rsid w:val="00987AD4"/>
    <w:rsid w:val="0099032C"/>
    <w:rsid w:val="0099077F"/>
    <w:rsid w:val="009911C6"/>
    <w:rsid w:val="009914B3"/>
    <w:rsid w:val="009914C1"/>
    <w:rsid w:val="00991557"/>
    <w:rsid w:val="00991DDF"/>
    <w:rsid w:val="0099230C"/>
    <w:rsid w:val="0099236A"/>
    <w:rsid w:val="00992484"/>
    <w:rsid w:val="0099263A"/>
    <w:rsid w:val="0099266F"/>
    <w:rsid w:val="00992802"/>
    <w:rsid w:val="00992DBB"/>
    <w:rsid w:val="00993075"/>
    <w:rsid w:val="00993156"/>
    <w:rsid w:val="009931F8"/>
    <w:rsid w:val="0099385E"/>
    <w:rsid w:val="0099399F"/>
    <w:rsid w:val="009939DD"/>
    <w:rsid w:val="00993C84"/>
    <w:rsid w:val="00993CD9"/>
    <w:rsid w:val="00993D49"/>
    <w:rsid w:val="00993ECB"/>
    <w:rsid w:val="00993ECD"/>
    <w:rsid w:val="009940E9"/>
    <w:rsid w:val="00994186"/>
    <w:rsid w:val="0099427C"/>
    <w:rsid w:val="00994336"/>
    <w:rsid w:val="0099440E"/>
    <w:rsid w:val="009944CB"/>
    <w:rsid w:val="0099472F"/>
    <w:rsid w:val="00994CD3"/>
    <w:rsid w:val="00994F05"/>
    <w:rsid w:val="009951F5"/>
    <w:rsid w:val="00995366"/>
    <w:rsid w:val="009957CB"/>
    <w:rsid w:val="009957D1"/>
    <w:rsid w:val="0099586B"/>
    <w:rsid w:val="00995BE9"/>
    <w:rsid w:val="00995D9E"/>
    <w:rsid w:val="00995E73"/>
    <w:rsid w:val="00996312"/>
    <w:rsid w:val="0099632D"/>
    <w:rsid w:val="009968AB"/>
    <w:rsid w:val="00996FEE"/>
    <w:rsid w:val="00997255"/>
    <w:rsid w:val="009974C8"/>
    <w:rsid w:val="009974D1"/>
    <w:rsid w:val="00997AA0"/>
    <w:rsid w:val="00997AE9"/>
    <w:rsid w:val="00997E1F"/>
    <w:rsid w:val="009A01A4"/>
    <w:rsid w:val="009A02D9"/>
    <w:rsid w:val="009A069C"/>
    <w:rsid w:val="009A08C9"/>
    <w:rsid w:val="009A09B7"/>
    <w:rsid w:val="009A09D1"/>
    <w:rsid w:val="009A0AE0"/>
    <w:rsid w:val="009A0FB1"/>
    <w:rsid w:val="009A0FE9"/>
    <w:rsid w:val="009A1103"/>
    <w:rsid w:val="009A12B7"/>
    <w:rsid w:val="009A16F9"/>
    <w:rsid w:val="009A1913"/>
    <w:rsid w:val="009A1C2B"/>
    <w:rsid w:val="009A2091"/>
    <w:rsid w:val="009A23D3"/>
    <w:rsid w:val="009A24AB"/>
    <w:rsid w:val="009A26FB"/>
    <w:rsid w:val="009A2BD1"/>
    <w:rsid w:val="009A304C"/>
    <w:rsid w:val="009A3178"/>
    <w:rsid w:val="009A3217"/>
    <w:rsid w:val="009A32F9"/>
    <w:rsid w:val="009A3412"/>
    <w:rsid w:val="009A3708"/>
    <w:rsid w:val="009A3D0F"/>
    <w:rsid w:val="009A3DEA"/>
    <w:rsid w:val="009A400D"/>
    <w:rsid w:val="009A4253"/>
    <w:rsid w:val="009A4305"/>
    <w:rsid w:val="009A4329"/>
    <w:rsid w:val="009A47B9"/>
    <w:rsid w:val="009A4A0C"/>
    <w:rsid w:val="009A4A28"/>
    <w:rsid w:val="009A4FDB"/>
    <w:rsid w:val="009A5678"/>
    <w:rsid w:val="009A5870"/>
    <w:rsid w:val="009A59AE"/>
    <w:rsid w:val="009A5B0B"/>
    <w:rsid w:val="009A5FBF"/>
    <w:rsid w:val="009A6053"/>
    <w:rsid w:val="009A61C0"/>
    <w:rsid w:val="009A6306"/>
    <w:rsid w:val="009A6565"/>
    <w:rsid w:val="009A65A8"/>
    <w:rsid w:val="009A65EC"/>
    <w:rsid w:val="009A66D4"/>
    <w:rsid w:val="009A66DB"/>
    <w:rsid w:val="009A67EC"/>
    <w:rsid w:val="009A6F26"/>
    <w:rsid w:val="009A70BC"/>
    <w:rsid w:val="009A718E"/>
    <w:rsid w:val="009A7344"/>
    <w:rsid w:val="009A784C"/>
    <w:rsid w:val="009A7851"/>
    <w:rsid w:val="009A78F9"/>
    <w:rsid w:val="009A7DA7"/>
    <w:rsid w:val="009A7FAC"/>
    <w:rsid w:val="009B0147"/>
    <w:rsid w:val="009B01FD"/>
    <w:rsid w:val="009B0B2D"/>
    <w:rsid w:val="009B0CD4"/>
    <w:rsid w:val="009B0D7D"/>
    <w:rsid w:val="009B106F"/>
    <w:rsid w:val="009B112C"/>
    <w:rsid w:val="009B13FA"/>
    <w:rsid w:val="009B15B7"/>
    <w:rsid w:val="009B16C5"/>
    <w:rsid w:val="009B17BA"/>
    <w:rsid w:val="009B1B48"/>
    <w:rsid w:val="009B1B59"/>
    <w:rsid w:val="009B1B99"/>
    <w:rsid w:val="009B1DC7"/>
    <w:rsid w:val="009B1F0F"/>
    <w:rsid w:val="009B1F79"/>
    <w:rsid w:val="009B21D0"/>
    <w:rsid w:val="009B22DE"/>
    <w:rsid w:val="009B239F"/>
    <w:rsid w:val="009B2656"/>
    <w:rsid w:val="009B294E"/>
    <w:rsid w:val="009B29D9"/>
    <w:rsid w:val="009B2B09"/>
    <w:rsid w:val="009B2C3E"/>
    <w:rsid w:val="009B2C5E"/>
    <w:rsid w:val="009B2E79"/>
    <w:rsid w:val="009B2F97"/>
    <w:rsid w:val="009B2FE4"/>
    <w:rsid w:val="009B3051"/>
    <w:rsid w:val="009B31D4"/>
    <w:rsid w:val="009B31EE"/>
    <w:rsid w:val="009B33C6"/>
    <w:rsid w:val="009B33DB"/>
    <w:rsid w:val="009B35BD"/>
    <w:rsid w:val="009B35FA"/>
    <w:rsid w:val="009B3A59"/>
    <w:rsid w:val="009B3D74"/>
    <w:rsid w:val="009B424F"/>
    <w:rsid w:val="009B4595"/>
    <w:rsid w:val="009B48B5"/>
    <w:rsid w:val="009B4957"/>
    <w:rsid w:val="009B4A58"/>
    <w:rsid w:val="009B4AB7"/>
    <w:rsid w:val="009B4D48"/>
    <w:rsid w:val="009B4D69"/>
    <w:rsid w:val="009B4E54"/>
    <w:rsid w:val="009B5190"/>
    <w:rsid w:val="009B51E9"/>
    <w:rsid w:val="009B526E"/>
    <w:rsid w:val="009B52D7"/>
    <w:rsid w:val="009B536D"/>
    <w:rsid w:val="009B57EB"/>
    <w:rsid w:val="009B5B2A"/>
    <w:rsid w:val="009B5C5D"/>
    <w:rsid w:val="009B5E65"/>
    <w:rsid w:val="009B611B"/>
    <w:rsid w:val="009B6351"/>
    <w:rsid w:val="009B67CE"/>
    <w:rsid w:val="009B6B12"/>
    <w:rsid w:val="009B6BCB"/>
    <w:rsid w:val="009B7452"/>
    <w:rsid w:val="009B74B0"/>
    <w:rsid w:val="009B7683"/>
    <w:rsid w:val="009B786A"/>
    <w:rsid w:val="009B7AE4"/>
    <w:rsid w:val="009B7DEE"/>
    <w:rsid w:val="009C02CA"/>
    <w:rsid w:val="009C037F"/>
    <w:rsid w:val="009C05CF"/>
    <w:rsid w:val="009C0CEE"/>
    <w:rsid w:val="009C0E2F"/>
    <w:rsid w:val="009C0E8B"/>
    <w:rsid w:val="009C0FDC"/>
    <w:rsid w:val="009C1236"/>
    <w:rsid w:val="009C12EC"/>
    <w:rsid w:val="009C1897"/>
    <w:rsid w:val="009C1921"/>
    <w:rsid w:val="009C1B4B"/>
    <w:rsid w:val="009C2170"/>
    <w:rsid w:val="009C2439"/>
    <w:rsid w:val="009C2705"/>
    <w:rsid w:val="009C2CC6"/>
    <w:rsid w:val="009C2F6D"/>
    <w:rsid w:val="009C310E"/>
    <w:rsid w:val="009C3130"/>
    <w:rsid w:val="009C323A"/>
    <w:rsid w:val="009C326C"/>
    <w:rsid w:val="009C3346"/>
    <w:rsid w:val="009C3632"/>
    <w:rsid w:val="009C381A"/>
    <w:rsid w:val="009C3917"/>
    <w:rsid w:val="009C3918"/>
    <w:rsid w:val="009C3A21"/>
    <w:rsid w:val="009C3C34"/>
    <w:rsid w:val="009C3E9A"/>
    <w:rsid w:val="009C3EA5"/>
    <w:rsid w:val="009C3F2B"/>
    <w:rsid w:val="009C3F87"/>
    <w:rsid w:val="009C459A"/>
    <w:rsid w:val="009C46D4"/>
    <w:rsid w:val="009C4B8A"/>
    <w:rsid w:val="009C4C50"/>
    <w:rsid w:val="009C4DFD"/>
    <w:rsid w:val="009C5130"/>
    <w:rsid w:val="009C5172"/>
    <w:rsid w:val="009C51E9"/>
    <w:rsid w:val="009C541F"/>
    <w:rsid w:val="009C5457"/>
    <w:rsid w:val="009C5574"/>
    <w:rsid w:val="009C5976"/>
    <w:rsid w:val="009C5A54"/>
    <w:rsid w:val="009C6411"/>
    <w:rsid w:val="009C66A7"/>
    <w:rsid w:val="009C67B4"/>
    <w:rsid w:val="009C68B3"/>
    <w:rsid w:val="009C6A1C"/>
    <w:rsid w:val="009C6E51"/>
    <w:rsid w:val="009C6F08"/>
    <w:rsid w:val="009C7619"/>
    <w:rsid w:val="009C7752"/>
    <w:rsid w:val="009C7E55"/>
    <w:rsid w:val="009D045E"/>
    <w:rsid w:val="009D04CC"/>
    <w:rsid w:val="009D0557"/>
    <w:rsid w:val="009D05CC"/>
    <w:rsid w:val="009D0751"/>
    <w:rsid w:val="009D0DF0"/>
    <w:rsid w:val="009D11CA"/>
    <w:rsid w:val="009D1488"/>
    <w:rsid w:val="009D1515"/>
    <w:rsid w:val="009D1EA3"/>
    <w:rsid w:val="009D22C2"/>
    <w:rsid w:val="009D2302"/>
    <w:rsid w:val="009D231C"/>
    <w:rsid w:val="009D27EE"/>
    <w:rsid w:val="009D2DBD"/>
    <w:rsid w:val="009D2E3C"/>
    <w:rsid w:val="009D2E83"/>
    <w:rsid w:val="009D2FB8"/>
    <w:rsid w:val="009D3A1E"/>
    <w:rsid w:val="009D3FE1"/>
    <w:rsid w:val="009D405B"/>
    <w:rsid w:val="009D41C4"/>
    <w:rsid w:val="009D421A"/>
    <w:rsid w:val="009D43A8"/>
    <w:rsid w:val="009D4564"/>
    <w:rsid w:val="009D45D4"/>
    <w:rsid w:val="009D4615"/>
    <w:rsid w:val="009D47B9"/>
    <w:rsid w:val="009D5381"/>
    <w:rsid w:val="009D54FC"/>
    <w:rsid w:val="009D558A"/>
    <w:rsid w:val="009D57BC"/>
    <w:rsid w:val="009D5819"/>
    <w:rsid w:val="009D59DB"/>
    <w:rsid w:val="009D5C39"/>
    <w:rsid w:val="009D5E96"/>
    <w:rsid w:val="009D5EA0"/>
    <w:rsid w:val="009D60F8"/>
    <w:rsid w:val="009D61B5"/>
    <w:rsid w:val="009D68BA"/>
    <w:rsid w:val="009D6AB2"/>
    <w:rsid w:val="009D6ABF"/>
    <w:rsid w:val="009D6B98"/>
    <w:rsid w:val="009D6E66"/>
    <w:rsid w:val="009D6F62"/>
    <w:rsid w:val="009D746B"/>
    <w:rsid w:val="009D7AB9"/>
    <w:rsid w:val="009D7DA1"/>
    <w:rsid w:val="009E00F6"/>
    <w:rsid w:val="009E018B"/>
    <w:rsid w:val="009E02AD"/>
    <w:rsid w:val="009E02CB"/>
    <w:rsid w:val="009E036D"/>
    <w:rsid w:val="009E0BA4"/>
    <w:rsid w:val="009E0BD8"/>
    <w:rsid w:val="009E0D0A"/>
    <w:rsid w:val="009E0D2D"/>
    <w:rsid w:val="009E0FCA"/>
    <w:rsid w:val="009E19D8"/>
    <w:rsid w:val="009E1AC4"/>
    <w:rsid w:val="009E1B0E"/>
    <w:rsid w:val="009E1B61"/>
    <w:rsid w:val="009E1DF4"/>
    <w:rsid w:val="009E2209"/>
    <w:rsid w:val="009E246B"/>
    <w:rsid w:val="009E256F"/>
    <w:rsid w:val="009E2623"/>
    <w:rsid w:val="009E27C7"/>
    <w:rsid w:val="009E2A9E"/>
    <w:rsid w:val="009E32E4"/>
    <w:rsid w:val="009E32F4"/>
    <w:rsid w:val="009E3599"/>
    <w:rsid w:val="009E38CD"/>
    <w:rsid w:val="009E3B53"/>
    <w:rsid w:val="009E3CFE"/>
    <w:rsid w:val="009E3D29"/>
    <w:rsid w:val="009E3F34"/>
    <w:rsid w:val="009E419D"/>
    <w:rsid w:val="009E4312"/>
    <w:rsid w:val="009E43D3"/>
    <w:rsid w:val="009E46E3"/>
    <w:rsid w:val="009E4786"/>
    <w:rsid w:val="009E47B1"/>
    <w:rsid w:val="009E48C3"/>
    <w:rsid w:val="009E4C00"/>
    <w:rsid w:val="009E4DA8"/>
    <w:rsid w:val="009E4E4F"/>
    <w:rsid w:val="009E4FFB"/>
    <w:rsid w:val="009E538B"/>
    <w:rsid w:val="009E5D7C"/>
    <w:rsid w:val="009E5DE8"/>
    <w:rsid w:val="009E60EA"/>
    <w:rsid w:val="009E620C"/>
    <w:rsid w:val="009E6260"/>
    <w:rsid w:val="009E6270"/>
    <w:rsid w:val="009E6491"/>
    <w:rsid w:val="009E65FF"/>
    <w:rsid w:val="009E679A"/>
    <w:rsid w:val="009E6D33"/>
    <w:rsid w:val="009E7529"/>
    <w:rsid w:val="009E7629"/>
    <w:rsid w:val="009E7659"/>
    <w:rsid w:val="009E7AD3"/>
    <w:rsid w:val="009F0287"/>
    <w:rsid w:val="009F02DC"/>
    <w:rsid w:val="009F0987"/>
    <w:rsid w:val="009F0A29"/>
    <w:rsid w:val="009F0BD4"/>
    <w:rsid w:val="009F0D81"/>
    <w:rsid w:val="009F0FA9"/>
    <w:rsid w:val="009F0FCE"/>
    <w:rsid w:val="009F1242"/>
    <w:rsid w:val="009F1642"/>
    <w:rsid w:val="009F17F6"/>
    <w:rsid w:val="009F1931"/>
    <w:rsid w:val="009F1B0E"/>
    <w:rsid w:val="009F1CA0"/>
    <w:rsid w:val="009F1CFB"/>
    <w:rsid w:val="009F1EA8"/>
    <w:rsid w:val="009F1F55"/>
    <w:rsid w:val="009F1FD0"/>
    <w:rsid w:val="009F2372"/>
    <w:rsid w:val="009F23B2"/>
    <w:rsid w:val="009F264F"/>
    <w:rsid w:val="009F266F"/>
    <w:rsid w:val="009F26CC"/>
    <w:rsid w:val="009F2798"/>
    <w:rsid w:val="009F2975"/>
    <w:rsid w:val="009F29EE"/>
    <w:rsid w:val="009F2DA1"/>
    <w:rsid w:val="009F2DF2"/>
    <w:rsid w:val="009F3004"/>
    <w:rsid w:val="009F31A0"/>
    <w:rsid w:val="009F32C6"/>
    <w:rsid w:val="009F3D79"/>
    <w:rsid w:val="009F3EEC"/>
    <w:rsid w:val="009F3F68"/>
    <w:rsid w:val="009F4156"/>
    <w:rsid w:val="009F43D8"/>
    <w:rsid w:val="009F440B"/>
    <w:rsid w:val="009F44B5"/>
    <w:rsid w:val="009F460B"/>
    <w:rsid w:val="009F4669"/>
    <w:rsid w:val="009F49C1"/>
    <w:rsid w:val="009F4A2B"/>
    <w:rsid w:val="009F4BBC"/>
    <w:rsid w:val="009F4C05"/>
    <w:rsid w:val="009F510D"/>
    <w:rsid w:val="009F5296"/>
    <w:rsid w:val="009F57B6"/>
    <w:rsid w:val="009F5817"/>
    <w:rsid w:val="009F5BFC"/>
    <w:rsid w:val="009F5C74"/>
    <w:rsid w:val="009F5D32"/>
    <w:rsid w:val="009F5EB2"/>
    <w:rsid w:val="009F5EB4"/>
    <w:rsid w:val="009F6120"/>
    <w:rsid w:val="009F647D"/>
    <w:rsid w:val="009F65EB"/>
    <w:rsid w:val="009F6A3F"/>
    <w:rsid w:val="009F6AB1"/>
    <w:rsid w:val="009F6ADC"/>
    <w:rsid w:val="009F6B1D"/>
    <w:rsid w:val="009F6BC1"/>
    <w:rsid w:val="009F6D0D"/>
    <w:rsid w:val="009F71B3"/>
    <w:rsid w:val="009F77C8"/>
    <w:rsid w:val="009F7954"/>
    <w:rsid w:val="009F7A81"/>
    <w:rsid w:val="009F7D74"/>
    <w:rsid w:val="00A00304"/>
    <w:rsid w:val="00A003C7"/>
    <w:rsid w:val="00A003D5"/>
    <w:rsid w:val="00A0068D"/>
    <w:rsid w:val="00A00A39"/>
    <w:rsid w:val="00A00BD8"/>
    <w:rsid w:val="00A01108"/>
    <w:rsid w:val="00A01331"/>
    <w:rsid w:val="00A01415"/>
    <w:rsid w:val="00A0143C"/>
    <w:rsid w:val="00A01C13"/>
    <w:rsid w:val="00A01E9A"/>
    <w:rsid w:val="00A021DB"/>
    <w:rsid w:val="00A022B0"/>
    <w:rsid w:val="00A028E9"/>
    <w:rsid w:val="00A02A08"/>
    <w:rsid w:val="00A02A21"/>
    <w:rsid w:val="00A02B46"/>
    <w:rsid w:val="00A02C88"/>
    <w:rsid w:val="00A02E29"/>
    <w:rsid w:val="00A0317D"/>
    <w:rsid w:val="00A03B2B"/>
    <w:rsid w:val="00A03B64"/>
    <w:rsid w:val="00A03F2C"/>
    <w:rsid w:val="00A04149"/>
    <w:rsid w:val="00A04172"/>
    <w:rsid w:val="00A045FD"/>
    <w:rsid w:val="00A045FF"/>
    <w:rsid w:val="00A046A2"/>
    <w:rsid w:val="00A04A9F"/>
    <w:rsid w:val="00A04CBA"/>
    <w:rsid w:val="00A04DC7"/>
    <w:rsid w:val="00A04FD7"/>
    <w:rsid w:val="00A0501E"/>
    <w:rsid w:val="00A050D6"/>
    <w:rsid w:val="00A050F9"/>
    <w:rsid w:val="00A05459"/>
    <w:rsid w:val="00A05671"/>
    <w:rsid w:val="00A05818"/>
    <w:rsid w:val="00A05A4E"/>
    <w:rsid w:val="00A05C28"/>
    <w:rsid w:val="00A06196"/>
    <w:rsid w:val="00A06553"/>
    <w:rsid w:val="00A06653"/>
    <w:rsid w:val="00A068B7"/>
    <w:rsid w:val="00A0691A"/>
    <w:rsid w:val="00A06D46"/>
    <w:rsid w:val="00A06E09"/>
    <w:rsid w:val="00A06FF0"/>
    <w:rsid w:val="00A0713C"/>
    <w:rsid w:val="00A071A3"/>
    <w:rsid w:val="00A0744C"/>
    <w:rsid w:val="00A075AD"/>
    <w:rsid w:val="00A07793"/>
    <w:rsid w:val="00A07B8D"/>
    <w:rsid w:val="00A07D87"/>
    <w:rsid w:val="00A07DA6"/>
    <w:rsid w:val="00A07F85"/>
    <w:rsid w:val="00A1020B"/>
    <w:rsid w:val="00A1043E"/>
    <w:rsid w:val="00A10C22"/>
    <w:rsid w:val="00A110A8"/>
    <w:rsid w:val="00A110D5"/>
    <w:rsid w:val="00A1138D"/>
    <w:rsid w:val="00A114E8"/>
    <w:rsid w:val="00A116AA"/>
    <w:rsid w:val="00A117F3"/>
    <w:rsid w:val="00A11A3A"/>
    <w:rsid w:val="00A11B69"/>
    <w:rsid w:val="00A11BEA"/>
    <w:rsid w:val="00A12584"/>
    <w:rsid w:val="00A125DA"/>
    <w:rsid w:val="00A12680"/>
    <w:rsid w:val="00A128C3"/>
    <w:rsid w:val="00A12B30"/>
    <w:rsid w:val="00A12C12"/>
    <w:rsid w:val="00A12FE6"/>
    <w:rsid w:val="00A135F6"/>
    <w:rsid w:val="00A13AF4"/>
    <w:rsid w:val="00A13C9B"/>
    <w:rsid w:val="00A13CFC"/>
    <w:rsid w:val="00A13DAD"/>
    <w:rsid w:val="00A13FF4"/>
    <w:rsid w:val="00A1431A"/>
    <w:rsid w:val="00A1445A"/>
    <w:rsid w:val="00A146EB"/>
    <w:rsid w:val="00A14DE9"/>
    <w:rsid w:val="00A14F13"/>
    <w:rsid w:val="00A150AA"/>
    <w:rsid w:val="00A1536C"/>
    <w:rsid w:val="00A15C58"/>
    <w:rsid w:val="00A16203"/>
    <w:rsid w:val="00A16921"/>
    <w:rsid w:val="00A1699A"/>
    <w:rsid w:val="00A16C7D"/>
    <w:rsid w:val="00A16D16"/>
    <w:rsid w:val="00A1712E"/>
    <w:rsid w:val="00A1714B"/>
    <w:rsid w:val="00A1728B"/>
    <w:rsid w:val="00A17525"/>
    <w:rsid w:val="00A1758E"/>
    <w:rsid w:val="00A177DC"/>
    <w:rsid w:val="00A1793D"/>
    <w:rsid w:val="00A17DA8"/>
    <w:rsid w:val="00A17DC4"/>
    <w:rsid w:val="00A17DF7"/>
    <w:rsid w:val="00A17F2A"/>
    <w:rsid w:val="00A20565"/>
    <w:rsid w:val="00A209DD"/>
    <w:rsid w:val="00A20C82"/>
    <w:rsid w:val="00A20D04"/>
    <w:rsid w:val="00A20E45"/>
    <w:rsid w:val="00A213F8"/>
    <w:rsid w:val="00A21843"/>
    <w:rsid w:val="00A21A7A"/>
    <w:rsid w:val="00A21C31"/>
    <w:rsid w:val="00A21F24"/>
    <w:rsid w:val="00A22235"/>
    <w:rsid w:val="00A2287F"/>
    <w:rsid w:val="00A22A28"/>
    <w:rsid w:val="00A22BBE"/>
    <w:rsid w:val="00A22D0E"/>
    <w:rsid w:val="00A23220"/>
    <w:rsid w:val="00A2363B"/>
    <w:rsid w:val="00A236E7"/>
    <w:rsid w:val="00A237C9"/>
    <w:rsid w:val="00A23CD7"/>
    <w:rsid w:val="00A23D9E"/>
    <w:rsid w:val="00A23EF1"/>
    <w:rsid w:val="00A24224"/>
    <w:rsid w:val="00A24293"/>
    <w:rsid w:val="00A245F9"/>
    <w:rsid w:val="00A246EE"/>
    <w:rsid w:val="00A24890"/>
    <w:rsid w:val="00A24912"/>
    <w:rsid w:val="00A24967"/>
    <w:rsid w:val="00A24A00"/>
    <w:rsid w:val="00A24D1B"/>
    <w:rsid w:val="00A24FBA"/>
    <w:rsid w:val="00A253A8"/>
    <w:rsid w:val="00A25512"/>
    <w:rsid w:val="00A25EF7"/>
    <w:rsid w:val="00A2604A"/>
    <w:rsid w:val="00A26200"/>
    <w:rsid w:val="00A2641C"/>
    <w:rsid w:val="00A26425"/>
    <w:rsid w:val="00A2678E"/>
    <w:rsid w:val="00A26BBC"/>
    <w:rsid w:val="00A26D0C"/>
    <w:rsid w:val="00A26DA0"/>
    <w:rsid w:val="00A26E4B"/>
    <w:rsid w:val="00A27068"/>
    <w:rsid w:val="00A270B4"/>
    <w:rsid w:val="00A27326"/>
    <w:rsid w:val="00A27373"/>
    <w:rsid w:val="00A274A8"/>
    <w:rsid w:val="00A27758"/>
    <w:rsid w:val="00A2789D"/>
    <w:rsid w:val="00A279DF"/>
    <w:rsid w:val="00A27E87"/>
    <w:rsid w:val="00A27F9E"/>
    <w:rsid w:val="00A306EF"/>
    <w:rsid w:val="00A308A9"/>
    <w:rsid w:val="00A31237"/>
    <w:rsid w:val="00A3128C"/>
    <w:rsid w:val="00A312C5"/>
    <w:rsid w:val="00A31497"/>
    <w:rsid w:val="00A31514"/>
    <w:rsid w:val="00A3155F"/>
    <w:rsid w:val="00A31C17"/>
    <w:rsid w:val="00A31D72"/>
    <w:rsid w:val="00A31E29"/>
    <w:rsid w:val="00A320B7"/>
    <w:rsid w:val="00A328F6"/>
    <w:rsid w:val="00A32E19"/>
    <w:rsid w:val="00A32E98"/>
    <w:rsid w:val="00A33326"/>
    <w:rsid w:val="00A33633"/>
    <w:rsid w:val="00A33732"/>
    <w:rsid w:val="00A33805"/>
    <w:rsid w:val="00A33CAA"/>
    <w:rsid w:val="00A33D69"/>
    <w:rsid w:val="00A3402A"/>
    <w:rsid w:val="00A34057"/>
    <w:rsid w:val="00A34557"/>
    <w:rsid w:val="00A34A77"/>
    <w:rsid w:val="00A34E60"/>
    <w:rsid w:val="00A354E8"/>
    <w:rsid w:val="00A35591"/>
    <w:rsid w:val="00A35A4B"/>
    <w:rsid w:val="00A35C79"/>
    <w:rsid w:val="00A35CD7"/>
    <w:rsid w:val="00A36056"/>
    <w:rsid w:val="00A3608F"/>
    <w:rsid w:val="00A36299"/>
    <w:rsid w:val="00A36308"/>
    <w:rsid w:val="00A36479"/>
    <w:rsid w:val="00A36723"/>
    <w:rsid w:val="00A36A61"/>
    <w:rsid w:val="00A36BD1"/>
    <w:rsid w:val="00A36C4F"/>
    <w:rsid w:val="00A37374"/>
    <w:rsid w:val="00A375E3"/>
    <w:rsid w:val="00A37651"/>
    <w:rsid w:val="00A377E6"/>
    <w:rsid w:val="00A37859"/>
    <w:rsid w:val="00A37C1A"/>
    <w:rsid w:val="00A37CA4"/>
    <w:rsid w:val="00A37E96"/>
    <w:rsid w:val="00A4007F"/>
    <w:rsid w:val="00A40432"/>
    <w:rsid w:val="00A405C5"/>
    <w:rsid w:val="00A407CC"/>
    <w:rsid w:val="00A40CD9"/>
    <w:rsid w:val="00A40E55"/>
    <w:rsid w:val="00A40E60"/>
    <w:rsid w:val="00A40FF6"/>
    <w:rsid w:val="00A41170"/>
    <w:rsid w:val="00A41312"/>
    <w:rsid w:val="00A414F2"/>
    <w:rsid w:val="00A419DB"/>
    <w:rsid w:val="00A41A88"/>
    <w:rsid w:val="00A41BDF"/>
    <w:rsid w:val="00A41E35"/>
    <w:rsid w:val="00A41E52"/>
    <w:rsid w:val="00A42166"/>
    <w:rsid w:val="00A424DE"/>
    <w:rsid w:val="00A42609"/>
    <w:rsid w:val="00A4296E"/>
    <w:rsid w:val="00A4306D"/>
    <w:rsid w:val="00A432C2"/>
    <w:rsid w:val="00A435C4"/>
    <w:rsid w:val="00A4388F"/>
    <w:rsid w:val="00A43A2C"/>
    <w:rsid w:val="00A43BEF"/>
    <w:rsid w:val="00A43C44"/>
    <w:rsid w:val="00A43DD3"/>
    <w:rsid w:val="00A43E14"/>
    <w:rsid w:val="00A43EF7"/>
    <w:rsid w:val="00A43F99"/>
    <w:rsid w:val="00A4422F"/>
    <w:rsid w:val="00A4431D"/>
    <w:rsid w:val="00A443DC"/>
    <w:rsid w:val="00A44647"/>
    <w:rsid w:val="00A4464E"/>
    <w:rsid w:val="00A4493C"/>
    <w:rsid w:val="00A449AD"/>
    <w:rsid w:val="00A44A35"/>
    <w:rsid w:val="00A44C89"/>
    <w:rsid w:val="00A44E7B"/>
    <w:rsid w:val="00A451E3"/>
    <w:rsid w:val="00A4522A"/>
    <w:rsid w:val="00A4564F"/>
    <w:rsid w:val="00A45A2D"/>
    <w:rsid w:val="00A45DF9"/>
    <w:rsid w:val="00A45FAA"/>
    <w:rsid w:val="00A46368"/>
    <w:rsid w:val="00A464C8"/>
    <w:rsid w:val="00A466AE"/>
    <w:rsid w:val="00A4670A"/>
    <w:rsid w:val="00A468AF"/>
    <w:rsid w:val="00A469AB"/>
    <w:rsid w:val="00A46EFE"/>
    <w:rsid w:val="00A4768D"/>
    <w:rsid w:val="00A479A0"/>
    <w:rsid w:val="00A47BBB"/>
    <w:rsid w:val="00A47DBF"/>
    <w:rsid w:val="00A47E38"/>
    <w:rsid w:val="00A47E9F"/>
    <w:rsid w:val="00A50448"/>
    <w:rsid w:val="00A50867"/>
    <w:rsid w:val="00A50B9D"/>
    <w:rsid w:val="00A5102F"/>
    <w:rsid w:val="00A51032"/>
    <w:rsid w:val="00A512DD"/>
    <w:rsid w:val="00A514EF"/>
    <w:rsid w:val="00A51565"/>
    <w:rsid w:val="00A515EF"/>
    <w:rsid w:val="00A51AB6"/>
    <w:rsid w:val="00A51AD5"/>
    <w:rsid w:val="00A52048"/>
    <w:rsid w:val="00A521FD"/>
    <w:rsid w:val="00A5230F"/>
    <w:rsid w:val="00A52B0F"/>
    <w:rsid w:val="00A53239"/>
    <w:rsid w:val="00A5349D"/>
    <w:rsid w:val="00A534CB"/>
    <w:rsid w:val="00A535C0"/>
    <w:rsid w:val="00A535DB"/>
    <w:rsid w:val="00A5364F"/>
    <w:rsid w:val="00A536BF"/>
    <w:rsid w:val="00A53960"/>
    <w:rsid w:val="00A53C00"/>
    <w:rsid w:val="00A5402E"/>
    <w:rsid w:val="00A54509"/>
    <w:rsid w:val="00A54A97"/>
    <w:rsid w:val="00A54CA1"/>
    <w:rsid w:val="00A55089"/>
    <w:rsid w:val="00A55144"/>
    <w:rsid w:val="00A55556"/>
    <w:rsid w:val="00A55569"/>
    <w:rsid w:val="00A557E0"/>
    <w:rsid w:val="00A558E5"/>
    <w:rsid w:val="00A55DF9"/>
    <w:rsid w:val="00A55F93"/>
    <w:rsid w:val="00A5616B"/>
    <w:rsid w:val="00A562DF"/>
    <w:rsid w:val="00A563ED"/>
    <w:rsid w:val="00A56A66"/>
    <w:rsid w:val="00A56EF5"/>
    <w:rsid w:val="00A56FBA"/>
    <w:rsid w:val="00A571BF"/>
    <w:rsid w:val="00A57729"/>
    <w:rsid w:val="00A577DB"/>
    <w:rsid w:val="00A5785C"/>
    <w:rsid w:val="00A579A3"/>
    <w:rsid w:val="00A57A4D"/>
    <w:rsid w:val="00A57A75"/>
    <w:rsid w:val="00A57B22"/>
    <w:rsid w:val="00A57CCB"/>
    <w:rsid w:val="00A57D4A"/>
    <w:rsid w:val="00A57ED3"/>
    <w:rsid w:val="00A60585"/>
    <w:rsid w:val="00A6110D"/>
    <w:rsid w:val="00A611B4"/>
    <w:rsid w:val="00A611EF"/>
    <w:rsid w:val="00A6135B"/>
    <w:rsid w:val="00A61871"/>
    <w:rsid w:val="00A6198A"/>
    <w:rsid w:val="00A619A7"/>
    <w:rsid w:val="00A61E46"/>
    <w:rsid w:val="00A62688"/>
    <w:rsid w:val="00A629FC"/>
    <w:rsid w:val="00A62A3C"/>
    <w:rsid w:val="00A6303C"/>
    <w:rsid w:val="00A63180"/>
    <w:rsid w:val="00A6349D"/>
    <w:rsid w:val="00A6365A"/>
    <w:rsid w:val="00A63B36"/>
    <w:rsid w:val="00A63E05"/>
    <w:rsid w:val="00A63E39"/>
    <w:rsid w:val="00A63E5E"/>
    <w:rsid w:val="00A63F87"/>
    <w:rsid w:val="00A64348"/>
    <w:rsid w:val="00A64371"/>
    <w:rsid w:val="00A647CB"/>
    <w:rsid w:val="00A64865"/>
    <w:rsid w:val="00A64893"/>
    <w:rsid w:val="00A64993"/>
    <w:rsid w:val="00A649A6"/>
    <w:rsid w:val="00A64A79"/>
    <w:rsid w:val="00A64B7A"/>
    <w:rsid w:val="00A64E24"/>
    <w:rsid w:val="00A65038"/>
    <w:rsid w:val="00A65060"/>
    <w:rsid w:val="00A65246"/>
    <w:rsid w:val="00A65AEC"/>
    <w:rsid w:val="00A66026"/>
    <w:rsid w:val="00A66101"/>
    <w:rsid w:val="00A66198"/>
    <w:rsid w:val="00A66419"/>
    <w:rsid w:val="00A665E9"/>
    <w:rsid w:val="00A66686"/>
    <w:rsid w:val="00A66965"/>
    <w:rsid w:val="00A66D74"/>
    <w:rsid w:val="00A66EE4"/>
    <w:rsid w:val="00A66FE6"/>
    <w:rsid w:val="00A6701A"/>
    <w:rsid w:val="00A6726B"/>
    <w:rsid w:val="00A67369"/>
    <w:rsid w:val="00A675EF"/>
    <w:rsid w:val="00A67657"/>
    <w:rsid w:val="00A67947"/>
    <w:rsid w:val="00A67B26"/>
    <w:rsid w:val="00A67BBB"/>
    <w:rsid w:val="00A67D64"/>
    <w:rsid w:val="00A67F5D"/>
    <w:rsid w:val="00A7058C"/>
    <w:rsid w:val="00A7097E"/>
    <w:rsid w:val="00A70DEC"/>
    <w:rsid w:val="00A71432"/>
    <w:rsid w:val="00A7155E"/>
    <w:rsid w:val="00A71C6D"/>
    <w:rsid w:val="00A71DA5"/>
    <w:rsid w:val="00A72CFF"/>
    <w:rsid w:val="00A73007"/>
    <w:rsid w:val="00A730C6"/>
    <w:rsid w:val="00A73154"/>
    <w:rsid w:val="00A7393F"/>
    <w:rsid w:val="00A73BB4"/>
    <w:rsid w:val="00A73CE2"/>
    <w:rsid w:val="00A73E3E"/>
    <w:rsid w:val="00A73E97"/>
    <w:rsid w:val="00A742F2"/>
    <w:rsid w:val="00A74C59"/>
    <w:rsid w:val="00A74DC7"/>
    <w:rsid w:val="00A757D5"/>
    <w:rsid w:val="00A7591F"/>
    <w:rsid w:val="00A75B7E"/>
    <w:rsid w:val="00A75DCA"/>
    <w:rsid w:val="00A7622D"/>
    <w:rsid w:val="00A76395"/>
    <w:rsid w:val="00A7640B"/>
    <w:rsid w:val="00A76554"/>
    <w:rsid w:val="00A76AD0"/>
    <w:rsid w:val="00A76BBE"/>
    <w:rsid w:val="00A7722D"/>
    <w:rsid w:val="00A773BE"/>
    <w:rsid w:val="00A777A6"/>
    <w:rsid w:val="00A77A13"/>
    <w:rsid w:val="00A77CB2"/>
    <w:rsid w:val="00A80D0C"/>
    <w:rsid w:val="00A810E1"/>
    <w:rsid w:val="00A8122A"/>
    <w:rsid w:val="00A81428"/>
    <w:rsid w:val="00A81527"/>
    <w:rsid w:val="00A816B2"/>
    <w:rsid w:val="00A8174C"/>
    <w:rsid w:val="00A81C05"/>
    <w:rsid w:val="00A81F00"/>
    <w:rsid w:val="00A82228"/>
    <w:rsid w:val="00A822A8"/>
    <w:rsid w:val="00A82458"/>
    <w:rsid w:val="00A827A6"/>
    <w:rsid w:val="00A829A6"/>
    <w:rsid w:val="00A829EE"/>
    <w:rsid w:val="00A82B9E"/>
    <w:rsid w:val="00A82CEF"/>
    <w:rsid w:val="00A83076"/>
    <w:rsid w:val="00A83926"/>
    <w:rsid w:val="00A83AE4"/>
    <w:rsid w:val="00A83AE7"/>
    <w:rsid w:val="00A83B4E"/>
    <w:rsid w:val="00A83CE1"/>
    <w:rsid w:val="00A83DC7"/>
    <w:rsid w:val="00A83DFF"/>
    <w:rsid w:val="00A83F04"/>
    <w:rsid w:val="00A83F09"/>
    <w:rsid w:val="00A83F12"/>
    <w:rsid w:val="00A84048"/>
    <w:rsid w:val="00A8404D"/>
    <w:rsid w:val="00A840A7"/>
    <w:rsid w:val="00A840B1"/>
    <w:rsid w:val="00A8411E"/>
    <w:rsid w:val="00A84330"/>
    <w:rsid w:val="00A84462"/>
    <w:rsid w:val="00A8446F"/>
    <w:rsid w:val="00A84562"/>
    <w:rsid w:val="00A84BBB"/>
    <w:rsid w:val="00A84C4F"/>
    <w:rsid w:val="00A84EF1"/>
    <w:rsid w:val="00A85137"/>
    <w:rsid w:val="00A852E3"/>
    <w:rsid w:val="00A85857"/>
    <w:rsid w:val="00A859FA"/>
    <w:rsid w:val="00A85B07"/>
    <w:rsid w:val="00A85C62"/>
    <w:rsid w:val="00A85C99"/>
    <w:rsid w:val="00A85F6D"/>
    <w:rsid w:val="00A86310"/>
    <w:rsid w:val="00A864C9"/>
    <w:rsid w:val="00A868C3"/>
    <w:rsid w:val="00A868FF"/>
    <w:rsid w:val="00A8698F"/>
    <w:rsid w:val="00A869C7"/>
    <w:rsid w:val="00A86BD1"/>
    <w:rsid w:val="00A86DF3"/>
    <w:rsid w:val="00A86E66"/>
    <w:rsid w:val="00A86ECB"/>
    <w:rsid w:val="00A86ED5"/>
    <w:rsid w:val="00A87272"/>
    <w:rsid w:val="00A87536"/>
    <w:rsid w:val="00A87761"/>
    <w:rsid w:val="00A87826"/>
    <w:rsid w:val="00A87D66"/>
    <w:rsid w:val="00A87D82"/>
    <w:rsid w:val="00A901A8"/>
    <w:rsid w:val="00A90CF4"/>
    <w:rsid w:val="00A90D25"/>
    <w:rsid w:val="00A9106B"/>
    <w:rsid w:val="00A91144"/>
    <w:rsid w:val="00A913D2"/>
    <w:rsid w:val="00A9147D"/>
    <w:rsid w:val="00A91782"/>
    <w:rsid w:val="00A91854"/>
    <w:rsid w:val="00A918E6"/>
    <w:rsid w:val="00A92365"/>
    <w:rsid w:val="00A923AE"/>
    <w:rsid w:val="00A92504"/>
    <w:rsid w:val="00A92630"/>
    <w:rsid w:val="00A927C7"/>
    <w:rsid w:val="00A928E6"/>
    <w:rsid w:val="00A92AB8"/>
    <w:rsid w:val="00A92AD3"/>
    <w:rsid w:val="00A92B39"/>
    <w:rsid w:val="00A92B66"/>
    <w:rsid w:val="00A92C1B"/>
    <w:rsid w:val="00A92D0B"/>
    <w:rsid w:val="00A92D77"/>
    <w:rsid w:val="00A92D78"/>
    <w:rsid w:val="00A92D7C"/>
    <w:rsid w:val="00A92EDB"/>
    <w:rsid w:val="00A92FC5"/>
    <w:rsid w:val="00A930BF"/>
    <w:rsid w:val="00A931A2"/>
    <w:rsid w:val="00A932F6"/>
    <w:rsid w:val="00A933AA"/>
    <w:rsid w:val="00A93DBC"/>
    <w:rsid w:val="00A93FE5"/>
    <w:rsid w:val="00A94089"/>
    <w:rsid w:val="00A94113"/>
    <w:rsid w:val="00A94192"/>
    <w:rsid w:val="00A94517"/>
    <w:rsid w:val="00A94618"/>
    <w:rsid w:val="00A949C0"/>
    <w:rsid w:val="00A94BE8"/>
    <w:rsid w:val="00A95507"/>
    <w:rsid w:val="00A957C6"/>
    <w:rsid w:val="00A9589D"/>
    <w:rsid w:val="00A958D3"/>
    <w:rsid w:val="00A95B33"/>
    <w:rsid w:val="00A96162"/>
    <w:rsid w:val="00A963CF"/>
    <w:rsid w:val="00A970FD"/>
    <w:rsid w:val="00A97496"/>
    <w:rsid w:val="00A978C5"/>
    <w:rsid w:val="00A97AAE"/>
    <w:rsid w:val="00A97C15"/>
    <w:rsid w:val="00A97C95"/>
    <w:rsid w:val="00A97D5E"/>
    <w:rsid w:val="00A97DBA"/>
    <w:rsid w:val="00A97E3C"/>
    <w:rsid w:val="00AA0371"/>
    <w:rsid w:val="00AA0684"/>
    <w:rsid w:val="00AA06FB"/>
    <w:rsid w:val="00AA07BF"/>
    <w:rsid w:val="00AA09BF"/>
    <w:rsid w:val="00AA0C78"/>
    <w:rsid w:val="00AA0E9F"/>
    <w:rsid w:val="00AA0EC1"/>
    <w:rsid w:val="00AA0FA2"/>
    <w:rsid w:val="00AA0FD3"/>
    <w:rsid w:val="00AA1615"/>
    <w:rsid w:val="00AA186B"/>
    <w:rsid w:val="00AA18F7"/>
    <w:rsid w:val="00AA19B2"/>
    <w:rsid w:val="00AA1AD2"/>
    <w:rsid w:val="00AA1B8D"/>
    <w:rsid w:val="00AA1EDE"/>
    <w:rsid w:val="00AA1F1C"/>
    <w:rsid w:val="00AA20A6"/>
    <w:rsid w:val="00AA2438"/>
    <w:rsid w:val="00AA26D4"/>
    <w:rsid w:val="00AA26DA"/>
    <w:rsid w:val="00AA295A"/>
    <w:rsid w:val="00AA2F05"/>
    <w:rsid w:val="00AA3106"/>
    <w:rsid w:val="00AA32F9"/>
    <w:rsid w:val="00AA33FB"/>
    <w:rsid w:val="00AA3914"/>
    <w:rsid w:val="00AA3922"/>
    <w:rsid w:val="00AA3A5C"/>
    <w:rsid w:val="00AA3D3E"/>
    <w:rsid w:val="00AA4134"/>
    <w:rsid w:val="00AA43FE"/>
    <w:rsid w:val="00AA47A0"/>
    <w:rsid w:val="00AA4823"/>
    <w:rsid w:val="00AA49A3"/>
    <w:rsid w:val="00AA4BCE"/>
    <w:rsid w:val="00AA4C52"/>
    <w:rsid w:val="00AA5097"/>
    <w:rsid w:val="00AA525F"/>
    <w:rsid w:val="00AA54AF"/>
    <w:rsid w:val="00AA5702"/>
    <w:rsid w:val="00AA5A69"/>
    <w:rsid w:val="00AA5ACE"/>
    <w:rsid w:val="00AA5B68"/>
    <w:rsid w:val="00AA5CF2"/>
    <w:rsid w:val="00AA6317"/>
    <w:rsid w:val="00AA6592"/>
    <w:rsid w:val="00AA68B4"/>
    <w:rsid w:val="00AA6D53"/>
    <w:rsid w:val="00AA6EE3"/>
    <w:rsid w:val="00AA70CA"/>
    <w:rsid w:val="00AA71F2"/>
    <w:rsid w:val="00AA7507"/>
    <w:rsid w:val="00AA7A28"/>
    <w:rsid w:val="00AA7A7F"/>
    <w:rsid w:val="00AA7E34"/>
    <w:rsid w:val="00AA7EDE"/>
    <w:rsid w:val="00AA7EFC"/>
    <w:rsid w:val="00AB0948"/>
    <w:rsid w:val="00AB10DE"/>
    <w:rsid w:val="00AB1455"/>
    <w:rsid w:val="00AB18CA"/>
    <w:rsid w:val="00AB1A22"/>
    <w:rsid w:val="00AB1E62"/>
    <w:rsid w:val="00AB2001"/>
    <w:rsid w:val="00AB2096"/>
    <w:rsid w:val="00AB269F"/>
    <w:rsid w:val="00AB26B7"/>
    <w:rsid w:val="00AB26F1"/>
    <w:rsid w:val="00AB2701"/>
    <w:rsid w:val="00AB2704"/>
    <w:rsid w:val="00AB29D5"/>
    <w:rsid w:val="00AB2B5D"/>
    <w:rsid w:val="00AB2FCE"/>
    <w:rsid w:val="00AB321D"/>
    <w:rsid w:val="00AB3343"/>
    <w:rsid w:val="00AB337F"/>
    <w:rsid w:val="00AB342E"/>
    <w:rsid w:val="00AB3485"/>
    <w:rsid w:val="00AB37AB"/>
    <w:rsid w:val="00AB37FB"/>
    <w:rsid w:val="00AB3CB1"/>
    <w:rsid w:val="00AB3D61"/>
    <w:rsid w:val="00AB3DC0"/>
    <w:rsid w:val="00AB3E95"/>
    <w:rsid w:val="00AB3F58"/>
    <w:rsid w:val="00AB3FE3"/>
    <w:rsid w:val="00AB4014"/>
    <w:rsid w:val="00AB441C"/>
    <w:rsid w:val="00AB470F"/>
    <w:rsid w:val="00AB4895"/>
    <w:rsid w:val="00AB4A71"/>
    <w:rsid w:val="00AB4E2E"/>
    <w:rsid w:val="00AB50D1"/>
    <w:rsid w:val="00AB54B3"/>
    <w:rsid w:val="00AB5AEE"/>
    <w:rsid w:val="00AB5BA8"/>
    <w:rsid w:val="00AB5D05"/>
    <w:rsid w:val="00AB5DAD"/>
    <w:rsid w:val="00AB5EB9"/>
    <w:rsid w:val="00AB6171"/>
    <w:rsid w:val="00AB657D"/>
    <w:rsid w:val="00AB6EA3"/>
    <w:rsid w:val="00AB71C1"/>
    <w:rsid w:val="00AB7218"/>
    <w:rsid w:val="00AB727A"/>
    <w:rsid w:val="00AB736C"/>
    <w:rsid w:val="00AB73EF"/>
    <w:rsid w:val="00AB7446"/>
    <w:rsid w:val="00AB7679"/>
    <w:rsid w:val="00AB7A0D"/>
    <w:rsid w:val="00AB7D8E"/>
    <w:rsid w:val="00AB7EEC"/>
    <w:rsid w:val="00AC0402"/>
    <w:rsid w:val="00AC0681"/>
    <w:rsid w:val="00AC0731"/>
    <w:rsid w:val="00AC0897"/>
    <w:rsid w:val="00AC08FB"/>
    <w:rsid w:val="00AC1085"/>
    <w:rsid w:val="00AC11AB"/>
    <w:rsid w:val="00AC11FE"/>
    <w:rsid w:val="00AC19A2"/>
    <w:rsid w:val="00AC1A1F"/>
    <w:rsid w:val="00AC1CBB"/>
    <w:rsid w:val="00AC1D29"/>
    <w:rsid w:val="00AC1E54"/>
    <w:rsid w:val="00AC1ED1"/>
    <w:rsid w:val="00AC2644"/>
    <w:rsid w:val="00AC2B9F"/>
    <w:rsid w:val="00AC2C03"/>
    <w:rsid w:val="00AC2D53"/>
    <w:rsid w:val="00AC3104"/>
    <w:rsid w:val="00AC324E"/>
    <w:rsid w:val="00AC3336"/>
    <w:rsid w:val="00AC38F2"/>
    <w:rsid w:val="00AC3964"/>
    <w:rsid w:val="00AC3BDC"/>
    <w:rsid w:val="00AC3C69"/>
    <w:rsid w:val="00AC3EA1"/>
    <w:rsid w:val="00AC3F2D"/>
    <w:rsid w:val="00AC3FB9"/>
    <w:rsid w:val="00AC498B"/>
    <w:rsid w:val="00AC4A36"/>
    <w:rsid w:val="00AC5435"/>
    <w:rsid w:val="00AC551D"/>
    <w:rsid w:val="00AC55F1"/>
    <w:rsid w:val="00AC5896"/>
    <w:rsid w:val="00AC59A9"/>
    <w:rsid w:val="00AC5DC7"/>
    <w:rsid w:val="00AC5E9A"/>
    <w:rsid w:val="00AC5EF0"/>
    <w:rsid w:val="00AC5F3F"/>
    <w:rsid w:val="00AC6FB9"/>
    <w:rsid w:val="00AC6FFE"/>
    <w:rsid w:val="00AC7020"/>
    <w:rsid w:val="00AC711D"/>
    <w:rsid w:val="00AC71B7"/>
    <w:rsid w:val="00AC7612"/>
    <w:rsid w:val="00AC7728"/>
    <w:rsid w:val="00AC77B6"/>
    <w:rsid w:val="00AC7CF7"/>
    <w:rsid w:val="00AD00B5"/>
    <w:rsid w:val="00AD016E"/>
    <w:rsid w:val="00AD0563"/>
    <w:rsid w:val="00AD058F"/>
    <w:rsid w:val="00AD08B0"/>
    <w:rsid w:val="00AD0A00"/>
    <w:rsid w:val="00AD0B37"/>
    <w:rsid w:val="00AD0CAB"/>
    <w:rsid w:val="00AD1003"/>
    <w:rsid w:val="00AD1449"/>
    <w:rsid w:val="00AD16C3"/>
    <w:rsid w:val="00AD1710"/>
    <w:rsid w:val="00AD18F3"/>
    <w:rsid w:val="00AD1A94"/>
    <w:rsid w:val="00AD1ED3"/>
    <w:rsid w:val="00AD1EF4"/>
    <w:rsid w:val="00AD20B7"/>
    <w:rsid w:val="00AD21EF"/>
    <w:rsid w:val="00AD23F5"/>
    <w:rsid w:val="00AD2404"/>
    <w:rsid w:val="00AD24C5"/>
    <w:rsid w:val="00AD24C7"/>
    <w:rsid w:val="00AD267D"/>
    <w:rsid w:val="00AD28AB"/>
    <w:rsid w:val="00AD291E"/>
    <w:rsid w:val="00AD2CF7"/>
    <w:rsid w:val="00AD2DEA"/>
    <w:rsid w:val="00AD2E48"/>
    <w:rsid w:val="00AD2E62"/>
    <w:rsid w:val="00AD3591"/>
    <w:rsid w:val="00AD371B"/>
    <w:rsid w:val="00AD3A4C"/>
    <w:rsid w:val="00AD3DA0"/>
    <w:rsid w:val="00AD4250"/>
    <w:rsid w:val="00AD4B11"/>
    <w:rsid w:val="00AD4C08"/>
    <w:rsid w:val="00AD4E77"/>
    <w:rsid w:val="00AD5109"/>
    <w:rsid w:val="00AD52BC"/>
    <w:rsid w:val="00AD5628"/>
    <w:rsid w:val="00AD56B4"/>
    <w:rsid w:val="00AD5EDD"/>
    <w:rsid w:val="00AD5FF1"/>
    <w:rsid w:val="00AD630D"/>
    <w:rsid w:val="00AD6733"/>
    <w:rsid w:val="00AD6D35"/>
    <w:rsid w:val="00AD6EA2"/>
    <w:rsid w:val="00AD6EA7"/>
    <w:rsid w:val="00AD705B"/>
    <w:rsid w:val="00AD7397"/>
    <w:rsid w:val="00AD75C0"/>
    <w:rsid w:val="00AD76AA"/>
    <w:rsid w:val="00AD7B5D"/>
    <w:rsid w:val="00AD7DD8"/>
    <w:rsid w:val="00AE0111"/>
    <w:rsid w:val="00AE0175"/>
    <w:rsid w:val="00AE0280"/>
    <w:rsid w:val="00AE0690"/>
    <w:rsid w:val="00AE0709"/>
    <w:rsid w:val="00AE075C"/>
    <w:rsid w:val="00AE0A36"/>
    <w:rsid w:val="00AE2184"/>
    <w:rsid w:val="00AE22E8"/>
    <w:rsid w:val="00AE2319"/>
    <w:rsid w:val="00AE2387"/>
    <w:rsid w:val="00AE2784"/>
    <w:rsid w:val="00AE2828"/>
    <w:rsid w:val="00AE28C2"/>
    <w:rsid w:val="00AE28C8"/>
    <w:rsid w:val="00AE2D07"/>
    <w:rsid w:val="00AE2DB7"/>
    <w:rsid w:val="00AE2DE6"/>
    <w:rsid w:val="00AE2EE0"/>
    <w:rsid w:val="00AE3012"/>
    <w:rsid w:val="00AE3733"/>
    <w:rsid w:val="00AE378F"/>
    <w:rsid w:val="00AE382E"/>
    <w:rsid w:val="00AE38AA"/>
    <w:rsid w:val="00AE40CC"/>
    <w:rsid w:val="00AE40DD"/>
    <w:rsid w:val="00AE4168"/>
    <w:rsid w:val="00AE4281"/>
    <w:rsid w:val="00AE4373"/>
    <w:rsid w:val="00AE4478"/>
    <w:rsid w:val="00AE44D2"/>
    <w:rsid w:val="00AE4578"/>
    <w:rsid w:val="00AE45BE"/>
    <w:rsid w:val="00AE470D"/>
    <w:rsid w:val="00AE55A5"/>
    <w:rsid w:val="00AE5BD3"/>
    <w:rsid w:val="00AE5E49"/>
    <w:rsid w:val="00AE6570"/>
    <w:rsid w:val="00AE6D0B"/>
    <w:rsid w:val="00AE6EBD"/>
    <w:rsid w:val="00AE6ED4"/>
    <w:rsid w:val="00AE6F7E"/>
    <w:rsid w:val="00AE71A9"/>
    <w:rsid w:val="00AE733D"/>
    <w:rsid w:val="00AE7457"/>
    <w:rsid w:val="00AE74AF"/>
    <w:rsid w:val="00AE754C"/>
    <w:rsid w:val="00AE76C4"/>
    <w:rsid w:val="00AE76D3"/>
    <w:rsid w:val="00AE7868"/>
    <w:rsid w:val="00AE7E9C"/>
    <w:rsid w:val="00AF00CC"/>
    <w:rsid w:val="00AF06E6"/>
    <w:rsid w:val="00AF0718"/>
    <w:rsid w:val="00AF0D88"/>
    <w:rsid w:val="00AF0DBD"/>
    <w:rsid w:val="00AF101C"/>
    <w:rsid w:val="00AF11FB"/>
    <w:rsid w:val="00AF1266"/>
    <w:rsid w:val="00AF14D4"/>
    <w:rsid w:val="00AF1750"/>
    <w:rsid w:val="00AF1825"/>
    <w:rsid w:val="00AF18B1"/>
    <w:rsid w:val="00AF1AB1"/>
    <w:rsid w:val="00AF1AB3"/>
    <w:rsid w:val="00AF1BB3"/>
    <w:rsid w:val="00AF1C68"/>
    <w:rsid w:val="00AF1CDF"/>
    <w:rsid w:val="00AF1D1E"/>
    <w:rsid w:val="00AF1E16"/>
    <w:rsid w:val="00AF20B5"/>
    <w:rsid w:val="00AF2731"/>
    <w:rsid w:val="00AF2B29"/>
    <w:rsid w:val="00AF2F0F"/>
    <w:rsid w:val="00AF312C"/>
    <w:rsid w:val="00AF3166"/>
    <w:rsid w:val="00AF3197"/>
    <w:rsid w:val="00AF3C01"/>
    <w:rsid w:val="00AF407F"/>
    <w:rsid w:val="00AF4139"/>
    <w:rsid w:val="00AF413A"/>
    <w:rsid w:val="00AF4622"/>
    <w:rsid w:val="00AF46D1"/>
    <w:rsid w:val="00AF49B4"/>
    <w:rsid w:val="00AF4A04"/>
    <w:rsid w:val="00AF4A97"/>
    <w:rsid w:val="00AF4BCD"/>
    <w:rsid w:val="00AF4D99"/>
    <w:rsid w:val="00AF4F79"/>
    <w:rsid w:val="00AF4FA5"/>
    <w:rsid w:val="00AF522A"/>
    <w:rsid w:val="00AF53F4"/>
    <w:rsid w:val="00AF55C2"/>
    <w:rsid w:val="00AF5823"/>
    <w:rsid w:val="00AF5AD4"/>
    <w:rsid w:val="00AF5C81"/>
    <w:rsid w:val="00AF6489"/>
    <w:rsid w:val="00AF653A"/>
    <w:rsid w:val="00AF7136"/>
    <w:rsid w:val="00AF71BD"/>
    <w:rsid w:val="00AF7372"/>
    <w:rsid w:val="00AF75A8"/>
    <w:rsid w:val="00AF76C0"/>
    <w:rsid w:val="00AF77B3"/>
    <w:rsid w:val="00B0018F"/>
    <w:rsid w:val="00B002F0"/>
    <w:rsid w:val="00B00D88"/>
    <w:rsid w:val="00B00EB5"/>
    <w:rsid w:val="00B01175"/>
    <w:rsid w:val="00B017A8"/>
    <w:rsid w:val="00B02344"/>
    <w:rsid w:val="00B024E3"/>
    <w:rsid w:val="00B026BF"/>
    <w:rsid w:val="00B02707"/>
    <w:rsid w:val="00B02ABD"/>
    <w:rsid w:val="00B02BF1"/>
    <w:rsid w:val="00B02C0E"/>
    <w:rsid w:val="00B02D83"/>
    <w:rsid w:val="00B02E2D"/>
    <w:rsid w:val="00B02E9D"/>
    <w:rsid w:val="00B0361D"/>
    <w:rsid w:val="00B0375C"/>
    <w:rsid w:val="00B0387D"/>
    <w:rsid w:val="00B038E3"/>
    <w:rsid w:val="00B03955"/>
    <w:rsid w:val="00B039B3"/>
    <w:rsid w:val="00B039BC"/>
    <w:rsid w:val="00B03B12"/>
    <w:rsid w:val="00B03CF5"/>
    <w:rsid w:val="00B04060"/>
    <w:rsid w:val="00B040A3"/>
    <w:rsid w:val="00B0440A"/>
    <w:rsid w:val="00B04465"/>
    <w:rsid w:val="00B0471A"/>
    <w:rsid w:val="00B04A84"/>
    <w:rsid w:val="00B04ABB"/>
    <w:rsid w:val="00B04D22"/>
    <w:rsid w:val="00B04D60"/>
    <w:rsid w:val="00B04DE6"/>
    <w:rsid w:val="00B04E4B"/>
    <w:rsid w:val="00B05200"/>
    <w:rsid w:val="00B0542D"/>
    <w:rsid w:val="00B057C7"/>
    <w:rsid w:val="00B05A00"/>
    <w:rsid w:val="00B05F1D"/>
    <w:rsid w:val="00B0603D"/>
    <w:rsid w:val="00B06228"/>
    <w:rsid w:val="00B06243"/>
    <w:rsid w:val="00B06375"/>
    <w:rsid w:val="00B066B4"/>
    <w:rsid w:val="00B06C17"/>
    <w:rsid w:val="00B0758C"/>
    <w:rsid w:val="00B07662"/>
    <w:rsid w:val="00B07708"/>
    <w:rsid w:val="00B0779C"/>
    <w:rsid w:val="00B07BEC"/>
    <w:rsid w:val="00B07D39"/>
    <w:rsid w:val="00B07D3D"/>
    <w:rsid w:val="00B07D91"/>
    <w:rsid w:val="00B07E65"/>
    <w:rsid w:val="00B10066"/>
    <w:rsid w:val="00B103E9"/>
    <w:rsid w:val="00B10523"/>
    <w:rsid w:val="00B1068A"/>
    <w:rsid w:val="00B109CF"/>
    <w:rsid w:val="00B10EDE"/>
    <w:rsid w:val="00B11054"/>
    <w:rsid w:val="00B112AB"/>
    <w:rsid w:val="00B11656"/>
    <w:rsid w:val="00B1169F"/>
    <w:rsid w:val="00B11C73"/>
    <w:rsid w:val="00B11EFD"/>
    <w:rsid w:val="00B1209F"/>
    <w:rsid w:val="00B122DA"/>
    <w:rsid w:val="00B125A2"/>
    <w:rsid w:val="00B126C4"/>
    <w:rsid w:val="00B12726"/>
    <w:rsid w:val="00B12986"/>
    <w:rsid w:val="00B12B26"/>
    <w:rsid w:val="00B12E00"/>
    <w:rsid w:val="00B12E18"/>
    <w:rsid w:val="00B12F67"/>
    <w:rsid w:val="00B13890"/>
    <w:rsid w:val="00B13CB1"/>
    <w:rsid w:val="00B1422D"/>
    <w:rsid w:val="00B14352"/>
    <w:rsid w:val="00B14A28"/>
    <w:rsid w:val="00B14A8D"/>
    <w:rsid w:val="00B14D31"/>
    <w:rsid w:val="00B14DB8"/>
    <w:rsid w:val="00B14F13"/>
    <w:rsid w:val="00B152AC"/>
    <w:rsid w:val="00B157EC"/>
    <w:rsid w:val="00B15973"/>
    <w:rsid w:val="00B15B8F"/>
    <w:rsid w:val="00B15BE4"/>
    <w:rsid w:val="00B15C24"/>
    <w:rsid w:val="00B15C49"/>
    <w:rsid w:val="00B16380"/>
    <w:rsid w:val="00B16454"/>
    <w:rsid w:val="00B16886"/>
    <w:rsid w:val="00B16B21"/>
    <w:rsid w:val="00B1724E"/>
    <w:rsid w:val="00B174AC"/>
    <w:rsid w:val="00B17603"/>
    <w:rsid w:val="00B176E6"/>
    <w:rsid w:val="00B17AA8"/>
    <w:rsid w:val="00B201C0"/>
    <w:rsid w:val="00B201D9"/>
    <w:rsid w:val="00B2032C"/>
    <w:rsid w:val="00B2055B"/>
    <w:rsid w:val="00B2056B"/>
    <w:rsid w:val="00B20964"/>
    <w:rsid w:val="00B20B77"/>
    <w:rsid w:val="00B20D79"/>
    <w:rsid w:val="00B212C0"/>
    <w:rsid w:val="00B212F2"/>
    <w:rsid w:val="00B213C6"/>
    <w:rsid w:val="00B215DC"/>
    <w:rsid w:val="00B21A34"/>
    <w:rsid w:val="00B21AB1"/>
    <w:rsid w:val="00B21D73"/>
    <w:rsid w:val="00B22717"/>
    <w:rsid w:val="00B22881"/>
    <w:rsid w:val="00B2289D"/>
    <w:rsid w:val="00B22D0E"/>
    <w:rsid w:val="00B2354A"/>
    <w:rsid w:val="00B23D5C"/>
    <w:rsid w:val="00B23E90"/>
    <w:rsid w:val="00B23FD3"/>
    <w:rsid w:val="00B24164"/>
    <w:rsid w:val="00B241C2"/>
    <w:rsid w:val="00B24451"/>
    <w:rsid w:val="00B24758"/>
    <w:rsid w:val="00B248D8"/>
    <w:rsid w:val="00B249F8"/>
    <w:rsid w:val="00B24F89"/>
    <w:rsid w:val="00B2507C"/>
    <w:rsid w:val="00B250C8"/>
    <w:rsid w:val="00B255AF"/>
    <w:rsid w:val="00B25793"/>
    <w:rsid w:val="00B25BE1"/>
    <w:rsid w:val="00B25E13"/>
    <w:rsid w:val="00B260F1"/>
    <w:rsid w:val="00B26262"/>
    <w:rsid w:val="00B2626C"/>
    <w:rsid w:val="00B26472"/>
    <w:rsid w:val="00B266DD"/>
    <w:rsid w:val="00B2677F"/>
    <w:rsid w:val="00B268D4"/>
    <w:rsid w:val="00B26DBF"/>
    <w:rsid w:val="00B2748D"/>
    <w:rsid w:val="00B27641"/>
    <w:rsid w:val="00B2777A"/>
    <w:rsid w:val="00B277A8"/>
    <w:rsid w:val="00B277E3"/>
    <w:rsid w:val="00B27930"/>
    <w:rsid w:val="00B27999"/>
    <w:rsid w:val="00B27A6A"/>
    <w:rsid w:val="00B27F60"/>
    <w:rsid w:val="00B30005"/>
    <w:rsid w:val="00B3037F"/>
    <w:rsid w:val="00B3061E"/>
    <w:rsid w:val="00B307B1"/>
    <w:rsid w:val="00B308D1"/>
    <w:rsid w:val="00B30A52"/>
    <w:rsid w:val="00B30FA7"/>
    <w:rsid w:val="00B312D6"/>
    <w:rsid w:val="00B3149C"/>
    <w:rsid w:val="00B316F9"/>
    <w:rsid w:val="00B31A99"/>
    <w:rsid w:val="00B3249C"/>
    <w:rsid w:val="00B327FB"/>
    <w:rsid w:val="00B32A63"/>
    <w:rsid w:val="00B32BF7"/>
    <w:rsid w:val="00B32D04"/>
    <w:rsid w:val="00B32FBC"/>
    <w:rsid w:val="00B33054"/>
    <w:rsid w:val="00B33347"/>
    <w:rsid w:val="00B334F3"/>
    <w:rsid w:val="00B336EB"/>
    <w:rsid w:val="00B33B83"/>
    <w:rsid w:val="00B33B91"/>
    <w:rsid w:val="00B33E38"/>
    <w:rsid w:val="00B33E61"/>
    <w:rsid w:val="00B34015"/>
    <w:rsid w:val="00B3403A"/>
    <w:rsid w:val="00B3431F"/>
    <w:rsid w:val="00B343DA"/>
    <w:rsid w:val="00B344A8"/>
    <w:rsid w:val="00B34572"/>
    <w:rsid w:val="00B34624"/>
    <w:rsid w:val="00B3489D"/>
    <w:rsid w:val="00B349B4"/>
    <w:rsid w:val="00B34A5B"/>
    <w:rsid w:val="00B34E38"/>
    <w:rsid w:val="00B3527D"/>
    <w:rsid w:val="00B35830"/>
    <w:rsid w:val="00B35D4A"/>
    <w:rsid w:val="00B3645C"/>
    <w:rsid w:val="00B368CF"/>
    <w:rsid w:val="00B36AF2"/>
    <w:rsid w:val="00B36F2E"/>
    <w:rsid w:val="00B377A6"/>
    <w:rsid w:val="00B37904"/>
    <w:rsid w:val="00B379FC"/>
    <w:rsid w:val="00B37A37"/>
    <w:rsid w:val="00B37BF9"/>
    <w:rsid w:val="00B37D15"/>
    <w:rsid w:val="00B37E02"/>
    <w:rsid w:val="00B37E08"/>
    <w:rsid w:val="00B40153"/>
    <w:rsid w:val="00B401BE"/>
    <w:rsid w:val="00B40525"/>
    <w:rsid w:val="00B405E9"/>
    <w:rsid w:val="00B406BA"/>
    <w:rsid w:val="00B407AA"/>
    <w:rsid w:val="00B4083E"/>
    <w:rsid w:val="00B409BC"/>
    <w:rsid w:val="00B40A32"/>
    <w:rsid w:val="00B40BC3"/>
    <w:rsid w:val="00B41549"/>
    <w:rsid w:val="00B415F7"/>
    <w:rsid w:val="00B416F0"/>
    <w:rsid w:val="00B4171B"/>
    <w:rsid w:val="00B41C73"/>
    <w:rsid w:val="00B41DF0"/>
    <w:rsid w:val="00B41F35"/>
    <w:rsid w:val="00B4206B"/>
    <w:rsid w:val="00B420CF"/>
    <w:rsid w:val="00B424ED"/>
    <w:rsid w:val="00B4258B"/>
    <w:rsid w:val="00B42661"/>
    <w:rsid w:val="00B4336D"/>
    <w:rsid w:val="00B44530"/>
    <w:rsid w:val="00B44901"/>
    <w:rsid w:val="00B44942"/>
    <w:rsid w:val="00B44B3D"/>
    <w:rsid w:val="00B44CDC"/>
    <w:rsid w:val="00B44CF5"/>
    <w:rsid w:val="00B45018"/>
    <w:rsid w:val="00B4520D"/>
    <w:rsid w:val="00B4537D"/>
    <w:rsid w:val="00B454EE"/>
    <w:rsid w:val="00B4567D"/>
    <w:rsid w:val="00B45B9A"/>
    <w:rsid w:val="00B45CB4"/>
    <w:rsid w:val="00B45DD5"/>
    <w:rsid w:val="00B45F34"/>
    <w:rsid w:val="00B46447"/>
    <w:rsid w:val="00B464DE"/>
    <w:rsid w:val="00B46885"/>
    <w:rsid w:val="00B46AA9"/>
    <w:rsid w:val="00B46AE1"/>
    <w:rsid w:val="00B46BC1"/>
    <w:rsid w:val="00B46C52"/>
    <w:rsid w:val="00B46D8F"/>
    <w:rsid w:val="00B474F5"/>
    <w:rsid w:val="00B47501"/>
    <w:rsid w:val="00B47721"/>
    <w:rsid w:val="00B47B2D"/>
    <w:rsid w:val="00B47C66"/>
    <w:rsid w:val="00B47EBE"/>
    <w:rsid w:val="00B50195"/>
    <w:rsid w:val="00B5029E"/>
    <w:rsid w:val="00B5081D"/>
    <w:rsid w:val="00B508DF"/>
    <w:rsid w:val="00B508FA"/>
    <w:rsid w:val="00B50901"/>
    <w:rsid w:val="00B50CBA"/>
    <w:rsid w:val="00B5110C"/>
    <w:rsid w:val="00B5159E"/>
    <w:rsid w:val="00B51600"/>
    <w:rsid w:val="00B51685"/>
    <w:rsid w:val="00B51B4D"/>
    <w:rsid w:val="00B51C0B"/>
    <w:rsid w:val="00B51C36"/>
    <w:rsid w:val="00B51D2C"/>
    <w:rsid w:val="00B52091"/>
    <w:rsid w:val="00B523E7"/>
    <w:rsid w:val="00B52F5A"/>
    <w:rsid w:val="00B5330A"/>
    <w:rsid w:val="00B535BA"/>
    <w:rsid w:val="00B5381D"/>
    <w:rsid w:val="00B53A6E"/>
    <w:rsid w:val="00B53CE9"/>
    <w:rsid w:val="00B53E61"/>
    <w:rsid w:val="00B53EBE"/>
    <w:rsid w:val="00B540D4"/>
    <w:rsid w:val="00B54551"/>
    <w:rsid w:val="00B54A57"/>
    <w:rsid w:val="00B54C2C"/>
    <w:rsid w:val="00B54FFE"/>
    <w:rsid w:val="00B5514D"/>
    <w:rsid w:val="00B55172"/>
    <w:rsid w:val="00B551A4"/>
    <w:rsid w:val="00B551DD"/>
    <w:rsid w:val="00B552AA"/>
    <w:rsid w:val="00B55394"/>
    <w:rsid w:val="00B55538"/>
    <w:rsid w:val="00B555A5"/>
    <w:rsid w:val="00B5567C"/>
    <w:rsid w:val="00B556CA"/>
    <w:rsid w:val="00B55998"/>
    <w:rsid w:val="00B55DFD"/>
    <w:rsid w:val="00B55E06"/>
    <w:rsid w:val="00B55F89"/>
    <w:rsid w:val="00B55FBE"/>
    <w:rsid w:val="00B5624A"/>
    <w:rsid w:val="00B5631D"/>
    <w:rsid w:val="00B563B8"/>
    <w:rsid w:val="00B5651C"/>
    <w:rsid w:val="00B565F3"/>
    <w:rsid w:val="00B5680F"/>
    <w:rsid w:val="00B569F4"/>
    <w:rsid w:val="00B56A6A"/>
    <w:rsid w:val="00B56D1C"/>
    <w:rsid w:val="00B56E54"/>
    <w:rsid w:val="00B56F01"/>
    <w:rsid w:val="00B56F0F"/>
    <w:rsid w:val="00B57592"/>
    <w:rsid w:val="00B577DB"/>
    <w:rsid w:val="00B57841"/>
    <w:rsid w:val="00B578B3"/>
    <w:rsid w:val="00B57A31"/>
    <w:rsid w:val="00B57C8E"/>
    <w:rsid w:val="00B6001F"/>
    <w:rsid w:val="00B604EC"/>
    <w:rsid w:val="00B607B9"/>
    <w:rsid w:val="00B60870"/>
    <w:rsid w:val="00B610D2"/>
    <w:rsid w:val="00B61353"/>
    <w:rsid w:val="00B61A6A"/>
    <w:rsid w:val="00B61B7B"/>
    <w:rsid w:val="00B61C34"/>
    <w:rsid w:val="00B61D41"/>
    <w:rsid w:val="00B61FCF"/>
    <w:rsid w:val="00B625BB"/>
    <w:rsid w:val="00B62A6B"/>
    <w:rsid w:val="00B62E36"/>
    <w:rsid w:val="00B63066"/>
    <w:rsid w:val="00B630AF"/>
    <w:rsid w:val="00B63367"/>
    <w:rsid w:val="00B63B65"/>
    <w:rsid w:val="00B63C55"/>
    <w:rsid w:val="00B63CD1"/>
    <w:rsid w:val="00B63F72"/>
    <w:rsid w:val="00B64B63"/>
    <w:rsid w:val="00B6502B"/>
    <w:rsid w:val="00B6506E"/>
    <w:rsid w:val="00B6539B"/>
    <w:rsid w:val="00B653E5"/>
    <w:rsid w:val="00B656D6"/>
    <w:rsid w:val="00B657C8"/>
    <w:rsid w:val="00B65B2F"/>
    <w:rsid w:val="00B6601E"/>
    <w:rsid w:val="00B664C7"/>
    <w:rsid w:val="00B66527"/>
    <w:rsid w:val="00B669B8"/>
    <w:rsid w:val="00B66D56"/>
    <w:rsid w:val="00B66E2C"/>
    <w:rsid w:val="00B6711B"/>
    <w:rsid w:val="00B67698"/>
    <w:rsid w:val="00B67ACD"/>
    <w:rsid w:val="00B67ADA"/>
    <w:rsid w:val="00B67B52"/>
    <w:rsid w:val="00B67C68"/>
    <w:rsid w:val="00B67CD1"/>
    <w:rsid w:val="00B67D4F"/>
    <w:rsid w:val="00B67E11"/>
    <w:rsid w:val="00B67E9C"/>
    <w:rsid w:val="00B7015C"/>
    <w:rsid w:val="00B702CD"/>
    <w:rsid w:val="00B70581"/>
    <w:rsid w:val="00B70BD5"/>
    <w:rsid w:val="00B713A8"/>
    <w:rsid w:val="00B716DF"/>
    <w:rsid w:val="00B716E8"/>
    <w:rsid w:val="00B717DE"/>
    <w:rsid w:val="00B71CA1"/>
    <w:rsid w:val="00B71D69"/>
    <w:rsid w:val="00B71DFE"/>
    <w:rsid w:val="00B72221"/>
    <w:rsid w:val="00B72225"/>
    <w:rsid w:val="00B72723"/>
    <w:rsid w:val="00B72796"/>
    <w:rsid w:val="00B727C6"/>
    <w:rsid w:val="00B728BD"/>
    <w:rsid w:val="00B72984"/>
    <w:rsid w:val="00B72AA8"/>
    <w:rsid w:val="00B72B53"/>
    <w:rsid w:val="00B72F8D"/>
    <w:rsid w:val="00B73253"/>
    <w:rsid w:val="00B73613"/>
    <w:rsid w:val="00B73B52"/>
    <w:rsid w:val="00B73BA7"/>
    <w:rsid w:val="00B73E7A"/>
    <w:rsid w:val="00B74373"/>
    <w:rsid w:val="00B7450F"/>
    <w:rsid w:val="00B7455A"/>
    <w:rsid w:val="00B749E3"/>
    <w:rsid w:val="00B74B34"/>
    <w:rsid w:val="00B74F27"/>
    <w:rsid w:val="00B74FF1"/>
    <w:rsid w:val="00B751D4"/>
    <w:rsid w:val="00B75C4F"/>
    <w:rsid w:val="00B75F43"/>
    <w:rsid w:val="00B764B6"/>
    <w:rsid w:val="00B765C1"/>
    <w:rsid w:val="00B765E7"/>
    <w:rsid w:val="00B768E6"/>
    <w:rsid w:val="00B769C9"/>
    <w:rsid w:val="00B76AD8"/>
    <w:rsid w:val="00B76D87"/>
    <w:rsid w:val="00B76FD2"/>
    <w:rsid w:val="00B771B0"/>
    <w:rsid w:val="00B772B1"/>
    <w:rsid w:val="00B775E7"/>
    <w:rsid w:val="00B7797E"/>
    <w:rsid w:val="00B77A1F"/>
    <w:rsid w:val="00B77A74"/>
    <w:rsid w:val="00B77AC7"/>
    <w:rsid w:val="00B77BB3"/>
    <w:rsid w:val="00B77C84"/>
    <w:rsid w:val="00B77E5D"/>
    <w:rsid w:val="00B80121"/>
    <w:rsid w:val="00B80265"/>
    <w:rsid w:val="00B80769"/>
    <w:rsid w:val="00B80C27"/>
    <w:rsid w:val="00B80FFD"/>
    <w:rsid w:val="00B8118E"/>
    <w:rsid w:val="00B815FE"/>
    <w:rsid w:val="00B816F3"/>
    <w:rsid w:val="00B819B3"/>
    <w:rsid w:val="00B81A3F"/>
    <w:rsid w:val="00B81E68"/>
    <w:rsid w:val="00B81EFD"/>
    <w:rsid w:val="00B81F0A"/>
    <w:rsid w:val="00B81FE3"/>
    <w:rsid w:val="00B820BE"/>
    <w:rsid w:val="00B826EC"/>
    <w:rsid w:val="00B82ADF"/>
    <w:rsid w:val="00B82C0B"/>
    <w:rsid w:val="00B82C3E"/>
    <w:rsid w:val="00B82C81"/>
    <w:rsid w:val="00B82D56"/>
    <w:rsid w:val="00B82EED"/>
    <w:rsid w:val="00B830F0"/>
    <w:rsid w:val="00B83161"/>
    <w:rsid w:val="00B8337A"/>
    <w:rsid w:val="00B83ABF"/>
    <w:rsid w:val="00B83D23"/>
    <w:rsid w:val="00B83F9E"/>
    <w:rsid w:val="00B84311"/>
    <w:rsid w:val="00B8432D"/>
    <w:rsid w:val="00B843AB"/>
    <w:rsid w:val="00B84697"/>
    <w:rsid w:val="00B84749"/>
    <w:rsid w:val="00B8489A"/>
    <w:rsid w:val="00B8491C"/>
    <w:rsid w:val="00B84B2D"/>
    <w:rsid w:val="00B84B6C"/>
    <w:rsid w:val="00B84C07"/>
    <w:rsid w:val="00B850C0"/>
    <w:rsid w:val="00B85395"/>
    <w:rsid w:val="00B85844"/>
    <w:rsid w:val="00B858C4"/>
    <w:rsid w:val="00B85933"/>
    <w:rsid w:val="00B85AA6"/>
    <w:rsid w:val="00B85B28"/>
    <w:rsid w:val="00B85C4E"/>
    <w:rsid w:val="00B85EC4"/>
    <w:rsid w:val="00B8611B"/>
    <w:rsid w:val="00B861CC"/>
    <w:rsid w:val="00B86791"/>
    <w:rsid w:val="00B87000"/>
    <w:rsid w:val="00B8715F"/>
    <w:rsid w:val="00B874DF"/>
    <w:rsid w:val="00B8795A"/>
    <w:rsid w:val="00B87BCB"/>
    <w:rsid w:val="00B87EDF"/>
    <w:rsid w:val="00B90196"/>
    <w:rsid w:val="00B902AF"/>
    <w:rsid w:val="00B902CD"/>
    <w:rsid w:val="00B90784"/>
    <w:rsid w:val="00B90D41"/>
    <w:rsid w:val="00B90D58"/>
    <w:rsid w:val="00B90E35"/>
    <w:rsid w:val="00B913C1"/>
    <w:rsid w:val="00B91415"/>
    <w:rsid w:val="00B914B0"/>
    <w:rsid w:val="00B91621"/>
    <w:rsid w:val="00B916D9"/>
    <w:rsid w:val="00B917BB"/>
    <w:rsid w:val="00B91AF0"/>
    <w:rsid w:val="00B91D16"/>
    <w:rsid w:val="00B92191"/>
    <w:rsid w:val="00B92447"/>
    <w:rsid w:val="00B92680"/>
    <w:rsid w:val="00B92B12"/>
    <w:rsid w:val="00B92E3C"/>
    <w:rsid w:val="00B9329A"/>
    <w:rsid w:val="00B933AB"/>
    <w:rsid w:val="00B93597"/>
    <w:rsid w:val="00B935AE"/>
    <w:rsid w:val="00B93997"/>
    <w:rsid w:val="00B93AF2"/>
    <w:rsid w:val="00B941AA"/>
    <w:rsid w:val="00B94459"/>
    <w:rsid w:val="00B946B0"/>
    <w:rsid w:val="00B947E7"/>
    <w:rsid w:val="00B94864"/>
    <w:rsid w:val="00B94FE2"/>
    <w:rsid w:val="00B95108"/>
    <w:rsid w:val="00B958A0"/>
    <w:rsid w:val="00B958C0"/>
    <w:rsid w:val="00B958CD"/>
    <w:rsid w:val="00B9598C"/>
    <w:rsid w:val="00B95A21"/>
    <w:rsid w:val="00B95A92"/>
    <w:rsid w:val="00B95DAB"/>
    <w:rsid w:val="00B960F1"/>
    <w:rsid w:val="00B96691"/>
    <w:rsid w:val="00B966C9"/>
    <w:rsid w:val="00B96BE9"/>
    <w:rsid w:val="00B96C74"/>
    <w:rsid w:val="00B96DBA"/>
    <w:rsid w:val="00B96EC4"/>
    <w:rsid w:val="00B96F24"/>
    <w:rsid w:val="00B972FB"/>
    <w:rsid w:val="00B97501"/>
    <w:rsid w:val="00B97AA2"/>
    <w:rsid w:val="00B97D7A"/>
    <w:rsid w:val="00B97EF1"/>
    <w:rsid w:val="00BA0078"/>
    <w:rsid w:val="00BA00A6"/>
    <w:rsid w:val="00BA0272"/>
    <w:rsid w:val="00BA044B"/>
    <w:rsid w:val="00BA0579"/>
    <w:rsid w:val="00BA0790"/>
    <w:rsid w:val="00BA08CE"/>
    <w:rsid w:val="00BA0B93"/>
    <w:rsid w:val="00BA0DF3"/>
    <w:rsid w:val="00BA10BE"/>
    <w:rsid w:val="00BA153A"/>
    <w:rsid w:val="00BA162B"/>
    <w:rsid w:val="00BA169E"/>
    <w:rsid w:val="00BA17F4"/>
    <w:rsid w:val="00BA1AB3"/>
    <w:rsid w:val="00BA1F07"/>
    <w:rsid w:val="00BA240A"/>
    <w:rsid w:val="00BA2479"/>
    <w:rsid w:val="00BA24FA"/>
    <w:rsid w:val="00BA2613"/>
    <w:rsid w:val="00BA264F"/>
    <w:rsid w:val="00BA2ABC"/>
    <w:rsid w:val="00BA2C40"/>
    <w:rsid w:val="00BA3414"/>
    <w:rsid w:val="00BA343B"/>
    <w:rsid w:val="00BA36F1"/>
    <w:rsid w:val="00BA3704"/>
    <w:rsid w:val="00BA39DE"/>
    <w:rsid w:val="00BA3ACF"/>
    <w:rsid w:val="00BA3C4F"/>
    <w:rsid w:val="00BA3D06"/>
    <w:rsid w:val="00BA3F45"/>
    <w:rsid w:val="00BA3F67"/>
    <w:rsid w:val="00BA4445"/>
    <w:rsid w:val="00BA4D50"/>
    <w:rsid w:val="00BA4E02"/>
    <w:rsid w:val="00BA5432"/>
    <w:rsid w:val="00BA5478"/>
    <w:rsid w:val="00BA5981"/>
    <w:rsid w:val="00BA59DB"/>
    <w:rsid w:val="00BA5ADF"/>
    <w:rsid w:val="00BA5CCC"/>
    <w:rsid w:val="00BA5CF4"/>
    <w:rsid w:val="00BA5E64"/>
    <w:rsid w:val="00BA5F33"/>
    <w:rsid w:val="00BA6591"/>
    <w:rsid w:val="00BA6B3E"/>
    <w:rsid w:val="00BA6BE7"/>
    <w:rsid w:val="00BA6CF5"/>
    <w:rsid w:val="00BA708C"/>
    <w:rsid w:val="00BA72D8"/>
    <w:rsid w:val="00BA74BE"/>
    <w:rsid w:val="00BA754F"/>
    <w:rsid w:val="00BA7629"/>
    <w:rsid w:val="00BA7E67"/>
    <w:rsid w:val="00BB0006"/>
    <w:rsid w:val="00BB003E"/>
    <w:rsid w:val="00BB00D3"/>
    <w:rsid w:val="00BB0133"/>
    <w:rsid w:val="00BB0309"/>
    <w:rsid w:val="00BB0450"/>
    <w:rsid w:val="00BB070C"/>
    <w:rsid w:val="00BB088D"/>
    <w:rsid w:val="00BB0CE5"/>
    <w:rsid w:val="00BB0D0A"/>
    <w:rsid w:val="00BB0E86"/>
    <w:rsid w:val="00BB1383"/>
    <w:rsid w:val="00BB1624"/>
    <w:rsid w:val="00BB1E3F"/>
    <w:rsid w:val="00BB2048"/>
    <w:rsid w:val="00BB20AA"/>
    <w:rsid w:val="00BB223F"/>
    <w:rsid w:val="00BB28C2"/>
    <w:rsid w:val="00BB28D5"/>
    <w:rsid w:val="00BB2B79"/>
    <w:rsid w:val="00BB2CFE"/>
    <w:rsid w:val="00BB2D40"/>
    <w:rsid w:val="00BB30B9"/>
    <w:rsid w:val="00BB327C"/>
    <w:rsid w:val="00BB3288"/>
    <w:rsid w:val="00BB345F"/>
    <w:rsid w:val="00BB38B9"/>
    <w:rsid w:val="00BB3A04"/>
    <w:rsid w:val="00BB3EE0"/>
    <w:rsid w:val="00BB3F55"/>
    <w:rsid w:val="00BB46FB"/>
    <w:rsid w:val="00BB4A80"/>
    <w:rsid w:val="00BB4EED"/>
    <w:rsid w:val="00BB4FBF"/>
    <w:rsid w:val="00BB4FC1"/>
    <w:rsid w:val="00BB5071"/>
    <w:rsid w:val="00BB5153"/>
    <w:rsid w:val="00BB5212"/>
    <w:rsid w:val="00BB57E2"/>
    <w:rsid w:val="00BB5B14"/>
    <w:rsid w:val="00BB5CAF"/>
    <w:rsid w:val="00BB5E51"/>
    <w:rsid w:val="00BB5FCF"/>
    <w:rsid w:val="00BB615E"/>
    <w:rsid w:val="00BB6247"/>
    <w:rsid w:val="00BB6356"/>
    <w:rsid w:val="00BB646E"/>
    <w:rsid w:val="00BB67EB"/>
    <w:rsid w:val="00BB6902"/>
    <w:rsid w:val="00BB6A47"/>
    <w:rsid w:val="00BB6D85"/>
    <w:rsid w:val="00BB6F61"/>
    <w:rsid w:val="00BB6F6E"/>
    <w:rsid w:val="00BB753D"/>
    <w:rsid w:val="00BB7969"/>
    <w:rsid w:val="00BB7A06"/>
    <w:rsid w:val="00BB7D89"/>
    <w:rsid w:val="00BC01AC"/>
    <w:rsid w:val="00BC0A4A"/>
    <w:rsid w:val="00BC0BA6"/>
    <w:rsid w:val="00BC1071"/>
    <w:rsid w:val="00BC11B5"/>
    <w:rsid w:val="00BC145B"/>
    <w:rsid w:val="00BC1A6C"/>
    <w:rsid w:val="00BC1AC8"/>
    <w:rsid w:val="00BC1FAF"/>
    <w:rsid w:val="00BC216B"/>
    <w:rsid w:val="00BC22D6"/>
    <w:rsid w:val="00BC24C6"/>
    <w:rsid w:val="00BC2648"/>
    <w:rsid w:val="00BC28F8"/>
    <w:rsid w:val="00BC2A59"/>
    <w:rsid w:val="00BC2E0F"/>
    <w:rsid w:val="00BC3050"/>
    <w:rsid w:val="00BC320B"/>
    <w:rsid w:val="00BC3621"/>
    <w:rsid w:val="00BC367C"/>
    <w:rsid w:val="00BC39BD"/>
    <w:rsid w:val="00BC3B01"/>
    <w:rsid w:val="00BC41B6"/>
    <w:rsid w:val="00BC46AF"/>
    <w:rsid w:val="00BC4849"/>
    <w:rsid w:val="00BC4C1B"/>
    <w:rsid w:val="00BC4D09"/>
    <w:rsid w:val="00BC50EB"/>
    <w:rsid w:val="00BC5137"/>
    <w:rsid w:val="00BC51A4"/>
    <w:rsid w:val="00BC52BC"/>
    <w:rsid w:val="00BC5319"/>
    <w:rsid w:val="00BC5515"/>
    <w:rsid w:val="00BC5657"/>
    <w:rsid w:val="00BC5670"/>
    <w:rsid w:val="00BC5B91"/>
    <w:rsid w:val="00BC5E0B"/>
    <w:rsid w:val="00BC5ECA"/>
    <w:rsid w:val="00BC5EDB"/>
    <w:rsid w:val="00BC5F8C"/>
    <w:rsid w:val="00BC61A2"/>
    <w:rsid w:val="00BC6371"/>
    <w:rsid w:val="00BC6630"/>
    <w:rsid w:val="00BC6A8B"/>
    <w:rsid w:val="00BC70D0"/>
    <w:rsid w:val="00BC76F0"/>
    <w:rsid w:val="00BC77E5"/>
    <w:rsid w:val="00BC7F92"/>
    <w:rsid w:val="00BD01D4"/>
    <w:rsid w:val="00BD0760"/>
    <w:rsid w:val="00BD0905"/>
    <w:rsid w:val="00BD0A2D"/>
    <w:rsid w:val="00BD0B7E"/>
    <w:rsid w:val="00BD0BDC"/>
    <w:rsid w:val="00BD0EF3"/>
    <w:rsid w:val="00BD10F6"/>
    <w:rsid w:val="00BD132D"/>
    <w:rsid w:val="00BD14DA"/>
    <w:rsid w:val="00BD1757"/>
    <w:rsid w:val="00BD177B"/>
    <w:rsid w:val="00BD19E5"/>
    <w:rsid w:val="00BD1B8D"/>
    <w:rsid w:val="00BD253E"/>
    <w:rsid w:val="00BD25F2"/>
    <w:rsid w:val="00BD270A"/>
    <w:rsid w:val="00BD291D"/>
    <w:rsid w:val="00BD29D6"/>
    <w:rsid w:val="00BD2AFB"/>
    <w:rsid w:val="00BD2F06"/>
    <w:rsid w:val="00BD332A"/>
    <w:rsid w:val="00BD35D2"/>
    <w:rsid w:val="00BD3F31"/>
    <w:rsid w:val="00BD423E"/>
    <w:rsid w:val="00BD44AC"/>
    <w:rsid w:val="00BD45D7"/>
    <w:rsid w:val="00BD4832"/>
    <w:rsid w:val="00BD48F8"/>
    <w:rsid w:val="00BD4BB9"/>
    <w:rsid w:val="00BD4C48"/>
    <w:rsid w:val="00BD4C6E"/>
    <w:rsid w:val="00BD551B"/>
    <w:rsid w:val="00BD5582"/>
    <w:rsid w:val="00BD5941"/>
    <w:rsid w:val="00BD5A9E"/>
    <w:rsid w:val="00BD5B75"/>
    <w:rsid w:val="00BD633A"/>
    <w:rsid w:val="00BD648E"/>
    <w:rsid w:val="00BD6998"/>
    <w:rsid w:val="00BD6BD4"/>
    <w:rsid w:val="00BD6CE8"/>
    <w:rsid w:val="00BD6F6C"/>
    <w:rsid w:val="00BD7111"/>
    <w:rsid w:val="00BD7116"/>
    <w:rsid w:val="00BD71AC"/>
    <w:rsid w:val="00BD7822"/>
    <w:rsid w:val="00BD7CBD"/>
    <w:rsid w:val="00BD7D28"/>
    <w:rsid w:val="00BD7DCC"/>
    <w:rsid w:val="00BE0523"/>
    <w:rsid w:val="00BE09ED"/>
    <w:rsid w:val="00BE0A4F"/>
    <w:rsid w:val="00BE1068"/>
    <w:rsid w:val="00BE1183"/>
    <w:rsid w:val="00BE1293"/>
    <w:rsid w:val="00BE154D"/>
    <w:rsid w:val="00BE1603"/>
    <w:rsid w:val="00BE1780"/>
    <w:rsid w:val="00BE17A9"/>
    <w:rsid w:val="00BE1D72"/>
    <w:rsid w:val="00BE1FCD"/>
    <w:rsid w:val="00BE24D6"/>
    <w:rsid w:val="00BE2533"/>
    <w:rsid w:val="00BE262B"/>
    <w:rsid w:val="00BE2AA8"/>
    <w:rsid w:val="00BE2C1D"/>
    <w:rsid w:val="00BE3206"/>
    <w:rsid w:val="00BE3460"/>
    <w:rsid w:val="00BE3B95"/>
    <w:rsid w:val="00BE3F40"/>
    <w:rsid w:val="00BE3F98"/>
    <w:rsid w:val="00BE412A"/>
    <w:rsid w:val="00BE42F0"/>
    <w:rsid w:val="00BE4363"/>
    <w:rsid w:val="00BE4604"/>
    <w:rsid w:val="00BE4643"/>
    <w:rsid w:val="00BE47CC"/>
    <w:rsid w:val="00BE4965"/>
    <w:rsid w:val="00BE4A39"/>
    <w:rsid w:val="00BE4C28"/>
    <w:rsid w:val="00BE4F2D"/>
    <w:rsid w:val="00BE5077"/>
    <w:rsid w:val="00BE560B"/>
    <w:rsid w:val="00BE56AD"/>
    <w:rsid w:val="00BE5742"/>
    <w:rsid w:val="00BE5916"/>
    <w:rsid w:val="00BE5959"/>
    <w:rsid w:val="00BE59DE"/>
    <w:rsid w:val="00BE5AEF"/>
    <w:rsid w:val="00BE6208"/>
    <w:rsid w:val="00BE6336"/>
    <w:rsid w:val="00BE6340"/>
    <w:rsid w:val="00BE657D"/>
    <w:rsid w:val="00BE6672"/>
    <w:rsid w:val="00BE6685"/>
    <w:rsid w:val="00BE67BA"/>
    <w:rsid w:val="00BE6807"/>
    <w:rsid w:val="00BE6AAD"/>
    <w:rsid w:val="00BE6B34"/>
    <w:rsid w:val="00BE7217"/>
    <w:rsid w:val="00BE727C"/>
    <w:rsid w:val="00BE7282"/>
    <w:rsid w:val="00BE734F"/>
    <w:rsid w:val="00BE766B"/>
    <w:rsid w:val="00BE7AAF"/>
    <w:rsid w:val="00BE7E10"/>
    <w:rsid w:val="00BF00DD"/>
    <w:rsid w:val="00BF0277"/>
    <w:rsid w:val="00BF0325"/>
    <w:rsid w:val="00BF047F"/>
    <w:rsid w:val="00BF09D6"/>
    <w:rsid w:val="00BF10F1"/>
    <w:rsid w:val="00BF119D"/>
    <w:rsid w:val="00BF120F"/>
    <w:rsid w:val="00BF13A5"/>
    <w:rsid w:val="00BF1406"/>
    <w:rsid w:val="00BF147F"/>
    <w:rsid w:val="00BF14FD"/>
    <w:rsid w:val="00BF152D"/>
    <w:rsid w:val="00BF16A8"/>
    <w:rsid w:val="00BF180C"/>
    <w:rsid w:val="00BF1989"/>
    <w:rsid w:val="00BF1B37"/>
    <w:rsid w:val="00BF1BEE"/>
    <w:rsid w:val="00BF1D7E"/>
    <w:rsid w:val="00BF2103"/>
    <w:rsid w:val="00BF22B3"/>
    <w:rsid w:val="00BF26DB"/>
    <w:rsid w:val="00BF2D86"/>
    <w:rsid w:val="00BF2E75"/>
    <w:rsid w:val="00BF2EE4"/>
    <w:rsid w:val="00BF31A1"/>
    <w:rsid w:val="00BF32E4"/>
    <w:rsid w:val="00BF338F"/>
    <w:rsid w:val="00BF34F0"/>
    <w:rsid w:val="00BF380F"/>
    <w:rsid w:val="00BF3A43"/>
    <w:rsid w:val="00BF3AE2"/>
    <w:rsid w:val="00BF3B2E"/>
    <w:rsid w:val="00BF3BBA"/>
    <w:rsid w:val="00BF3C4A"/>
    <w:rsid w:val="00BF3E78"/>
    <w:rsid w:val="00BF41CA"/>
    <w:rsid w:val="00BF426A"/>
    <w:rsid w:val="00BF4582"/>
    <w:rsid w:val="00BF4E1F"/>
    <w:rsid w:val="00BF4F01"/>
    <w:rsid w:val="00BF5422"/>
    <w:rsid w:val="00BF588A"/>
    <w:rsid w:val="00BF5C86"/>
    <w:rsid w:val="00BF5EE6"/>
    <w:rsid w:val="00BF5FF7"/>
    <w:rsid w:val="00BF6401"/>
    <w:rsid w:val="00BF6730"/>
    <w:rsid w:val="00BF675B"/>
    <w:rsid w:val="00BF6964"/>
    <w:rsid w:val="00BF6A87"/>
    <w:rsid w:val="00BF6C9C"/>
    <w:rsid w:val="00BF6FC9"/>
    <w:rsid w:val="00BF70C4"/>
    <w:rsid w:val="00BF7196"/>
    <w:rsid w:val="00BF7485"/>
    <w:rsid w:val="00BF7966"/>
    <w:rsid w:val="00BF7A25"/>
    <w:rsid w:val="00BF7C34"/>
    <w:rsid w:val="00BF7E6A"/>
    <w:rsid w:val="00BF7E80"/>
    <w:rsid w:val="00C000D7"/>
    <w:rsid w:val="00C00116"/>
    <w:rsid w:val="00C00243"/>
    <w:rsid w:val="00C00578"/>
    <w:rsid w:val="00C005E1"/>
    <w:rsid w:val="00C0075F"/>
    <w:rsid w:val="00C007E9"/>
    <w:rsid w:val="00C009DB"/>
    <w:rsid w:val="00C00AA5"/>
    <w:rsid w:val="00C00AFB"/>
    <w:rsid w:val="00C00CA1"/>
    <w:rsid w:val="00C00E12"/>
    <w:rsid w:val="00C00FE1"/>
    <w:rsid w:val="00C01071"/>
    <w:rsid w:val="00C0115A"/>
    <w:rsid w:val="00C012CF"/>
    <w:rsid w:val="00C012F5"/>
    <w:rsid w:val="00C01375"/>
    <w:rsid w:val="00C013BE"/>
    <w:rsid w:val="00C015E7"/>
    <w:rsid w:val="00C0172E"/>
    <w:rsid w:val="00C01B80"/>
    <w:rsid w:val="00C01CA5"/>
    <w:rsid w:val="00C01EE0"/>
    <w:rsid w:val="00C02099"/>
    <w:rsid w:val="00C024D8"/>
    <w:rsid w:val="00C027A0"/>
    <w:rsid w:val="00C0289B"/>
    <w:rsid w:val="00C02ACD"/>
    <w:rsid w:val="00C02D26"/>
    <w:rsid w:val="00C02E0E"/>
    <w:rsid w:val="00C02E67"/>
    <w:rsid w:val="00C03046"/>
    <w:rsid w:val="00C0304A"/>
    <w:rsid w:val="00C03731"/>
    <w:rsid w:val="00C03956"/>
    <w:rsid w:val="00C0397A"/>
    <w:rsid w:val="00C03990"/>
    <w:rsid w:val="00C039E3"/>
    <w:rsid w:val="00C03A1C"/>
    <w:rsid w:val="00C03CC2"/>
    <w:rsid w:val="00C03F43"/>
    <w:rsid w:val="00C0410D"/>
    <w:rsid w:val="00C044A3"/>
    <w:rsid w:val="00C0452C"/>
    <w:rsid w:val="00C04EE5"/>
    <w:rsid w:val="00C04F4B"/>
    <w:rsid w:val="00C04FCA"/>
    <w:rsid w:val="00C052F4"/>
    <w:rsid w:val="00C054EE"/>
    <w:rsid w:val="00C05832"/>
    <w:rsid w:val="00C059AA"/>
    <w:rsid w:val="00C059F0"/>
    <w:rsid w:val="00C05AB8"/>
    <w:rsid w:val="00C05AC0"/>
    <w:rsid w:val="00C05AD9"/>
    <w:rsid w:val="00C05E3B"/>
    <w:rsid w:val="00C05F2E"/>
    <w:rsid w:val="00C05FA1"/>
    <w:rsid w:val="00C068A8"/>
    <w:rsid w:val="00C0697D"/>
    <w:rsid w:val="00C06A16"/>
    <w:rsid w:val="00C06DA6"/>
    <w:rsid w:val="00C06E03"/>
    <w:rsid w:val="00C06E5D"/>
    <w:rsid w:val="00C070BA"/>
    <w:rsid w:val="00C070ED"/>
    <w:rsid w:val="00C0726B"/>
    <w:rsid w:val="00C074B7"/>
    <w:rsid w:val="00C0773B"/>
    <w:rsid w:val="00C077D7"/>
    <w:rsid w:val="00C07A44"/>
    <w:rsid w:val="00C07ADB"/>
    <w:rsid w:val="00C07C7A"/>
    <w:rsid w:val="00C07D31"/>
    <w:rsid w:val="00C07DE0"/>
    <w:rsid w:val="00C07F2B"/>
    <w:rsid w:val="00C10035"/>
    <w:rsid w:val="00C106D1"/>
    <w:rsid w:val="00C107ED"/>
    <w:rsid w:val="00C10BDE"/>
    <w:rsid w:val="00C10C58"/>
    <w:rsid w:val="00C10DDC"/>
    <w:rsid w:val="00C10FD8"/>
    <w:rsid w:val="00C1107C"/>
    <w:rsid w:val="00C11153"/>
    <w:rsid w:val="00C114DB"/>
    <w:rsid w:val="00C11839"/>
    <w:rsid w:val="00C1197E"/>
    <w:rsid w:val="00C11C30"/>
    <w:rsid w:val="00C11F25"/>
    <w:rsid w:val="00C12110"/>
    <w:rsid w:val="00C12166"/>
    <w:rsid w:val="00C12B06"/>
    <w:rsid w:val="00C12B58"/>
    <w:rsid w:val="00C12BEA"/>
    <w:rsid w:val="00C12D63"/>
    <w:rsid w:val="00C1306D"/>
    <w:rsid w:val="00C131D4"/>
    <w:rsid w:val="00C13450"/>
    <w:rsid w:val="00C135E1"/>
    <w:rsid w:val="00C1389B"/>
    <w:rsid w:val="00C13B57"/>
    <w:rsid w:val="00C13EEB"/>
    <w:rsid w:val="00C13F6F"/>
    <w:rsid w:val="00C140F2"/>
    <w:rsid w:val="00C14445"/>
    <w:rsid w:val="00C14556"/>
    <w:rsid w:val="00C1457B"/>
    <w:rsid w:val="00C14661"/>
    <w:rsid w:val="00C146EF"/>
    <w:rsid w:val="00C147B6"/>
    <w:rsid w:val="00C14869"/>
    <w:rsid w:val="00C14C91"/>
    <w:rsid w:val="00C14FE7"/>
    <w:rsid w:val="00C15576"/>
    <w:rsid w:val="00C15675"/>
    <w:rsid w:val="00C15AA1"/>
    <w:rsid w:val="00C15C9D"/>
    <w:rsid w:val="00C16195"/>
    <w:rsid w:val="00C163C1"/>
    <w:rsid w:val="00C16436"/>
    <w:rsid w:val="00C165CF"/>
    <w:rsid w:val="00C1671C"/>
    <w:rsid w:val="00C16A23"/>
    <w:rsid w:val="00C16C84"/>
    <w:rsid w:val="00C16E9E"/>
    <w:rsid w:val="00C1714E"/>
    <w:rsid w:val="00C171F4"/>
    <w:rsid w:val="00C172DD"/>
    <w:rsid w:val="00C17359"/>
    <w:rsid w:val="00C173EB"/>
    <w:rsid w:val="00C174EC"/>
    <w:rsid w:val="00C176D8"/>
    <w:rsid w:val="00C17802"/>
    <w:rsid w:val="00C17956"/>
    <w:rsid w:val="00C17DF3"/>
    <w:rsid w:val="00C20142"/>
    <w:rsid w:val="00C20178"/>
    <w:rsid w:val="00C2044C"/>
    <w:rsid w:val="00C204EC"/>
    <w:rsid w:val="00C20869"/>
    <w:rsid w:val="00C20B33"/>
    <w:rsid w:val="00C21219"/>
    <w:rsid w:val="00C212C7"/>
    <w:rsid w:val="00C21334"/>
    <w:rsid w:val="00C213AA"/>
    <w:rsid w:val="00C2145C"/>
    <w:rsid w:val="00C2164C"/>
    <w:rsid w:val="00C219CB"/>
    <w:rsid w:val="00C21AB3"/>
    <w:rsid w:val="00C21BAD"/>
    <w:rsid w:val="00C21BED"/>
    <w:rsid w:val="00C21DC4"/>
    <w:rsid w:val="00C21DD5"/>
    <w:rsid w:val="00C22AD9"/>
    <w:rsid w:val="00C22AFA"/>
    <w:rsid w:val="00C22C3E"/>
    <w:rsid w:val="00C22D36"/>
    <w:rsid w:val="00C22D79"/>
    <w:rsid w:val="00C22F07"/>
    <w:rsid w:val="00C23081"/>
    <w:rsid w:val="00C2312F"/>
    <w:rsid w:val="00C2332B"/>
    <w:rsid w:val="00C23758"/>
    <w:rsid w:val="00C23B46"/>
    <w:rsid w:val="00C23C23"/>
    <w:rsid w:val="00C244FE"/>
    <w:rsid w:val="00C245E4"/>
    <w:rsid w:val="00C24721"/>
    <w:rsid w:val="00C2479A"/>
    <w:rsid w:val="00C24A9F"/>
    <w:rsid w:val="00C24BED"/>
    <w:rsid w:val="00C2508D"/>
    <w:rsid w:val="00C254C8"/>
    <w:rsid w:val="00C25670"/>
    <w:rsid w:val="00C25848"/>
    <w:rsid w:val="00C25861"/>
    <w:rsid w:val="00C25B51"/>
    <w:rsid w:val="00C25D40"/>
    <w:rsid w:val="00C25E59"/>
    <w:rsid w:val="00C25F13"/>
    <w:rsid w:val="00C25F1B"/>
    <w:rsid w:val="00C25F99"/>
    <w:rsid w:val="00C2610C"/>
    <w:rsid w:val="00C263ED"/>
    <w:rsid w:val="00C269E5"/>
    <w:rsid w:val="00C276C3"/>
    <w:rsid w:val="00C27A19"/>
    <w:rsid w:val="00C27B2E"/>
    <w:rsid w:val="00C27C7F"/>
    <w:rsid w:val="00C27D4F"/>
    <w:rsid w:val="00C27DB6"/>
    <w:rsid w:val="00C27EA6"/>
    <w:rsid w:val="00C27FF4"/>
    <w:rsid w:val="00C30147"/>
    <w:rsid w:val="00C30416"/>
    <w:rsid w:val="00C30D74"/>
    <w:rsid w:val="00C30D7F"/>
    <w:rsid w:val="00C30E7D"/>
    <w:rsid w:val="00C31005"/>
    <w:rsid w:val="00C3115E"/>
    <w:rsid w:val="00C315D9"/>
    <w:rsid w:val="00C316D8"/>
    <w:rsid w:val="00C31C0D"/>
    <w:rsid w:val="00C31CCD"/>
    <w:rsid w:val="00C31E05"/>
    <w:rsid w:val="00C3217D"/>
    <w:rsid w:val="00C3217F"/>
    <w:rsid w:val="00C32EB2"/>
    <w:rsid w:val="00C330CC"/>
    <w:rsid w:val="00C333A5"/>
    <w:rsid w:val="00C33419"/>
    <w:rsid w:val="00C33493"/>
    <w:rsid w:val="00C334E0"/>
    <w:rsid w:val="00C33652"/>
    <w:rsid w:val="00C3383E"/>
    <w:rsid w:val="00C338B2"/>
    <w:rsid w:val="00C33A18"/>
    <w:rsid w:val="00C33ACA"/>
    <w:rsid w:val="00C33DA9"/>
    <w:rsid w:val="00C33ED9"/>
    <w:rsid w:val="00C34025"/>
    <w:rsid w:val="00C341C7"/>
    <w:rsid w:val="00C341D2"/>
    <w:rsid w:val="00C343DF"/>
    <w:rsid w:val="00C3479A"/>
    <w:rsid w:val="00C349BB"/>
    <w:rsid w:val="00C34FE9"/>
    <w:rsid w:val="00C353E6"/>
    <w:rsid w:val="00C35B0D"/>
    <w:rsid w:val="00C35E99"/>
    <w:rsid w:val="00C36400"/>
    <w:rsid w:val="00C364A8"/>
    <w:rsid w:val="00C3654A"/>
    <w:rsid w:val="00C36751"/>
    <w:rsid w:val="00C36851"/>
    <w:rsid w:val="00C36982"/>
    <w:rsid w:val="00C3717B"/>
    <w:rsid w:val="00C372CC"/>
    <w:rsid w:val="00C37876"/>
    <w:rsid w:val="00C378FE"/>
    <w:rsid w:val="00C37AD3"/>
    <w:rsid w:val="00C37BCE"/>
    <w:rsid w:val="00C400BE"/>
    <w:rsid w:val="00C4018F"/>
    <w:rsid w:val="00C40246"/>
    <w:rsid w:val="00C4030C"/>
    <w:rsid w:val="00C406AD"/>
    <w:rsid w:val="00C40C43"/>
    <w:rsid w:val="00C40D30"/>
    <w:rsid w:val="00C40F78"/>
    <w:rsid w:val="00C40FE9"/>
    <w:rsid w:val="00C41206"/>
    <w:rsid w:val="00C41210"/>
    <w:rsid w:val="00C41299"/>
    <w:rsid w:val="00C412EA"/>
    <w:rsid w:val="00C414C9"/>
    <w:rsid w:val="00C417EC"/>
    <w:rsid w:val="00C42013"/>
    <w:rsid w:val="00C42247"/>
    <w:rsid w:val="00C4226E"/>
    <w:rsid w:val="00C42512"/>
    <w:rsid w:val="00C42648"/>
    <w:rsid w:val="00C42908"/>
    <w:rsid w:val="00C42EF9"/>
    <w:rsid w:val="00C42F13"/>
    <w:rsid w:val="00C434D1"/>
    <w:rsid w:val="00C436BD"/>
    <w:rsid w:val="00C437BA"/>
    <w:rsid w:val="00C43B27"/>
    <w:rsid w:val="00C43D86"/>
    <w:rsid w:val="00C4415B"/>
    <w:rsid w:val="00C441D0"/>
    <w:rsid w:val="00C44286"/>
    <w:rsid w:val="00C4441F"/>
    <w:rsid w:val="00C44753"/>
    <w:rsid w:val="00C44772"/>
    <w:rsid w:val="00C44A30"/>
    <w:rsid w:val="00C44B72"/>
    <w:rsid w:val="00C44BDD"/>
    <w:rsid w:val="00C45048"/>
    <w:rsid w:val="00C45062"/>
    <w:rsid w:val="00C450AF"/>
    <w:rsid w:val="00C45112"/>
    <w:rsid w:val="00C452AC"/>
    <w:rsid w:val="00C45A85"/>
    <w:rsid w:val="00C45B40"/>
    <w:rsid w:val="00C45D9B"/>
    <w:rsid w:val="00C45DB1"/>
    <w:rsid w:val="00C45F03"/>
    <w:rsid w:val="00C461A1"/>
    <w:rsid w:val="00C461BB"/>
    <w:rsid w:val="00C46212"/>
    <w:rsid w:val="00C463DD"/>
    <w:rsid w:val="00C465F4"/>
    <w:rsid w:val="00C466E0"/>
    <w:rsid w:val="00C46941"/>
    <w:rsid w:val="00C46A20"/>
    <w:rsid w:val="00C46D47"/>
    <w:rsid w:val="00C47006"/>
    <w:rsid w:val="00C472C4"/>
    <w:rsid w:val="00C47518"/>
    <w:rsid w:val="00C47683"/>
    <w:rsid w:val="00C479FB"/>
    <w:rsid w:val="00C47B98"/>
    <w:rsid w:val="00C47C5E"/>
    <w:rsid w:val="00C47C7F"/>
    <w:rsid w:val="00C47F73"/>
    <w:rsid w:val="00C47F9D"/>
    <w:rsid w:val="00C5016A"/>
    <w:rsid w:val="00C5057F"/>
    <w:rsid w:val="00C50AA2"/>
    <w:rsid w:val="00C50D5B"/>
    <w:rsid w:val="00C5108A"/>
    <w:rsid w:val="00C5125A"/>
    <w:rsid w:val="00C51385"/>
    <w:rsid w:val="00C51723"/>
    <w:rsid w:val="00C51886"/>
    <w:rsid w:val="00C51AE4"/>
    <w:rsid w:val="00C51E5E"/>
    <w:rsid w:val="00C51FD5"/>
    <w:rsid w:val="00C52106"/>
    <w:rsid w:val="00C528A4"/>
    <w:rsid w:val="00C528F6"/>
    <w:rsid w:val="00C52D5B"/>
    <w:rsid w:val="00C536E2"/>
    <w:rsid w:val="00C53ABF"/>
    <w:rsid w:val="00C53BE1"/>
    <w:rsid w:val="00C53BE3"/>
    <w:rsid w:val="00C53BFC"/>
    <w:rsid w:val="00C53C35"/>
    <w:rsid w:val="00C53DB3"/>
    <w:rsid w:val="00C54031"/>
    <w:rsid w:val="00C54191"/>
    <w:rsid w:val="00C5426F"/>
    <w:rsid w:val="00C54326"/>
    <w:rsid w:val="00C54441"/>
    <w:rsid w:val="00C54473"/>
    <w:rsid w:val="00C54739"/>
    <w:rsid w:val="00C5497C"/>
    <w:rsid w:val="00C5499B"/>
    <w:rsid w:val="00C54ADD"/>
    <w:rsid w:val="00C54AE1"/>
    <w:rsid w:val="00C54DF8"/>
    <w:rsid w:val="00C54F6B"/>
    <w:rsid w:val="00C55010"/>
    <w:rsid w:val="00C551A0"/>
    <w:rsid w:val="00C552C9"/>
    <w:rsid w:val="00C556E8"/>
    <w:rsid w:val="00C557D5"/>
    <w:rsid w:val="00C55B9F"/>
    <w:rsid w:val="00C55CA8"/>
    <w:rsid w:val="00C56B2F"/>
    <w:rsid w:val="00C57060"/>
    <w:rsid w:val="00C573FA"/>
    <w:rsid w:val="00C57729"/>
    <w:rsid w:val="00C6005E"/>
    <w:rsid w:val="00C604F0"/>
    <w:rsid w:val="00C6056C"/>
    <w:rsid w:val="00C6070E"/>
    <w:rsid w:val="00C60772"/>
    <w:rsid w:val="00C6091C"/>
    <w:rsid w:val="00C60C75"/>
    <w:rsid w:val="00C60EC9"/>
    <w:rsid w:val="00C6120F"/>
    <w:rsid w:val="00C6123D"/>
    <w:rsid w:val="00C61861"/>
    <w:rsid w:val="00C61BEA"/>
    <w:rsid w:val="00C623B5"/>
    <w:rsid w:val="00C6248B"/>
    <w:rsid w:val="00C624CB"/>
    <w:rsid w:val="00C625D1"/>
    <w:rsid w:val="00C62779"/>
    <w:rsid w:val="00C6291E"/>
    <w:rsid w:val="00C62949"/>
    <w:rsid w:val="00C629F0"/>
    <w:rsid w:val="00C62B89"/>
    <w:rsid w:val="00C62CBF"/>
    <w:rsid w:val="00C62E66"/>
    <w:rsid w:val="00C62F1F"/>
    <w:rsid w:val="00C63407"/>
    <w:rsid w:val="00C635C5"/>
    <w:rsid w:val="00C63662"/>
    <w:rsid w:val="00C637CE"/>
    <w:rsid w:val="00C63ACF"/>
    <w:rsid w:val="00C63B0D"/>
    <w:rsid w:val="00C64057"/>
    <w:rsid w:val="00C6470B"/>
    <w:rsid w:val="00C647F8"/>
    <w:rsid w:val="00C64F42"/>
    <w:rsid w:val="00C65343"/>
    <w:rsid w:val="00C654B9"/>
    <w:rsid w:val="00C6554D"/>
    <w:rsid w:val="00C657C5"/>
    <w:rsid w:val="00C657DB"/>
    <w:rsid w:val="00C658A3"/>
    <w:rsid w:val="00C658F7"/>
    <w:rsid w:val="00C6645D"/>
    <w:rsid w:val="00C665FF"/>
    <w:rsid w:val="00C66617"/>
    <w:rsid w:val="00C66661"/>
    <w:rsid w:val="00C667E3"/>
    <w:rsid w:val="00C66C40"/>
    <w:rsid w:val="00C66D30"/>
    <w:rsid w:val="00C66D84"/>
    <w:rsid w:val="00C66F44"/>
    <w:rsid w:val="00C670E5"/>
    <w:rsid w:val="00C672F4"/>
    <w:rsid w:val="00C67372"/>
    <w:rsid w:val="00C6742C"/>
    <w:rsid w:val="00C674DC"/>
    <w:rsid w:val="00C678B7"/>
    <w:rsid w:val="00C7031B"/>
    <w:rsid w:val="00C709AA"/>
    <w:rsid w:val="00C70E6C"/>
    <w:rsid w:val="00C7139F"/>
    <w:rsid w:val="00C714D9"/>
    <w:rsid w:val="00C716F0"/>
    <w:rsid w:val="00C71B30"/>
    <w:rsid w:val="00C71BE7"/>
    <w:rsid w:val="00C71F69"/>
    <w:rsid w:val="00C728F6"/>
    <w:rsid w:val="00C72DF1"/>
    <w:rsid w:val="00C73081"/>
    <w:rsid w:val="00C7335A"/>
    <w:rsid w:val="00C73414"/>
    <w:rsid w:val="00C738AD"/>
    <w:rsid w:val="00C73A23"/>
    <w:rsid w:val="00C73B2F"/>
    <w:rsid w:val="00C73B3C"/>
    <w:rsid w:val="00C73F81"/>
    <w:rsid w:val="00C740F4"/>
    <w:rsid w:val="00C742BD"/>
    <w:rsid w:val="00C7432C"/>
    <w:rsid w:val="00C7472E"/>
    <w:rsid w:val="00C74791"/>
    <w:rsid w:val="00C748EE"/>
    <w:rsid w:val="00C74935"/>
    <w:rsid w:val="00C74E73"/>
    <w:rsid w:val="00C750F3"/>
    <w:rsid w:val="00C753B3"/>
    <w:rsid w:val="00C7544A"/>
    <w:rsid w:val="00C759BD"/>
    <w:rsid w:val="00C759CE"/>
    <w:rsid w:val="00C75B49"/>
    <w:rsid w:val="00C75FB9"/>
    <w:rsid w:val="00C76257"/>
    <w:rsid w:val="00C764D7"/>
    <w:rsid w:val="00C766E2"/>
    <w:rsid w:val="00C76869"/>
    <w:rsid w:val="00C769EC"/>
    <w:rsid w:val="00C77067"/>
    <w:rsid w:val="00C77113"/>
    <w:rsid w:val="00C774A5"/>
    <w:rsid w:val="00C774CE"/>
    <w:rsid w:val="00C7779B"/>
    <w:rsid w:val="00C778AD"/>
    <w:rsid w:val="00C7794F"/>
    <w:rsid w:val="00C77C09"/>
    <w:rsid w:val="00C77E73"/>
    <w:rsid w:val="00C805C0"/>
    <w:rsid w:val="00C806B8"/>
    <w:rsid w:val="00C806BA"/>
    <w:rsid w:val="00C80802"/>
    <w:rsid w:val="00C80A6F"/>
    <w:rsid w:val="00C80D2C"/>
    <w:rsid w:val="00C80DBD"/>
    <w:rsid w:val="00C8122A"/>
    <w:rsid w:val="00C812B2"/>
    <w:rsid w:val="00C8130B"/>
    <w:rsid w:val="00C81387"/>
    <w:rsid w:val="00C81558"/>
    <w:rsid w:val="00C81609"/>
    <w:rsid w:val="00C81792"/>
    <w:rsid w:val="00C81800"/>
    <w:rsid w:val="00C81DA6"/>
    <w:rsid w:val="00C81EC2"/>
    <w:rsid w:val="00C81F11"/>
    <w:rsid w:val="00C81F1D"/>
    <w:rsid w:val="00C81F59"/>
    <w:rsid w:val="00C8218A"/>
    <w:rsid w:val="00C82318"/>
    <w:rsid w:val="00C82485"/>
    <w:rsid w:val="00C8261E"/>
    <w:rsid w:val="00C827E4"/>
    <w:rsid w:val="00C830B1"/>
    <w:rsid w:val="00C8347E"/>
    <w:rsid w:val="00C83551"/>
    <w:rsid w:val="00C837AE"/>
    <w:rsid w:val="00C83A78"/>
    <w:rsid w:val="00C83D00"/>
    <w:rsid w:val="00C83D53"/>
    <w:rsid w:val="00C84030"/>
    <w:rsid w:val="00C8425B"/>
    <w:rsid w:val="00C843B6"/>
    <w:rsid w:val="00C84B38"/>
    <w:rsid w:val="00C84D0F"/>
    <w:rsid w:val="00C85009"/>
    <w:rsid w:val="00C85322"/>
    <w:rsid w:val="00C855FE"/>
    <w:rsid w:val="00C857CC"/>
    <w:rsid w:val="00C85B53"/>
    <w:rsid w:val="00C864F2"/>
    <w:rsid w:val="00C86680"/>
    <w:rsid w:val="00C86B0B"/>
    <w:rsid w:val="00C86D7C"/>
    <w:rsid w:val="00C86E0C"/>
    <w:rsid w:val="00C86FAA"/>
    <w:rsid w:val="00C871C5"/>
    <w:rsid w:val="00C872A7"/>
    <w:rsid w:val="00C872F8"/>
    <w:rsid w:val="00C874C5"/>
    <w:rsid w:val="00C877CC"/>
    <w:rsid w:val="00C879C7"/>
    <w:rsid w:val="00C901D8"/>
    <w:rsid w:val="00C90245"/>
    <w:rsid w:val="00C90722"/>
    <w:rsid w:val="00C908C1"/>
    <w:rsid w:val="00C90CF8"/>
    <w:rsid w:val="00C91056"/>
    <w:rsid w:val="00C910B6"/>
    <w:rsid w:val="00C91140"/>
    <w:rsid w:val="00C91159"/>
    <w:rsid w:val="00C9117D"/>
    <w:rsid w:val="00C9132B"/>
    <w:rsid w:val="00C916FC"/>
    <w:rsid w:val="00C91915"/>
    <w:rsid w:val="00C91C2A"/>
    <w:rsid w:val="00C91E87"/>
    <w:rsid w:val="00C91EDC"/>
    <w:rsid w:val="00C91FCC"/>
    <w:rsid w:val="00C92178"/>
    <w:rsid w:val="00C923DF"/>
    <w:rsid w:val="00C92514"/>
    <w:rsid w:val="00C9277D"/>
    <w:rsid w:val="00C92820"/>
    <w:rsid w:val="00C92860"/>
    <w:rsid w:val="00C92C29"/>
    <w:rsid w:val="00C92E32"/>
    <w:rsid w:val="00C92E88"/>
    <w:rsid w:val="00C93308"/>
    <w:rsid w:val="00C93493"/>
    <w:rsid w:val="00C937FC"/>
    <w:rsid w:val="00C939A2"/>
    <w:rsid w:val="00C93B03"/>
    <w:rsid w:val="00C93DA8"/>
    <w:rsid w:val="00C93DB7"/>
    <w:rsid w:val="00C93E7F"/>
    <w:rsid w:val="00C9431A"/>
    <w:rsid w:val="00C9434F"/>
    <w:rsid w:val="00C944E0"/>
    <w:rsid w:val="00C945B2"/>
    <w:rsid w:val="00C94831"/>
    <w:rsid w:val="00C948FE"/>
    <w:rsid w:val="00C94EAB"/>
    <w:rsid w:val="00C95069"/>
    <w:rsid w:val="00C95668"/>
    <w:rsid w:val="00C95A20"/>
    <w:rsid w:val="00C95C98"/>
    <w:rsid w:val="00C95D00"/>
    <w:rsid w:val="00C95EB2"/>
    <w:rsid w:val="00C96119"/>
    <w:rsid w:val="00C961B1"/>
    <w:rsid w:val="00C96434"/>
    <w:rsid w:val="00C966F0"/>
    <w:rsid w:val="00C96ABE"/>
    <w:rsid w:val="00C96D02"/>
    <w:rsid w:val="00C96D3E"/>
    <w:rsid w:val="00C96D41"/>
    <w:rsid w:val="00C96D9D"/>
    <w:rsid w:val="00C9729B"/>
    <w:rsid w:val="00C973E5"/>
    <w:rsid w:val="00C97B24"/>
    <w:rsid w:val="00C97F27"/>
    <w:rsid w:val="00C9BE24"/>
    <w:rsid w:val="00C9FC33"/>
    <w:rsid w:val="00CA0344"/>
    <w:rsid w:val="00CA0450"/>
    <w:rsid w:val="00CA0452"/>
    <w:rsid w:val="00CA04A1"/>
    <w:rsid w:val="00CA0557"/>
    <w:rsid w:val="00CA0633"/>
    <w:rsid w:val="00CA0BDE"/>
    <w:rsid w:val="00CA0C52"/>
    <w:rsid w:val="00CA0D45"/>
    <w:rsid w:val="00CA0DB4"/>
    <w:rsid w:val="00CA0E70"/>
    <w:rsid w:val="00CA1005"/>
    <w:rsid w:val="00CA10BA"/>
    <w:rsid w:val="00CA144B"/>
    <w:rsid w:val="00CA166E"/>
    <w:rsid w:val="00CA18D7"/>
    <w:rsid w:val="00CA1B9B"/>
    <w:rsid w:val="00CA1CEB"/>
    <w:rsid w:val="00CA1D13"/>
    <w:rsid w:val="00CA2767"/>
    <w:rsid w:val="00CA2976"/>
    <w:rsid w:val="00CA2A42"/>
    <w:rsid w:val="00CA2B15"/>
    <w:rsid w:val="00CA2CAA"/>
    <w:rsid w:val="00CA34E2"/>
    <w:rsid w:val="00CA37C8"/>
    <w:rsid w:val="00CA38AB"/>
    <w:rsid w:val="00CA3B49"/>
    <w:rsid w:val="00CA3C05"/>
    <w:rsid w:val="00CA3F3E"/>
    <w:rsid w:val="00CA3FC6"/>
    <w:rsid w:val="00CA4744"/>
    <w:rsid w:val="00CA4924"/>
    <w:rsid w:val="00CA4D34"/>
    <w:rsid w:val="00CA4D8B"/>
    <w:rsid w:val="00CA4E65"/>
    <w:rsid w:val="00CA5057"/>
    <w:rsid w:val="00CA5224"/>
    <w:rsid w:val="00CA5379"/>
    <w:rsid w:val="00CA53B1"/>
    <w:rsid w:val="00CA5572"/>
    <w:rsid w:val="00CA582A"/>
    <w:rsid w:val="00CA5B5F"/>
    <w:rsid w:val="00CA5CD6"/>
    <w:rsid w:val="00CA60F2"/>
    <w:rsid w:val="00CA611A"/>
    <w:rsid w:val="00CA6AB9"/>
    <w:rsid w:val="00CA6D05"/>
    <w:rsid w:val="00CA6FD3"/>
    <w:rsid w:val="00CA7AF3"/>
    <w:rsid w:val="00CA7D44"/>
    <w:rsid w:val="00CA7F9F"/>
    <w:rsid w:val="00CB03B7"/>
    <w:rsid w:val="00CB0AA2"/>
    <w:rsid w:val="00CB0ADF"/>
    <w:rsid w:val="00CB0BCF"/>
    <w:rsid w:val="00CB0BD1"/>
    <w:rsid w:val="00CB13AD"/>
    <w:rsid w:val="00CB1B3A"/>
    <w:rsid w:val="00CB22C2"/>
    <w:rsid w:val="00CB24E5"/>
    <w:rsid w:val="00CB2574"/>
    <w:rsid w:val="00CB2C4C"/>
    <w:rsid w:val="00CB2EB5"/>
    <w:rsid w:val="00CB2F9A"/>
    <w:rsid w:val="00CB30F3"/>
    <w:rsid w:val="00CB3316"/>
    <w:rsid w:val="00CB3799"/>
    <w:rsid w:val="00CB384F"/>
    <w:rsid w:val="00CB388D"/>
    <w:rsid w:val="00CB3CC9"/>
    <w:rsid w:val="00CB3DE6"/>
    <w:rsid w:val="00CB40CF"/>
    <w:rsid w:val="00CB43BD"/>
    <w:rsid w:val="00CB43FA"/>
    <w:rsid w:val="00CB4478"/>
    <w:rsid w:val="00CB46A9"/>
    <w:rsid w:val="00CB47A7"/>
    <w:rsid w:val="00CB4AA8"/>
    <w:rsid w:val="00CB4DC7"/>
    <w:rsid w:val="00CB4F57"/>
    <w:rsid w:val="00CB505D"/>
    <w:rsid w:val="00CB54C7"/>
    <w:rsid w:val="00CB588B"/>
    <w:rsid w:val="00CB5E3E"/>
    <w:rsid w:val="00CB665F"/>
    <w:rsid w:val="00CB67B7"/>
    <w:rsid w:val="00CB6A94"/>
    <w:rsid w:val="00CB6AE5"/>
    <w:rsid w:val="00CB6D72"/>
    <w:rsid w:val="00CB6DE6"/>
    <w:rsid w:val="00CB6F47"/>
    <w:rsid w:val="00CB6FA5"/>
    <w:rsid w:val="00CB7003"/>
    <w:rsid w:val="00CB70FE"/>
    <w:rsid w:val="00CB7231"/>
    <w:rsid w:val="00CB74FE"/>
    <w:rsid w:val="00CB783A"/>
    <w:rsid w:val="00CB7962"/>
    <w:rsid w:val="00CB7C30"/>
    <w:rsid w:val="00CB7FE8"/>
    <w:rsid w:val="00CC0107"/>
    <w:rsid w:val="00CC01A5"/>
    <w:rsid w:val="00CC0549"/>
    <w:rsid w:val="00CC08A4"/>
    <w:rsid w:val="00CC094B"/>
    <w:rsid w:val="00CC1027"/>
    <w:rsid w:val="00CC1233"/>
    <w:rsid w:val="00CC1325"/>
    <w:rsid w:val="00CC133B"/>
    <w:rsid w:val="00CC19A3"/>
    <w:rsid w:val="00CC1C38"/>
    <w:rsid w:val="00CC1DF0"/>
    <w:rsid w:val="00CC1FE5"/>
    <w:rsid w:val="00CC217A"/>
    <w:rsid w:val="00CC2225"/>
    <w:rsid w:val="00CC230B"/>
    <w:rsid w:val="00CC26DC"/>
    <w:rsid w:val="00CC2899"/>
    <w:rsid w:val="00CC28D6"/>
    <w:rsid w:val="00CC2B71"/>
    <w:rsid w:val="00CC30CA"/>
    <w:rsid w:val="00CC342C"/>
    <w:rsid w:val="00CC355A"/>
    <w:rsid w:val="00CC3560"/>
    <w:rsid w:val="00CC358C"/>
    <w:rsid w:val="00CC35EE"/>
    <w:rsid w:val="00CC3697"/>
    <w:rsid w:val="00CC3795"/>
    <w:rsid w:val="00CC38A2"/>
    <w:rsid w:val="00CC3A25"/>
    <w:rsid w:val="00CC4395"/>
    <w:rsid w:val="00CC44BD"/>
    <w:rsid w:val="00CC478D"/>
    <w:rsid w:val="00CC4A40"/>
    <w:rsid w:val="00CC4D69"/>
    <w:rsid w:val="00CC4D8D"/>
    <w:rsid w:val="00CC4E7A"/>
    <w:rsid w:val="00CC4F27"/>
    <w:rsid w:val="00CC53FB"/>
    <w:rsid w:val="00CC5413"/>
    <w:rsid w:val="00CC56D3"/>
    <w:rsid w:val="00CC57BC"/>
    <w:rsid w:val="00CC57D6"/>
    <w:rsid w:val="00CC5D66"/>
    <w:rsid w:val="00CC5FE3"/>
    <w:rsid w:val="00CC5FF1"/>
    <w:rsid w:val="00CC6062"/>
    <w:rsid w:val="00CC60B2"/>
    <w:rsid w:val="00CC638F"/>
    <w:rsid w:val="00CC67EA"/>
    <w:rsid w:val="00CC6D64"/>
    <w:rsid w:val="00CC6F29"/>
    <w:rsid w:val="00CC6F9C"/>
    <w:rsid w:val="00CC7045"/>
    <w:rsid w:val="00CC70C0"/>
    <w:rsid w:val="00CC73E3"/>
    <w:rsid w:val="00CC773C"/>
    <w:rsid w:val="00CC7A41"/>
    <w:rsid w:val="00CC7BC5"/>
    <w:rsid w:val="00CC7E54"/>
    <w:rsid w:val="00CC7E99"/>
    <w:rsid w:val="00CC7EA1"/>
    <w:rsid w:val="00CC7EBB"/>
    <w:rsid w:val="00CD030A"/>
    <w:rsid w:val="00CD0312"/>
    <w:rsid w:val="00CD044D"/>
    <w:rsid w:val="00CD05E3"/>
    <w:rsid w:val="00CD0862"/>
    <w:rsid w:val="00CD0D68"/>
    <w:rsid w:val="00CD1050"/>
    <w:rsid w:val="00CD11F1"/>
    <w:rsid w:val="00CD141A"/>
    <w:rsid w:val="00CD1677"/>
    <w:rsid w:val="00CD19AA"/>
    <w:rsid w:val="00CD1B18"/>
    <w:rsid w:val="00CD1DFA"/>
    <w:rsid w:val="00CD219D"/>
    <w:rsid w:val="00CD2352"/>
    <w:rsid w:val="00CD2468"/>
    <w:rsid w:val="00CD2634"/>
    <w:rsid w:val="00CD2699"/>
    <w:rsid w:val="00CD2A08"/>
    <w:rsid w:val="00CD2B5F"/>
    <w:rsid w:val="00CD2DAE"/>
    <w:rsid w:val="00CD301F"/>
    <w:rsid w:val="00CD3234"/>
    <w:rsid w:val="00CD34FD"/>
    <w:rsid w:val="00CD3543"/>
    <w:rsid w:val="00CD37AF"/>
    <w:rsid w:val="00CD3944"/>
    <w:rsid w:val="00CD3B8C"/>
    <w:rsid w:val="00CD3D97"/>
    <w:rsid w:val="00CD3DC0"/>
    <w:rsid w:val="00CD3E19"/>
    <w:rsid w:val="00CD3EFB"/>
    <w:rsid w:val="00CD3F82"/>
    <w:rsid w:val="00CD3FA1"/>
    <w:rsid w:val="00CD402B"/>
    <w:rsid w:val="00CD496B"/>
    <w:rsid w:val="00CD49A7"/>
    <w:rsid w:val="00CD4E3A"/>
    <w:rsid w:val="00CD4E41"/>
    <w:rsid w:val="00CD50F0"/>
    <w:rsid w:val="00CD5312"/>
    <w:rsid w:val="00CD542C"/>
    <w:rsid w:val="00CD555A"/>
    <w:rsid w:val="00CD56AA"/>
    <w:rsid w:val="00CD5935"/>
    <w:rsid w:val="00CD5938"/>
    <w:rsid w:val="00CD5967"/>
    <w:rsid w:val="00CD616B"/>
    <w:rsid w:val="00CD62C4"/>
    <w:rsid w:val="00CD648D"/>
    <w:rsid w:val="00CD6527"/>
    <w:rsid w:val="00CD6689"/>
    <w:rsid w:val="00CD672E"/>
    <w:rsid w:val="00CD6919"/>
    <w:rsid w:val="00CD7796"/>
    <w:rsid w:val="00CD7F8F"/>
    <w:rsid w:val="00CE0037"/>
    <w:rsid w:val="00CE041E"/>
    <w:rsid w:val="00CE0424"/>
    <w:rsid w:val="00CE0493"/>
    <w:rsid w:val="00CE0A6E"/>
    <w:rsid w:val="00CE0B87"/>
    <w:rsid w:val="00CE0C97"/>
    <w:rsid w:val="00CE0D54"/>
    <w:rsid w:val="00CE116B"/>
    <w:rsid w:val="00CE1552"/>
    <w:rsid w:val="00CE1572"/>
    <w:rsid w:val="00CE1869"/>
    <w:rsid w:val="00CE1C29"/>
    <w:rsid w:val="00CE1F68"/>
    <w:rsid w:val="00CE20A9"/>
    <w:rsid w:val="00CE216F"/>
    <w:rsid w:val="00CE262D"/>
    <w:rsid w:val="00CE2BBF"/>
    <w:rsid w:val="00CE2E51"/>
    <w:rsid w:val="00CE2E52"/>
    <w:rsid w:val="00CE2F0F"/>
    <w:rsid w:val="00CE3000"/>
    <w:rsid w:val="00CE301A"/>
    <w:rsid w:val="00CE36D8"/>
    <w:rsid w:val="00CE36DE"/>
    <w:rsid w:val="00CE41A3"/>
    <w:rsid w:val="00CE4265"/>
    <w:rsid w:val="00CE43B7"/>
    <w:rsid w:val="00CE440A"/>
    <w:rsid w:val="00CE49CD"/>
    <w:rsid w:val="00CE4A8E"/>
    <w:rsid w:val="00CE4EF0"/>
    <w:rsid w:val="00CE52A5"/>
    <w:rsid w:val="00CE5820"/>
    <w:rsid w:val="00CE5B5D"/>
    <w:rsid w:val="00CE5D8C"/>
    <w:rsid w:val="00CE694A"/>
    <w:rsid w:val="00CE6A37"/>
    <w:rsid w:val="00CE6F59"/>
    <w:rsid w:val="00CE740A"/>
    <w:rsid w:val="00CE7468"/>
    <w:rsid w:val="00CE794F"/>
    <w:rsid w:val="00CE7AFF"/>
    <w:rsid w:val="00CE7B17"/>
    <w:rsid w:val="00CE7BAD"/>
    <w:rsid w:val="00CE7E46"/>
    <w:rsid w:val="00CF015A"/>
    <w:rsid w:val="00CF01F2"/>
    <w:rsid w:val="00CF06F7"/>
    <w:rsid w:val="00CF09C2"/>
    <w:rsid w:val="00CF0B45"/>
    <w:rsid w:val="00CF0E33"/>
    <w:rsid w:val="00CF0FD2"/>
    <w:rsid w:val="00CF12A9"/>
    <w:rsid w:val="00CF12DF"/>
    <w:rsid w:val="00CF19B3"/>
    <w:rsid w:val="00CF1EA4"/>
    <w:rsid w:val="00CF1FFD"/>
    <w:rsid w:val="00CF201D"/>
    <w:rsid w:val="00CF20D8"/>
    <w:rsid w:val="00CF2332"/>
    <w:rsid w:val="00CF233F"/>
    <w:rsid w:val="00CF2403"/>
    <w:rsid w:val="00CF2532"/>
    <w:rsid w:val="00CF2584"/>
    <w:rsid w:val="00CF27CB"/>
    <w:rsid w:val="00CF2CCE"/>
    <w:rsid w:val="00CF2F04"/>
    <w:rsid w:val="00CF2F11"/>
    <w:rsid w:val="00CF3165"/>
    <w:rsid w:val="00CF326A"/>
    <w:rsid w:val="00CF36E0"/>
    <w:rsid w:val="00CF3842"/>
    <w:rsid w:val="00CF3CE2"/>
    <w:rsid w:val="00CF3D0B"/>
    <w:rsid w:val="00CF3EB5"/>
    <w:rsid w:val="00CF4420"/>
    <w:rsid w:val="00CF466C"/>
    <w:rsid w:val="00CF48EB"/>
    <w:rsid w:val="00CF4B56"/>
    <w:rsid w:val="00CF4BE8"/>
    <w:rsid w:val="00CF531E"/>
    <w:rsid w:val="00CF547E"/>
    <w:rsid w:val="00CF54A0"/>
    <w:rsid w:val="00CF5649"/>
    <w:rsid w:val="00CF5780"/>
    <w:rsid w:val="00CF5AAA"/>
    <w:rsid w:val="00CF5AB3"/>
    <w:rsid w:val="00CF5B78"/>
    <w:rsid w:val="00CF5C50"/>
    <w:rsid w:val="00CF5D46"/>
    <w:rsid w:val="00CF6116"/>
    <w:rsid w:val="00CF6776"/>
    <w:rsid w:val="00CF688D"/>
    <w:rsid w:val="00CF68B3"/>
    <w:rsid w:val="00CF6945"/>
    <w:rsid w:val="00CF6AF0"/>
    <w:rsid w:val="00CF6C71"/>
    <w:rsid w:val="00CF6C8F"/>
    <w:rsid w:val="00CF6E49"/>
    <w:rsid w:val="00CF731F"/>
    <w:rsid w:val="00CF735E"/>
    <w:rsid w:val="00CF7C54"/>
    <w:rsid w:val="00D00351"/>
    <w:rsid w:val="00D0039B"/>
    <w:rsid w:val="00D004E0"/>
    <w:rsid w:val="00D00784"/>
    <w:rsid w:val="00D00B32"/>
    <w:rsid w:val="00D00F74"/>
    <w:rsid w:val="00D00FEE"/>
    <w:rsid w:val="00D01450"/>
    <w:rsid w:val="00D0147A"/>
    <w:rsid w:val="00D01573"/>
    <w:rsid w:val="00D017ED"/>
    <w:rsid w:val="00D019F8"/>
    <w:rsid w:val="00D01A34"/>
    <w:rsid w:val="00D01D02"/>
    <w:rsid w:val="00D01D4D"/>
    <w:rsid w:val="00D01F11"/>
    <w:rsid w:val="00D0203D"/>
    <w:rsid w:val="00D020A7"/>
    <w:rsid w:val="00D023B7"/>
    <w:rsid w:val="00D028B3"/>
    <w:rsid w:val="00D029CD"/>
    <w:rsid w:val="00D02ABB"/>
    <w:rsid w:val="00D02B23"/>
    <w:rsid w:val="00D031C8"/>
    <w:rsid w:val="00D03252"/>
    <w:rsid w:val="00D03492"/>
    <w:rsid w:val="00D035D7"/>
    <w:rsid w:val="00D03633"/>
    <w:rsid w:val="00D03B5E"/>
    <w:rsid w:val="00D03D02"/>
    <w:rsid w:val="00D03E48"/>
    <w:rsid w:val="00D040E9"/>
    <w:rsid w:val="00D04DC3"/>
    <w:rsid w:val="00D050FF"/>
    <w:rsid w:val="00D051CB"/>
    <w:rsid w:val="00D0562B"/>
    <w:rsid w:val="00D0587F"/>
    <w:rsid w:val="00D05AAB"/>
    <w:rsid w:val="00D05B80"/>
    <w:rsid w:val="00D05BD6"/>
    <w:rsid w:val="00D062F9"/>
    <w:rsid w:val="00D06CD0"/>
    <w:rsid w:val="00D0701A"/>
    <w:rsid w:val="00D07358"/>
    <w:rsid w:val="00D0750F"/>
    <w:rsid w:val="00D0767F"/>
    <w:rsid w:val="00D07725"/>
    <w:rsid w:val="00D07ACA"/>
    <w:rsid w:val="00D07AD9"/>
    <w:rsid w:val="00D07BEE"/>
    <w:rsid w:val="00D07C48"/>
    <w:rsid w:val="00D1040C"/>
    <w:rsid w:val="00D10734"/>
    <w:rsid w:val="00D10B5A"/>
    <w:rsid w:val="00D10C96"/>
    <w:rsid w:val="00D11085"/>
    <w:rsid w:val="00D113C9"/>
    <w:rsid w:val="00D11661"/>
    <w:rsid w:val="00D116D3"/>
    <w:rsid w:val="00D1179F"/>
    <w:rsid w:val="00D11816"/>
    <w:rsid w:val="00D11B99"/>
    <w:rsid w:val="00D11BB0"/>
    <w:rsid w:val="00D11CBF"/>
    <w:rsid w:val="00D11CCA"/>
    <w:rsid w:val="00D11EA0"/>
    <w:rsid w:val="00D12022"/>
    <w:rsid w:val="00D12283"/>
    <w:rsid w:val="00D126E9"/>
    <w:rsid w:val="00D12871"/>
    <w:rsid w:val="00D128BE"/>
    <w:rsid w:val="00D12992"/>
    <w:rsid w:val="00D12A35"/>
    <w:rsid w:val="00D12BAB"/>
    <w:rsid w:val="00D12C86"/>
    <w:rsid w:val="00D12F99"/>
    <w:rsid w:val="00D1302D"/>
    <w:rsid w:val="00D1385B"/>
    <w:rsid w:val="00D13869"/>
    <w:rsid w:val="00D138C4"/>
    <w:rsid w:val="00D13C10"/>
    <w:rsid w:val="00D13F95"/>
    <w:rsid w:val="00D141F7"/>
    <w:rsid w:val="00D142EE"/>
    <w:rsid w:val="00D147F0"/>
    <w:rsid w:val="00D14BB8"/>
    <w:rsid w:val="00D14BBD"/>
    <w:rsid w:val="00D14BD3"/>
    <w:rsid w:val="00D14F7C"/>
    <w:rsid w:val="00D15432"/>
    <w:rsid w:val="00D154AD"/>
    <w:rsid w:val="00D15524"/>
    <w:rsid w:val="00D15837"/>
    <w:rsid w:val="00D158AF"/>
    <w:rsid w:val="00D159DA"/>
    <w:rsid w:val="00D159DC"/>
    <w:rsid w:val="00D159FF"/>
    <w:rsid w:val="00D15BF8"/>
    <w:rsid w:val="00D15CF4"/>
    <w:rsid w:val="00D15EA2"/>
    <w:rsid w:val="00D160A3"/>
    <w:rsid w:val="00D16309"/>
    <w:rsid w:val="00D16DF0"/>
    <w:rsid w:val="00D16EA1"/>
    <w:rsid w:val="00D16EA5"/>
    <w:rsid w:val="00D16F5A"/>
    <w:rsid w:val="00D16FA2"/>
    <w:rsid w:val="00D170BC"/>
    <w:rsid w:val="00D17152"/>
    <w:rsid w:val="00D17622"/>
    <w:rsid w:val="00D1767A"/>
    <w:rsid w:val="00D1769E"/>
    <w:rsid w:val="00D177F1"/>
    <w:rsid w:val="00D179D5"/>
    <w:rsid w:val="00D17ACD"/>
    <w:rsid w:val="00D17C0E"/>
    <w:rsid w:val="00D17DFD"/>
    <w:rsid w:val="00D2004E"/>
    <w:rsid w:val="00D20455"/>
    <w:rsid w:val="00D204C9"/>
    <w:rsid w:val="00D2050D"/>
    <w:rsid w:val="00D20552"/>
    <w:rsid w:val="00D2061B"/>
    <w:rsid w:val="00D20750"/>
    <w:rsid w:val="00D20923"/>
    <w:rsid w:val="00D20A61"/>
    <w:rsid w:val="00D20B18"/>
    <w:rsid w:val="00D20D6B"/>
    <w:rsid w:val="00D20E61"/>
    <w:rsid w:val="00D2105F"/>
    <w:rsid w:val="00D21839"/>
    <w:rsid w:val="00D21E88"/>
    <w:rsid w:val="00D2232C"/>
    <w:rsid w:val="00D227AD"/>
    <w:rsid w:val="00D22A32"/>
    <w:rsid w:val="00D2309A"/>
    <w:rsid w:val="00D232C8"/>
    <w:rsid w:val="00D2340D"/>
    <w:rsid w:val="00D23421"/>
    <w:rsid w:val="00D23CFC"/>
    <w:rsid w:val="00D23F64"/>
    <w:rsid w:val="00D241DC"/>
    <w:rsid w:val="00D241E7"/>
    <w:rsid w:val="00D2449D"/>
    <w:rsid w:val="00D245E6"/>
    <w:rsid w:val="00D24743"/>
    <w:rsid w:val="00D24971"/>
    <w:rsid w:val="00D24BC7"/>
    <w:rsid w:val="00D24F14"/>
    <w:rsid w:val="00D251A1"/>
    <w:rsid w:val="00D252B3"/>
    <w:rsid w:val="00D25302"/>
    <w:rsid w:val="00D2560D"/>
    <w:rsid w:val="00D25AA3"/>
    <w:rsid w:val="00D25B8E"/>
    <w:rsid w:val="00D25CFF"/>
    <w:rsid w:val="00D25D0B"/>
    <w:rsid w:val="00D2620F"/>
    <w:rsid w:val="00D26843"/>
    <w:rsid w:val="00D26864"/>
    <w:rsid w:val="00D26914"/>
    <w:rsid w:val="00D26C4D"/>
    <w:rsid w:val="00D26C64"/>
    <w:rsid w:val="00D27301"/>
    <w:rsid w:val="00D27493"/>
    <w:rsid w:val="00D27658"/>
    <w:rsid w:val="00D2769A"/>
    <w:rsid w:val="00D27A53"/>
    <w:rsid w:val="00D27C37"/>
    <w:rsid w:val="00D27FF1"/>
    <w:rsid w:val="00D30266"/>
    <w:rsid w:val="00D30962"/>
    <w:rsid w:val="00D30A6E"/>
    <w:rsid w:val="00D30E1E"/>
    <w:rsid w:val="00D30E30"/>
    <w:rsid w:val="00D30E38"/>
    <w:rsid w:val="00D30FE6"/>
    <w:rsid w:val="00D311F4"/>
    <w:rsid w:val="00D314AC"/>
    <w:rsid w:val="00D314BE"/>
    <w:rsid w:val="00D3159D"/>
    <w:rsid w:val="00D31792"/>
    <w:rsid w:val="00D3199D"/>
    <w:rsid w:val="00D31C2B"/>
    <w:rsid w:val="00D31F9E"/>
    <w:rsid w:val="00D3202D"/>
    <w:rsid w:val="00D32073"/>
    <w:rsid w:val="00D3208A"/>
    <w:rsid w:val="00D322A9"/>
    <w:rsid w:val="00D323FB"/>
    <w:rsid w:val="00D327DD"/>
    <w:rsid w:val="00D32F20"/>
    <w:rsid w:val="00D32F4D"/>
    <w:rsid w:val="00D32F89"/>
    <w:rsid w:val="00D33178"/>
    <w:rsid w:val="00D3382E"/>
    <w:rsid w:val="00D33CA5"/>
    <w:rsid w:val="00D342CB"/>
    <w:rsid w:val="00D343E7"/>
    <w:rsid w:val="00D3471E"/>
    <w:rsid w:val="00D34846"/>
    <w:rsid w:val="00D348F8"/>
    <w:rsid w:val="00D35393"/>
    <w:rsid w:val="00D35455"/>
    <w:rsid w:val="00D35722"/>
    <w:rsid w:val="00D35791"/>
    <w:rsid w:val="00D35ADB"/>
    <w:rsid w:val="00D35EA3"/>
    <w:rsid w:val="00D368DF"/>
    <w:rsid w:val="00D368E9"/>
    <w:rsid w:val="00D3691F"/>
    <w:rsid w:val="00D36A58"/>
    <w:rsid w:val="00D36D08"/>
    <w:rsid w:val="00D36DB0"/>
    <w:rsid w:val="00D37182"/>
    <w:rsid w:val="00D37269"/>
    <w:rsid w:val="00D372FF"/>
    <w:rsid w:val="00D37345"/>
    <w:rsid w:val="00D37441"/>
    <w:rsid w:val="00D37567"/>
    <w:rsid w:val="00D37E47"/>
    <w:rsid w:val="00D37F3A"/>
    <w:rsid w:val="00D37F5F"/>
    <w:rsid w:val="00D401C9"/>
    <w:rsid w:val="00D406A2"/>
    <w:rsid w:val="00D40931"/>
    <w:rsid w:val="00D409BE"/>
    <w:rsid w:val="00D40A0B"/>
    <w:rsid w:val="00D4129F"/>
    <w:rsid w:val="00D412B6"/>
    <w:rsid w:val="00D4140F"/>
    <w:rsid w:val="00D41740"/>
    <w:rsid w:val="00D41AE0"/>
    <w:rsid w:val="00D41BF8"/>
    <w:rsid w:val="00D420D8"/>
    <w:rsid w:val="00D421D1"/>
    <w:rsid w:val="00D4231F"/>
    <w:rsid w:val="00D42344"/>
    <w:rsid w:val="00D4257A"/>
    <w:rsid w:val="00D42807"/>
    <w:rsid w:val="00D428A2"/>
    <w:rsid w:val="00D42AAD"/>
    <w:rsid w:val="00D42C46"/>
    <w:rsid w:val="00D42DD1"/>
    <w:rsid w:val="00D42DF2"/>
    <w:rsid w:val="00D4306B"/>
    <w:rsid w:val="00D430C2"/>
    <w:rsid w:val="00D4344B"/>
    <w:rsid w:val="00D4377E"/>
    <w:rsid w:val="00D438B6"/>
    <w:rsid w:val="00D43AE2"/>
    <w:rsid w:val="00D43BBA"/>
    <w:rsid w:val="00D43C49"/>
    <w:rsid w:val="00D43DFC"/>
    <w:rsid w:val="00D43ECF"/>
    <w:rsid w:val="00D44152"/>
    <w:rsid w:val="00D4425B"/>
    <w:rsid w:val="00D44354"/>
    <w:rsid w:val="00D44471"/>
    <w:rsid w:val="00D44571"/>
    <w:rsid w:val="00D4462A"/>
    <w:rsid w:val="00D44748"/>
    <w:rsid w:val="00D44B10"/>
    <w:rsid w:val="00D450CD"/>
    <w:rsid w:val="00D4541F"/>
    <w:rsid w:val="00D455BB"/>
    <w:rsid w:val="00D4582D"/>
    <w:rsid w:val="00D4589B"/>
    <w:rsid w:val="00D458F4"/>
    <w:rsid w:val="00D45A16"/>
    <w:rsid w:val="00D45CCE"/>
    <w:rsid w:val="00D45EE3"/>
    <w:rsid w:val="00D461D9"/>
    <w:rsid w:val="00D463C8"/>
    <w:rsid w:val="00D46709"/>
    <w:rsid w:val="00D4683A"/>
    <w:rsid w:val="00D47108"/>
    <w:rsid w:val="00D4749A"/>
    <w:rsid w:val="00D478C0"/>
    <w:rsid w:val="00D47988"/>
    <w:rsid w:val="00D47C7E"/>
    <w:rsid w:val="00D47E01"/>
    <w:rsid w:val="00D47EBB"/>
    <w:rsid w:val="00D50021"/>
    <w:rsid w:val="00D500F0"/>
    <w:rsid w:val="00D50625"/>
    <w:rsid w:val="00D5081B"/>
    <w:rsid w:val="00D50B6A"/>
    <w:rsid w:val="00D50CD3"/>
    <w:rsid w:val="00D50E87"/>
    <w:rsid w:val="00D50F05"/>
    <w:rsid w:val="00D51A8A"/>
    <w:rsid w:val="00D51D5F"/>
    <w:rsid w:val="00D51F50"/>
    <w:rsid w:val="00D521B4"/>
    <w:rsid w:val="00D522E9"/>
    <w:rsid w:val="00D52357"/>
    <w:rsid w:val="00D52440"/>
    <w:rsid w:val="00D52652"/>
    <w:rsid w:val="00D5268A"/>
    <w:rsid w:val="00D527BB"/>
    <w:rsid w:val="00D52D1A"/>
    <w:rsid w:val="00D52DB7"/>
    <w:rsid w:val="00D52E45"/>
    <w:rsid w:val="00D52F17"/>
    <w:rsid w:val="00D52F2E"/>
    <w:rsid w:val="00D52F9C"/>
    <w:rsid w:val="00D530BC"/>
    <w:rsid w:val="00D53230"/>
    <w:rsid w:val="00D53294"/>
    <w:rsid w:val="00D53306"/>
    <w:rsid w:val="00D533C2"/>
    <w:rsid w:val="00D53403"/>
    <w:rsid w:val="00D53457"/>
    <w:rsid w:val="00D53488"/>
    <w:rsid w:val="00D53A5C"/>
    <w:rsid w:val="00D53C0C"/>
    <w:rsid w:val="00D53FCA"/>
    <w:rsid w:val="00D5406A"/>
    <w:rsid w:val="00D543B4"/>
    <w:rsid w:val="00D54487"/>
    <w:rsid w:val="00D544F6"/>
    <w:rsid w:val="00D54975"/>
    <w:rsid w:val="00D54EA7"/>
    <w:rsid w:val="00D55053"/>
    <w:rsid w:val="00D555E8"/>
    <w:rsid w:val="00D55650"/>
    <w:rsid w:val="00D55D1F"/>
    <w:rsid w:val="00D563FD"/>
    <w:rsid w:val="00D564C8"/>
    <w:rsid w:val="00D565B0"/>
    <w:rsid w:val="00D566C2"/>
    <w:rsid w:val="00D56717"/>
    <w:rsid w:val="00D568C0"/>
    <w:rsid w:val="00D56CDC"/>
    <w:rsid w:val="00D56CE4"/>
    <w:rsid w:val="00D5715F"/>
    <w:rsid w:val="00D5732B"/>
    <w:rsid w:val="00D5737C"/>
    <w:rsid w:val="00D578DF"/>
    <w:rsid w:val="00D57AE7"/>
    <w:rsid w:val="00D57B90"/>
    <w:rsid w:val="00D57DE2"/>
    <w:rsid w:val="00D57F22"/>
    <w:rsid w:val="00D57F6E"/>
    <w:rsid w:val="00D600FE"/>
    <w:rsid w:val="00D604F0"/>
    <w:rsid w:val="00D604F2"/>
    <w:rsid w:val="00D6097B"/>
    <w:rsid w:val="00D60AD9"/>
    <w:rsid w:val="00D60F46"/>
    <w:rsid w:val="00D61017"/>
    <w:rsid w:val="00D612C8"/>
    <w:rsid w:val="00D6156E"/>
    <w:rsid w:val="00D61704"/>
    <w:rsid w:val="00D619F6"/>
    <w:rsid w:val="00D61AC0"/>
    <w:rsid w:val="00D61B55"/>
    <w:rsid w:val="00D61D6A"/>
    <w:rsid w:val="00D61E9E"/>
    <w:rsid w:val="00D62615"/>
    <w:rsid w:val="00D62844"/>
    <w:rsid w:val="00D6292C"/>
    <w:rsid w:val="00D62B5B"/>
    <w:rsid w:val="00D62DFC"/>
    <w:rsid w:val="00D62F09"/>
    <w:rsid w:val="00D63D03"/>
    <w:rsid w:val="00D63E91"/>
    <w:rsid w:val="00D6412D"/>
    <w:rsid w:val="00D643C0"/>
    <w:rsid w:val="00D6451F"/>
    <w:rsid w:val="00D646BF"/>
    <w:rsid w:val="00D64740"/>
    <w:rsid w:val="00D64844"/>
    <w:rsid w:val="00D649E9"/>
    <w:rsid w:val="00D64BA9"/>
    <w:rsid w:val="00D64C4D"/>
    <w:rsid w:val="00D64EF5"/>
    <w:rsid w:val="00D652DF"/>
    <w:rsid w:val="00D656A9"/>
    <w:rsid w:val="00D65791"/>
    <w:rsid w:val="00D657BB"/>
    <w:rsid w:val="00D658D0"/>
    <w:rsid w:val="00D65A20"/>
    <w:rsid w:val="00D65C81"/>
    <w:rsid w:val="00D66229"/>
    <w:rsid w:val="00D66901"/>
    <w:rsid w:val="00D66902"/>
    <w:rsid w:val="00D66970"/>
    <w:rsid w:val="00D66CEE"/>
    <w:rsid w:val="00D66E93"/>
    <w:rsid w:val="00D673FD"/>
    <w:rsid w:val="00D67673"/>
    <w:rsid w:val="00D67A31"/>
    <w:rsid w:val="00D67B2E"/>
    <w:rsid w:val="00D67D48"/>
    <w:rsid w:val="00D70282"/>
    <w:rsid w:val="00D7063B"/>
    <w:rsid w:val="00D706CA"/>
    <w:rsid w:val="00D709B1"/>
    <w:rsid w:val="00D709F0"/>
    <w:rsid w:val="00D70EB7"/>
    <w:rsid w:val="00D70FB9"/>
    <w:rsid w:val="00D711EC"/>
    <w:rsid w:val="00D71335"/>
    <w:rsid w:val="00D716E1"/>
    <w:rsid w:val="00D718EC"/>
    <w:rsid w:val="00D71953"/>
    <w:rsid w:val="00D7216B"/>
    <w:rsid w:val="00D722A0"/>
    <w:rsid w:val="00D72369"/>
    <w:rsid w:val="00D72383"/>
    <w:rsid w:val="00D7248D"/>
    <w:rsid w:val="00D7251F"/>
    <w:rsid w:val="00D7257D"/>
    <w:rsid w:val="00D727A2"/>
    <w:rsid w:val="00D7298D"/>
    <w:rsid w:val="00D72C71"/>
    <w:rsid w:val="00D72D67"/>
    <w:rsid w:val="00D73230"/>
    <w:rsid w:val="00D73656"/>
    <w:rsid w:val="00D738BD"/>
    <w:rsid w:val="00D738CA"/>
    <w:rsid w:val="00D73E59"/>
    <w:rsid w:val="00D74124"/>
    <w:rsid w:val="00D74352"/>
    <w:rsid w:val="00D74BE7"/>
    <w:rsid w:val="00D74F98"/>
    <w:rsid w:val="00D755B1"/>
    <w:rsid w:val="00D75759"/>
    <w:rsid w:val="00D75813"/>
    <w:rsid w:val="00D75B39"/>
    <w:rsid w:val="00D75E4A"/>
    <w:rsid w:val="00D75F12"/>
    <w:rsid w:val="00D760F0"/>
    <w:rsid w:val="00D76182"/>
    <w:rsid w:val="00D7618C"/>
    <w:rsid w:val="00D7621E"/>
    <w:rsid w:val="00D76698"/>
    <w:rsid w:val="00D7688F"/>
    <w:rsid w:val="00D773A4"/>
    <w:rsid w:val="00D7771A"/>
    <w:rsid w:val="00D77BE6"/>
    <w:rsid w:val="00D77DE3"/>
    <w:rsid w:val="00D803A9"/>
    <w:rsid w:val="00D806ED"/>
    <w:rsid w:val="00D80736"/>
    <w:rsid w:val="00D80A02"/>
    <w:rsid w:val="00D80E3E"/>
    <w:rsid w:val="00D810CA"/>
    <w:rsid w:val="00D81106"/>
    <w:rsid w:val="00D81608"/>
    <w:rsid w:val="00D81A50"/>
    <w:rsid w:val="00D81C5E"/>
    <w:rsid w:val="00D820F9"/>
    <w:rsid w:val="00D82E5E"/>
    <w:rsid w:val="00D83056"/>
    <w:rsid w:val="00D83097"/>
    <w:rsid w:val="00D83325"/>
    <w:rsid w:val="00D833AA"/>
    <w:rsid w:val="00D833FE"/>
    <w:rsid w:val="00D8340F"/>
    <w:rsid w:val="00D8354C"/>
    <w:rsid w:val="00D8375A"/>
    <w:rsid w:val="00D839FC"/>
    <w:rsid w:val="00D83C1D"/>
    <w:rsid w:val="00D83C4B"/>
    <w:rsid w:val="00D83F01"/>
    <w:rsid w:val="00D83F77"/>
    <w:rsid w:val="00D84315"/>
    <w:rsid w:val="00D8435B"/>
    <w:rsid w:val="00D847E8"/>
    <w:rsid w:val="00D84B7C"/>
    <w:rsid w:val="00D84C12"/>
    <w:rsid w:val="00D84D56"/>
    <w:rsid w:val="00D84F4C"/>
    <w:rsid w:val="00D8529D"/>
    <w:rsid w:val="00D85320"/>
    <w:rsid w:val="00D85586"/>
    <w:rsid w:val="00D859AB"/>
    <w:rsid w:val="00D85B1B"/>
    <w:rsid w:val="00D85B75"/>
    <w:rsid w:val="00D85C2C"/>
    <w:rsid w:val="00D85CC3"/>
    <w:rsid w:val="00D85D26"/>
    <w:rsid w:val="00D85E76"/>
    <w:rsid w:val="00D86356"/>
    <w:rsid w:val="00D86438"/>
    <w:rsid w:val="00D86509"/>
    <w:rsid w:val="00D86513"/>
    <w:rsid w:val="00D868AC"/>
    <w:rsid w:val="00D86DEC"/>
    <w:rsid w:val="00D872D5"/>
    <w:rsid w:val="00D87583"/>
    <w:rsid w:val="00D8770A"/>
    <w:rsid w:val="00D8783F"/>
    <w:rsid w:val="00D8788C"/>
    <w:rsid w:val="00D87B21"/>
    <w:rsid w:val="00D87FC4"/>
    <w:rsid w:val="00D903F2"/>
    <w:rsid w:val="00D90AD4"/>
    <w:rsid w:val="00D90B5B"/>
    <w:rsid w:val="00D90D72"/>
    <w:rsid w:val="00D90F64"/>
    <w:rsid w:val="00D9172E"/>
    <w:rsid w:val="00D91818"/>
    <w:rsid w:val="00D9183B"/>
    <w:rsid w:val="00D918DE"/>
    <w:rsid w:val="00D91978"/>
    <w:rsid w:val="00D91990"/>
    <w:rsid w:val="00D91A95"/>
    <w:rsid w:val="00D91C15"/>
    <w:rsid w:val="00D91E6E"/>
    <w:rsid w:val="00D921FB"/>
    <w:rsid w:val="00D9285B"/>
    <w:rsid w:val="00D92940"/>
    <w:rsid w:val="00D929D3"/>
    <w:rsid w:val="00D92A12"/>
    <w:rsid w:val="00D92EDE"/>
    <w:rsid w:val="00D92FFF"/>
    <w:rsid w:val="00D930AC"/>
    <w:rsid w:val="00D930AF"/>
    <w:rsid w:val="00D93169"/>
    <w:rsid w:val="00D934BD"/>
    <w:rsid w:val="00D938B9"/>
    <w:rsid w:val="00D93A8E"/>
    <w:rsid w:val="00D93C55"/>
    <w:rsid w:val="00D9422F"/>
    <w:rsid w:val="00D94761"/>
    <w:rsid w:val="00D949CB"/>
    <w:rsid w:val="00D951AE"/>
    <w:rsid w:val="00D9548B"/>
    <w:rsid w:val="00D954CB"/>
    <w:rsid w:val="00D9552A"/>
    <w:rsid w:val="00D95545"/>
    <w:rsid w:val="00D955A0"/>
    <w:rsid w:val="00D95969"/>
    <w:rsid w:val="00D95B0C"/>
    <w:rsid w:val="00D95B4D"/>
    <w:rsid w:val="00D95CAD"/>
    <w:rsid w:val="00D964E8"/>
    <w:rsid w:val="00D96840"/>
    <w:rsid w:val="00D96921"/>
    <w:rsid w:val="00D96D9B"/>
    <w:rsid w:val="00D97130"/>
    <w:rsid w:val="00D9726F"/>
    <w:rsid w:val="00D9741C"/>
    <w:rsid w:val="00D97F08"/>
    <w:rsid w:val="00DA0078"/>
    <w:rsid w:val="00DA080D"/>
    <w:rsid w:val="00DA0A1E"/>
    <w:rsid w:val="00DA0B2C"/>
    <w:rsid w:val="00DA0B94"/>
    <w:rsid w:val="00DA1080"/>
    <w:rsid w:val="00DA1466"/>
    <w:rsid w:val="00DA14FE"/>
    <w:rsid w:val="00DA1CB1"/>
    <w:rsid w:val="00DA1EF4"/>
    <w:rsid w:val="00DA261B"/>
    <w:rsid w:val="00DA2673"/>
    <w:rsid w:val="00DA26E5"/>
    <w:rsid w:val="00DA27B9"/>
    <w:rsid w:val="00DA2A4C"/>
    <w:rsid w:val="00DA2BE3"/>
    <w:rsid w:val="00DA2C6A"/>
    <w:rsid w:val="00DA3144"/>
    <w:rsid w:val="00DA3146"/>
    <w:rsid w:val="00DA37B1"/>
    <w:rsid w:val="00DA3C76"/>
    <w:rsid w:val="00DA3CEC"/>
    <w:rsid w:val="00DA3D92"/>
    <w:rsid w:val="00DA4197"/>
    <w:rsid w:val="00DA42DC"/>
    <w:rsid w:val="00DA4399"/>
    <w:rsid w:val="00DA443B"/>
    <w:rsid w:val="00DA4AE1"/>
    <w:rsid w:val="00DA4C06"/>
    <w:rsid w:val="00DA5074"/>
    <w:rsid w:val="00DA5300"/>
    <w:rsid w:val="00DA58E8"/>
    <w:rsid w:val="00DA5C72"/>
    <w:rsid w:val="00DA5CD2"/>
    <w:rsid w:val="00DA5FF9"/>
    <w:rsid w:val="00DA60E2"/>
    <w:rsid w:val="00DA62D1"/>
    <w:rsid w:val="00DA6EFC"/>
    <w:rsid w:val="00DA6FB5"/>
    <w:rsid w:val="00DA7310"/>
    <w:rsid w:val="00DA7458"/>
    <w:rsid w:val="00DA74A2"/>
    <w:rsid w:val="00DA7558"/>
    <w:rsid w:val="00DA764C"/>
    <w:rsid w:val="00DA7701"/>
    <w:rsid w:val="00DA7977"/>
    <w:rsid w:val="00DA79C4"/>
    <w:rsid w:val="00DA7D79"/>
    <w:rsid w:val="00DB027A"/>
    <w:rsid w:val="00DB02A1"/>
    <w:rsid w:val="00DB03CA"/>
    <w:rsid w:val="00DB0712"/>
    <w:rsid w:val="00DB07E6"/>
    <w:rsid w:val="00DB09CA"/>
    <w:rsid w:val="00DB09E9"/>
    <w:rsid w:val="00DB0A20"/>
    <w:rsid w:val="00DB0A85"/>
    <w:rsid w:val="00DB1023"/>
    <w:rsid w:val="00DB11AA"/>
    <w:rsid w:val="00DB125A"/>
    <w:rsid w:val="00DB1F68"/>
    <w:rsid w:val="00DB1F6C"/>
    <w:rsid w:val="00DB21DC"/>
    <w:rsid w:val="00DB2498"/>
    <w:rsid w:val="00DB251A"/>
    <w:rsid w:val="00DB26AD"/>
    <w:rsid w:val="00DB27D1"/>
    <w:rsid w:val="00DB2F73"/>
    <w:rsid w:val="00DB37B7"/>
    <w:rsid w:val="00DB3A1F"/>
    <w:rsid w:val="00DB3E74"/>
    <w:rsid w:val="00DB4046"/>
    <w:rsid w:val="00DB4055"/>
    <w:rsid w:val="00DB4291"/>
    <w:rsid w:val="00DB4562"/>
    <w:rsid w:val="00DB4BDF"/>
    <w:rsid w:val="00DB5053"/>
    <w:rsid w:val="00DB519A"/>
    <w:rsid w:val="00DB51A5"/>
    <w:rsid w:val="00DB5251"/>
    <w:rsid w:val="00DB5365"/>
    <w:rsid w:val="00DB5479"/>
    <w:rsid w:val="00DB5541"/>
    <w:rsid w:val="00DB5DCB"/>
    <w:rsid w:val="00DB6183"/>
    <w:rsid w:val="00DB61A3"/>
    <w:rsid w:val="00DB627A"/>
    <w:rsid w:val="00DB6665"/>
    <w:rsid w:val="00DB6A4A"/>
    <w:rsid w:val="00DB6A92"/>
    <w:rsid w:val="00DB6CB5"/>
    <w:rsid w:val="00DB704F"/>
    <w:rsid w:val="00DB7082"/>
    <w:rsid w:val="00DB7257"/>
    <w:rsid w:val="00DB7372"/>
    <w:rsid w:val="00DB746F"/>
    <w:rsid w:val="00DB7480"/>
    <w:rsid w:val="00DB748B"/>
    <w:rsid w:val="00DB7C64"/>
    <w:rsid w:val="00DB7F8A"/>
    <w:rsid w:val="00DC0692"/>
    <w:rsid w:val="00DC0889"/>
    <w:rsid w:val="00DC09B8"/>
    <w:rsid w:val="00DC0A5C"/>
    <w:rsid w:val="00DC0E5E"/>
    <w:rsid w:val="00DC1010"/>
    <w:rsid w:val="00DC1217"/>
    <w:rsid w:val="00DC14F0"/>
    <w:rsid w:val="00DC1728"/>
    <w:rsid w:val="00DC190C"/>
    <w:rsid w:val="00DC1ACC"/>
    <w:rsid w:val="00DC1B31"/>
    <w:rsid w:val="00DC1BC1"/>
    <w:rsid w:val="00DC1BF7"/>
    <w:rsid w:val="00DC1D0A"/>
    <w:rsid w:val="00DC1E19"/>
    <w:rsid w:val="00DC232E"/>
    <w:rsid w:val="00DC2683"/>
    <w:rsid w:val="00DC2EAE"/>
    <w:rsid w:val="00DC3092"/>
    <w:rsid w:val="00DC3577"/>
    <w:rsid w:val="00DC35ED"/>
    <w:rsid w:val="00DC36C3"/>
    <w:rsid w:val="00DC385B"/>
    <w:rsid w:val="00DC3C99"/>
    <w:rsid w:val="00DC4183"/>
    <w:rsid w:val="00DC42F1"/>
    <w:rsid w:val="00DC436A"/>
    <w:rsid w:val="00DC4494"/>
    <w:rsid w:val="00DC4695"/>
    <w:rsid w:val="00DC471C"/>
    <w:rsid w:val="00DC48A5"/>
    <w:rsid w:val="00DC4B2F"/>
    <w:rsid w:val="00DC500A"/>
    <w:rsid w:val="00DC5106"/>
    <w:rsid w:val="00DC53E2"/>
    <w:rsid w:val="00DC5AB8"/>
    <w:rsid w:val="00DC5AEB"/>
    <w:rsid w:val="00DC5CF9"/>
    <w:rsid w:val="00DC6342"/>
    <w:rsid w:val="00DC6373"/>
    <w:rsid w:val="00DC6852"/>
    <w:rsid w:val="00DC69C7"/>
    <w:rsid w:val="00DC6EFA"/>
    <w:rsid w:val="00DC6FF1"/>
    <w:rsid w:val="00DC70B7"/>
    <w:rsid w:val="00DC711E"/>
    <w:rsid w:val="00DC798B"/>
    <w:rsid w:val="00DC7AF2"/>
    <w:rsid w:val="00DC7BB7"/>
    <w:rsid w:val="00DC7F61"/>
    <w:rsid w:val="00DD00FF"/>
    <w:rsid w:val="00DD026C"/>
    <w:rsid w:val="00DD06B4"/>
    <w:rsid w:val="00DD0951"/>
    <w:rsid w:val="00DD0BDC"/>
    <w:rsid w:val="00DD0DEF"/>
    <w:rsid w:val="00DD0EA1"/>
    <w:rsid w:val="00DD158F"/>
    <w:rsid w:val="00DD168D"/>
    <w:rsid w:val="00DD1758"/>
    <w:rsid w:val="00DD1869"/>
    <w:rsid w:val="00DD1941"/>
    <w:rsid w:val="00DD1BAA"/>
    <w:rsid w:val="00DD1BF6"/>
    <w:rsid w:val="00DD1C45"/>
    <w:rsid w:val="00DD247A"/>
    <w:rsid w:val="00DD24FB"/>
    <w:rsid w:val="00DD2583"/>
    <w:rsid w:val="00DD2D74"/>
    <w:rsid w:val="00DD2E1B"/>
    <w:rsid w:val="00DD3197"/>
    <w:rsid w:val="00DD33A5"/>
    <w:rsid w:val="00DD375C"/>
    <w:rsid w:val="00DD400F"/>
    <w:rsid w:val="00DD413D"/>
    <w:rsid w:val="00DD43BA"/>
    <w:rsid w:val="00DD45F2"/>
    <w:rsid w:val="00DD4813"/>
    <w:rsid w:val="00DD489F"/>
    <w:rsid w:val="00DD4954"/>
    <w:rsid w:val="00DD4B45"/>
    <w:rsid w:val="00DD4B9D"/>
    <w:rsid w:val="00DD4DD6"/>
    <w:rsid w:val="00DD5111"/>
    <w:rsid w:val="00DD5172"/>
    <w:rsid w:val="00DD5924"/>
    <w:rsid w:val="00DD5953"/>
    <w:rsid w:val="00DD5C06"/>
    <w:rsid w:val="00DD5D04"/>
    <w:rsid w:val="00DD5D26"/>
    <w:rsid w:val="00DD5FD6"/>
    <w:rsid w:val="00DD61BE"/>
    <w:rsid w:val="00DD6360"/>
    <w:rsid w:val="00DD65AC"/>
    <w:rsid w:val="00DD687F"/>
    <w:rsid w:val="00DD6A95"/>
    <w:rsid w:val="00DD6CCC"/>
    <w:rsid w:val="00DD7018"/>
    <w:rsid w:val="00DD7021"/>
    <w:rsid w:val="00DD7033"/>
    <w:rsid w:val="00DD70AA"/>
    <w:rsid w:val="00DD7377"/>
    <w:rsid w:val="00DD763F"/>
    <w:rsid w:val="00DD7690"/>
    <w:rsid w:val="00DDB81F"/>
    <w:rsid w:val="00DE00B8"/>
    <w:rsid w:val="00DE01D9"/>
    <w:rsid w:val="00DE03A0"/>
    <w:rsid w:val="00DE053C"/>
    <w:rsid w:val="00DE0B45"/>
    <w:rsid w:val="00DE0CC1"/>
    <w:rsid w:val="00DE0D77"/>
    <w:rsid w:val="00DE0E4A"/>
    <w:rsid w:val="00DE1221"/>
    <w:rsid w:val="00DE1718"/>
    <w:rsid w:val="00DE1C26"/>
    <w:rsid w:val="00DE22D1"/>
    <w:rsid w:val="00DE2636"/>
    <w:rsid w:val="00DE2C94"/>
    <w:rsid w:val="00DE2E8B"/>
    <w:rsid w:val="00DE3059"/>
    <w:rsid w:val="00DE310D"/>
    <w:rsid w:val="00DE3261"/>
    <w:rsid w:val="00DE3271"/>
    <w:rsid w:val="00DE351C"/>
    <w:rsid w:val="00DE38EF"/>
    <w:rsid w:val="00DE3916"/>
    <w:rsid w:val="00DE3B51"/>
    <w:rsid w:val="00DE3C39"/>
    <w:rsid w:val="00DE3D5D"/>
    <w:rsid w:val="00DE4168"/>
    <w:rsid w:val="00DE41F3"/>
    <w:rsid w:val="00DE436A"/>
    <w:rsid w:val="00DE49E4"/>
    <w:rsid w:val="00DE4B54"/>
    <w:rsid w:val="00DE4D72"/>
    <w:rsid w:val="00DE4D9E"/>
    <w:rsid w:val="00DE5078"/>
    <w:rsid w:val="00DE509E"/>
    <w:rsid w:val="00DE52EB"/>
    <w:rsid w:val="00DE5362"/>
    <w:rsid w:val="00DE56E7"/>
    <w:rsid w:val="00DE5B6C"/>
    <w:rsid w:val="00DE6299"/>
    <w:rsid w:val="00DE6632"/>
    <w:rsid w:val="00DE6777"/>
    <w:rsid w:val="00DE6A34"/>
    <w:rsid w:val="00DE6CF8"/>
    <w:rsid w:val="00DE71B6"/>
    <w:rsid w:val="00DE7A31"/>
    <w:rsid w:val="00DE7A66"/>
    <w:rsid w:val="00DE7A77"/>
    <w:rsid w:val="00DE7C20"/>
    <w:rsid w:val="00DE7C81"/>
    <w:rsid w:val="00DE7C9B"/>
    <w:rsid w:val="00DE7E0F"/>
    <w:rsid w:val="00DF0209"/>
    <w:rsid w:val="00DF07CD"/>
    <w:rsid w:val="00DF0957"/>
    <w:rsid w:val="00DF099A"/>
    <w:rsid w:val="00DF0B22"/>
    <w:rsid w:val="00DF0C68"/>
    <w:rsid w:val="00DF0CE3"/>
    <w:rsid w:val="00DF0D84"/>
    <w:rsid w:val="00DF0EAF"/>
    <w:rsid w:val="00DF0F97"/>
    <w:rsid w:val="00DF1169"/>
    <w:rsid w:val="00DF11CA"/>
    <w:rsid w:val="00DF185B"/>
    <w:rsid w:val="00DF18EF"/>
    <w:rsid w:val="00DF1B1B"/>
    <w:rsid w:val="00DF2149"/>
    <w:rsid w:val="00DF2152"/>
    <w:rsid w:val="00DF2947"/>
    <w:rsid w:val="00DF2974"/>
    <w:rsid w:val="00DF2B4B"/>
    <w:rsid w:val="00DF2B9E"/>
    <w:rsid w:val="00DF2D49"/>
    <w:rsid w:val="00DF2D4F"/>
    <w:rsid w:val="00DF2DCE"/>
    <w:rsid w:val="00DF3005"/>
    <w:rsid w:val="00DF30BA"/>
    <w:rsid w:val="00DF324C"/>
    <w:rsid w:val="00DF35C3"/>
    <w:rsid w:val="00DF3D3F"/>
    <w:rsid w:val="00DF3FEC"/>
    <w:rsid w:val="00DF40A2"/>
    <w:rsid w:val="00DF45B6"/>
    <w:rsid w:val="00DF49CC"/>
    <w:rsid w:val="00DF4C89"/>
    <w:rsid w:val="00DF4CC2"/>
    <w:rsid w:val="00DF4D11"/>
    <w:rsid w:val="00DF4FE5"/>
    <w:rsid w:val="00DF5189"/>
    <w:rsid w:val="00DF51C2"/>
    <w:rsid w:val="00DF5354"/>
    <w:rsid w:val="00DF560E"/>
    <w:rsid w:val="00DF5835"/>
    <w:rsid w:val="00DF5A67"/>
    <w:rsid w:val="00DF5C52"/>
    <w:rsid w:val="00DF5F19"/>
    <w:rsid w:val="00DF60CE"/>
    <w:rsid w:val="00DF6339"/>
    <w:rsid w:val="00DF647A"/>
    <w:rsid w:val="00DF652E"/>
    <w:rsid w:val="00DF66C7"/>
    <w:rsid w:val="00DF68D1"/>
    <w:rsid w:val="00DF6CE3"/>
    <w:rsid w:val="00DF6F6B"/>
    <w:rsid w:val="00DF7143"/>
    <w:rsid w:val="00DF7521"/>
    <w:rsid w:val="00DF7614"/>
    <w:rsid w:val="00DF7778"/>
    <w:rsid w:val="00DF7CF7"/>
    <w:rsid w:val="00E005F6"/>
    <w:rsid w:val="00E00929"/>
    <w:rsid w:val="00E00952"/>
    <w:rsid w:val="00E00A81"/>
    <w:rsid w:val="00E00DD5"/>
    <w:rsid w:val="00E00F45"/>
    <w:rsid w:val="00E00FAE"/>
    <w:rsid w:val="00E012DF"/>
    <w:rsid w:val="00E015B2"/>
    <w:rsid w:val="00E01E79"/>
    <w:rsid w:val="00E022DC"/>
    <w:rsid w:val="00E02356"/>
    <w:rsid w:val="00E028A6"/>
    <w:rsid w:val="00E0290E"/>
    <w:rsid w:val="00E029C1"/>
    <w:rsid w:val="00E02C8B"/>
    <w:rsid w:val="00E02D20"/>
    <w:rsid w:val="00E02EBC"/>
    <w:rsid w:val="00E030FC"/>
    <w:rsid w:val="00E03216"/>
    <w:rsid w:val="00E03470"/>
    <w:rsid w:val="00E036A0"/>
    <w:rsid w:val="00E03757"/>
    <w:rsid w:val="00E0384C"/>
    <w:rsid w:val="00E03BEB"/>
    <w:rsid w:val="00E03D63"/>
    <w:rsid w:val="00E03D8A"/>
    <w:rsid w:val="00E03DC3"/>
    <w:rsid w:val="00E03EDD"/>
    <w:rsid w:val="00E03F6C"/>
    <w:rsid w:val="00E04048"/>
    <w:rsid w:val="00E040C6"/>
    <w:rsid w:val="00E040FA"/>
    <w:rsid w:val="00E0437F"/>
    <w:rsid w:val="00E0438C"/>
    <w:rsid w:val="00E049FC"/>
    <w:rsid w:val="00E04A5A"/>
    <w:rsid w:val="00E04D3C"/>
    <w:rsid w:val="00E04DCB"/>
    <w:rsid w:val="00E04F4F"/>
    <w:rsid w:val="00E04F66"/>
    <w:rsid w:val="00E04F72"/>
    <w:rsid w:val="00E05060"/>
    <w:rsid w:val="00E05163"/>
    <w:rsid w:val="00E05376"/>
    <w:rsid w:val="00E055E0"/>
    <w:rsid w:val="00E05985"/>
    <w:rsid w:val="00E05C9E"/>
    <w:rsid w:val="00E05CD1"/>
    <w:rsid w:val="00E05FA3"/>
    <w:rsid w:val="00E064E0"/>
    <w:rsid w:val="00E0695D"/>
    <w:rsid w:val="00E06D10"/>
    <w:rsid w:val="00E06DD5"/>
    <w:rsid w:val="00E070B6"/>
    <w:rsid w:val="00E074E8"/>
    <w:rsid w:val="00E0762D"/>
    <w:rsid w:val="00E076A9"/>
    <w:rsid w:val="00E07767"/>
    <w:rsid w:val="00E07AAD"/>
    <w:rsid w:val="00E07D67"/>
    <w:rsid w:val="00E07E54"/>
    <w:rsid w:val="00E1015A"/>
    <w:rsid w:val="00E102BC"/>
    <w:rsid w:val="00E10628"/>
    <w:rsid w:val="00E106B2"/>
    <w:rsid w:val="00E108D5"/>
    <w:rsid w:val="00E10C0A"/>
    <w:rsid w:val="00E10D09"/>
    <w:rsid w:val="00E10D77"/>
    <w:rsid w:val="00E10D86"/>
    <w:rsid w:val="00E10DBC"/>
    <w:rsid w:val="00E111E3"/>
    <w:rsid w:val="00E11428"/>
    <w:rsid w:val="00E114E3"/>
    <w:rsid w:val="00E116E8"/>
    <w:rsid w:val="00E1185E"/>
    <w:rsid w:val="00E119A2"/>
    <w:rsid w:val="00E11C2C"/>
    <w:rsid w:val="00E11D6B"/>
    <w:rsid w:val="00E1205C"/>
    <w:rsid w:val="00E122A3"/>
    <w:rsid w:val="00E12449"/>
    <w:rsid w:val="00E1245C"/>
    <w:rsid w:val="00E12A57"/>
    <w:rsid w:val="00E12B9D"/>
    <w:rsid w:val="00E12ED6"/>
    <w:rsid w:val="00E12FFF"/>
    <w:rsid w:val="00E135A4"/>
    <w:rsid w:val="00E1378E"/>
    <w:rsid w:val="00E13B02"/>
    <w:rsid w:val="00E13F17"/>
    <w:rsid w:val="00E14073"/>
    <w:rsid w:val="00E14134"/>
    <w:rsid w:val="00E14397"/>
    <w:rsid w:val="00E145E5"/>
    <w:rsid w:val="00E1463A"/>
    <w:rsid w:val="00E147C7"/>
    <w:rsid w:val="00E14809"/>
    <w:rsid w:val="00E14860"/>
    <w:rsid w:val="00E149CC"/>
    <w:rsid w:val="00E149E6"/>
    <w:rsid w:val="00E14AB5"/>
    <w:rsid w:val="00E14BE6"/>
    <w:rsid w:val="00E14D97"/>
    <w:rsid w:val="00E14E0A"/>
    <w:rsid w:val="00E15149"/>
    <w:rsid w:val="00E15483"/>
    <w:rsid w:val="00E155A3"/>
    <w:rsid w:val="00E156B1"/>
    <w:rsid w:val="00E156D3"/>
    <w:rsid w:val="00E15945"/>
    <w:rsid w:val="00E15E8E"/>
    <w:rsid w:val="00E15FC0"/>
    <w:rsid w:val="00E16035"/>
    <w:rsid w:val="00E1659E"/>
    <w:rsid w:val="00E16661"/>
    <w:rsid w:val="00E16800"/>
    <w:rsid w:val="00E16B03"/>
    <w:rsid w:val="00E16DA2"/>
    <w:rsid w:val="00E17150"/>
    <w:rsid w:val="00E1715A"/>
    <w:rsid w:val="00E172A3"/>
    <w:rsid w:val="00E17872"/>
    <w:rsid w:val="00E179D5"/>
    <w:rsid w:val="00E17A98"/>
    <w:rsid w:val="00E201BB"/>
    <w:rsid w:val="00E20269"/>
    <w:rsid w:val="00E20776"/>
    <w:rsid w:val="00E2079D"/>
    <w:rsid w:val="00E20879"/>
    <w:rsid w:val="00E211D8"/>
    <w:rsid w:val="00E21FDD"/>
    <w:rsid w:val="00E224CB"/>
    <w:rsid w:val="00E22789"/>
    <w:rsid w:val="00E22AFE"/>
    <w:rsid w:val="00E22C9B"/>
    <w:rsid w:val="00E23046"/>
    <w:rsid w:val="00E23457"/>
    <w:rsid w:val="00E234D9"/>
    <w:rsid w:val="00E23610"/>
    <w:rsid w:val="00E23A6C"/>
    <w:rsid w:val="00E23C0C"/>
    <w:rsid w:val="00E23F72"/>
    <w:rsid w:val="00E241FD"/>
    <w:rsid w:val="00E246C7"/>
    <w:rsid w:val="00E2472D"/>
    <w:rsid w:val="00E2486B"/>
    <w:rsid w:val="00E24D84"/>
    <w:rsid w:val="00E25188"/>
    <w:rsid w:val="00E252CF"/>
    <w:rsid w:val="00E25DF2"/>
    <w:rsid w:val="00E25E4A"/>
    <w:rsid w:val="00E26089"/>
    <w:rsid w:val="00E2626E"/>
    <w:rsid w:val="00E2644A"/>
    <w:rsid w:val="00E264EA"/>
    <w:rsid w:val="00E264F6"/>
    <w:rsid w:val="00E26AC0"/>
    <w:rsid w:val="00E26B8B"/>
    <w:rsid w:val="00E26B8F"/>
    <w:rsid w:val="00E26C8D"/>
    <w:rsid w:val="00E26FB5"/>
    <w:rsid w:val="00E270B9"/>
    <w:rsid w:val="00E270EC"/>
    <w:rsid w:val="00E271A9"/>
    <w:rsid w:val="00E277BE"/>
    <w:rsid w:val="00E27AE2"/>
    <w:rsid w:val="00E27B43"/>
    <w:rsid w:val="00E27B75"/>
    <w:rsid w:val="00E27E5F"/>
    <w:rsid w:val="00E27EFF"/>
    <w:rsid w:val="00E30075"/>
    <w:rsid w:val="00E300B4"/>
    <w:rsid w:val="00E3011C"/>
    <w:rsid w:val="00E3064C"/>
    <w:rsid w:val="00E30A40"/>
    <w:rsid w:val="00E30C1D"/>
    <w:rsid w:val="00E31062"/>
    <w:rsid w:val="00E3108B"/>
    <w:rsid w:val="00E31092"/>
    <w:rsid w:val="00E31167"/>
    <w:rsid w:val="00E314FB"/>
    <w:rsid w:val="00E31542"/>
    <w:rsid w:val="00E315BC"/>
    <w:rsid w:val="00E315D5"/>
    <w:rsid w:val="00E315E7"/>
    <w:rsid w:val="00E31620"/>
    <w:rsid w:val="00E3166F"/>
    <w:rsid w:val="00E317D2"/>
    <w:rsid w:val="00E31896"/>
    <w:rsid w:val="00E318D7"/>
    <w:rsid w:val="00E318EE"/>
    <w:rsid w:val="00E3230B"/>
    <w:rsid w:val="00E325C3"/>
    <w:rsid w:val="00E327C2"/>
    <w:rsid w:val="00E3285D"/>
    <w:rsid w:val="00E328C7"/>
    <w:rsid w:val="00E32DED"/>
    <w:rsid w:val="00E32E72"/>
    <w:rsid w:val="00E331FE"/>
    <w:rsid w:val="00E332D5"/>
    <w:rsid w:val="00E335DF"/>
    <w:rsid w:val="00E33601"/>
    <w:rsid w:val="00E33630"/>
    <w:rsid w:val="00E3370A"/>
    <w:rsid w:val="00E33A44"/>
    <w:rsid w:val="00E33A66"/>
    <w:rsid w:val="00E33B8A"/>
    <w:rsid w:val="00E33E0F"/>
    <w:rsid w:val="00E33F10"/>
    <w:rsid w:val="00E33F39"/>
    <w:rsid w:val="00E342EB"/>
    <w:rsid w:val="00E34591"/>
    <w:rsid w:val="00E34982"/>
    <w:rsid w:val="00E34AA0"/>
    <w:rsid w:val="00E35193"/>
    <w:rsid w:val="00E35258"/>
    <w:rsid w:val="00E35337"/>
    <w:rsid w:val="00E354A7"/>
    <w:rsid w:val="00E35537"/>
    <w:rsid w:val="00E35696"/>
    <w:rsid w:val="00E357DD"/>
    <w:rsid w:val="00E35937"/>
    <w:rsid w:val="00E359AF"/>
    <w:rsid w:val="00E35F27"/>
    <w:rsid w:val="00E35FA0"/>
    <w:rsid w:val="00E36292"/>
    <w:rsid w:val="00E364AD"/>
    <w:rsid w:val="00E36512"/>
    <w:rsid w:val="00E3691E"/>
    <w:rsid w:val="00E36E0E"/>
    <w:rsid w:val="00E3732B"/>
    <w:rsid w:val="00E3756A"/>
    <w:rsid w:val="00E37601"/>
    <w:rsid w:val="00E376B4"/>
    <w:rsid w:val="00E37779"/>
    <w:rsid w:val="00E37832"/>
    <w:rsid w:val="00E37B45"/>
    <w:rsid w:val="00E37C72"/>
    <w:rsid w:val="00E37F68"/>
    <w:rsid w:val="00E37FC5"/>
    <w:rsid w:val="00E40362"/>
    <w:rsid w:val="00E40507"/>
    <w:rsid w:val="00E40667"/>
    <w:rsid w:val="00E408AE"/>
    <w:rsid w:val="00E408D7"/>
    <w:rsid w:val="00E40E90"/>
    <w:rsid w:val="00E41117"/>
    <w:rsid w:val="00E411B9"/>
    <w:rsid w:val="00E412F2"/>
    <w:rsid w:val="00E41483"/>
    <w:rsid w:val="00E4149A"/>
    <w:rsid w:val="00E4158A"/>
    <w:rsid w:val="00E415DD"/>
    <w:rsid w:val="00E416A3"/>
    <w:rsid w:val="00E41719"/>
    <w:rsid w:val="00E418F4"/>
    <w:rsid w:val="00E41E04"/>
    <w:rsid w:val="00E42028"/>
    <w:rsid w:val="00E4231B"/>
    <w:rsid w:val="00E426F4"/>
    <w:rsid w:val="00E428B4"/>
    <w:rsid w:val="00E429CE"/>
    <w:rsid w:val="00E42A0A"/>
    <w:rsid w:val="00E42B16"/>
    <w:rsid w:val="00E42DAF"/>
    <w:rsid w:val="00E42F0D"/>
    <w:rsid w:val="00E430D0"/>
    <w:rsid w:val="00E43152"/>
    <w:rsid w:val="00E4388C"/>
    <w:rsid w:val="00E43BB2"/>
    <w:rsid w:val="00E43BF5"/>
    <w:rsid w:val="00E43C03"/>
    <w:rsid w:val="00E43CB8"/>
    <w:rsid w:val="00E43D08"/>
    <w:rsid w:val="00E43D2A"/>
    <w:rsid w:val="00E44598"/>
    <w:rsid w:val="00E44B83"/>
    <w:rsid w:val="00E451C2"/>
    <w:rsid w:val="00E451C5"/>
    <w:rsid w:val="00E452F2"/>
    <w:rsid w:val="00E45598"/>
    <w:rsid w:val="00E455C2"/>
    <w:rsid w:val="00E45E6B"/>
    <w:rsid w:val="00E4609E"/>
    <w:rsid w:val="00E460D4"/>
    <w:rsid w:val="00E461BA"/>
    <w:rsid w:val="00E462F0"/>
    <w:rsid w:val="00E462F8"/>
    <w:rsid w:val="00E463BB"/>
    <w:rsid w:val="00E46597"/>
    <w:rsid w:val="00E468B4"/>
    <w:rsid w:val="00E468CD"/>
    <w:rsid w:val="00E469C4"/>
    <w:rsid w:val="00E46A4F"/>
    <w:rsid w:val="00E46CD1"/>
    <w:rsid w:val="00E46CE8"/>
    <w:rsid w:val="00E46E5A"/>
    <w:rsid w:val="00E46F12"/>
    <w:rsid w:val="00E4713E"/>
    <w:rsid w:val="00E4758F"/>
    <w:rsid w:val="00E475B8"/>
    <w:rsid w:val="00E476DB"/>
    <w:rsid w:val="00E478F5"/>
    <w:rsid w:val="00E47AB3"/>
    <w:rsid w:val="00E47AFA"/>
    <w:rsid w:val="00E47FA6"/>
    <w:rsid w:val="00E5000B"/>
    <w:rsid w:val="00E5015E"/>
    <w:rsid w:val="00E501A0"/>
    <w:rsid w:val="00E5077F"/>
    <w:rsid w:val="00E509C6"/>
    <w:rsid w:val="00E50ACD"/>
    <w:rsid w:val="00E50BC2"/>
    <w:rsid w:val="00E50DA9"/>
    <w:rsid w:val="00E50E9C"/>
    <w:rsid w:val="00E512E8"/>
    <w:rsid w:val="00E513D0"/>
    <w:rsid w:val="00E5174C"/>
    <w:rsid w:val="00E51E17"/>
    <w:rsid w:val="00E520E7"/>
    <w:rsid w:val="00E52112"/>
    <w:rsid w:val="00E5218A"/>
    <w:rsid w:val="00E52198"/>
    <w:rsid w:val="00E5224F"/>
    <w:rsid w:val="00E5234C"/>
    <w:rsid w:val="00E5268C"/>
    <w:rsid w:val="00E526D7"/>
    <w:rsid w:val="00E52727"/>
    <w:rsid w:val="00E53516"/>
    <w:rsid w:val="00E53823"/>
    <w:rsid w:val="00E5382D"/>
    <w:rsid w:val="00E53B8C"/>
    <w:rsid w:val="00E540A3"/>
    <w:rsid w:val="00E542AA"/>
    <w:rsid w:val="00E542DA"/>
    <w:rsid w:val="00E546EB"/>
    <w:rsid w:val="00E547B7"/>
    <w:rsid w:val="00E5494B"/>
    <w:rsid w:val="00E54B4A"/>
    <w:rsid w:val="00E54D68"/>
    <w:rsid w:val="00E54DFF"/>
    <w:rsid w:val="00E550BC"/>
    <w:rsid w:val="00E5511E"/>
    <w:rsid w:val="00E554E3"/>
    <w:rsid w:val="00E558FD"/>
    <w:rsid w:val="00E55A6D"/>
    <w:rsid w:val="00E55AC1"/>
    <w:rsid w:val="00E55CC5"/>
    <w:rsid w:val="00E55CD7"/>
    <w:rsid w:val="00E55DE9"/>
    <w:rsid w:val="00E56480"/>
    <w:rsid w:val="00E568C0"/>
    <w:rsid w:val="00E56AA5"/>
    <w:rsid w:val="00E56B02"/>
    <w:rsid w:val="00E56C27"/>
    <w:rsid w:val="00E56ECA"/>
    <w:rsid w:val="00E57173"/>
    <w:rsid w:val="00E5733C"/>
    <w:rsid w:val="00E573D4"/>
    <w:rsid w:val="00E60142"/>
    <w:rsid w:val="00E6015F"/>
    <w:rsid w:val="00E60348"/>
    <w:rsid w:val="00E6035C"/>
    <w:rsid w:val="00E60536"/>
    <w:rsid w:val="00E60663"/>
    <w:rsid w:val="00E607B7"/>
    <w:rsid w:val="00E607BF"/>
    <w:rsid w:val="00E608BD"/>
    <w:rsid w:val="00E60B72"/>
    <w:rsid w:val="00E60D96"/>
    <w:rsid w:val="00E60F0F"/>
    <w:rsid w:val="00E60F52"/>
    <w:rsid w:val="00E61097"/>
    <w:rsid w:val="00E6118D"/>
    <w:rsid w:val="00E61DEC"/>
    <w:rsid w:val="00E62139"/>
    <w:rsid w:val="00E62271"/>
    <w:rsid w:val="00E62841"/>
    <w:rsid w:val="00E63007"/>
    <w:rsid w:val="00E639A9"/>
    <w:rsid w:val="00E63A8E"/>
    <w:rsid w:val="00E63CE0"/>
    <w:rsid w:val="00E63EDA"/>
    <w:rsid w:val="00E6410E"/>
    <w:rsid w:val="00E641C4"/>
    <w:rsid w:val="00E64311"/>
    <w:rsid w:val="00E647B8"/>
    <w:rsid w:val="00E64848"/>
    <w:rsid w:val="00E64CED"/>
    <w:rsid w:val="00E64D50"/>
    <w:rsid w:val="00E64E90"/>
    <w:rsid w:val="00E64F63"/>
    <w:rsid w:val="00E656A0"/>
    <w:rsid w:val="00E656FB"/>
    <w:rsid w:val="00E65872"/>
    <w:rsid w:val="00E65A17"/>
    <w:rsid w:val="00E65E49"/>
    <w:rsid w:val="00E65EC4"/>
    <w:rsid w:val="00E662FE"/>
    <w:rsid w:val="00E665EF"/>
    <w:rsid w:val="00E66834"/>
    <w:rsid w:val="00E66BFA"/>
    <w:rsid w:val="00E66D92"/>
    <w:rsid w:val="00E66F89"/>
    <w:rsid w:val="00E6703F"/>
    <w:rsid w:val="00E67197"/>
    <w:rsid w:val="00E67328"/>
    <w:rsid w:val="00E676DC"/>
    <w:rsid w:val="00E6770F"/>
    <w:rsid w:val="00E67721"/>
    <w:rsid w:val="00E6786D"/>
    <w:rsid w:val="00E678D8"/>
    <w:rsid w:val="00E67953"/>
    <w:rsid w:val="00E67B86"/>
    <w:rsid w:val="00E67CEE"/>
    <w:rsid w:val="00E67D60"/>
    <w:rsid w:val="00E7000A"/>
    <w:rsid w:val="00E700F3"/>
    <w:rsid w:val="00E7019A"/>
    <w:rsid w:val="00E7061B"/>
    <w:rsid w:val="00E706B2"/>
    <w:rsid w:val="00E70B83"/>
    <w:rsid w:val="00E713E4"/>
    <w:rsid w:val="00E71455"/>
    <w:rsid w:val="00E7146E"/>
    <w:rsid w:val="00E71541"/>
    <w:rsid w:val="00E716B1"/>
    <w:rsid w:val="00E7184D"/>
    <w:rsid w:val="00E71871"/>
    <w:rsid w:val="00E7188A"/>
    <w:rsid w:val="00E71B99"/>
    <w:rsid w:val="00E71BFC"/>
    <w:rsid w:val="00E71F9A"/>
    <w:rsid w:val="00E720FC"/>
    <w:rsid w:val="00E72151"/>
    <w:rsid w:val="00E7247C"/>
    <w:rsid w:val="00E7275B"/>
    <w:rsid w:val="00E72D6D"/>
    <w:rsid w:val="00E736AF"/>
    <w:rsid w:val="00E73FA7"/>
    <w:rsid w:val="00E74A5A"/>
    <w:rsid w:val="00E74CB2"/>
    <w:rsid w:val="00E74DC9"/>
    <w:rsid w:val="00E74DFE"/>
    <w:rsid w:val="00E751DE"/>
    <w:rsid w:val="00E7529D"/>
    <w:rsid w:val="00E75301"/>
    <w:rsid w:val="00E754D8"/>
    <w:rsid w:val="00E758E9"/>
    <w:rsid w:val="00E759BF"/>
    <w:rsid w:val="00E75A61"/>
    <w:rsid w:val="00E75C60"/>
    <w:rsid w:val="00E75F6A"/>
    <w:rsid w:val="00E76081"/>
    <w:rsid w:val="00E766D4"/>
    <w:rsid w:val="00E769E4"/>
    <w:rsid w:val="00E76A4C"/>
    <w:rsid w:val="00E76B77"/>
    <w:rsid w:val="00E76C48"/>
    <w:rsid w:val="00E76D4E"/>
    <w:rsid w:val="00E76F0F"/>
    <w:rsid w:val="00E76F28"/>
    <w:rsid w:val="00E76F3A"/>
    <w:rsid w:val="00E76F71"/>
    <w:rsid w:val="00E77116"/>
    <w:rsid w:val="00E775B2"/>
    <w:rsid w:val="00E776EA"/>
    <w:rsid w:val="00E77949"/>
    <w:rsid w:val="00E77A41"/>
    <w:rsid w:val="00E77A4C"/>
    <w:rsid w:val="00E77A93"/>
    <w:rsid w:val="00E77D0A"/>
    <w:rsid w:val="00E801BF"/>
    <w:rsid w:val="00E8055B"/>
    <w:rsid w:val="00E80611"/>
    <w:rsid w:val="00E8074D"/>
    <w:rsid w:val="00E809FA"/>
    <w:rsid w:val="00E80BC9"/>
    <w:rsid w:val="00E80DE0"/>
    <w:rsid w:val="00E81004"/>
    <w:rsid w:val="00E81072"/>
    <w:rsid w:val="00E812BE"/>
    <w:rsid w:val="00E816A6"/>
    <w:rsid w:val="00E81A09"/>
    <w:rsid w:val="00E81E83"/>
    <w:rsid w:val="00E81E8E"/>
    <w:rsid w:val="00E824CD"/>
    <w:rsid w:val="00E826BD"/>
    <w:rsid w:val="00E82D35"/>
    <w:rsid w:val="00E8330D"/>
    <w:rsid w:val="00E83339"/>
    <w:rsid w:val="00E83517"/>
    <w:rsid w:val="00E835D3"/>
    <w:rsid w:val="00E83B9D"/>
    <w:rsid w:val="00E83C07"/>
    <w:rsid w:val="00E83EF3"/>
    <w:rsid w:val="00E83FE0"/>
    <w:rsid w:val="00E840EE"/>
    <w:rsid w:val="00E841ED"/>
    <w:rsid w:val="00E84311"/>
    <w:rsid w:val="00E8445F"/>
    <w:rsid w:val="00E84576"/>
    <w:rsid w:val="00E84586"/>
    <w:rsid w:val="00E84A1E"/>
    <w:rsid w:val="00E84A77"/>
    <w:rsid w:val="00E84C9C"/>
    <w:rsid w:val="00E84CB9"/>
    <w:rsid w:val="00E84FEE"/>
    <w:rsid w:val="00E85205"/>
    <w:rsid w:val="00E85B70"/>
    <w:rsid w:val="00E85C70"/>
    <w:rsid w:val="00E8613B"/>
    <w:rsid w:val="00E8642A"/>
    <w:rsid w:val="00E866EF"/>
    <w:rsid w:val="00E86710"/>
    <w:rsid w:val="00E86949"/>
    <w:rsid w:val="00E87000"/>
    <w:rsid w:val="00E8710E"/>
    <w:rsid w:val="00E87240"/>
    <w:rsid w:val="00E8724C"/>
    <w:rsid w:val="00E8750B"/>
    <w:rsid w:val="00E87791"/>
    <w:rsid w:val="00E87815"/>
    <w:rsid w:val="00E878F8"/>
    <w:rsid w:val="00E879AE"/>
    <w:rsid w:val="00E87B12"/>
    <w:rsid w:val="00E87F4F"/>
    <w:rsid w:val="00E87FAD"/>
    <w:rsid w:val="00E87FC9"/>
    <w:rsid w:val="00E90331"/>
    <w:rsid w:val="00E9052A"/>
    <w:rsid w:val="00E905FA"/>
    <w:rsid w:val="00E90877"/>
    <w:rsid w:val="00E90933"/>
    <w:rsid w:val="00E90ADE"/>
    <w:rsid w:val="00E90B73"/>
    <w:rsid w:val="00E90E57"/>
    <w:rsid w:val="00E91051"/>
    <w:rsid w:val="00E91152"/>
    <w:rsid w:val="00E9141C"/>
    <w:rsid w:val="00E91FD4"/>
    <w:rsid w:val="00E92223"/>
    <w:rsid w:val="00E92365"/>
    <w:rsid w:val="00E92805"/>
    <w:rsid w:val="00E928CC"/>
    <w:rsid w:val="00E9295E"/>
    <w:rsid w:val="00E9297F"/>
    <w:rsid w:val="00E935B7"/>
    <w:rsid w:val="00E935BF"/>
    <w:rsid w:val="00E93EE0"/>
    <w:rsid w:val="00E942D2"/>
    <w:rsid w:val="00E943EC"/>
    <w:rsid w:val="00E94752"/>
    <w:rsid w:val="00E94D93"/>
    <w:rsid w:val="00E951C9"/>
    <w:rsid w:val="00E9574A"/>
    <w:rsid w:val="00E958F0"/>
    <w:rsid w:val="00E95F07"/>
    <w:rsid w:val="00E96481"/>
    <w:rsid w:val="00E96494"/>
    <w:rsid w:val="00E96A93"/>
    <w:rsid w:val="00E96FF4"/>
    <w:rsid w:val="00E970DE"/>
    <w:rsid w:val="00E975A5"/>
    <w:rsid w:val="00E976B5"/>
    <w:rsid w:val="00E97C82"/>
    <w:rsid w:val="00E97DC5"/>
    <w:rsid w:val="00E97FC1"/>
    <w:rsid w:val="00E9B8BE"/>
    <w:rsid w:val="00EA02AB"/>
    <w:rsid w:val="00EA0439"/>
    <w:rsid w:val="00EA043F"/>
    <w:rsid w:val="00EA0686"/>
    <w:rsid w:val="00EA081B"/>
    <w:rsid w:val="00EA0B92"/>
    <w:rsid w:val="00EA144C"/>
    <w:rsid w:val="00EA195A"/>
    <w:rsid w:val="00EA1D02"/>
    <w:rsid w:val="00EA1DF5"/>
    <w:rsid w:val="00EA22AE"/>
    <w:rsid w:val="00EA241E"/>
    <w:rsid w:val="00EA2D99"/>
    <w:rsid w:val="00EA2F3E"/>
    <w:rsid w:val="00EA321C"/>
    <w:rsid w:val="00EA3232"/>
    <w:rsid w:val="00EA32BA"/>
    <w:rsid w:val="00EA341E"/>
    <w:rsid w:val="00EA3697"/>
    <w:rsid w:val="00EA37F8"/>
    <w:rsid w:val="00EA38AF"/>
    <w:rsid w:val="00EA3BC7"/>
    <w:rsid w:val="00EA3F31"/>
    <w:rsid w:val="00EA3FA2"/>
    <w:rsid w:val="00EA46AD"/>
    <w:rsid w:val="00EA471A"/>
    <w:rsid w:val="00EA4870"/>
    <w:rsid w:val="00EA491A"/>
    <w:rsid w:val="00EA49E3"/>
    <w:rsid w:val="00EA4B12"/>
    <w:rsid w:val="00EA4E07"/>
    <w:rsid w:val="00EA4F26"/>
    <w:rsid w:val="00EA5029"/>
    <w:rsid w:val="00EA50F2"/>
    <w:rsid w:val="00EA5203"/>
    <w:rsid w:val="00EA537A"/>
    <w:rsid w:val="00EA5690"/>
    <w:rsid w:val="00EA58BC"/>
    <w:rsid w:val="00EA5DF9"/>
    <w:rsid w:val="00EA6198"/>
    <w:rsid w:val="00EA6766"/>
    <w:rsid w:val="00EA68B8"/>
    <w:rsid w:val="00EA6994"/>
    <w:rsid w:val="00EA6C93"/>
    <w:rsid w:val="00EA6F2D"/>
    <w:rsid w:val="00EA6F4A"/>
    <w:rsid w:val="00EA6F57"/>
    <w:rsid w:val="00EA6F5E"/>
    <w:rsid w:val="00EA6FBE"/>
    <w:rsid w:val="00EA7056"/>
    <w:rsid w:val="00EA7344"/>
    <w:rsid w:val="00EA79AC"/>
    <w:rsid w:val="00EA7AA5"/>
    <w:rsid w:val="00EA7DFB"/>
    <w:rsid w:val="00EB00CD"/>
    <w:rsid w:val="00EB04C5"/>
    <w:rsid w:val="00EB0A5C"/>
    <w:rsid w:val="00EB1ADC"/>
    <w:rsid w:val="00EB1C30"/>
    <w:rsid w:val="00EB1CF9"/>
    <w:rsid w:val="00EB21D6"/>
    <w:rsid w:val="00EB23F0"/>
    <w:rsid w:val="00EB2441"/>
    <w:rsid w:val="00EB27B1"/>
    <w:rsid w:val="00EB286E"/>
    <w:rsid w:val="00EB2CBA"/>
    <w:rsid w:val="00EB2EBD"/>
    <w:rsid w:val="00EB32EA"/>
    <w:rsid w:val="00EB34A2"/>
    <w:rsid w:val="00EB3675"/>
    <w:rsid w:val="00EB37BA"/>
    <w:rsid w:val="00EB3C3D"/>
    <w:rsid w:val="00EB3D05"/>
    <w:rsid w:val="00EB466D"/>
    <w:rsid w:val="00EB47CE"/>
    <w:rsid w:val="00EB49E4"/>
    <w:rsid w:val="00EB4A60"/>
    <w:rsid w:val="00EB4B2F"/>
    <w:rsid w:val="00EB4D84"/>
    <w:rsid w:val="00EB4EA9"/>
    <w:rsid w:val="00EB5067"/>
    <w:rsid w:val="00EB51AD"/>
    <w:rsid w:val="00EB51CF"/>
    <w:rsid w:val="00EB5697"/>
    <w:rsid w:val="00EB56CE"/>
    <w:rsid w:val="00EB6025"/>
    <w:rsid w:val="00EB628F"/>
    <w:rsid w:val="00EB62E2"/>
    <w:rsid w:val="00EB649D"/>
    <w:rsid w:val="00EB65B4"/>
    <w:rsid w:val="00EB6813"/>
    <w:rsid w:val="00EB687C"/>
    <w:rsid w:val="00EB6AC0"/>
    <w:rsid w:val="00EB7208"/>
    <w:rsid w:val="00EB7242"/>
    <w:rsid w:val="00EB73A9"/>
    <w:rsid w:val="00EB73FD"/>
    <w:rsid w:val="00EB746B"/>
    <w:rsid w:val="00EB7786"/>
    <w:rsid w:val="00EB77C9"/>
    <w:rsid w:val="00EB787F"/>
    <w:rsid w:val="00EB7B85"/>
    <w:rsid w:val="00EC0144"/>
    <w:rsid w:val="00EC04CF"/>
    <w:rsid w:val="00EC05AA"/>
    <w:rsid w:val="00EC0699"/>
    <w:rsid w:val="00EC0734"/>
    <w:rsid w:val="00EC0C62"/>
    <w:rsid w:val="00EC0CED"/>
    <w:rsid w:val="00EC0F68"/>
    <w:rsid w:val="00EC173C"/>
    <w:rsid w:val="00EC19AF"/>
    <w:rsid w:val="00EC1C8F"/>
    <w:rsid w:val="00EC1DEE"/>
    <w:rsid w:val="00EC1E2C"/>
    <w:rsid w:val="00EC1EF0"/>
    <w:rsid w:val="00EC203C"/>
    <w:rsid w:val="00EC2350"/>
    <w:rsid w:val="00EC2383"/>
    <w:rsid w:val="00EC23BC"/>
    <w:rsid w:val="00EC24CA"/>
    <w:rsid w:val="00EC2DFC"/>
    <w:rsid w:val="00EC300E"/>
    <w:rsid w:val="00EC30E8"/>
    <w:rsid w:val="00EC30F6"/>
    <w:rsid w:val="00EC332A"/>
    <w:rsid w:val="00EC35B0"/>
    <w:rsid w:val="00EC35ED"/>
    <w:rsid w:val="00EC3636"/>
    <w:rsid w:val="00EC380C"/>
    <w:rsid w:val="00EC38E3"/>
    <w:rsid w:val="00EC3C93"/>
    <w:rsid w:val="00EC3D38"/>
    <w:rsid w:val="00EC3DF6"/>
    <w:rsid w:val="00EC3E8D"/>
    <w:rsid w:val="00EC3FEF"/>
    <w:rsid w:val="00EC4162"/>
    <w:rsid w:val="00EC43A8"/>
    <w:rsid w:val="00EC43DC"/>
    <w:rsid w:val="00EC4572"/>
    <w:rsid w:val="00EC45E8"/>
    <w:rsid w:val="00EC4618"/>
    <w:rsid w:val="00EC4624"/>
    <w:rsid w:val="00EC4EF8"/>
    <w:rsid w:val="00EC4F08"/>
    <w:rsid w:val="00EC50BF"/>
    <w:rsid w:val="00EC53B2"/>
    <w:rsid w:val="00EC56F9"/>
    <w:rsid w:val="00EC5742"/>
    <w:rsid w:val="00EC595C"/>
    <w:rsid w:val="00EC5BF4"/>
    <w:rsid w:val="00EC5E6B"/>
    <w:rsid w:val="00EC6088"/>
    <w:rsid w:val="00EC6261"/>
    <w:rsid w:val="00EC6669"/>
    <w:rsid w:val="00EC67FA"/>
    <w:rsid w:val="00EC687A"/>
    <w:rsid w:val="00EC6A5F"/>
    <w:rsid w:val="00EC6BD7"/>
    <w:rsid w:val="00EC6C26"/>
    <w:rsid w:val="00EC6DBE"/>
    <w:rsid w:val="00EC76BB"/>
    <w:rsid w:val="00EC7878"/>
    <w:rsid w:val="00EC78E6"/>
    <w:rsid w:val="00EC7D66"/>
    <w:rsid w:val="00EC7E74"/>
    <w:rsid w:val="00EC7EC4"/>
    <w:rsid w:val="00EC7EC6"/>
    <w:rsid w:val="00ED0363"/>
    <w:rsid w:val="00ED040F"/>
    <w:rsid w:val="00ED0774"/>
    <w:rsid w:val="00ED0D21"/>
    <w:rsid w:val="00ED10D8"/>
    <w:rsid w:val="00ED12BE"/>
    <w:rsid w:val="00ED12CF"/>
    <w:rsid w:val="00ED137D"/>
    <w:rsid w:val="00ED1619"/>
    <w:rsid w:val="00ED19C0"/>
    <w:rsid w:val="00ED1BD9"/>
    <w:rsid w:val="00ED1F48"/>
    <w:rsid w:val="00ED1F87"/>
    <w:rsid w:val="00ED2137"/>
    <w:rsid w:val="00ED2156"/>
    <w:rsid w:val="00ED22DB"/>
    <w:rsid w:val="00ED246F"/>
    <w:rsid w:val="00ED25D5"/>
    <w:rsid w:val="00ED262E"/>
    <w:rsid w:val="00ED26D2"/>
    <w:rsid w:val="00ED2879"/>
    <w:rsid w:val="00ED33CF"/>
    <w:rsid w:val="00ED354A"/>
    <w:rsid w:val="00ED3577"/>
    <w:rsid w:val="00ED35D0"/>
    <w:rsid w:val="00ED3E31"/>
    <w:rsid w:val="00ED3F2F"/>
    <w:rsid w:val="00ED4249"/>
    <w:rsid w:val="00ED4544"/>
    <w:rsid w:val="00ED4657"/>
    <w:rsid w:val="00ED469B"/>
    <w:rsid w:val="00ED46CF"/>
    <w:rsid w:val="00ED473D"/>
    <w:rsid w:val="00ED475E"/>
    <w:rsid w:val="00ED4C04"/>
    <w:rsid w:val="00ED4CE7"/>
    <w:rsid w:val="00ED4D1B"/>
    <w:rsid w:val="00ED50AD"/>
    <w:rsid w:val="00ED58F1"/>
    <w:rsid w:val="00ED59EB"/>
    <w:rsid w:val="00ED5AC8"/>
    <w:rsid w:val="00ED5D26"/>
    <w:rsid w:val="00ED5D8B"/>
    <w:rsid w:val="00ED5E16"/>
    <w:rsid w:val="00ED5E9F"/>
    <w:rsid w:val="00ED5F17"/>
    <w:rsid w:val="00ED5F76"/>
    <w:rsid w:val="00ED61D8"/>
    <w:rsid w:val="00ED6419"/>
    <w:rsid w:val="00ED655D"/>
    <w:rsid w:val="00ED6660"/>
    <w:rsid w:val="00ED6BB0"/>
    <w:rsid w:val="00ED6E2A"/>
    <w:rsid w:val="00ED73A9"/>
    <w:rsid w:val="00ED7447"/>
    <w:rsid w:val="00ED78C8"/>
    <w:rsid w:val="00ED7B89"/>
    <w:rsid w:val="00ED7F77"/>
    <w:rsid w:val="00ED7F8C"/>
    <w:rsid w:val="00EE001B"/>
    <w:rsid w:val="00EE0205"/>
    <w:rsid w:val="00EE0283"/>
    <w:rsid w:val="00EE0863"/>
    <w:rsid w:val="00EE0B10"/>
    <w:rsid w:val="00EE0DEB"/>
    <w:rsid w:val="00EE11BC"/>
    <w:rsid w:val="00EE1217"/>
    <w:rsid w:val="00EE1316"/>
    <w:rsid w:val="00EE14CC"/>
    <w:rsid w:val="00EE160C"/>
    <w:rsid w:val="00EE160F"/>
    <w:rsid w:val="00EE1979"/>
    <w:rsid w:val="00EE1B83"/>
    <w:rsid w:val="00EE1BDC"/>
    <w:rsid w:val="00EE1D49"/>
    <w:rsid w:val="00EE1DB5"/>
    <w:rsid w:val="00EE1DCB"/>
    <w:rsid w:val="00EE1EED"/>
    <w:rsid w:val="00EE1FEC"/>
    <w:rsid w:val="00EE20CD"/>
    <w:rsid w:val="00EE254C"/>
    <w:rsid w:val="00EE25E4"/>
    <w:rsid w:val="00EE2909"/>
    <w:rsid w:val="00EE29AB"/>
    <w:rsid w:val="00EE2CFA"/>
    <w:rsid w:val="00EE2DFD"/>
    <w:rsid w:val="00EE2E4B"/>
    <w:rsid w:val="00EE2EAD"/>
    <w:rsid w:val="00EE2FE4"/>
    <w:rsid w:val="00EE3049"/>
    <w:rsid w:val="00EE307C"/>
    <w:rsid w:val="00EE30D8"/>
    <w:rsid w:val="00EE3167"/>
    <w:rsid w:val="00EE31AB"/>
    <w:rsid w:val="00EE329A"/>
    <w:rsid w:val="00EE34DD"/>
    <w:rsid w:val="00EE36C6"/>
    <w:rsid w:val="00EE3886"/>
    <w:rsid w:val="00EE389C"/>
    <w:rsid w:val="00EE3C9C"/>
    <w:rsid w:val="00EE3D22"/>
    <w:rsid w:val="00EE3F7B"/>
    <w:rsid w:val="00EE3FEC"/>
    <w:rsid w:val="00EE438A"/>
    <w:rsid w:val="00EE4482"/>
    <w:rsid w:val="00EE44FD"/>
    <w:rsid w:val="00EE4521"/>
    <w:rsid w:val="00EE4AA4"/>
    <w:rsid w:val="00EE4B03"/>
    <w:rsid w:val="00EE4C0D"/>
    <w:rsid w:val="00EE4F7C"/>
    <w:rsid w:val="00EE4FB4"/>
    <w:rsid w:val="00EE4FFD"/>
    <w:rsid w:val="00EE5022"/>
    <w:rsid w:val="00EE5047"/>
    <w:rsid w:val="00EE510E"/>
    <w:rsid w:val="00EE5259"/>
    <w:rsid w:val="00EE526E"/>
    <w:rsid w:val="00EE533B"/>
    <w:rsid w:val="00EE5A9D"/>
    <w:rsid w:val="00EE5B39"/>
    <w:rsid w:val="00EE5F79"/>
    <w:rsid w:val="00EE6115"/>
    <w:rsid w:val="00EE658D"/>
    <w:rsid w:val="00EE67AC"/>
    <w:rsid w:val="00EE67E3"/>
    <w:rsid w:val="00EE697A"/>
    <w:rsid w:val="00EE707E"/>
    <w:rsid w:val="00EE710C"/>
    <w:rsid w:val="00EE7196"/>
    <w:rsid w:val="00EE7520"/>
    <w:rsid w:val="00EE7CCB"/>
    <w:rsid w:val="00EE7D26"/>
    <w:rsid w:val="00EF0089"/>
    <w:rsid w:val="00EF08DD"/>
    <w:rsid w:val="00EF0E17"/>
    <w:rsid w:val="00EF0E9A"/>
    <w:rsid w:val="00EF0F58"/>
    <w:rsid w:val="00EF1185"/>
    <w:rsid w:val="00EF1860"/>
    <w:rsid w:val="00EF18D7"/>
    <w:rsid w:val="00EF1F9A"/>
    <w:rsid w:val="00EF2008"/>
    <w:rsid w:val="00EF21F1"/>
    <w:rsid w:val="00EF232E"/>
    <w:rsid w:val="00EF2583"/>
    <w:rsid w:val="00EF291E"/>
    <w:rsid w:val="00EF2BA8"/>
    <w:rsid w:val="00EF2BE1"/>
    <w:rsid w:val="00EF2F90"/>
    <w:rsid w:val="00EF34A6"/>
    <w:rsid w:val="00EF34A9"/>
    <w:rsid w:val="00EF34AB"/>
    <w:rsid w:val="00EF34F1"/>
    <w:rsid w:val="00EF3557"/>
    <w:rsid w:val="00EF37F4"/>
    <w:rsid w:val="00EF3AEE"/>
    <w:rsid w:val="00EF3F6E"/>
    <w:rsid w:val="00EF3FF1"/>
    <w:rsid w:val="00EF4041"/>
    <w:rsid w:val="00EF4238"/>
    <w:rsid w:val="00EF4279"/>
    <w:rsid w:val="00EF42C8"/>
    <w:rsid w:val="00EF434C"/>
    <w:rsid w:val="00EF43A0"/>
    <w:rsid w:val="00EF45F9"/>
    <w:rsid w:val="00EF48DB"/>
    <w:rsid w:val="00EF4B12"/>
    <w:rsid w:val="00EF4B97"/>
    <w:rsid w:val="00EF4D12"/>
    <w:rsid w:val="00EF4DF5"/>
    <w:rsid w:val="00EF4EC8"/>
    <w:rsid w:val="00EF4FC4"/>
    <w:rsid w:val="00EF5214"/>
    <w:rsid w:val="00EF56D9"/>
    <w:rsid w:val="00EF5789"/>
    <w:rsid w:val="00EF5A24"/>
    <w:rsid w:val="00EF5EA7"/>
    <w:rsid w:val="00EF627D"/>
    <w:rsid w:val="00EF64D4"/>
    <w:rsid w:val="00EF6637"/>
    <w:rsid w:val="00EF6655"/>
    <w:rsid w:val="00EF67AF"/>
    <w:rsid w:val="00EF6F35"/>
    <w:rsid w:val="00EF7603"/>
    <w:rsid w:val="00EF76C4"/>
    <w:rsid w:val="00EF7B65"/>
    <w:rsid w:val="00EF7BEB"/>
    <w:rsid w:val="00EF7CD8"/>
    <w:rsid w:val="00EF7FA2"/>
    <w:rsid w:val="00EF7FA4"/>
    <w:rsid w:val="00EF7FE3"/>
    <w:rsid w:val="00F00746"/>
    <w:rsid w:val="00F00B7D"/>
    <w:rsid w:val="00F00BFC"/>
    <w:rsid w:val="00F00D2F"/>
    <w:rsid w:val="00F00E89"/>
    <w:rsid w:val="00F0101E"/>
    <w:rsid w:val="00F012B8"/>
    <w:rsid w:val="00F01447"/>
    <w:rsid w:val="00F014CD"/>
    <w:rsid w:val="00F01605"/>
    <w:rsid w:val="00F019E2"/>
    <w:rsid w:val="00F01A03"/>
    <w:rsid w:val="00F01C5D"/>
    <w:rsid w:val="00F01E09"/>
    <w:rsid w:val="00F01F42"/>
    <w:rsid w:val="00F02006"/>
    <w:rsid w:val="00F0207D"/>
    <w:rsid w:val="00F022E8"/>
    <w:rsid w:val="00F02395"/>
    <w:rsid w:val="00F02407"/>
    <w:rsid w:val="00F024E3"/>
    <w:rsid w:val="00F02529"/>
    <w:rsid w:val="00F025C7"/>
    <w:rsid w:val="00F028AE"/>
    <w:rsid w:val="00F02961"/>
    <w:rsid w:val="00F02A97"/>
    <w:rsid w:val="00F02AE8"/>
    <w:rsid w:val="00F03853"/>
    <w:rsid w:val="00F0385D"/>
    <w:rsid w:val="00F038FD"/>
    <w:rsid w:val="00F03CCC"/>
    <w:rsid w:val="00F03EDE"/>
    <w:rsid w:val="00F03F83"/>
    <w:rsid w:val="00F043AF"/>
    <w:rsid w:val="00F04717"/>
    <w:rsid w:val="00F04878"/>
    <w:rsid w:val="00F04A67"/>
    <w:rsid w:val="00F04E28"/>
    <w:rsid w:val="00F0526D"/>
    <w:rsid w:val="00F0569F"/>
    <w:rsid w:val="00F0573E"/>
    <w:rsid w:val="00F05B74"/>
    <w:rsid w:val="00F06232"/>
    <w:rsid w:val="00F0676D"/>
    <w:rsid w:val="00F0679F"/>
    <w:rsid w:val="00F06972"/>
    <w:rsid w:val="00F069B9"/>
    <w:rsid w:val="00F06AAE"/>
    <w:rsid w:val="00F06FC3"/>
    <w:rsid w:val="00F070E7"/>
    <w:rsid w:val="00F07259"/>
    <w:rsid w:val="00F072CE"/>
    <w:rsid w:val="00F0731D"/>
    <w:rsid w:val="00F074ED"/>
    <w:rsid w:val="00F07B91"/>
    <w:rsid w:val="00F07FA9"/>
    <w:rsid w:val="00F1045F"/>
    <w:rsid w:val="00F10609"/>
    <w:rsid w:val="00F1082A"/>
    <w:rsid w:val="00F10BCA"/>
    <w:rsid w:val="00F10C6F"/>
    <w:rsid w:val="00F10EA5"/>
    <w:rsid w:val="00F10EBD"/>
    <w:rsid w:val="00F11073"/>
    <w:rsid w:val="00F11091"/>
    <w:rsid w:val="00F11902"/>
    <w:rsid w:val="00F11B0C"/>
    <w:rsid w:val="00F11CC1"/>
    <w:rsid w:val="00F11D02"/>
    <w:rsid w:val="00F11DC7"/>
    <w:rsid w:val="00F11E58"/>
    <w:rsid w:val="00F120F1"/>
    <w:rsid w:val="00F12284"/>
    <w:rsid w:val="00F122D3"/>
    <w:rsid w:val="00F12594"/>
    <w:rsid w:val="00F125E2"/>
    <w:rsid w:val="00F125F8"/>
    <w:rsid w:val="00F126A1"/>
    <w:rsid w:val="00F126A3"/>
    <w:rsid w:val="00F126DB"/>
    <w:rsid w:val="00F12896"/>
    <w:rsid w:val="00F128CF"/>
    <w:rsid w:val="00F12B39"/>
    <w:rsid w:val="00F12E54"/>
    <w:rsid w:val="00F130C2"/>
    <w:rsid w:val="00F1318D"/>
    <w:rsid w:val="00F13553"/>
    <w:rsid w:val="00F13754"/>
    <w:rsid w:val="00F137BE"/>
    <w:rsid w:val="00F13821"/>
    <w:rsid w:val="00F13A1A"/>
    <w:rsid w:val="00F13E75"/>
    <w:rsid w:val="00F13F3E"/>
    <w:rsid w:val="00F13F42"/>
    <w:rsid w:val="00F14004"/>
    <w:rsid w:val="00F1403B"/>
    <w:rsid w:val="00F1448C"/>
    <w:rsid w:val="00F14716"/>
    <w:rsid w:val="00F14959"/>
    <w:rsid w:val="00F14A5C"/>
    <w:rsid w:val="00F14AA2"/>
    <w:rsid w:val="00F14AF9"/>
    <w:rsid w:val="00F14EED"/>
    <w:rsid w:val="00F15C4B"/>
    <w:rsid w:val="00F16147"/>
    <w:rsid w:val="00F163BD"/>
    <w:rsid w:val="00F16495"/>
    <w:rsid w:val="00F16811"/>
    <w:rsid w:val="00F168F4"/>
    <w:rsid w:val="00F16A2C"/>
    <w:rsid w:val="00F16AE1"/>
    <w:rsid w:val="00F16BB0"/>
    <w:rsid w:val="00F17087"/>
    <w:rsid w:val="00F17146"/>
    <w:rsid w:val="00F17277"/>
    <w:rsid w:val="00F17B20"/>
    <w:rsid w:val="00F17B27"/>
    <w:rsid w:val="00F17DFD"/>
    <w:rsid w:val="00F17E83"/>
    <w:rsid w:val="00F20290"/>
    <w:rsid w:val="00F205F2"/>
    <w:rsid w:val="00F207E9"/>
    <w:rsid w:val="00F2092E"/>
    <w:rsid w:val="00F20B4D"/>
    <w:rsid w:val="00F20E14"/>
    <w:rsid w:val="00F20E72"/>
    <w:rsid w:val="00F21526"/>
    <w:rsid w:val="00F21626"/>
    <w:rsid w:val="00F2179D"/>
    <w:rsid w:val="00F21B3B"/>
    <w:rsid w:val="00F21B94"/>
    <w:rsid w:val="00F21BD1"/>
    <w:rsid w:val="00F221DF"/>
    <w:rsid w:val="00F22205"/>
    <w:rsid w:val="00F2231D"/>
    <w:rsid w:val="00F2262F"/>
    <w:rsid w:val="00F22760"/>
    <w:rsid w:val="00F228BC"/>
    <w:rsid w:val="00F22B6B"/>
    <w:rsid w:val="00F22BCB"/>
    <w:rsid w:val="00F22DDD"/>
    <w:rsid w:val="00F22DE4"/>
    <w:rsid w:val="00F2313B"/>
    <w:rsid w:val="00F23383"/>
    <w:rsid w:val="00F2395E"/>
    <w:rsid w:val="00F2405E"/>
    <w:rsid w:val="00F2436A"/>
    <w:rsid w:val="00F245C4"/>
    <w:rsid w:val="00F24844"/>
    <w:rsid w:val="00F249E9"/>
    <w:rsid w:val="00F249EC"/>
    <w:rsid w:val="00F25277"/>
    <w:rsid w:val="00F25355"/>
    <w:rsid w:val="00F25513"/>
    <w:rsid w:val="00F25959"/>
    <w:rsid w:val="00F2619E"/>
    <w:rsid w:val="00F2629D"/>
    <w:rsid w:val="00F264D2"/>
    <w:rsid w:val="00F26784"/>
    <w:rsid w:val="00F26B5A"/>
    <w:rsid w:val="00F26E56"/>
    <w:rsid w:val="00F26FBE"/>
    <w:rsid w:val="00F27A87"/>
    <w:rsid w:val="00F3007D"/>
    <w:rsid w:val="00F30088"/>
    <w:rsid w:val="00F3028E"/>
    <w:rsid w:val="00F30379"/>
    <w:rsid w:val="00F3047A"/>
    <w:rsid w:val="00F304B9"/>
    <w:rsid w:val="00F306F5"/>
    <w:rsid w:val="00F3073F"/>
    <w:rsid w:val="00F30880"/>
    <w:rsid w:val="00F308BB"/>
    <w:rsid w:val="00F309D9"/>
    <w:rsid w:val="00F30A43"/>
    <w:rsid w:val="00F31051"/>
    <w:rsid w:val="00F3116A"/>
    <w:rsid w:val="00F312BD"/>
    <w:rsid w:val="00F318A9"/>
    <w:rsid w:val="00F31AF6"/>
    <w:rsid w:val="00F31B13"/>
    <w:rsid w:val="00F31B82"/>
    <w:rsid w:val="00F31FA4"/>
    <w:rsid w:val="00F321B3"/>
    <w:rsid w:val="00F32276"/>
    <w:rsid w:val="00F323F5"/>
    <w:rsid w:val="00F32726"/>
    <w:rsid w:val="00F327CC"/>
    <w:rsid w:val="00F328A7"/>
    <w:rsid w:val="00F328AB"/>
    <w:rsid w:val="00F32AAC"/>
    <w:rsid w:val="00F32AD1"/>
    <w:rsid w:val="00F32E3E"/>
    <w:rsid w:val="00F32F07"/>
    <w:rsid w:val="00F32F8E"/>
    <w:rsid w:val="00F33017"/>
    <w:rsid w:val="00F33C4B"/>
    <w:rsid w:val="00F33F48"/>
    <w:rsid w:val="00F340AC"/>
    <w:rsid w:val="00F34205"/>
    <w:rsid w:val="00F344E4"/>
    <w:rsid w:val="00F347D9"/>
    <w:rsid w:val="00F34E2F"/>
    <w:rsid w:val="00F35023"/>
    <w:rsid w:val="00F3506C"/>
    <w:rsid w:val="00F35331"/>
    <w:rsid w:val="00F354BF"/>
    <w:rsid w:val="00F356A4"/>
    <w:rsid w:val="00F35710"/>
    <w:rsid w:val="00F35794"/>
    <w:rsid w:val="00F35812"/>
    <w:rsid w:val="00F3592F"/>
    <w:rsid w:val="00F35ACD"/>
    <w:rsid w:val="00F35EAC"/>
    <w:rsid w:val="00F3618A"/>
    <w:rsid w:val="00F36191"/>
    <w:rsid w:val="00F36405"/>
    <w:rsid w:val="00F36444"/>
    <w:rsid w:val="00F365DA"/>
    <w:rsid w:val="00F3694F"/>
    <w:rsid w:val="00F36B5C"/>
    <w:rsid w:val="00F36C49"/>
    <w:rsid w:val="00F37115"/>
    <w:rsid w:val="00F376EF"/>
    <w:rsid w:val="00F37855"/>
    <w:rsid w:val="00F37BA4"/>
    <w:rsid w:val="00F37D28"/>
    <w:rsid w:val="00F404C1"/>
    <w:rsid w:val="00F406DB"/>
    <w:rsid w:val="00F4078C"/>
    <w:rsid w:val="00F4080F"/>
    <w:rsid w:val="00F409A8"/>
    <w:rsid w:val="00F40AF2"/>
    <w:rsid w:val="00F40B63"/>
    <w:rsid w:val="00F40FE8"/>
    <w:rsid w:val="00F41277"/>
    <w:rsid w:val="00F415D7"/>
    <w:rsid w:val="00F41642"/>
    <w:rsid w:val="00F4166E"/>
    <w:rsid w:val="00F4183F"/>
    <w:rsid w:val="00F4190C"/>
    <w:rsid w:val="00F41D57"/>
    <w:rsid w:val="00F41DD4"/>
    <w:rsid w:val="00F425FF"/>
    <w:rsid w:val="00F4284B"/>
    <w:rsid w:val="00F42B04"/>
    <w:rsid w:val="00F42FF5"/>
    <w:rsid w:val="00F430DC"/>
    <w:rsid w:val="00F4328B"/>
    <w:rsid w:val="00F432B9"/>
    <w:rsid w:val="00F433E6"/>
    <w:rsid w:val="00F4388C"/>
    <w:rsid w:val="00F438DF"/>
    <w:rsid w:val="00F43949"/>
    <w:rsid w:val="00F43A00"/>
    <w:rsid w:val="00F43A4B"/>
    <w:rsid w:val="00F43B6F"/>
    <w:rsid w:val="00F43CDD"/>
    <w:rsid w:val="00F44243"/>
    <w:rsid w:val="00F443C8"/>
    <w:rsid w:val="00F4448B"/>
    <w:rsid w:val="00F44BF9"/>
    <w:rsid w:val="00F45071"/>
    <w:rsid w:val="00F45154"/>
    <w:rsid w:val="00F4523A"/>
    <w:rsid w:val="00F45A5D"/>
    <w:rsid w:val="00F45CAC"/>
    <w:rsid w:val="00F45D77"/>
    <w:rsid w:val="00F46086"/>
    <w:rsid w:val="00F466D8"/>
    <w:rsid w:val="00F46870"/>
    <w:rsid w:val="00F468DE"/>
    <w:rsid w:val="00F46ABF"/>
    <w:rsid w:val="00F46D38"/>
    <w:rsid w:val="00F4700A"/>
    <w:rsid w:val="00F4700D"/>
    <w:rsid w:val="00F47055"/>
    <w:rsid w:val="00F470C4"/>
    <w:rsid w:val="00F472F8"/>
    <w:rsid w:val="00F47624"/>
    <w:rsid w:val="00F47638"/>
    <w:rsid w:val="00F4766C"/>
    <w:rsid w:val="00F47B2E"/>
    <w:rsid w:val="00F47D1D"/>
    <w:rsid w:val="00F47EC7"/>
    <w:rsid w:val="00F47F0D"/>
    <w:rsid w:val="00F47F5E"/>
    <w:rsid w:val="00F500E2"/>
    <w:rsid w:val="00F503BC"/>
    <w:rsid w:val="00F50EAC"/>
    <w:rsid w:val="00F50F12"/>
    <w:rsid w:val="00F50F97"/>
    <w:rsid w:val="00F51126"/>
    <w:rsid w:val="00F5121E"/>
    <w:rsid w:val="00F51690"/>
    <w:rsid w:val="00F51792"/>
    <w:rsid w:val="00F5183B"/>
    <w:rsid w:val="00F51975"/>
    <w:rsid w:val="00F5199E"/>
    <w:rsid w:val="00F52059"/>
    <w:rsid w:val="00F52088"/>
    <w:rsid w:val="00F5243D"/>
    <w:rsid w:val="00F52618"/>
    <w:rsid w:val="00F52623"/>
    <w:rsid w:val="00F52879"/>
    <w:rsid w:val="00F5289B"/>
    <w:rsid w:val="00F52A40"/>
    <w:rsid w:val="00F52F98"/>
    <w:rsid w:val="00F530EE"/>
    <w:rsid w:val="00F5317B"/>
    <w:rsid w:val="00F5340A"/>
    <w:rsid w:val="00F53506"/>
    <w:rsid w:val="00F53515"/>
    <w:rsid w:val="00F537EA"/>
    <w:rsid w:val="00F53C82"/>
    <w:rsid w:val="00F546FD"/>
    <w:rsid w:val="00F54A2E"/>
    <w:rsid w:val="00F54E59"/>
    <w:rsid w:val="00F54E64"/>
    <w:rsid w:val="00F55025"/>
    <w:rsid w:val="00F5509F"/>
    <w:rsid w:val="00F5518D"/>
    <w:rsid w:val="00F556C3"/>
    <w:rsid w:val="00F55C4F"/>
    <w:rsid w:val="00F55FA2"/>
    <w:rsid w:val="00F565D0"/>
    <w:rsid w:val="00F56834"/>
    <w:rsid w:val="00F56D5E"/>
    <w:rsid w:val="00F5711D"/>
    <w:rsid w:val="00F571C5"/>
    <w:rsid w:val="00F5723F"/>
    <w:rsid w:val="00F573B7"/>
    <w:rsid w:val="00F57516"/>
    <w:rsid w:val="00F57745"/>
    <w:rsid w:val="00F57887"/>
    <w:rsid w:val="00F57D27"/>
    <w:rsid w:val="00F57D6E"/>
    <w:rsid w:val="00F57FF7"/>
    <w:rsid w:val="00F603FC"/>
    <w:rsid w:val="00F60877"/>
    <w:rsid w:val="00F60955"/>
    <w:rsid w:val="00F60B8C"/>
    <w:rsid w:val="00F60CE9"/>
    <w:rsid w:val="00F60DAE"/>
    <w:rsid w:val="00F60DB1"/>
    <w:rsid w:val="00F60E17"/>
    <w:rsid w:val="00F61073"/>
    <w:rsid w:val="00F615D3"/>
    <w:rsid w:val="00F61667"/>
    <w:rsid w:val="00F61B6C"/>
    <w:rsid w:val="00F61BBA"/>
    <w:rsid w:val="00F61CCF"/>
    <w:rsid w:val="00F62729"/>
    <w:rsid w:val="00F627B4"/>
    <w:rsid w:val="00F62C56"/>
    <w:rsid w:val="00F62D39"/>
    <w:rsid w:val="00F62EC1"/>
    <w:rsid w:val="00F630BD"/>
    <w:rsid w:val="00F6315C"/>
    <w:rsid w:val="00F633EF"/>
    <w:rsid w:val="00F6358D"/>
    <w:rsid w:val="00F642C7"/>
    <w:rsid w:val="00F643E6"/>
    <w:rsid w:val="00F646F8"/>
    <w:rsid w:val="00F6473E"/>
    <w:rsid w:val="00F6476D"/>
    <w:rsid w:val="00F649C7"/>
    <w:rsid w:val="00F64AF4"/>
    <w:rsid w:val="00F64DF0"/>
    <w:rsid w:val="00F64FF1"/>
    <w:rsid w:val="00F65006"/>
    <w:rsid w:val="00F654BB"/>
    <w:rsid w:val="00F655CE"/>
    <w:rsid w:val="00F65712"/>
    <w:rsid w:val="00F65AE6"/>
    <w:rsid w:val="00F65D06"/>
    <w:rsid w:val="00F65D59"/>
    <w:rsid w:val="00F65E86"/>
    <w:rsid w:val="00F66242"/>
    <w:rsid w:val="00F665B4"/>
    <w:rsid w:val="00F665BE"/>
    <w:rsid w:val="00F665C9"/>
    <w:rsid w:val="00F66BE0"/>
    <w:rsid w:val="00F66C32"/>
    <w:rsid w:val="00F671FD"/>
    <w:rsid w:val="00F673AA"/>
    <w:rsid w:val="00F673AF"/>
    <w:rsid w:val="00F67441"/>
    <w:rsid w:val="00F675B1"/>
    <w:rsid w:val="00F67600"/>
    <w:rsid w:val="00F67892"/>
    <w:rsid w:val="00F67F33"/>
    <w:rsid w:val="00F67F99"/>
    <w:rsid w:val="00F67FCB"/>
    <w:rsid w:val="00F70141"/>
    <w:rsid w:val="00F70286"/>
    <w:rsid w:val="00F702E9"/>
    <w:rsid w:val="00F702F2"/>
    <w:rsid w:val="00F7064D"/>
    <w:rsid w:val="00F70CBD"/>
    <w:rsid w:val="00F70D08"/>
    <w:rsid w:val="00F70D24"/>
    <w:rsid w:val="00F70D90"/>
    <w:rsid w:val="00F71073"/>
    <w:rsid w:val="00F710FF"/>
    <w:rsid w:val="00F71474"/>
    <w:rsid w:val="00F715B8"/>
    <w:rsid w:val="00F719ED"/>
    <w:rsid w:val="00F71DA5"/>
    <w:rsid w:val="00F71E30"/>
    <w:rsid w:val="00F71FEE"/>
    <w:rsid w:val="00F722AB"/>
    <w:rsid w:val="00F72408"/>
    <w:rsid w:val="00F7246F"/>
    <w:rsid w:val="00F724F8"/>
    <w:rsid w:val="00F72BC1"/>
    <w:rsid w:val="00F730D1"/>
    <w:rsid w:val="00F73784"/>
    <w:rsid w:val="00F73D2A"/>
    <w:rsid w:val="00F742EA"/>
    <w:rsid w:val="00F743A3"/>
    <w:rsid w:val="00F7509C"/>
    <w:rsid w:val="00F751EF"/>
    <w:rsid w:val="00F7523C"/>
    <w:rsid w:val="00F7538B"/>
    <w:rsid w:val="00F7564A"/>
    <w:rsid w:val="00F756A1"/>
    <w:rsid w:val="00F7598D"/>
    <w:rsid w:val="00F75A08"/>
    <w:rsid w:val="00F75BA7"/>
    <w:rsid w:val="00F75D37"/>
    <w:rsid w:val="00F75D9D"/>
    <w:rsid w:val="00F7617A"/>
    <w:rsid w:val="00F76400"/>
    <w:rsid w:val="00F764E0"/>
    <w:rsid w:val="00F764E2"/>
    <w:rsid w:val="00F764E4"/>
    <w:rsid w:val="00F76570"/>
    <w:rsid w:val="00F767F7"/>
    <w:rsid w:val="00F76909"/>
    <w:rsid w:val="00F76927"/>
    <w:rsid w:val="00F769A8"/>
    <w:rsid w:val="00F76A11"/>
    <w:rsid w:val="00F76A2A"/>
    <w:rsid w:val="00F76D91"/>
    <w:rsid w:val="00F771F4"/>
    <w:rsid w:val="00F772E0"/>
    <w:rsid w:val="00F77498"/>
    <w:rsid w:val="00F77792"/>
    <w:rsid w:val="00F802B4"/>
    <w:rsid w:val="00F804F2"/>
    <w:rsid w:val="00F80558"/>
    <w:rsid w:val="00F805FB"/>
    <w:rsid w:val="00F80821"/>
    <w:rsid w:val="00F80C07"/>
    <w:rsid w:val="00F811F9"/>
    <w:rsid w:val="00F81234"/>
    <w:rsid w:val="00F81987"/>
    <w:rsid w:val="00F81D4F"/>
    <w:rsid w:val="00F81DD2"/>
    <w:rsid w:val="00F8201D"/>
    <w:rsid w:val="00F82228"/>
    <w:rsid w:val="00F82357"/>
    <w:rsid w:val="00F82A03"/>
    <w:rsid w:val="00F82AAA"/>
    <w:rsid w:val="00F82E3B"/>
    <w:rsid w:val="00F83298"/>
    <w:rsid w:val="00F837E8"/>
    <w:rsid w:val="00F83983"/>
    <w:rsid w:val="00F83E5D"/>
    <w:rsid w:val="00F8419D"/>
    <w:rsid w:val="00F8426E"/>
    <w:rsid w:val="00F844EA"/>
    <w:rsid w:val="00F84829"/>
    <w:rsid w:val="00F848E5"/>
    <w:rsid w:val="00F84A75"/>
    <w:rsid w:val="00F84E3E"/>
    <w:rsid w:val="00F85127"/>
    <w:rsid w:val="00F851DE"/>
    <w:rsid w:val="00F853C8"/>
    <w:rsid w:val="00F853DF"/>
    <w:rsid w:val="00F85569"/>
    <w:rsid w:val="00F859A2"/>
    <w:rsid w:val="00F85CA5"/>
    <w:rsid w:val="00F85D80"/>
    <w:rsid w:val="00F85EDF"/>
    <w:rsid w:val="00F85FA7"/>
    <w:rsid w:val="00F85FBA"/>
    <w:rsid w:val="00F86099"/>
    <w:rsid w:val="00F8611E"/>
    <w:rsid w:val="00F86560"/>
    <w:rsid w:val="00F865A9"/>
    <w:rsid w:val="00F865CA"/>
    <w:rsid w:val="00F86646"/>
    <w:rsid w:val="00F8696A"/>
    <w:rsid w:val="00F86C31"/>
    <w:rsid w:val="00F87037"/>
    <w:rsid w:val="00F8710A"/>
    <w:rsid w:val="00F8719F"/>
    <w:rsid w:val="00F87411"/>
    <w:rsid w:val="00F87530"/>
    <w:rsid w:val="00F87700"/>
    <w:rsid w:val="00F87898"/>
    <w:rsid w:val="00F87AE1"/>
    <w:rsid w:val="00F908BE"/>
    <w:rsid w:val="00F909A4"/>
    <w:rsid w:val="00F90A0E"/>
    <w:rsid w:val="00F90E98"/>
    <w:rsid w:val="00F91200"/>
    <w:rsid w:val="00F91BC6"/>
    <w:rsid w:val="00F91D14"/>
    <w:rsid w:val="00F91F34"/>
    <w:rsid w:val="00F922D9"/>
    <w:rsid w:val="00F923C4"/>
    <w:rsid w:val="00F92984"/>
    <w:rsid w:val="00F92AA6"/>
    <w:rsid w:val="00F92C5D"/>
    <w:rsid w:val="00F930C1"/>
    <w:rsid w:val="00F93653"/>
    <w:rsid w:val="00F93707"/>
    <w:rsid w:val="00F93805"/>
    <w:rsid w:val="00F93E8A"/>
    <w:rsid w:val="00F93EA4"/>
    <w:rsid w:val="00F93F1A"/>
    <w:rsid w:val="00F94132"/>
    <w:rsid w:val="00F94BDB"/>
    <w:rsid w:val="00F9545D"/>
    <w:rsid w:val="00F95B9E"/>
    <w:rsid w:val="00F9617E"/>
    <w:rsid w:val="00F96261"/>
    <w:rsid w:val="00F96492"/>
    <w:rsid w:val="00F964D8"/>
    <w:rsid w:val="00F96885"/>
    <w:rsid w:val="00F96A88"/>
    <w:rsid w:val="00F96CC9"/>
    <w:rsid w:val="00F96F6A"/>
    <w:rsid w:val="00F97073"/>
    <w:rsid w:val="00F9711F"/>
    <w:rsid w:val="00F97169"/>
    <w:rsid w:val="00F97292"/>
    <w:rsid w:val="00F973CF"/>
    <w:rsid w:val="00F9748C"/>
    <w:rsid w:val="00F979D2"/>
    <w:rsid w:val="00F97A96"/>
    <w:rsid w:val="00FA05B3"/>
    <w:rsid w:val="00FA0ADD"/>
    <w:rsid w:val="00FA0E2B"/>
    <w:rsid w:val="00FA0EF3"/>
    <w:rsid w:val="00FA148C"/>
    <w:rsid w:val="00FA16D2"/>
    <w:rsid w:val="00FA1D60"/>
    <w:rsid w:val="00FA1EDC"/>
    <w:rsid w:val="00FA1F46"/>
    <w:rsid w:val="00FA1F9D"/>
    <w:rsid w:val="00FA1FEE"/>
    <w:rsid w:val="00FA2216"/>
    <w:rsid w:val="00FA2321"/>
    <w:rsid w:val="00FA2369"/>
    <w:rsid w:val="00FA27EF"/>
    <w:rsid w:val="00FA2868"/>
    <w:rsid w:val="00FA295D"/>
    <w:rsid w:val="00FA29C5"/>
    <w:rsid w:val="00FA2B81"/>
    <w:rsid w:val="00FA2C36"/>
    <w:rsid w:val="00FA2E4C"/>
    <w:rsid w:val="00FA334A"/>
    <w:rsid w:val="00FA3365"/>
    <w:rsid w:val="00FA3488"/>
    <w:rsid w:val="00FA358C"/>
    <w:rsid w:val="00FA3854"/>
    <w:rsid w:val="00FA3A39"/>
    <w:rsid w:val="00FA3C2D"/>
    <w:rsid w:val="00FA3CE3"/>
    <w:rsid w:val="00FA3D6B"/>
    <w:rsid w:val="00FA42A2"/>
    <w:rsid w:val="00FA4763"/>
    <w:rsid w:val="00FA47C4"/>
    <w:rsid w:val="00FA4F4E"/>
    <w:rsid w:val="00FA5206"/>
    <w:rsid w:val="00FA565E"/>
    <w:rsid w:val="00FA5978"/>
    <w:rsid w:val="00FA5D77"/>
    <w:rsid w:val="00FA5FD4"/>
    <w:rsid w:val="00FA6179"/>
    <w:rsid w:val="00FA6315"/>
    <w:rsid w:val="00FA641C"/>
    <w:rsid w:val="00FA6B59"/>
    <w:rsid w:val="00FA6E51"/>
    <w:rsid w:val="00FA7195"/>
    <w:rsid w:val="00FA731E"/>
    <w:rsid w:val="00FA734C"/>
    <w:rsid w:val="00FA78FA"/>
    <w:rsid w:val="00FA7B94"/>
    <w:rsid w:val="00FA7BC2"/>
    <w:rsid w:val="00FA7E46"/>
    <w:rsid w:val="00FB02B3"/>
    <w:rsid w:val="00FB03F8"/>
    <w:rsid w:val="00FB0446"/>
    <w:rsid w:val="00FB056D"/>
    <w:rsid w:val="00FB069F"/>
    <w:rsid w:val="00FB0ADD"/>
    <w:rsid w:val="00FB0AF6"/>
    <w:rsid w:val="00FB0BF0"/>
    <w:rsid w:val="00FB0CF1"/>
    <w:rsid w:val="00FB1078"/>
    <w:rsid w:val="00FB13CF"/>
    <w:rsid w:val="00FB18C0"/>
    <w:rsid w:val="00FB18C6"/>
    <w:rsid w:val="00FB19F4"/>
    <w:rsid w:val="00FB1B9F"/>
    <w:rsid w:val="00FB1D1A"/>
    <w:rsid w:val="00FB1F52"/>
    <w:rsid w:val="00FB21DD"/>
    <w:rsid w:val="00FB2460"/>
    <w:rsid w:val="00FB24C2"/>
    <w:rsid w:val="00FB27B3"/>
    <w:rsid w:val="00FB281F"/>
    <w:rsid w:val="00FB286B"/>
    <w:rsid w:val="00FB2999"/>
    <w:rsid w:val="00FB2B72"/>
    <w:rsid w:val="00FB2CD7"/>
    <w:rsid w:val="00FB2D3B"/>
    <w:rsid w:val="00FB2E28"/>
    <w:rsid w:val="00FB2F7E"/>
    <w:rsid w:val="00FB2F9D"/>
    <w:rsid w:val="00FB3127"/>
    <w:rsid w:val="00FB3424"/>
    <w:rsid w:val="00FB3679"/>
    <w:rsid w:val="00FB3929"/>
    <w:rsid w:val="00FB3C60"/>
    <w:rsid w:val="00FB3DED"/>
    <w:rsid w:val="00FB3ECE"/>
    <w:rsid w:val="00FB4271"/>
    <w:rsid w:val="00FB428B"/>
    <w:rsid w:val="00FB429C"/>
    <w:rsid w:val="00FB4CB9"/>
    <w:rsid w:val="00FB5252"/>
    <w:rsid w:val="00FB52E2"/>
    <w:rsid w:val="00FB5931"/>
    <w:rsid w:val="00FB5C9E"/>
    <w:rsid w:val="00FB61DF"/>
    <w:rsid w:val="00FB67BD"/>
    <w:rsid w:val="00FB69F8"/>
    <w:rsid w:val="00FB6AC6"/>
    <w:rsid w:val="00FB6F8A"/>
    <w:rsid w:val="00FB6FE2"/>
    <w:rsid w:val="00FB722D"/>
    <w:rsid w:val="00FB72AE"/>
    <w:rsid w:val="00FB750B"/>
    <w:rsid w:val="00FB7783"/>
    <w:rsid w:val="00FB7808"/>
    <w:rsid w:val="00FB78AC"/>
    <w:rsid w:val="00FB7AB7"/>
    <w:rsid w:val="00FB7AC3"/>
    <w:rsid w:val="00FB7CD8"/>
    <w:rsid w:val="00FC0116"/>
    <w:rsid w:val="00FC017B"/>
    <w:rsid w:val="00FC01EC"/>
    <w:rsid w:val="00FC068A"/>
    <w:rsid w:val="00FC07C2"/>
    <w:rsid w:val="00FC0B2B"/>
    <w:rsid w:val="00FC0BB8"/>
    <w:rsid w:val="00FC0C84"/>
    <w:rsid w:val="00FC0DDE"/>
    <w:rsid w:val="00FC0DF1"/>
    <w:rsid w:val="00FC0F70"/>
    <w:rsid w:val="00FC0FD2"/>
    <w:rsid w:val="00FC113D"/>
    <w:rsid w:val="00FC11B9"/>
    <w:rsid w:val="00FC1526"/>
    <w:rsid w:val="00FC1974"/>
    <w:rsid w:val="00FC1C71"/>
    <w:rsid w:val="00FC206E"/>
    <w:rsid w:val="00FC20B6"/>
    <w:rsid w:val="00FC2258"/>
    <w:rsid w:val="00FC22E0"/>
    <w:rsid w:val="00FC2D4B"/>
    <w:rsid w:val="00FC2ED1"/>
    <w:rsid w:val="00FC326F"/>
    <w:rsid w:val="00FC3617"/>
    <w:rsid w:val="00FC3997"/>
    <w:rsid w:val="00FC4102"/>
    <w:rsid w:val="00FC42B5"/>
    <w:rsid w:val="00FC4632"/>
    <w:rsid w:val="00FC4729"/>
    <w:rsid w:val="00FC50E0"/>
    <w:rsid w:val="00FC56AF"/>
    <w:rsid w:val="00FC5881"/>
    <w:rsid w:val="00FC58C6"/>
    <w:rsid w:val="00FC599B"/>
    <w:rsid w:val="00FC5B8D"/>
    <w:rsid w:val="00FC5CAE"/>
    <w:rsid w:val="00FC5E0E"/>
    <w:rsid w:val="00FC609B"/>
    <w:rsid w:val="00FC6353"/>
    <w:rsid w:val="00FC641E"/>
    <w:rsid w:val="00FC6B5E"/>
    <w:rsid w:val="00FC6E59"/>
    <w:rsid w:val="00FC76E8"/>
    <w:rsid w:val="00FC796D"/>
    <w:rsid w:val="00FC7EF6"/>
    <w:rsid w:val="00FD0036"/>
    <w:rsid w:val="00FD03F1"/>
    <w:rsid w:val="00FD0459"/>
    <w:rsid w:val="00FD04FD"/>
    <w:rsid w:val="00FD0581"/>
    <w:rsid w:val="00FD09EF"/>
    <w:rsid w:val="00FD0B08"/>
    <w:rsid w:val="00FD0B55"/>
    <w:rsid w:val="00FD0CF2"/>
    <w:rsid w:val="00FD0EAC"/>
    <w:rsid w:val="00FD0F60"/>
    <w:rsid w:val="00FD12BC"/>
    <w:rsid w:val="00FD14D3"/>
    <w:rsid w:val="00FD1584"/>
    <w:rsid w:val="00FD179D"/>
    <w:rsid w:val="00FD17F8"/>
    <w:rsid w:val="00FD20FD"/>
    <w:rsid w:val="00FD2117"/>
    <w:rsid w:val="00FD288A"/>
    <w:rsid w:val="00FD2C36"/>
    <w:rsid w:val="00FD2D6C"/>
    <w:rsid w:val="00FD2DE4"/>
    <w:rsid w:val="00FD31BE"/>
    <w:rsid w:val="00FD35AB"/>
    <w:rsid w:val="00FD3731"/>
    <w:rsid w:val="00FD3962"/>
    <w:rsid w:val="00FD39B2"/>
    <w:rsid w:val="00FD3A00"/>
    <w:rsid w:val="00FD3C26"/>
    <w:rsid w:val="00FD3D92"/>
    <w:rsid w:val="00FD3F4C"/>
    <w:rsid w:val="00FD404E"/>
    <w:rsid w:val="00FD4427"/>
    <w:rsid w:val="00FD44AB"/>
    <w:rsid w:val="00FD4557"/>
    <w:rsid w:val="00FD4824"/>
    <w:rsid w:val="00FD4978"/>
    <w:rsid w:val="00FD4B92"/>
    <w:rsid w:val="00FD4D5A"/>
    <w:rsid w:val="00FD5069"/>
    <w:rsid w:val="00FD568A"/>
    <w:rsid w:val="00FD5B02"/>
    <w:rsid w:val="00FD5C33"/>
    <w:rsid w:val="00FD5D52"/>
    <w:rsid w:val="00FD5F7A"/>
    <w:rsid w:val="00FD5F83"/>
    <w:rsid w:val="00FD6048"/>
    <w:rsid w:val="00FD60DF"/>
    <w:rsid w:val="00FD6399"/>
    <w:rsid w:val="00FD63EA"/>
    <w:rsid w:val="00FD6459"/>
    <w:rsid w:val="00FD68CF"/>
    <w:rsid w:val="00FD6A35"/>
    <w:rsid w:val="00FD6C63"/>
    <w:rsid w:val="00FD6D1B"/>
    <w:rsid w:val="00FD6E82"/>
    <w:rsid w:val="00FD6F35"/>
    <w:rsid w:val="00FD7162"/>
    <w:rsid w:val="00FD7800"/>
    <w:rsid w:val="00FD7AA5"/>
    <w:rsid w:val="00FD7B13"/>
    <w:rsid w:val="00FE00EB"/>
    <w:rsid w:val="00FE0250"/>
    <w:rsid w:val="00FE02F4"/>
    <w:rsid w:val="00FE0462"/>
    <w:rsid w:val="00FE085F"/>
    <w:rsid w:val="00FE0A92"/>
    <w:rsid w:val="00FE10BA"/>
    <w:rsid w:val="00FE10FF"/>
    <w:rsid w:val="00FE13F5"/>
    <w:rsid w:val="00FE154C"/>
    <w:rsid w:val="00FE168A"/>
    <w:rsid w:val="00FE1736"/>
    <w:rsid w:val="00FE179C"/>
    <w:rsid w:val="00FE20DC"/>
    <w:rsid w:val="00FE2221"/>
    <w:rsid w:val="00FE238E"/>
    <w:rsid w:val="00FE2557"/>
    <w:rsid w:val="00FE29E7"/>
    <w:rsid w:val="00FE2FF7"/>
    <w:rsid w:val="00FE30CC"/>
    <w:rsid w:val="00FE3138"/>
    <w:rsid w:val="00FE34BE"/>
    <w:rsid w:val="00FE3B2D"/>
    <w:rsid w:val="00FE3B7B"/>
    <w:rsid w:val="00FE3C3B"/>
    <w:rsid w:val="00FE3DB3"/>
    <w:rsid w:val="00FE40A3"/>
    <w:rsid w:val="00FE4B80"/>
    <w:rsid w:val="00FE4DCA"/>
    <w:rsid w:val="00FE5262"/>
    <w:rsid w:val="00FE5446"/>
    <w:rsid w:val="00FE5A73"/>
    <w:rsid w:val="00FE5AC4"/>
    <w:rsid w:val="00FE6368"/>
    <w:rsid w:val="00FE6374"/>
    <w:rsid w:val="00FE646C"/>
    <w:rsid w:val="00FE69F8"/>
    <w:rsid w:val="00FE6B21"/>
    <w:rsid w:val="00FE6B7E"/>
    <w:rsid w:val="00FE6DD5"/>
    <w:rsid w:val="00FE6EED"/>
    <w:rsid w:val="00FE6F2C"/>
    <w:rsid w:val="00FE6F57"/>
    <w:rsid w:val="00FE6FAE"/>
    <w:rsid w:val="00FE714C"/>
    <w:rsid w:val="00FE770B"/>
    <w:rsid w:val="00FE7755"/>
    <w:rsid w:val="00FE7A24"/>
    <w:rsid w:val="00FE7D2C"/>
    <w:rsid w:val="00FE7D67"/>
    <w:rsid w:val="00FE7EA4"/>
    <w:rsid w:val="00FE7EB3"/>
    <w:rsid w:val="00FE7F15"/>
    <w:rsid w:val="00FE7F7F"/>
    <w:rsid w:val="00FF02AE"/>
    <w:rsid w:val="00FF042B"/>
    <w:rsid w:val="00FF060D"/>
    <w:rsid w:val="00FF0654"/>
    <w:rsid w:val="00FF08AD"/>
    <w:rsid w:val="00FF0937"/>
    <w:rsid w:val="00FF095D"/>
    <w:rsid w:val="00FF0D4C"/>
    <w:rsid w:val="00FF0E4A"/>
    <w:rsid w:val="00FF0EAA"/>
    <w:rsid w:val="00FF0F6A"/>
    <w:rsid w:val="00FF12AB"/>
    <w:rsid w:val="00FF12B9"/>
    <w:rsid w:val="00FF1609"/>
    <w:rsid w:val="00FF1A79"/>
    <w:rsid w:val="00FF1AD4"/>
    <w:rsid w:val="00FF20FA"/>
    <w:rsid w:val="00FF240E"/>
    <w:rsid w:val="00FF261A"/>
    <w:rsid w:val="00FF2870"/>
    <w:rsid w:val="00FF2CD6"/>
    <w:rsid w:val="00FF2D5A"/>
    <w:rsid w:val="00FF2E1B"/>
    <w:rsid w:val="00FF2EFF"/>
    <w:rsid w:val="00FF2F27"/>
    <w:rsid w:val="00FF30E4"/>
    <w:rsid w:val="00FF319F"/>
    <w:rsid w:val="00FF3259"/>
    <w:rsid w:val="00FF327B"/>
    <w:rsid w:val="00FF3E57"/>
    <w:rsid w:val="00FF3E82"/>
    <w:rsid w:val="00FF3EE7"/>
    <w:rsid w:val="00FF434F"/>
    <w:rsid w:val="00FF470A"/>
    <w:rsid w:val="00FF473E"/>
    <w:rsid w:val="00FF475C"/>
    <w:rsid w:val="00FF482C"/>
    <w:rsid w:val="00FF489B"/>
    <w:rsid w:val="00FF4D38"/>
    <w:rsid w:val="00FF4DE2"/>
    <w:rsid w:val="00FF4EE9"/>
    <w:rsid w:val="00FF5533"/>
    <w:rsid w:val="00FF5585"/>
    <w:rsid w:val="00FF56AB"/>
    <w:rsid w:val="00FF57CE"/>
    <w:rsid w:val="00FF57DA"/>
    <w:rsid w:val="00FF5A40"/>
    <w:rsid w:val="00FF62E5"/>
    <w:rsid w:val="00FF63B2"/>
    <w:rsid w:val="00FF6506"/>
    <w:rsid w:val="00FF6663"/>
    <w:rsid w:val="00FF6717"/>
    <w:rsid w:val="00FF68FE"/>
    <w:rsid w:val="00FF69E7"/>
    <w:rsid w:val="00FF6B43"/>
    <w:rsid w:val="00FF6DB4"/>
    <w:rsid w:val="00FF712E"/>
    <w:rsid w:val="00FF71C0"/>
    <w:rsid w:val="00FF732D"/>
    <w:rsid w:val="00FF74EA"/>
    <w:rsid w:val="00FF7585"/>
    <w:rsid w:val="00FF75C4"/>
    <w:rsid w:val="00FF7A12"/>
    <w:rsid w:val="00FF7AC0"/>
    <w:rsid w:val="00FF7AD4"/>
    <w:rsid w:val="00FF7C77"/>
    <w:rsid w:val="00FF7D76"/>
    <w:rsid w:val="00FF7D77"/>
    <w:rsid w:val="00FF7EAA"/>
    <w:rsid w:val="011946C6"/>
    <w:rsid w:val="0120561C"/>
    <w:rsid w:val="012445C2"/>
    <w:rsid w:val="01265785"/>
    <w:rsid w:val="013351A8"/>
    <w:rsid w:val="0140BBDE"/>
    <w:rsid w:val="0143CB29"/>
    <w:rsid w:val="017F2365"/>
    <w:rsid w:val="0184A918"/>
    <w:rsid w:val="01BBF495"/>
    <w:rsid w:val="01D0D3C4"/>
    <w:rsid w:val="01DCA108"/>
    <w:rsid w:val="01DE0DA2"/>
    <w:rsid w:val="01DE9355"/>
    <w:rsid w:val="01E7841A"/>
    <w:rsid w:val="01EAC72B"/>
    <w:rsid w:val="01FAB308"/>
    <w:rsid w:val="01FB38F6"/>
    <w:rsid w:val="0216484B"/>
    <w:rsid w:val="021D490D"/>
    <w:rsid w:val="0241D861"/>
    <w:rsid w:val="0244ADF3"/>
    <w:rsid w:val="026467AB"/>
    <w:rsid w:val="02801BF9"/>
    <w:rsid w:val="029B95E2"/>
    <w:rsid w:val="029CFDE9"/>
    <w:rsid w:val="02C0DD7B"/>
    <w:rsid w:val="02C1C4D2"/>
    <w:rsid w:val="02DF1880"/>
    <w:rsid w:val="02DF367A"/>
    <w:rsid w:val="02F8FFD6"/>
    <w:rsid w:val="03022206"/>
    <w:rsid w:val="03036D09"/>
    <w:rsid w:val="03110FD2"/>
    <w:rsid w:val="032269A4"/>
    <w:rsid w:val="033198BE"/>
    <w:rsid w:val="0341A73D"/>
    <w:rsid w:val="0347E516"/>
    <w:rsid w:val="0360F8FA"/>
    <w:rsid w:val="037AE7EC"/>
    <w:rsid w:val="0390AC35"/>
    <w:rsid w:val="03ABC57E"/>
    <w:rsid w:val="03E788F0"/>
    <w:rsid w:val="03EAD8DF"/>
    <w:rsid w:val="040091DA"/>
    <w:rsid w:val="04145FCA"/>
    <w:rsid w:val="041C70CC"/>
    <w:rsid w:val="0423D139"/>
    <w:rsid w:val="042BF1F9"/>
    <w:rsid w:val="0450AE7D"/>
    <w:rsid w:val="0475575F"/>
    <w:rsid w:val="0480DECC"/>
    <w:rsid w:val="0496AA31"/>
    <w:rsid w:val="049DF6DC"/>
    <w:rsid w:val="04E44A30"/>
    <w:rsid w:val="04E95591"/>
    <w:rsid w:val="050D8E6B"/>
    <w:rsid w:val="05167A62"/>
    <w:rsid w:val="0524AE48"/>
    <w:rsid w:val="0525CDEE"/>
    <w:rsid w:val="0532BC6E"/>
    <w:rsid w:val="05402549"/>
    <w:rsid w:val="054038B5"/>
    <w:rsid w:val="05474F29"/>
    <w:rsid w:val="054C7DFC"/>
    <w:rsid w:val="05711D47"/>
    <w:rsid w:val="0580F0B1"/>
    <w:rsid w:val="05A1923A"/>
    <w:rsid w:val="05A2F329"/>
    <w:rsid w:val="05BBA160"/>
    <w:rsid w:val="05E79460"/>
    <w:rsid w:val="061AC9B4"/>
    <w:rsid w:val="061AF805"/>
    <w:rsid w:val="0642A9CA"/>
    <w:rsid w:val="06598EA4"/>
    <w:rsid w:val="0669E1F7"/>
    <w:rsid w:val="067CCD9E"/>
    <w:rsid w:val="068069E5"/>
    <w:rsid w:val="06C529D4"/>
    <w:rsid w:val="06D0BBF9"/>
    <w:rsid w:val="06D594F5"/>
    <w:rsid w:val="06DA357C"/>
    <w:rsid w:val="06F20F4E"/>
    <w:rsid w:val="070D9DBB"/>
    <w:rsid w:val="07214C1B"/>
    <w:rsid w:val="076F1A80"/>
    <w:rsid w:val="077E6942"/>
    <w:rsid w:val="077E7FFA"/>
    <w:rsid w:val="079F2362"/>
    <w:rsid w:val="07B48D1B"/>
    <w:rsid w:val="07E2A92D"/>
    <w:rsid w:val="081E0735"/>
    <w:rsid w:val="0835F6E9"/>
    <w:rsid w:val="0836CA49"/>
    <w:rsid w:val="0854560E"/>
    <w:rsid w:val="085FFA1A"/>
    <w:rsid w:val="08662950"/>
    <w:rsid w:val="0887BAFC"/>
    <w:rsid w:val="08A2EC13"/>
    <w:rsid w:val="08DB276C"/>
    <w:rsid w:val="08F087DF"/>
    <w:rsid w:val="08F47C1C"/>
    <w:rsid w:val="08F4EFAE"/>
    <w:rsid w:val="08F8321F"/>
    <w:rsid w:val="0905578D"/>
    <w:rsid w:val="092D438B"/>
    <w:rsid w:val="09432254"/>
    <w:rsid w:val="094C3578"/>
    <w:rsid w:val="094DC100"/>
    <w:rsid w:val="0955F96F"/>
    <w:rsid w:val="0956BFDD"/>
    <w:rsid w:val="095AC9D8"/>
    <w:rsid w:val="095BFCA1"/>
    <w:rsid w:val="096F8206"/>
    <w:rsid w:val="097CF9FC"/>
    <w:rsid w:val="09AD5CDE"/>
    <w:rsid w:val="09C3F0FD"/>
    <w:rsid w:val="09D0C78B"/>
    <w:rsid w:val="09F6CBF1"/>
    <w:rsid w:val="0A0E4599"/>
    <w:rsid w:val="0A1409F6"/>
    <w:rsid w:val="0A2CA78F"/>
    <w:rsid w:val="0A3CB4CD"/>
    <w:rsid w:val="0A42FE86"/>
    <w:rsid w:val="0ABCA6A6"/>
    <w:rsid w:val="0ADB8139"/>
    <w:rsid w:val="0AE1B558"/>
    <w:rsid w:val="0AE2FD54"/>
    <w:rsid w:val="0AEFB0F1"/>
    <w:rsid w:val="0AF7CA3E"/>
    <w:rsid w:val="0B340C74"/>
    <w:rsid w:val="0B478E4E"/>
    <w:rsid w:val="0B7A1D50"/>
    <w:rsid w:val="0B83579E"/>
    <w:rsid w:val="0B915B0F"/>
    <w:rsid w:val="0BAAE321"/>
    <w:rsid w:val="0BC1FE79"/>
    <w:rsid w:val="0BE1A158"/>
    <w:rsid w:val="0C04A7D3"/>
    <w:rsid w:val="0C37F6F4"/>
    <w:rsid w:val="0C40B1D1"/>
    <w:rsid w:val="0C5C55C2"/>
    <w:rsid w:val="0C64D284"/>
    <w:rsid w:val="0C794B74"/>
    <w:rsid w:val="0D093E46"/>
    <w:rsid w:val="0D23A111"/>
    <w:rsid w:val="0D5CF674"/>
    <w:rsid w:val="0D6EC625"/>
    <w:rsid w:val="0DC55072"/>
    <w:rsid w:val="0E13E84C"/>
    <w:rsid w:val="0E334C0C"/>
    <w:rsid w:val="0E372B9A"/>
    <w:rsid w:val="0E5CE53A"/>
    <w:rsid w:val="0E7DA133"/>
    <w:rsid w:val="0E841ECE"/>
    <w:rsid w:val="0E9FC5B2"/>
    <w:rsid w:val="0EBC5F58"/>
    <w:rsid w:val="0EC38B13"/>
    <w:rsid w:val="0F023685"/>
    <w:rsid w:val="0F29C7F1"/>
    <w:rsid w:val="0F48AD9C"/>
    <w:rsid w:val="0F4AF18F"/>
    <w:rsid w:val="0F5E7240"/>
    <w:rsid w:val="0F64133C"/>
    <w:rsid w:val="0F9F2983"/>
    <w:rsid w:val="0FA9F758"/>
    <w:rsid w:val="0FC5F9AD"/>
    <w:rsid w:val="0FC73D3B"/>
    <w:rsid w:val="0FC7AC54"/>
    <w:rsid w:val="0FE356CC"/>
    <w:rsid w:val="1013ADE7"/>
    <w:rsid w:val="101AD944"/>
    <w:rsid w:val="104543A3"/>
    <w:rsid w:val="105BA6FE"/>
    <w:rsid w:val="10635EB0"/>
    <w:rsid w:val="10715F92"/>
    <w:rsid w:val="10743108"/>
    <w:rsid w:val="10D3CC27"/>
    <w:rsid w:val="10E3C60C"/>
    <w:rsid w:val="10F3DB5F"/>
    <w:rsid w:val="10F74032"/>
    <w:rsid w:val="110F2919"/>
    <w:rsid w:val="111E4CDA"/>
    <w:rsid w:val="11380C82"/>
    <w:rsid w:val="11496502"/>
    <w:rsid w:val="1171A3C8"/>
    <w:rsid w:val="1174C7AD"/>
    <w:rsid w:val="11852809"/>
    <w:rsid w:val="11A95578"/>
    <w:rsid w:val="11AD8817"/>
    <w:rsid w:val="11AE201E"/>
    <w:rsid w:val="11CC6C3B"/>
    <w:rsid w:val="1211B9E7"/>
    <w:rsid w:val="12366D36"/>
    <w:rsid w:val="123E374A"/>
    <w:rsid w:val="12540EC7"/>
    <w:rsid w:val="125F5C85"/>
    <w:rsid w:val="1260460A"/>
    <w:rsid w:val="12708D5E"/>
    <w:rsid w:val="12A46ECB"/>
    <w:rsid w:val="12A7264D"/>
    <w:rsid w:val="12B2C137"/>
    <w:rsid w:val="1312DD2C"/>
    <w:rsid w:val="133D9EDF"/>
    <w:rsid w:val="134213D4"/>
    <w:rsid w:val="137A56B5"/>
    <w:rsid w:val="137E70DD"/>
    <w:rsid w:val="1388BD0D"/>
    <w:rsid w:val="13BCEA9F"/>
    <w:rsid w:val="13D462F2"/>
    <w:rsid w:val="13DA10E2"/>
    <w:rsid w:val="14084010"/>
    <w:rsid w:val="141D61BF"/>
    <w:rsid w:val="14347008"/>
    <w:rsid w:val="14650708"/>
    <w:rsid w:val="1494F5D6"/>
    <w:rsid w:val="14B3FB86"/>
    <w:rsid w:val="14B87380"/>
    <w:rsid w:val="14BCDBD8"/>
    <w:rsid w:val="14CA73CC"/>
    <w:rsid w:val="14D71DA2"/>
    <w:rsid w:val="14E3F95C"/>
    <w:rsid w:val="14E78CDC"/>
    <w:rsid w:val="14F76922"/>
    <w:rsid w:val="15088AFC"/>
    <w:rsid w:val="152EABFE"/>
    <w:rsid w:val="155E9F24"/>
    <w:rsid w:val="15625D8F"/>
    <w:rsid w:val="15659F82"/>
    <w:rsid w:val="15864276"/>
    <w:rsid w:val="158E79DA"/>
    <w:rsid w:val="159B83AA"/>
    <w:rsid w:val="15AECF15"/>
    <w:rsid w:val="15BCD5F2"/>
    <w:rsid w:val="15F681DA"/>
    <w:rsid w:val="160643D8"/>
    <w:rsid w:val="16585107"/>
    <w:rsid w:val="166E6107"/>
    <w:rsid w:val="1683D452"/>
    <w:rsid w:val="16B19FED"/>
    <w:rsid w:val="16EBE949"/>
    <w:rsid w:val="16F1945F"/>
    <w:rsid w:val="17038CEB"/>
    <w:rsid w:val="172EE20A"/>
    <w:rsid w:val="17418487"/>
    <w:rsid w:val="176EC404"/>
    <w:rsid w:val="17863784"/>
    <w:rsid w:val="178BC102"/>
    <w:rsid w:val="17A72391"/>
    <w:rsid w:val="17B675CF"/>
    <w:rsid w:val="17C2FA0E"/>
    <w:rsid w:val="17C378A9"/>
    <w:rsid w:val="180F203D"/>
    <w:rsid w:val="18116355"/>
    <w:rsid w:val="1815415B"/>
    <w:rsid w:val="182F3498"/>
    <w:rsid w:val="1858FA84"/>
    <w:rsid w:val="1869A385"/>
    <w:rsid w:val="18930853"/>
    <w:rsid w:val="1895E31F"/>
    <w:rsid w:val="18A20EFF"/>
    <w:rsid w:val="18D05CF3"/>
    <w:rsid w:val="18D40D55"/>
    <w:rsid w:val="195335DF"/>
    <w:rsid w:val="197F7C6C"/>
    <w:rsid w:val="1987351A"/>
    <w:rsid w:val="1994ED14"/>
    <w:rsid w:val="19A71CA8"/>
    <w:rsid w:val="19B54EF5"/>
    <w:rsid w:val="19BF4E5D"/>
    <w:rsid w:val="19D73819"/>
    <w:rsid w:val="19D8A258"/>
    <w:rsid w:val="19DFF5CB"/>
    <w:rsid w:val="19F917DA"/>
    <w:rsid w:val="1A1473D4"/>
    <w:rsid w:val="1A1CD48E"/>
    <w:rsid w:val="1A6DB66D"/>
    <w:rsid w:val="1A802F88"/>
    <w:rsid w:val="1AA0F839"/>
    <w:rsid w:val="1AB1B5A4"/>
    <w:rsid w:val="1AC14AE7"/>
    <w:rsid w:val="1AC3A7B6"/>
    <w:rsid w:val="1AD3278A"/>
    <w:rsid w:val="1AD34113"/>
    <w:rsid w:val="1AF58A91"/>
    <w:rsid w:val="1AF7EA55"/>
    <w:rsid w:val="1AFCAE4A"/>
    <w:rsid w:val="1B2B62F6"/>
    <w:rsid w:val="1B5C7879"/>
    <w:rsid w:val="1B682458"/>
    <w:rsid w:val="1B93E4F7"/>
    <w:rsid w:val="1BAE2705"/>
    <w:rsid w:val="1BD39715"/>
    <w:rsid w:val="1C03709C"/>
    <w:rsid w:val="1C0DBAA4"/>
    <w:rsid w:val="1C19EA78"/>
    <w:rsid w:val="1C1A03F9"/>
    <w:rsid w:val="1C2B6CE9"/>
    <w:rsid w:val="1C471BE2"/>
    <w:rsid w:val="1C529E95"/>
    <w:rsid w:val="1C613F6D"/>
    <w:rsid w:val="1C6AD9B4"/>
    <w:rsid w:val="1C79A204"/>
    <w:rsid w:val="1C80CA25"/>
    <w:rsid w:val="1C84028F"/>
    <w:rsid w:val="1CC0A4E9"/>
    <w:rsid w:val="1CC35577"/>
    <w:rsid w:val="1CCB005F"/>
    <w:rsid w:val="1CCF1B50"/>
    <w:rsid w:val="1D16A1E0"/>
    <w:rsid w:val="1D329F7F"/>
    <w:rsid w:val="1D381F71"/>
    <w:rsid w:val="1D4ADE6B"/>
    <w:rsid w:val="1D55A294"/>
    <w:rsid w:val="1D56D19F"/>
    <w:rsid w:val="1D8B952A"/>
    <w:rsid w:val="1D9C2B7E"/>
    <w:rsid w:val="1DB09ADD"/>
    <w:rsid w:val="1DB54F4F"/>
    <w:rsid w:val="1DC6113C"/>
    <w:rsid w:val="1DC9CBD2"/>
    <w:rsid w:val="1DFEF079"/>
    <w:rsid w:val="1E0028D7"/>
    <w:rsid w:val="1E014830"/>
    <w:rsid w:val="1E0D62A3"/>
    <w:rsid w:val="1E138C7D"/>
    <w:rsid w:val="1E2F7C53"/>
    <w:rsid w:val="1E448228"/>
    <w:rsid w:val="1E6AC2AA"/>
    <w:rsid w:val="1E77C6A6"/>
    <w:rsid w:val="1E844118"/>
    <w:rsid w:val="1EC612E2"/>
    <w:rsid w:val="1ECBA7DA"/>
    <w:rsid w:val="1ED7CB2B"/>
    <w:rsid w:val="1EFA3F56"/>
    <w:rsid w:val="1F08F4E5"/>
    <w:rsid w:val="1F0AF60A"/>
    <w:rsid w:val="1F2DBC0A"/>
    <w:rsid w:val="1F3204A5"/>
    <w:rsid w:val="1F5BB1AF"/>
    <w:rsid w:val="1F5D1E4A"/>
    <w:rsid w:val="1F658C69"/>
    <w:rsid w:val="1F766F6B"/>
    <w:rsid w:val="1F9E4801"/>
    <w:rsid w:val="1FBEB4EB"/>
    <w:rsid w:val="1FE19CC1"/>
    <w:rsid w:val="1FEC3843"/>
    <w:rsid w:val="1FFB26B6"/>
    <w:rsid w:val="1FFBBA6D"/>
    <w:rsid w:val="1FFEE23F"/>
    <w:rsid w:val="2008A4F1"/>
    <w:rsid w:val="200A62EF"/>
    <w:rsid w:val="20599217"/>
    <w:rsid w:val="2059EFA2"/>
    <w:rsid w:val="205A7092"/>
    <w:rsid w:val="20945920"/>
    <w:rsid w:val="2095DA59"/>
    <w:rsid w:val="20B5E057"/>
    <w:rsid w:val="20BBA1E8"/>
    <w:rsid w:val="20BC8CB4"/>
    <w:rsid w:val="20C00218"/>
    <w:rsid w:val="20C13FFD"/>
    <w:rsid w:val="20C46D78"/>
    <w:rsid w:val="20D69C33"/>
    <w:rsid w:val="20D91583"/>
    <w:rsid w:val="20E3AA9C"/>
    <w:rsid w:val="20F4BC82"/>
    <w:rsid w:val="2111AB53"/>
    <w:rsid w:val="21290BBC"/>
    <w:rsid w:val="2137FBF7"/>
    <w:rsid w:val="2155622F"/>
    <w:rsid w:val="2156A26A"/>
    <w:rsid w:val="2180738E"/>
    <w:rsid w:val="2195513B"/>
    <w:rsid w:val="21A5CC39"/>
    <w:rsid w:val="21A61ED9"/>
    <w:rsid w:val="21CC36BC"/>
    <w:rsid w:val="21DEF81C"/>
    <w:rsid w:val="21F409B0"/>
    <w:rsid w:val="21F7FEBD"/>
    <w:rsid w:val="21FD1BD0"/>
    <w:rsid w:val="2207B85B"/>
    <w:rsid w:val="220B2F67"/>
    <w:rsid w:val="2281934C"/>
    <w:rsid w:val="22923E08"/>
    <w:rsid w:val="22BF3002"/>
    <w:rsid w:val="22D39C43"/>
    <w:rsid w:val="22DA125C"/>
    <w:rsid w:val="22FEEB24"/>
    <w:rsid w:val="23141BAE"/>
    <w:rsid w:val="2315D4E7"/>
    <w:rsid w:val="23229808"/>
    <w:rsid w:val="23266058"/>
    <w:rsid w:val="23444392"/>
    <w:rsid w:val="234B99A7"/>
    <w:rsid w:val="23642D10"/>
    <w:rsid w:val="2381C52C"/>
    <w:rsid w:val="238DAA46"/>
    <w:rsid w:val="23A691BA"/>
    <w:rsid w:val="23BC919A"/>
    <w:rsid w:val="23C772D0"/>
    <w:rsid w:val="23D6EC05"/>
    <w:rsid w:val="23FC468F"/>
    <w:rsid w:val="242C3CAA"/>
    <w:rsid w:val="242E767A"/>
    <w:rsid w:val="2440221A"/>
    <w:rsid w:val="244987D9"/>
    <w:rsid w:val="24685287"/>
    <w:rsid w:val="247B3139"/>
    <w:rsid w:val="247FD377"/>
    <w:rsid w:val="24B8A6DA"/>
    <w:rsid w:val="24E10CDA"/>
    <w:rsid w:val="24EA246C"/>
    <w:rsid w:val="250687F8"/>
    <w:rsid w:val="2512A65D"/>
    <w:rsid w:val="252200F0"/>
    <w:rsid w:val="25353DF0"/>
    <w:rsid w:val="253992FC"/>
    <w:rsid w:val="256D6474"/>
    <w:rsid w:val="2579F09E"/>
    <w:rsid w:val="257CD802"/>
    <w:rsid w:val="257E309C"/>
    <w:rsid w:val="25A10EAF"/>
    <w:rsid w:val="25AAA08A"/>
    <w:rsid w:val="25B0E1C2"/>
    <w:rsid w:val="25B53146"/>
    <w:rsid w:val="25B8DD94"/>
    <w:rsid w:val="25C6157F"/>
    <w:rsid w:val="25C9B19B"/>
    <w:rsid w:val="25D02010"/>
    <w:rsid w:val="25E336F2"/>
    <w:rsid w:val="25FE47A0"/>
    <w:rsid w:val="25FF3299"/>
    <w:rsid w:val="2604F1E4"/>
    <w:rsid w:val="260C1F19"/>
    <w:rsid w:val="261C37A6"/>
    <w:rsid w:val="261DA78E"/>
    <w:rsid w:val="26453C7D"/>
    <w:rsid w:val="264C67AB"/>
    <w:rsid w:val="2655C1CC"/>
    <w:rsid w:val="267B4448"/>
    <w:rsid w:val="26E03874"/>
    <w:rsid w:val="26F76DA6"/>
    <w:rsid w:val="26FA05CD"/>
    <w:rsid w:val="26FE6AED"/>
    <w:rsid w:val="270530F1"/>
    <w:rsid w:val="270E9E69"/>
    <w:rsid w:val="271C1F03"/>
    <w:rsid w:val="2728BA23"/>
    <w:rsid w:val="2732078D"/>
    <w:rsid w:val="273ED551"/>
    <w:rsid w:val="276DE165"/>
    <w:rsid w:val="27849480"/>
    <w:rsid w:val="2786711D"/>
    <w:rsid w:val="2797919E"/>
    <w:rsid w:val="27A604CB"/>
    <w:rsid w:val="27CB8DF5"/>
    <w:rsid w:val="27CD3E19"/>
    <w:rsid w:val="28043067"/>
    <w:rsid w:val="284B87EB"/>
    <w:rsid w:val="2854DA0D"/>
    <w:rsid w:val="285AB448"/>
    <w:rsid w:val="286A30A2"/>
    <w:rsid w:val="287B2E82"/>
    <w:rsid w:val="287CE657"/>
    <w:rsid w:val="28825679"/>
    <w:rsid w:val="288A5EEC"/>
    <w:rsid w:val="28A2E0BC"/>
    <w:rsid w:val="28C005F4"/>
    <w:rsid w:val="28D1FDC9"/>
    <w:rsid w:val="28D7173D"/>
    <w:rsid w:val="28E523C8"/>
    <w:rsid w:val="28EAF193"/>
    <w:rsid w:val="28ED253B"/>
    <w:rsid w:val="290C4A94"/>
    <w:rsid w:val="2915EC06"/>
    <w:rsid w:val="2919C6D7"/>
    <w:rsid w:val="292FF249"/>
    <w:rsid w:val="29354374"/>
    <w:rsid w:val="295E204F"/>
    <w:rsid w:val="2964AB73"/>
    <w:rsid w:val="296F9CC9"/>
    <w:rsid w:val="2986E560"/>
    <w:rsid w:val="298EB786"/>
    <w:rsid w:val="29B0F01A"/>
    <w:rsid w:val="29B630DF"/>
    <w:rsid w:val="29C59184"/>
    <w:rsid w:val="29C78ECB"/>
    <w:rsid w:val="29E446E2"/>
    <w:rsid w:val="29E95BE3"/>
    <w:rsid w:val="29EB5425"/>
    <w:rsid w:val="29F217BB"/>
    <w:rsid w:val="2A04DBE5"/>
    <w:rsid w:val="2A2BADEC"/>
    <w:rsid w:val="2A2CE0F1"/>
    <w:rsid w:val="2A3A69F3"/>
    <w:rsid w:val="2A3DE7D2"/>
    <w:rsid w:val="2A8438F3"/>
    <w:rsid w:val="2A974ADA"/>
    <w:rsid w:val="2A9CF3C1"/>
    <w:rsid w:val="2AA5DB8D"/>
    <w:rsid w:val="2AC14F47"/>
    <w:rsid w:val="2AD56BD9"/>
    <w:rsid w:val="2B059AA1"/>
    <w:rsid w:val="2B1A93E6"/>
    <w:rsid w:val="2B4B691A"/>
    <w:rsid w:val="2B585060"/>
    <w:rsid w:val="2B748E32"/>
    <w:rsid w:val="2BCCB835"/>
    <w:rsid w:val="2BFFA1CC"/>
    <w:rsid w:val="2C1FB525"/>
    <w:rsid w:val="2C286EE6"/>
    <w:rsid w:val="2C48FE12"/>
    <w:rsid w:val="2C5CE4D8"/>
    <w:rsid w:val="2C5DFA0F"/>
    <w:rsid w:val="2C73373C"/>
    <w:rsid w:val="2C7931FE"/>
    <w:rsid w:val="2CC63133"/>
    <w:rsid w:val="2CC9CF84"/>
    <w:rsid w:val="2CCEAF65"/>
    <w:rsid w:val="2CDBBEE5"/>
    <w:rsid w:val="2CE240B8"/>
    <w:rsid w:val="2D3A0459"/>
    <w:rsid w:val="2D45AF91"/>
    <w:rsid w:val="2D4AE134"/>
    <w:rsid w:val="2D54FB9F"/>
    <w:rsid w:val="2D691439"/>
    <w:rsid w:val="2D6D1548"/>
    <w:rsid w:val="2D750E96"/>
    <w:rsid w:val="2D77F9D0"/>
    <w:rsid w:val="2D96BA60"/>
    <w:rsid w:val="2DD300B4"/>
    <w:rsid w:val="2E04C502"/>
    <w:rsid w:val="2E106463"/>
    <w:rsid w:val="2E1B0BE5"/>
    <w:rsid w:val="2E1C744B"/>
    <w:rsid w:val="2E4571C8"/>
    <w:rsid w:val="2E640FE8"/>
    <w:rsid w:val="2E8C5B38"/>
    <w:rsid w:val="2EB1DE25"/>
    <w:rsid w:val="2EB2CB94"/>
    <w:rsid w:val="2EE64C2F"/>
    <w:rsid w:val="2EE8832F"/>
    <w:rsid w:val="2EF292EB"/>
    <w:rsid w:val="2EF7315E"/>
    <w:rsid w:val="2EF8FC58"/>
    <w:rsid w:val="2F017C87"/>
    <w:rsid w:val="2F11803B"/>
    <w:rsid w:val="2F11CDC1"/>
    <w:rsid w:val="2F1F7876"/>
    <w:rsid w:val="2F2DCAAE"/>
    <w:rsid w:val="2F4AD46B"/>
    <w:rsid w:val="2F5C5223"/>
    <w:rsid w:val="2F5CF4C8"/>
    <w:rsid w:val="2F5ECA96"/>
    <w:rsid w:val="2F817CC7"/>
    <w:rsid w:val="2F98D180"/>
    <w:rsid w:val="2FAC6B26"/>
    <w:rsid w:val="2FD5A7F0"/>
    <w:rsid w:val="3003DFD0"/>
    <w:rsid w:val="3014CB50"/>
    <w:rsid w:val="302DF1B6"/>
    <w:rsid w:val="30338564"/>
    <w:rsid w:val="303688BE"/>
    <w:rsid w:val="3039F54B"/>
    <w:rsid w:val="30459E09"/>
    <w:rsid w:val="3056B4D8"/>
    <w:rsid w:val="305D545C"/>
    <w:rsid w:val="306A0DFA"/>
    <w:rsid w:val="309361E3"/>
    <w:rsid w:val="309B8C16"/>
    <w:rsid w:val="309C833E"/>
    <w:rsid w:val="30AC025E"/>
    <w:rsid w:val="30BF5C39"/>
    <w:rsid w:val="30CA15E7"/>
    <w:rsid w:val="30D62205"/>
    <w:rsid w:val="30DF37CC"/>
    <w:rsid w:val="30E01F6B"/>
    <w:rsid w:val="30F23E2C"/>
    <w:rsid w:val="3105F5FA"/>
    <w:rsid w:val="310D7E53"/>
    <w:rsid w:val="31404653"/>
    <w:rsid w:val="31585109"/>
    <w:rsid w:val="31660220"/>
    <w:rsid w:val="316D124B"/>
    <w:rsid w:val="31AA6DF2"/>
    <w:rsid w:val="31ACAA56"/>
    <w:rsid w:val="31BB93D6"/>
    <w:rsid w:val="31DF68CE"/>
    <w:rsid w:val="3210C34B"/>
    <w:rsid w:val="3216032B"/>
    <w:rsid w:val="3218DDBD"/>
    <w:rsid w:val="321D20A8"/>
    <w:rsid w:val="322214CE"/>
    <w:rsid w:val="32342236"/>
    <w:rsid w:val="323AEC47"/>
    <w:rsid w:val="324080C7"/>
    <w:rsid w:val="32438560"/>
    <w:rsid w:val="3243CCBA"/>
    <w:rsid w:val="3259C797"/>
    <w:rsid w:val="328BDF5F"/>
    <w:rsid w:val="329153E0"/>
    <w:rsid w:val="329701DE"/>
    <w:rsid w:val="329741B6"/>
    <w:rsid w:val="3299FA16"/>
    <w:rsid w:val="32B33302"/>
    <w:rsid w:val="32C38239"/>
    <w:rsid w:val="32C7AB0D"/>
    <w:rsid w:val="32F15650"/>
    <w:rsid w:val="32F82070"/>
    <w:rsid w:val="331E404C"/>
    <w:rsid w:val="33227E3E"/>
    <w:rsid w:val="3332C625"/>
    <w:rsid w:val="333E55E0"/>
    <w:rsid w:val="3380AD74"/>
    <w:rsid w:val="33CCF371"/>
    <w:rsid w:val="33D194F9"/>
    <w:rsid w:val="33D65F78"/>
    <w:rsid w:val="33FA8E33"/>
    <w:rsid w:val="340C1F10"/>
    <w:rsid w:val="342CA2C8"/>
    <w:rsid w:val="343F8A2E"/>
    <w:rsid w:val="34453368"/>
    <w:rsid w:val="34578F89"/>
    <w:rsid w:val="345BBB6B"/>
    <w:rsid w:val="34950981"/>
    <w:rsid w:val="34BA23D4"/>
    <w:rsid w:val="34BDB729"/>
    <w:rsid w:val="34F247C8"/>
    <w:rsid w:val="34F8E335"/>
    <w:rsid w:val="34FABDE5"/>
    <w:rsid w:val="352C48D2"/>
    <w:rsid w:val="357D68DC"/>
    <w:rsid w:val="3592891F"/>
    <w:rsid w:val="359816CB"/>
    <w:rsid w:val="35AB6857"/>
    <w:rsid w:val="35F1843F"/>
    <w:rsid w:val="35FB1ADE"/>
    <w:rsid w:val="35FEA165"/>
    <w:rsid w:val="360ECB9D"/>
    <w:rsid w:val="3627F19D"/>
    <w:rsid w:val="3631B167"/>
    <w:rsid w:val="3639F8CD"/>
    <w:rsid w:val="363DC3EB"/>
    <w:rsid w:val="367A3B6A"/>
    <w:rsid w:val="36A46031"/>
    <w:rsid w:val="37088019"/>
    <w:rsid w:val="37102A1F"/>
    <w:rsid w:val="371694BB"/>
    <w:rsid w:val="37183976"/>
    <w:rsid w:val="3721DEC8"/>
    <w:rsid w:val="372A8083"/>
    <w:rsid w:val="373C6FEC"/>
    <w:rsid w:val="373CE43A"/>
    <w:rsid w:val="37537059"/>
    <w:rsid w:val="37746E14"/>
    <w:rsid w:val="378370AB"/>
    <w:rsid w:val="3786CF75"/>
    <w:rsid w:val="3787B078"/>
    <w:rsid w:val="37A42FDE"/>
    <w:rsid w:val="37AC5C86"/>
    <w:rsid w:val="37BE049A"/>
    <w:rsid w:val="37EA5459"/>
    <w:rsid w:val="37FF8240"/>
    <w:rsid w:val="381C4533"/>
    <w:rsid w:val="38303659"/>
    <w:rsid w:val="38616429"/>
    <w:rsid w:val="387BBE8C"/>
    <w:rsid w:val="387F60F8"/>
    <w:rsid w:val="3881BEDC"/>
    <w:rsid w:val="38ADFA14"/>
    <w:rsid w:val="38C0604B"/>
    <w:rsid w:val="38C1FF21"/>
    <w:rsid w:val="38C82D17"/>
    <w:rsid w:val="38F98355"/>
    <w:rsid w:val="38FB6D62"/>
    <w:rsid w:val="392BCEC6"/>
    <w:rsid w:val="3938A5AE"/>
    <w:rsid w:val="3942AF7E"/>
    <w:rsid w:val="3947E097"/>
    <w:rsid w:val="39519C14"/>
    <w:rsid w:val="3958BDA9"/>
    <w:rsid w:val="395912AA"/>
    <w:rsid w:val="395C3ECE"/>
    <w:rsid w:val="396F9ED4"/>
    <w:rsid w:val="3983F8CF"/>
    <w:rsid w:val="3990ED86"/>
    <w:rsid w:val="399B7680"/>
    <w:rsid w:val="399D9C9B"/>
    <w:rsid w:val="39A24884"/>
    <w:rsid w:val="39A966CF"/>
    <w:rsid w:val="39DEA1C0"/>
    <w:rsid w:val="39E9579F"/>
    <w:rsid w:val="39F32671"/>
    <w:rsid w:val="3A00382A"/>
    <w:rsid w:val="3A1C75A3"/>
    <w:rsid w:val="3A1E1F5C"/>
    <w:rsid w:val="3A25407E"/>
    <w:rsid w:val="3A2EE3CD"/>
    <w:rsid w:val="3A38C0DB"/>
    <w:rsid w:val="3A4C07D7"/>
    <w:rsid w:val="3A6B4173"/>
    <w:rsid w:val="3A6BABF7"/>
    <w:rsid w:val="3A9DC77C"/>
    <w:rsid w:val="3AB5B0F4"/>
    <w:rsid w:val="3ACE503E"/>
    <w:rsid w:val="3AD218A8"/>
    <w:rsid w:val="3AF02BEE"/>
    <w:rsid w:val="3AFE488F"/>
    <w:rsid w:val="3B19F88B"/>
    <w:rsid w:val="3B3C8FDB"/>
    <w:rsid w:val="3B4943C6"/>
    <w:rsid w:val="3B5A6231"/>
    <w:rsid w:val="3B5CF2D4"/>
    <w:rsid w:val="3B7C4A3C"/>
    <w:rsid w:val="3B897646"/>
    <w:rsid w:val="3B949ACF"/>
    <w:rsid w:val="3B986CF7"/>
    <w:rsid w:val="3BA36E51"/>
    <w:rsid w:val="3BA8B378"/>
    <w:rsid w:val="3BB9C1F4"/>
    <w:rsid w:val="3BBCC0A9"/>
    <w:rsid w:val="3BC504EB"/>
    <w:rsid w:val="3BDA82AC"/>
    <w:rsid w:val="3BF68C11"/>
    <w:rsid w:val="3BFAF4D1"/>
    <w:rsid w:val="3C001F2D"/>
    <w:rsid w:val="3C0E22F0"/>
    <w:rsid w:val="3C235C91"/>
    <w:rsid w:val="3C34CF75"/>
    <w:rsid w:val="3C404D28"/>
    <w:rsid w:val="3C5FEDCE"/>
    <w:rsid w:val="3C8355A6"/>
    <w:rsid w:val="3CB06BA4"/>
    <w:rsid w:val="3CBB2282"/>
    <w:rsid w:val="3CC8DB87"/>
    <w:rsid w:val="3CCA8007"/>
    <w:rsid w:val="3CD5D63B"/>
    <w:rsid w:val="3CF0C1BA"/>
    <w:rsid w:val="3CF131E4"/>
    <w:rsid w:val="3CFD6C5A"/>
    <w:rsid w:val="3D0543E6"/>
    <w:rsid w:val="3D070478"/>
    <w:rsid w:val="3D089034"/>
    <w:rsid w:val="3D1456B3"/>
    <w:rsid w:val="3D15420A"/>
    <w:rsid w:val="3D1B0A45"/>
    <w:rsid w:val="3D2656B2"/>
    <w:rsid w:val="3D2CDB0D"/>
    <w:rsid w:val="3D31CCAE"/>
    <w:rsid w:val="3D3BBBB0"/>
    <w:rsid w:val="3D41733A"/>
    <w:rsid w:val="3D68F969"/>
    <w:rsid w:val="3DA6CBDA"/>
    <w:rsid w:val="3DA8DFBA"/>
    <w:rsid w:val="3DA90C72"/>
    <w:rsid w:val="3DE26AC5"/>
    <w:rsid w:val="3DEBB8DC"/>
    <w:rsid w:val="3DEE4B8B"/>
    <w:rsid w:val="3E0287A6"/>
    <w:rsid w:val="3E124A03"/>
    <w:rsid w:val="3E14D0A1"/>
    <w:rsid w:val="3E3E5F51"/>
    <w:rsid w:val="3E5097EE"/>
    <w:rsid w:val="3E5F23F6"/>
    <w:rsid w:val="3E7B07D1"/>
    <w:rsid w:val="3E8B9B02"/>
    <w:rsid w:val="3EA2E9AB"/>
    <w:rsid w:val="3EADB83E"/>
    <w:rsid w:val="3EBE1744"/>
    <w:rsid w:val="3EC8EAF1"/>
    <w:rsid w:val="3ECBC302"/>
    <w:rsid w:val="3ED4FBE1"/>
    <w:rsid w:val="3EF63DD3"/>
    <w:rsid w:val="3F08BEAC"/>
    <w:rsid w:val="3F1A2567"/>
    <w:rsid w:val="3F1A808A"/>
    <w:rsid w:val="3F3B2F51"/>
    <w:rsid w:val="3F51756D"/>
    <w:rsid w:val="3F692622"/>
    <w:rsid w:val="3F9AE5A0"/>
    <w:rsid w:val="3FBB45BE"/>
    <w:rsid w:val="3FC019BE"/>
    <w:rsid w:val="3FE1EB01"/>
    <w:rsid w:val="3FFF9DD5"/>
    <w:rsid w:val="40182EF9"/>
    <w:rsid w:val="401A2313"/>
    <w:rsid w:val="403A84BF"/>
    <w:rsid w:val="4044322D"/>
    <w:rsid w:val="404AA473"/>
    <w:rsid w:val="4067CB42"/>
    <w:rsid w:val="407120AC"/>
    <w:rsid w:val="407BF291"/>
    <w:rsid w:val="409E3BF5"/>
    <w:rsid w:val="409F7B76"/>
    <w:rsid w:val="40FEA876"/>
    <w:rsid w:val="4118F7A1"/>
    <w:rsid w:val="411F1875"/>
    <w:rsid w:val="412962E4"/>
    <w:rsid w:val="41383D3D"/>
    <w:rsid w:val="41506771"/>
    <w:rsid w:val="4166061D"/>
    <w:rsid w:val="4168EB02"/>
    <w:rsid w:val="417E5849"/>
    <w:rsid w:val="4190A031"/>
    <w:rsid w:val="41C88B31"/>
    <w:rsid w:val="41CC35F8"/>
    <w:rsid w:val="41D4F33D"/>
    <w:rsid w:val="41D9E742"/>
    <w:rsid w:val="41FDE3DB"/>
    <w:rsid w:val="4208E5FA"/>
    <w:rsid w:val="42106B94"/>
    <w:rsid w:val="42119AB4"/>
    <w:rsid w:val="422194AA"/>
    <w:rsid w:val="4221A432"/>
    <w:rsid w:val="4260A3A8"/>
    <w:rsid w:val="428747A0"/>
    <w:rsid w:val="42BF74E5"/>
    <w:rsid w:val="42C2C6E1"/>
    <w:rsid w:val="42CAC4E2"/>
    <w:rsid w:val="42D79018"/>
    <w:rsid w:val="42E0D3CA"/>
    <w:rsid w:val="43036FF8"/>
    <w:rsid w:val="433B1A50"/>
    <w:rsid w:val="43414E78"/>
    <w:rsid w:val="43466306"/>
    <w:rsid w:val="4368898D"/>
    <w:rsid w:val="437F1C12"/>
    <w:rsid w:val="43A22941"/>
    <w:rsid w:val="43CFAB49"/>
    <w:rsid w:val="43DC4174"/>
    <w:rsid w:val="43DFBBA6"/>
    <w:rsid w:val="4404AD8D"/>
    <w:rsid w:val="44297ED1"/>
    <w:rsid w:val="442B1B8E"/>
    <w:rsid w:val="443BE0F6"/>
    <w:rsid w:val="44957702"/>
    <w:rsid w:val="44A5525C"/>
    <w:rsid w:val="44BCAC4B"/>
    <w:rsid w:val="44E7EA99"/>
    <w:rsid w:val="44F9360D"/>
    <w:rsid w:val="4501C82F"/>
    <w:rsid w:val="4530CEC9"/>
    <w:rsid w:val="45554680"/>
    <w:rsid w:val="4570CE82"/>
    <w:rsid w:val="457AA119"/>
    <w:rsid w:val="45E5075F"/>
    <w:rsid w:val="461843FB"/>
    <w:rsid w:val="466510AC"/>
    <w:rsid w:val="467C3B28"/>
    <w:rsid w:val="467E7858"/>
    <w:rsid w:val="468A145C"/>
    <w:rsid w:val="469E40AF"/>
    <w:rsid w:val="46B7043C"/>
    <w:rsid w:val="46C1D7B5"/>
    <w:rsid w:val="46D4E330"/>
    <w:rsid w:val="46DCBCEF"/>
    <w:rsid w:val="46DCFB3E"/>
    <w:rsid w:val="46F930A1"/>
    <w:rsid w:val="470E116E"/>
    <w:rsid w:val="47309E61"/>
    <w:rsid w:val="47367933"/>
    <w:rsid w:val="476C22F9"/>
    <w:rsid w:val="477882AA"/>
    <w:rsid w:val="47792AB5"/>
    <w:rsid w:val="4790DC83"/>
    <w:rsid w:val="47950939"/>
    <w:rsid w:val="47A053DD"/>
    <w:rsid w:val="47C75042"/>
    <w:rsid w:val="47EDB6E8"/>
    <w:rsid w:val="4816CF6B"/>
    <w:rsid w:val="482C33EB"/>
    <w:rsid w:val="4866CA87"/>
    <w:rsid w:val="487025D3"/>
    <w:rsid w:val="488E1EEA"/>
    <w:rsid w:val="488FD59F"/>
    <w:rsid w:val="4898FEE7"/>
    <w:rsid w:val="48A1489A"/>
    <w:rsid w:val="48F765F9"/>
    <w:rsid w:val="49057058"/>
    <w:rsid w:val="490C9E3B"/>
    <w:rsid w:val="49195133"/>
    <w:rsid w:val="49196B1C"/>
    <w:rsid w:val="492B8A30"/>
    <w:rsid w:val="49333792"/>
    <w:rsid w:val="49483FF2"/>
    <w:rsid w:val="494AF247"/>
    <w:rsid w:val="494D5A8A"/>
    <w:rsid w:val="495D5915"/>
    <w:rsid w:val="49616683"/>
    <w:rsid w:val="49638305"/>
    <w:rsid w:val="498B0D80"/>
    <w:rsid w:val="49FDB630"/>
    <w:rsid w:val="4A36DEAD"/>
    <w:rsid w:val="4A4C9C19"/>
    <w:rsid w:val="4A60A77C"/>
    <w:rsid w:val="4A75C51C"/>
    <w:rsid w:val="4A77EAEB"/>
    <w:rsid w:val="4A7FE183"/>
    <w:rsid w:val="4A9A88AF"/>
    <w:rsid w:val="4A9F1DF8"/>
    <w:rsid w:val="4AAACEFC"/>
    <w:rsid w:val="4AB65BD2"/>
    <w:rsid w:val="4ABD65DC"/>
    <w:rsid w:val="4AF84909"/>
    <w:rsid w:val="4B074DA0"/>
    <w:rsid w:val="4B2E5E24"/>
    <w:rsid w:val="4B3238B7"/>
    <w:rsid w:val="4B4CB68D"/>
    <w:rsid w:val="4B5C6BF8"/>
    <w:rsid w:val="4B5EFDFB"/>
    <w:rsid w:val="4BC2E948"/>
    <w:rsid w:val="4BD58E56"/>
    <w:rsid w:val="4BDD1CD6"/>
    <w:rsid w:val="4BDF8191"/>
    <w:rsid w:val="4BE2223E"/>
    <w:rsid w:val="4BF2DD50"/>
    <w:rsid w:val="4C07B842"/>
    <w:rsid w:val="4C350E29"/>
    <w:rsid w:val="4C45AF0F"/>
    <w:rsid w:val="4C4D3F38"/>
    <w:rsid w:val="4C511354"/>
    <w:rsid w:val="4C5929BA"/>
    <w:rsid w:val="4C7B953F"/>
    <w:rsid w:val="4C95E8EB"/>
    <w:rsid w:val="4CA26889"/>
    <w:rsid w:val="4CB23EAA"/>
    <w:rsid w:val="4CB4422F"/>
    <w:rsid w:val="4CBE4369"/>
    <w:rsid w:val="4CED9CC4"/>
    <w:rsid w:val="4D044BFB"/>
    <w:rsid w:val="4D1098FB"/>
    <w:rsid w:val="4D113DED"/>
    <w:rsid w:val="4D2023BE"/>
    <w:rsid w:val="4D4667A4"/>
    <w:rsid w:val="4D46BA90"/>
    <w:rsid w:val="4D471AC2"/>
    <w:rsid w:val="4D7F47A6"/>
    <w:rsid w:val="4D96D675"/>
    <w:rsid w:val="4D9B219C"/>
    <w:rsid w:val="4DA70BAF"/>
    <w:rsid w:val="4DAB56E7"/>
    <w:rsid w:val="4DB110F8"/>
    <w:rsid w:val="4DB1822A"/>
    <w:rsid w:val="4DBBB510"/>
    <w:rsid w:val="4DBC3106"/>
    <w:rsid w:val="4DE5D307"/>
    <w:rsid w:val="4DECA651"/>
    <w:rsid w:val="4E0D0005"/>
    <w:rsid w:val="4E1AE277"/>
    <w:rsid w:val="4E5A1FBC"/>
    <w:rsid w:val="4E675899"/>
    <w:rsid w:val="4E7859BF"/>
    <w:rsid w:val="4E7A7119"/>
    <w:rsid w:val="4E8678B1"/>
    <w:rsid w:val="4EA3A9F0"/>
    <w:rsid w:val="4EC78705"/>
    <w:rsid w:val="4EDF1668"/>
    <w:rsid w:val="4EF54F29"/>
    <w:rsid w:val="4EFBEA9E"/>
    <w:rsid w:val="4F0044FA"/>
    <w:rsid w:val="4F09747C"/>
    <w:rsid w:val="4F0CD92D"/>
    <w:rsid w:val="4F16894E"/>
    <w:rsid w:val="4F1F1081"/>
    <w:rsid w:val="4F5A4154"/>
    <w:rsid w:val="4F5F9EAE"/>
    <w:rsid w:val="4F6208F2"/>
    <w:rsid w:val="4F626C01"/>
    <w:rsid w:val="4F693832"/>
    <w:rsid w:val="4F7C702A"/>
    <w:rsid w:val="4F86FE29"/>
    <w:rsid w:val="4F9225CD"/>
    <w:rsid w:val="4F94D690"/>
    <w:rsid w:val="4FA0F4CB"/>
    <w:rsid w:val="4FA2DDE8"/>
    <w:rsid w:val="4FCA80C2"/>
    <w:rsid w:val="4FD11C92"/>
    <w:rsid w:val="4FEC2D06"/>
    <w:rsid w:val="4FF304C5"/>
    <w:rsid w:val="4FF7088C"/>
    <w:rsid w:val="4FF73CF3"/>
    <w:rsid w:val="4FFBA6DE"/>
    <w:rsid w:val="50174B5C"/>
    <w:rsid w:val="502BDC32"/>
    <w:rsid w:val="503A85AB"/>
    <w:rsid w:val="506ABB84"/>
    <w:rsid w:val="5074BA3F"/>
    <w:rsid w:val="507A3035"/>
    <w:rsid w:val="509E5F63"/>
    <w:rsid w:val="509FD531"/>
    <w:rsid w:val="50AA3483"/>
    <w:rsid w:val="50BBA545"/>
    <w:rsid w:val="50DD6191"/>
    <w:rsid w:val="50E66070"/>
    <w:rsid w:val="5131C346"/>
    <w:rsid w:val="513C18F1"/>
    <w:rsid w:val="514721FC"/>
    <w:rsid w:val="5166E72F"/>
    <w:rsid w:val="516C2451"/>
    <w:rsid w:val="516FE93F"/>
    <w:rsid w:val="518DA3DB"/>
    <w:rsid w:val="51BF2171"/>
    <w:rsid w:val="51C9B806"/>
    <w:rsid w:val="51E8E7F2"/>
    <w:rsid w:val="51EF2608"/>
    <w:rsid w:val="5201398E"/>
    <w:rsid w:val="5202D4C3"/>
    <w:rsid w:val="523E2160"/>
    <w:rsid w:val="52400B2B"/>
    <w:rsid w:val="5257ACFA"/>
    <w:rsid w:val="527E244D"/>
    <w:rsid w:val="528D0045"/>
    <w:rsid w:val="529C2AAD"/>
    <w:rsid w:val="52A2EE2F"/>
    <w:rsid w:val="52D426BE"/>
    <w:rsid w:val="52D60C5E"/>
    <w:rsid w:val="52FF0FA7"/>
    <w:rsid w:val="532294ED"/>
    <w:rsid w:val="5327EB0D"/>
    <w:rsid w:val="534BE01D"/>
    <w:rsid w:val="53734DAA"/>
    <w:rsid w:val="5380DB4F"/>
    <w:rsid w:val="5382B1BA"/>
    <w:rsid w:val="539DE92E"/>
    <w:rsid w:val="53A27941"/>
    <w:rsid w:val="53A739AC"/>
    <w:rsid w:val="53AC8718"/>
    <w:rsid w:val="53C8B345"/>
    <w:rsid w:val="5411429B"/>
    <w:rsid w:val="5413E71C"/>
    <w:rsid w:val="543629F5"/>
    <w:rsid w:val="544CED12"/>
    <w:rsid w:val="545DD3C3"/>
    <w:rsid w:val="54627EFB"/>
    <w:rsid w:val="546F2279"/>
    <w:rsid w:val="547D5A1B"/>
    <w:rsid w:val="54861A59"/>
    <w:rsid w:val="548AAE0C"/>
    <w:rsid w:val="54937AB1"/>
    <w:rsid w:val="54A0C359"/>
    <w:rsid w:val="54B42BEB"/>
    <w:rsid w:val="54C1AFC0"/>
    <w:rsid w:val="54C26E4F"/>
    <w:rsid w:val="54E503FD"/>
    <w:rsid w:val="54EE3AC1"/>
    <w:rsid w:val="5501CBD8"/>
    <w:rsid w:val="55078B5B"/>
    <w:rsid w:val="559EF055"/>
    <w:rsid w:val="55DAD06E"/>
    <w:rsid w:val="55E9B1F5"/>
    <w:rsid w:val="560B5279"/>
    <w:rsid w:val="561344E3"/>
    <w:rsid w:val="5634227B"/>
    <w:rsid w:val="5639B68B"/>
    <w:rsid w:val="563E67EE"/>
    <w:rsid w:val="5654E7A8"/>
    <w:rsid w:val="568247A4"/>
    <w:rsid w:val="56930745"/>
    <w:rsid w:val="56C03135"/>
    <w:rsid w:val="56C0B66F"/>
    <w:rsid w:val="56D53BAD"/>
    <w:rsid w:val="56F50DE0"/>
    <w:rsid w:val="57083D9D"/>
    <w:rsid w:val="572A9D87"/>
    <w:rsid w:val="5730A3E5"/>
    <w:rsid w:val="57417F90"/>
    <w:rsid w:val="575CAE98"/>
    <w:rsid w:val="57738EFE"/>
    <w:rsid w:val="57C8B0E3"/>
    <w:rsid w:val="57DCFC58"/>
    <w:rsid w:val="57E0B9F6"/>
    <w:rsid w:val="57E4A5B8"/>
    <w:rsid w:val="57FAB9A8"/>
    <w:rsid w:val="57FF5A70"/>
    <w:rsid w:val="5801FD6F"/>
    <w:rsid w:val="587C7F10"/>
    <w:rsid w:val="58935FFB"/>
    <w:rsid w:val="589CC6E3"/>
    <w:rsid w:val="58A3BB3E"/>
    <w:rsid w:val="58B358D2"/>
    <w:rsid w:val="58CD0988"/>
    <w:rsid w:val="58F601A7"/>
    <w:rsid w:val="590B0E0D"/>
    <w:rsid w:val="59174D46"/>
    <w:rsid w:val="5919427A"/>
    <w:rsid w:val="5923E32F"/>
    <w:rsid w:val="59292E5C"/>
    <w:rsid w:val="5967574E"/>
    <w:rsid w:val="5973BA5B"/>
    <w:rsid w:val="598D7634"/>
    <w:rsid w:val="5996FA98"/>
    <w:rsid w:val="5997F548"/>
    <w:rsid w:val="59D58106"/>
    <w:rsid w:val="59DBB0E7"/>
    <w:rsid w:val="59E48EF2"/>
    <w:rsid w:val="59E9E226"/>
    <w:rsid w:val="59F2926D"/>
    <w:rsid w:val="59FBAD74"/>
    <w:rsid w:val="5A2C25AC"/>
    <w:rsid w:val="5A45899C"/>
    <w:rsid w:val="5A53E63B"/>
    <w:rsid w:val="5A601941"/>
    <w:rsid w:val="5A6A227F"/>
    <w:rsid w:val="5A84FED2"/>
    <w:rsid w:val="5A8D3EAC"/>
    <w:rsid w:val="5A9821AD"/>
    <w:rsid w:val="5AA09612"/>
    <w:rsid w:val="5AA8D9B1"/>
    <w:rsid w:val="5AAE64F5"/>
    <w:rsid w:val="5AC047D4"/>
    <w:rsid w:val="5AF89EB3"/>
    <w:rsid w:val="5B04CF0B"/>
    <w:rsid w:val="5B0FF65D"/>
    <w:rsid w:val="5B2468AF"/>
    <w:rsid w:val="5B2741A8"/>
    <w:rsid w:val="5B4A6C95"/>
    <w:rsid w:val="5BA0FAB9"/>
    <w:rsid w:val="5BAF8E70"/>
    <w:rsid w:val="5BB007AA"/>
    <w:rsid w:val="5BB8EABD"/>
    <w:rsid w:val="5BBB79E7"/>
    <w:rsid w:val="5BD1CDE0"/>
    <w:rsid w:val="5BFF6DC8"/>
    <w:rsid w:val="5C074BF1"/>
    <w:rsid w:val="5C1D3A64"/>
    <w:rsid w:val="5C251F5F"/>
    <w:rsid w:val="5C4009C6"/>
    <w:rsid w:val="5C4FCA62"/>
    <w:rsid w:val="5C72F0C1"/>
    <w:rsid w:val="5C8A68D2"/>
    <w:rsid w:val="5C8E3A41"/>
    <w:rsid w:val="5C917A88"/>
    <w:rsid w:val="5CADD7C9"/>
    <w:rsid w:val="5CAFD4E9"/>
    <w:rsid w:val="5CDA99D0"/>
    <w:rsid w:val="5CDBC615"/>
    <w:rsid w:val="5CE383BF"/>
    <w:rsid w:val="5CE8AED2"/>
    <w:rsid w:val="5CEBB858"/>
    <w:rsid w:val="5CFB20C9"/>
    <w:rsid w:val="5D04688C"/>
    <w:rsid w:val="5D0760B4"/>
    <w:rsid w:val="5D08AAC6"/>
    <w:rsid w:val="5D0BF4C7"/>
    <w:rsid w:val="5D135A6A"/>
    <w:rsid w:val="5D1E8684"/>
    <w:rsid w:val="5D32B663"/>
    <w:rsid w:val="5D3D867F"/>
    <w:rsid w:val="5D6FBD38"/>
    <w:rsid w:val="5DE18006"/>
    <w:rsid w:val="5E0B6C67"/>
    <w:rsid w:val="5E1B9179"/>
    <w:rsid w:val="5E1E3820"/>
    <w:rsid w:val="5E34C4A4"/>
    <w:rsid w:val="5E4ED47E"/>
    <w:rsid w:val="5E527AB5"/>
    <w:rsid w:val="5E52A117"/>
    <w:rsid w:val="5E5AED95"/>
    <w:rsid w:val="5E6F3582"/>
    <w:rsid w:val="5E762D97"/>
    <w:rsid w:val="5E874912"/>
    <w:rsid w:val="5E8F60A6"/>
    <w:rsid w:val="5E9EECDE"/>
    <w:rsid w:val="5ECE23D6"/>
    <w:rsid w:val="5EEB7DE7"/>
    <w:rsid w:val="5EFCDFB3"/>
    <w:rsid w:val="5EFFF35D"/>
    <w:rsid w:val="5F07C3D4"/>
    <w:rsid w:val="5F0FA6BD"/>
    <w:rsid w:val="5F14E8E6"/>
    <w:rsid w:val="5F39AAE2"/>
    <w:rsid w:val="5F405D77"/>
    <w:rsid w:val="5F784627"/>
    <w:rsid w:val="5F787C2C"/>
    <w:rsid w:val="5F824123"/>
    <w:rsid w:val="5F9699D7"/>
    <w:rsid w:val="5F9AE84A"/>
    <w:rsid w:val="5FA59F2C"/>
    <w:rsid w:val="5FBA9DC4"/>
    <w:rsid w:val="5FE66BD5"/>
    <w:rsid w:val="60201F6D"/>
    <w:rsid w:val="6030FFC6"/>
    <w:rsid w:val="6031B33F"/>
    <w:rsid w:val="603204EE"/>
    <w:rsid w:val="60332E21"/>
    <w:rsid w:val="6055AB96"/>
    <w:rsid w:val="6065A93C"/>
    <w:rsid w:val="60668C6B"/>
    <w:rsid w:val="607AE573"/>
    <w:rsid w:val="6089FE02"/>
    <w:rsid w:val="60A73737"/>
    <w:rsid w:val="60A9F7DA"/>
    <w:rsid w:val="60B38FA5"/>
    <w:rsid w:val="60CB1577"/>
    <w:rsid w:val="60D64BCA"/>
    <w:rsid w:val="60FCFC83"/>
    <w:rsid w:val="60FE1E94"/>
    <w:rsid w:val="61087B57"/>
    <w:rsid w:val="611516F3"/>
    <w:rsid w:val="611CF443"/>
    <w:rsid w:val="61486DE3"/>
    <w:rsid w:val="616BEB9A"/>
    <w:rsid w:val="616E7AD0"/>
    <w:rsid w:val="61776782"/>
    <w:rsid w:val="617E8A63"/>
    <w:rsid w:val="61AA73F3"/>
    <w:rsid w:val="61B98316"/>
    <w:rsid w:val="61CE3E7B"/>
    <w:rsid w:val="61EB9E2C"/>
    <w:rsid w:val="61F23A49"/>
    <w:rsid w:val="6231DA3A"/>
    <w:rsid w:val="6231F6D7"/>
    <w:rsid w:val="623687F7"/>
    <w:rsid w:val="62594630"/>
    <w:rsid w:val="625ED8BC"/>
    <w:rsid w:val="6260265F"/>
    <w:rsid w:val="62650AAC"/>
    <w:rsid w:val="6280E5BF"/>
    <w:rsid w:val="628B25EC"/>
    <w:rsid w:val="62B252C2"/>
    <w:rsid w:val="62EDBF2C"/>
    <w:rsid w:val="632E5185"/>
    <w:rsid w:val="633E8193"/>
    <w:rsid w:val="63407267"/>
    <w:rsid w:val="63656273"/>
    <w:rsid w:val="636900FB"/>
    <w:rsid w:val="636D5474"/>
    <w:rsid w:val="636FB7B3"/>
    <w:rsid w:val="639B243B"/>
    <w:rsid w:val="63A4447A"/>
    <w:rsid w:val="63A4D408"/>
    <w:rsid w:val="63B82E10"/>
    <w:rsid w:val="63B9C8CC"/>
    <w:rsid w:val="63C58C98"/>
    <w:rsid w:val="63D3B01D"/>
    <w:rsid w:val="63D78787"/>
    <w:rsid w:val="63E12835"/>
    <w:rsid w:val="63E4051A"/>
    <w:rsid w:val="63FE4A6C"/>
    <w:rsid w:val="64007861"/>
    <w:rsid w:val="6407DF06"/>
    <w:rsid w:val="644C8389"/>
    <w:rsid w:val="64685BC9"/>
    <w:rsid w:val="646BF297"/>
    <w:rsid w:val="6485E83E"/>
    <w:rsid w:val="648D6C15"/>
    <w:rsid w:val="6497D9EC"/>
    <w:rsid w:val="649B2ACF"/>
    <w:rsid w:val="64A1BD09"/>
    <w:rsid w:val="64A9FE9A"/>
    <w:rsid w:val="64E885E2"/>
    <w:rsid w:val="64F096D8"/>
    <w:rsid w:val="650BF98C"/>
    <w:rsid w:val="650EB7EB"/>
    <w:rsid w:val="6522E0D5"/>
    <w:rsid w:val="652C9926"/>
    <w:rsid w:val="65426FD0"/>
    <w:rsid w:val="654575BF"/>
    <w:rsid w:val="65654A10"/>
    <w:rsid w:val="6578DD54"/>
    <w:rsid w:val="65CFF510"/>
    <w:rsid w:val="65E28D8B"/>
    <w:rsid w:val="65F95E54"/>
    <w:rsid w:val="65FF24E9"/>
    <w:rsid w:val="661078BB"/>
    <w:rsid w:val="665190DD"/>
    <w:rsid w:val="666E30D7"/>
    <w:rsid w:val="6692E7F7"/>
    <w:rsid w:val="669FB1B0"/>
    <w:rsid w:val="66A81AE1"/>
    <w:rsid w:val="66B588BD"/>
    <w:rsid w:val="66B92F7C"/>
    <w:rsid w:val="66BF843A"/>
    <w:rsid w:val="66D62264"/>
    <w:rsid w:val="670453B1"/>
    <w:rsid w:val="671EBEED"/>
    <w:rsid w:val="6754F79A"/>
    <w:rsid w:val="67599560"/>
    <w:rsid w:val="675E8B55"/>
    <w:rsid w:val="676126A7"/>
    <w:rsid w:val="6762C651"/>
    <w:rsid w:val="67674E86"/>
    <w:rsid w:val="678B4DF3"/>
    <w:rsid w:val="67983150"/>
    <w:rsid w:val="67A12AEC"/>
    <w:rsid w:val="67AFE9AC"/>
    <w:rsid w:val="67B09036"/>
    <w:rsid w:val="67B7D3DF"/>
    <w:rsid w:val="67CC17BD"/>
    <w:rsid w:val="681221A5"/>
    <w:rsid w:val="681818AA"/>
    <w:rsid w:val="683CDB94"/>
    <w:rsid w:val="683FD6CE"/>
    <w:rsid w:val="6840C469"/>
    <w:rsid w:val="68423EF6"/>
    <w:rsid w:val="684C0944"/>
    <w:rsid w:val="68512381"/>
    <w:rsid w:val="6852F65C"/>
    <w:rsid w:val="6860E366"/>
    <w:rsid w:val="68738B8B"/>
    <w:rsid w:val="68782F77"/>
    <w:rsid w:val="68840D5E"/>
    <w:rsid w:val="68862A82"/>
    <w:rsid w:val="68920D20"/>
    <w:rsid w:val="68B09BC0"/>
    <w:rsid w:val="68E30217"/>
    <w:rsid w:val="68ECC2B1"/>
    <w:rsid w:val="690AB733"/>
    <w:rsid w:val="690C8BCB"/>
    <w:rsid w:val="692A87A9"/>
    <w:rsid w:val="698BA302"/>
    <w:rsid w:val="69906A1B"/>
    <w:rsid w:val="69912C85"/>
    <w:rsid w:val="69DC29C0"/>
    <w:rsid w:val="69DDF244"/>
    <w:rsid w:val="6A2DAB23"/>
    <w:rsid w:val="6A4FCFD0"/>
    <w:rsid w:val="6A582C29"/>
    <w:rsid w:val="6A5D0FBB"/>
    <w:rsid w:val="6A6E7211"/>
    <w:rsid w:val="6A7995F2"/>
    <w:rsid w:val="6A879E61"/>
    <w:rsid w:val="6A88ECD6"/>
    <w:rsid w:val="6A9349C3"/>
    <w:rsid w:val="6A960A6C"/>
    <w:rsid w:val="6ADF27A0"/>
    <w:rsid w:val="6AEB4F39"/>
    <w:rsid w:val="6AED210B"/>
    <w:rsid w:val="6AEE5273"/>
    <w:rsid w:val="6AFF76F5"/>
    <w:rsid w:val="6AFFA657"/>
    <w:rsid w:val="6B0A46E1"/>
    <w:rsid w:val="6B1687F1"/>
    <w:rsid w:val="6B1CD8C5"/>
    <w:rsid w:val="6B4D9B9A"/>
    <w:rsid w:val="6B52134C"/>
    <w:rsid w:val="6B5EADDA"/>
    <w:rsid w:val="6B8D0FA0"/>
    <w:rsid w:val="6BADECBD"/>
    <w:rsid w:val="6BE6DA15"/>
    <w:rsid w:val="6BEEC5DE"/>
    <w:rsid w:val="6C0177C2"/>
    <w:rsid w:val="6C17E31A"/>
    <w:rsid w:val="6C1E7A30"/>
    <w:rsid w:val="6C3CB709"/>
    <w:rsid w:val="6C3D58E6"/>
    <w:rsid w:val="6C42736E"/>
    <w:rsid w:val="6C6753A1"/>
    <w:rsid w:val="6C6DD263"/>
    <w:rsid w:val="6C7C48C7"/>
    <w:rsid w:val="6C937945"/>
    <w:rsid w:val="6CA82680"/>
    <w:rsid w:val="6CBDF20C"/>
    <w:rsid w:val="6CC4A8D0"/>
    <w:rsid w:val="6CD82AFB"/>
    <w:rsid w:val="6CD8CE91"/>
    <w:rsid w:val="6CE5569E"/>
    <w:rsid w:val="6D01CFBE"/>
    <w:rsid w:val="6D0BD67B"/>
    <w:rsid w:val="6D10D6C1"/>
    <w:rsid w:val="6D18AB47"/>
    <w:rsid w:val="6D2883AD"/>
    <w:rsid w:val="6D30C070"/>
    <w:rsid w:val="6D532CF4"/>
    <w:rsid w:val="6D56EEEC"/>
    <w:rsid w:val="6D6CA49D"/>
    <w:rsid w:val="6D783E9F"/>
    <w:rsid w:val="6D83AA11"/>
    <w:rsid w:val="6D84A6E2"/>
    <w:rsid w:val="6D904EA1"/>
    <w:rsid w:val="6D9359EA"/>
    <w:rsid w:val="6D94AB61"/>
    <w:rsid w:val="6DE4B422"/>
    <w:rsid w:val="6DEFA549"/>
    <w:rsid w:val="6DF4F55E"/>
    <w:rsid w:val="6E1324BF"/>
    <w:rsid w:val="6E209B7C"/>
    <w:rsid w:val="6E30BCFE"/>
    <w:rsid w:val="6E3CDC7A"/>
    <w:rsid w:val="6E499A06"/>
    <w:rsid w:val="6E7805E2"/>
    <w:rsid w:val="6EAEE831"/>
    <w:rsid w:val="6EB36AEC"/>
    <w:rsid w:val="6EBAB6E8"/>
    <w:rsid w:val="6ECAF35F"/>
    <w:rsid w:val="6ECD4DC6"/>
    <w:rsid w:val="6ED7FA0B"/>
    <w:rsid w:val="6EEA9E0C"/>
    <w:rsid w:val="6EEFC8E6"/>
    <w:rsid w:val="6EF03043"/>
    <w:rsid w:val="6EF597EC"/>
    <w:rsid w:val="6EFFB654"/>
    <w:rsid w:val="6F067D17"/>
    <w:rsid w:val="6F1A8563"/>
    <w:rsid w:val="6F287298"/>
    <w:rsid w:val="6F42207E"/>
    <w:rsid w:val="6F46939E"/>
    <w:rsid w:val="6F4B875B"/>
    <w:rsid w:val="6F5DE66C"/>
    <w:rsid w:val="6F60A85C"/>
    <w:rsid w:val="6F68157C"/>
    <w:rsid w:val="6F6EB1A5"/>
    <w:rsid w:val="6F8C8041"/>
    <w:rsid w:val="6FD2DBA2"/>
    <w:rsid w:val="6FE01F65"/>
    <w:rsid w:val="6FE6177B"/>
    <w:rsid w:val="700488DB"/>
    <w:rsid w:val="7014CB5E"/>
    <w:rsid w:val="707B8FF0"/>
    <w:rsid w:val="7098E627"/>
    <w:rsid w:val="70B3BB61"/>
    <w:rsid w:val="70BFA6A5"/>
    <w:rsid w:val="70CAE1E4"/>
    <w:rsid w:val="71008511"/>
    <w:rsid w:val="71014B51"/>
    <w:rsid w:val="71054041"/>
    <w:rsid w:val="71126EA8"/>
    <w:rsid w:val="714E27E5"/>
    <w:rsid w:val="71831325"/>
    <w:rsid w:val="7183ECB0"/>
    <w:rsid w:val="71847626"/>
    <w:rsid w:val="71989210"/>
    <w:rsid w:val="71B8BE69"/>
    <w:rsid w:val="71D521E5"/>
    <w:rsid w:val="71DCDAC3"/>
    <w:rsid w:val="71DD89D6"/>
    <w:rsid w:val="71E62ECA"/>
    <w:rsid w:val="71FA9404"/>
    <w:rsid w:val="720B3F09"/>
    <w:rsid w:val="722D4A15"/>
    <w:rsid w:val="7245176D"/>
    <w:rsid w:val="726AEA9B"/>
    <w:rsid w:val="728DDE24"/>
    <w:rsid w:val="72A0D104"/>
    <w:rsid w:val="72A81578"/>
    <w:rsid w:val="72B455CA"/>
    <w:rsid w:val="72B6492F"/>
    <w:rsid w:val="72B956FF"/>
    <w:rsid w:val="72C81816"/>
    <w:rsid w:val="72E0D34D"/>
    <w:rsid w:val="72EB9B5B"/>
    <w:rsid w:val="72F3CBC5"/>
    <w:rsid w:val="7310B67F"/>
    <w:rsid w:val="73118C46"/>
    <w:rsid w:val="73168E31"/>
    <w:rsid w:val="732B0F91"/>
    <w:rsid w:val="734566E1"/>
    <w:rsid w:val="739BCD07"/>
    <w:rsid w:val="73A7729D"/>
    <w:rsid w:val="73B5AB2A"/>
    <w:rsid w:val="73C239DD"/>
    <w:rsid w:val="73C9B0C1"/>
    <w:rsid w:val="73CE248D"/>
    <w:rsid w:val="73CF0600"/>
    <w:rsid w:val="73D7682C"/>
    <w:rsid w:val="73D820BF"/>
    <w:rsid w:val="73EB3E80"/>
    <w:rsid w:val="740B1546"/>
    <w:rsid w:val="7433D621"/>
    <w:rsid w:val="744C0C8D"/>
    <w:rsid w:val="74679D37"/>
    <w:rsid w:val="7467E700"/>
    <w:rsid w:val="746EC02B"/>
    <w:rsid w:val="74942171"/>
    <w:rsid w:val="749B26D0"/>
    <w:rsid w:val="74AA447B"/>
    <w:rsid w:val="74CBCAC9"/>
    <w:rsid w:val="74D5D472"/>
    <w:rsid w:val="74E3A987"/>
    <w:rsid w:val="7517CF96"/>
    <w:rsid w:val="75197FD0"/>
    <w:rsid w:val="7526193B"/>
    <w:rsid w:val="7535204B"/>
    <w:rsid w:val="755673F6"/>
    <w:rsid w:val="75699BFB"/>
    <w:rsid w:val="7591BB97"/>
    <w:rsid w:val="75970A39"/>
    <w:rsid w:val="75A51A92"/>
    <w:rsid w:val="75A656FA"/>
    <w:rsid w:val="75A83C96"/>
    <w:rsid w:val="75B02946"/>
    <w:rsid w:val="75B89BA6"/>
    <w:rsid w:val="75CB522B"/>
    <w:rsid w:val="75D19301"/>
    <w:rsid w:val="75D475A6"/>
    <w:rsid w:val="75DC0EB4"/>
    <w:rsid w:val="760374A4"/>
    <w:rsid w:val="7606873B"/>
    <w:rsid w:val="7635A883"/>
    <w:rsid w:val="765815A9"/>
    <w:rsid w:val="765A20A1"/>
    <w:rsid w:val="765EA260"/>
    <w:rsid w:val="76671D30"/>
    <w:rsid w:val="7677A299"/>
    <w:rsid w:val="767C34A1"/>
    <w:rsid w:val="7686A60D"/>
    <w:rsid w:val="768B5BE8"/>
    <w:rsid w:val="76967300"/>
    <w:rsid w:val="76C52169"/>
    <w:rsid w:val="76C60A6C"/>
    <w:rsid w:val="76D93BCE"/>
    <w:rsid w:val="76F159A5"/>
    <w:rsid w:val="76FE0B00"/>
    <w:rsid w:val="7710BE7C"/>
    <w:rsid w:val="771C0C52"/>
    <w:rsid w:val="77251C57"/>
    <w:rsid w:val="773594D8"/>
    <w:rsid w:val="77444089"/>
    <w:rsid w:val="7746BB29"/>
    <w:rsid w:val="775AAAFC"/>
    <w:rsid w:val="775F6925"/>
    <w:rsid w:val="7763983D"/>
    <w:rsid w:val="776CAEDE"/>
    <w:rsid w:val="777CA2B9"/>
    <w:rsid w:val="77923488"/>
    <w:rsid w:val="7796161F"/>
    <w:rsid w:val="77A17F68"/>
    <w:rsid w:val="77C04432"/>
    <w:rsid w:val="77C110E0"/>
    <w:rsid w:val="77CE3478"/>
    <w:rsid w:val="7815D1D0"/>
    <w:rsid w:val="782BCA03"/>
    <w:rsid w:val="783CDF6E"/>
    <w:rsid w:val="783E8D07"/>
    <w:rsid w:val="78462DFE"/>
    <w:rsid w:val="7861138B"/>
    <w:rsid w:val="786F315A"/>
    <w:rsid w:val="78767BDC"/>
    <w:rsid w:val="78862781"/>
    <w:rsid w:val="78AAD1EF"/>
    <w:rsid w:val="78B06D77"/>
    <w:rsid w:val="78D19F76"/>
    <w:rsid w:val="78D92823"/>
    <w:rsid w:val="78F891D0"/>
    <w:rsid w:val="78FD53A9"/>
    <w:rsid w:val="795520A2"/>
    <w:rsid w:val="79A2495F"/>
    <w:rsid w:val="79B29E06"/>
    <w:rsid w:val="79BEC888"/>
    <w:rsid w:val="79C879E5"/>
    <w:rsid w:val="79DD460C"/>
    <w:rsid w:val="79E416CA"/>
    <w:rsid w:val="79F095A0"/>
    <w:rsid w:val="7A08CA25"/>
    <w:rsid w:val="7A320E24"/>
    <w:rsid w:val="7A353ABB"/>
    <w:rsid w:val="7A4C149F"/>
    <w:rsid w:val="7A58DACC"/>
    <w:rsid w:val="7A591E64"/>
    <w:rsid w:val="7A6E6396"/>
    <w:rsid w:val="7A9293AD"/>
    <w:rsid w:val="7A9DFFBA"/>
    <w:rsid w:val="7AA9E813"/>
    <w:rsid w:val="7ADD5D5E"/>
    <w:rsid w:val="7ADE39CC"/>
    <w:rsid w:val="7AE402D8"/>
    <w:rsid w:val="7AE6BE88"/>
    <w:rsid w:val="7AE827A1"/>
    <w:rsid w:val="7B025D01"/>
    <w:rsid w:val="7B09BA52"/>
    <w:rsid w:val="7B1449DA"/>
    <w:rsid w:val="7B2F7B75"/>
    <w:rsid w:val="7B4670DF"/>
    <w:rsid w:val="7B5CCE00"/>
    <w:rsid w:val="7B672084"/>
    <w:rsid w:val="7B8C9CDB"/>
    <w:rsid w:val="7BA0FD23"/>
    <w:rsid w:val="7BB6A6C6"/>
    <w:rsid w:val="7BB906D3"/>
    <w:rsid w:val="7BBCD3AB"/>
    <w:rsid w:val="7BD008B9"/>
    <w:rsid w:val="7BDC8B6C"/>
    <w:rsid w:val="7BDDA659"/>
    <w:rsid w:val="7BDE07C2"/>
    <w:rsid w:val="7BE0B399"/>
    <w:rsid w:val="7BE8D462"/>
    <w:rsid w:val="7BF357A1"/>
    <w:rsid w:val="7BF78C13"/>
    <w:rsid w:val="7C02F205"/>
    <w:rsid w:val="7C1B4B5F"/>
    <w:rsid w:val="7C215EA5"/>
    <w:rsid w:val="7C36EDBA"/>
    <w:rsid w:val="7C3EE75D"/>
    <w:rsid w:val="7C50FC27"/>
    <w:rsid w:val="7C91A91C"/>
    <w:rsid w:val="7CA75933"/>
    <w:rsid w:val="7CB6A402"/>
    <w:rsid w:val="7CB7A535"/>
    <w:rsid w:val="7CD88D37"/>
    <w:rsid w:val="7CE41CA7"/>
    <w:rsid w:val="7CF05753"/>
    <w:rsid w:val="7D1BAB89"/>
    <w:rsid w:val="7D1D0DF1"/>
    <w:rsid w:val="7D1D7923"/>
    <w:rsid w:val="7D1FFE70"/>
    <w:rsid w:val="7D33940D"/>
    <w:rsid w:val="7D6F36BB"/>
    <w:rsid w:val="7D75FDBF"/>
    <w:rsid w:val="7D7A2CEB"/>
    <w:rsid w:val="7D8F396B"/>
    <w:rsid w:val="7D9BBDF4"/>
    <w:rsid w:val="7DA96AF5"/>
    <w:rsid w:val="7DBEEC3D"/>
    <w:rsid w:val="7DC0D9EA"/>
    <w:rsid w:val="7E0AF177"/>
    <w:rsid w:val="7E1A8D32"/>
    <w:rsid w:val="7E3CC6EB"/>
    <w:rsid w:val="7E4562A4"/>
    <w:rsid w:val="7E521664"/>
    <w:rsid w:val="7E5B689B"/>
    <w:rsid w:val="7E8AAA34"/>
    <w:rsid w:val="7E8CCF4F"/>
    <w:rsid w:val="7EAC4184"/>
    <w:rsid w:val="7EB67232"/>
    <w:rsid w:val="7ECDEFFB"/>
    <w:rsid w:val="7EE36BFF"/>
    <w:rsid w:val="7F397D72"/>
    <w:rsid w:val="7F44CD40"/>
    <w:rsid w:val="7F71BAF5"/>
    <w:rsid w:val="7F8CAF85"/>
    <w:rsid w:val="7F98F35B"/>
    <w:rsid w:val="7FBA1088"/>
    <w:rsid w:val="7FFDB4C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ED778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BF2"/>
  </w:style>
  <w:style w:type="paragraph" w:styleId="Heading1">
    <w:name w:val="heading 1"/>
    <w:basedOn w:val="Normal"/>
    <w:next w:val="Normal"/>
    <w:link w:val="Heading1Char"/>
    <w:uiPriority w:val="9"/>
    <w:qFormat/>
    <w:rsid w:val="00A110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0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0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0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0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0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0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0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0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0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0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0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0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0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0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0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0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0A8"/>
    <w:rPr>
      <w:rFonts w:eastAsiaTheme="majorEastAsia" w:cstheme="majorBidi"/>
      <w:color w:val="272727" w:themeColor="text1" w:themeTint="D8"/>
    </w:rPr>
  </w:style>
  <w:style w:type="paragraph" w:styleId="Title">
    <w:name w:val="Title"/>
    <w:basedOn w:val="Normal"/>
    <w:next w:val="Normal"/>
    <w:link w:val="TitleChar"/>
    <w:uiPriority w:val="10"/>
    <w:qFormat/>
    <w:rsid w:val="00A110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0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0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0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0A8"/>
    <w:pPr>
      <w:spacing w:before="160"/>
      <w:jc w:val="center"/>
    </w:pPr>
    <w:rPr>
      <w:i/>
      <w:iCs/>
      <w:color w:val="404040" w:themeColor="text1" w:themeTint="BF"/>
    </w:rPr>
  </w:style>
  <w:style w:type="character" w:customStyle="1" w:styleId="QuoteChar">
    <w:name w:val="Quote Char"/>
    <w:basedOn w:val="DefaultParagraphFont"/>
    <w:link w:val="Quote"/>
    <w:uiPriority w:val="29"/>
    <w:rsid w:val="00A110A8"/>
    <w:rPr>
      <w:i/>
      <w:iCs/>
      <w:color w:val="404040" w:themeColor="text1" w:themeTint="BF"/>
    </w:rPr>
  </w:style>
  <w:style w:type="paragraph" w:styleId="ListParagraph">
    <w:name w:val="List Paragraph"/>
    <w:basedOn w:val="Normal"/>
    <w:uiPriority w:val="34"/>
    <w:qFormat/>
    <w:rsid w:val="00A110A8"/>
    <w:pPr>
      <w:ind w:left="720"/>
      <w:contextualSpacing/>
    </w:pPr>
  </w:style>
  <w:style w:type="character" w:styleId="IntenseEmphasis">
    <w:name w:val="Intense Emphasis"/>
    <w:basedOn w:val="DefaultParagraphFont"/>
    <w:uiPriority w:val="21"/>
    <w:qFormat/>
    <w:rsid w:val="00A110A8"/>
    <w:rPr>
      <w:i/>
      <w:iCs/>
      <w:color w:val="0F4761" w:themeColor="accent1" w:themeShade="BF"/>
    </w:rPr>
  </w:style>
  <w:style w:type="paragraph" w:styleId="IntenseQuote">
    <w:name w:val="Intense Quote"/>
    <w:basedOn w:val="Normal"/>
    <w:next w:val="Normal"/>
    <w:link w:val="IntenseQuoteChar"/>
    <w:uiPriority w:val="30"/>
    <w:qFormat/>
    <w:rsid w:val="00A110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0A8"/>
    <w:rPr>
      <w:i/>
      <w:iCs/>
      <w:color w:val="0F4761" w:themeColor="accent1" w:themeShade="BF"/>
    </w:rPr>
  </w:style>
  <w:style w:type="character" w:styleId="IntenseReference">
    <w:name w:val="Intense Reference"/>
    <w:basedOn w:val="DefaultParagraphFont"/>
    <w:uiPriority w:val="32"/>
    <w:qFormat/>
    <w:rsid w:val="00A110A8"/>
    <w:rPr>
      <w:b/>
      <w:bCs/>
      <w:smallCaps/>
      <w:color w:val="0F4761" w:themeColor="accent1" w:themeShade="BF"/>
      <w:spacing w:val="5"/>
    </w:rPr>
  </w:style>
  <w:style w:type="paragraph" w:styleId="FootnoteText">
    <w:name w:val="footnote text"/>
    <w:basedOn w:val="Normal"/>
    <w:unhideWhenUsed/>
    <w:rsid w:val="00A110A8"/>
    <w:pPr>
      <w:spacing w:after="0" w:line="240" w:lineRule="auto"/>
    </w:pPr>
    <w:rPr>
      <w:sz w:val="20"/>
      <w:szCs w:val="20"/>
    </w:rPr>
  </w:style>
  <w:style w:type="character" w:customStyle="1" w:styleId="FootnoteTextChar">
    <w:name w:val="Footnote Text Char"/>
    <w:basedOn w:val="DefaultParagraphFont"/>
    <w:rsid w:val="00A110A8"/>
    <w:rPr>
      <w:sz w:val="20"/>
      <w:szCs w:val="20"/>
    </w:rPr>
  </w:style>
  <w:style w:type="character" w:styleId="FootnoteReference">
    <w:name w:val="footnote reference"/>
    <w:aliases w:val="number,Times 10 Point,Exposant 3 Point,Footnote symbol,Footnote reference number,Odwołanie przypisu,stylish,note TESI,BVI fnr,Appel note de bas de p,Nota,SUPERS,Footnote number,Footnote Reference Superscript,EN Footnote Reference,Ref"/>
    <w:basedOn w:val="DefaultParagraphFont"/>
    <w:link w:val="CarCarCarCarCarCarCarCar"/>
    <w:unhideWhenUsed/>
    <w:qFormat/>
    <w:rsid w:val="00A110A8"/>
    <w:rPr>
      <w:vertAlign w:val="superscript"/>
    </w:rPr>
  </w:style>
  <w:style w:type="character" w:styleId="Hyperlink">
    <w:name w:val="Hyperlink"/>
    <w:basedOn w:val="DefaultParagraphFont"/>
    <w:uiPriority w:val="99"/>
    <w:unhideWhenUsed/>
    <w:rsid w:val="00A110A8"/>
    <w:rPr>
      <w:color w:val="0000FF"/>
      <w:u w:val="single"/>
    </w:rPr>
  </w:style>
  <w:style w:type="paragraph" w:customStyle="1" w:styleId="title-bold">
    <w:name w:val="title-bold"/>
    <w:basedOn w:val="Normal"/>
    <w:rsid w:val="00A110A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Header">
    <w:name w:val="header"/>
    <w:basedOn w:val="Normal"/>
    <w:link w:val="HeaderChar"/>
    <w:uiPriority w:val="99"/>
    <w:unhideWhenUsed/>
    <w:rsid w:val="00A11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0A8"/>
  </w:style>
  <w:style w:type="paragraph" w:styleId="Footer">
    <w:name w:val="footer"/>
    <w:basedOn w:val="Normal"/>
    <w:link w:val="FooterChar"/>
    <w:uiPriority w:val="99"/>
    <w:unhideWhenUsed/>
    <w:rsid w:val="00A11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0A8"/>
  </w:style>
  <w:style w:type="paragraph" w:styleId="CommentText">
    <w:name w:val="annotation text"/>
    <w:basedOn w:val="Normal"/>
    <w:link w:val="CommentTextChar"/>
    <w:uiPriority w:val="99"/>
    <w:unhideWhenUsed/>
    <w:rsid w:val="00927F27"/>
    <w:pPr>
      <w:spacing w:line="240" w:lineRule="auto"/>
    </w:pPr>
    <w:rPr>
      <w:sz w:val="20"/>
      <w:szCs w:val="20"/>
    </w:rPr>
  </w:style>
  <w:style w:type="character" w:customStyle="1" w:styleId="CommentTextChar">
    <w:name w:val="Comment Text Char"/>
    <w:basedOn w:val="DefaultParagraphFont"/>
    <w:link w:val="CommentText"/>
    <w:uiPriority w:val="99"/>
    <w:rsid w:val="00927F27"/>
    <w:rPr>
      <w:sz w:val="20"/>
      <w:szCs w:val="20"/>
      <w:lang w:val="fr-FR"/>
    </w:rPr>
  </w:style>
  <w:style w:type="character" w:styleId="CommentReference">
    <w:name w:val="annotation reference"/>
    <w:basedOn w:val="DefaultParagraphFont"/>
    <w:uiPriority w:val="99"/>
    <w:semiHidden/>
    <w:unhideWhenUsed/>
    <w:rsid w:val="00927F27"/>
    <w:rPr>
      <w:sz w:val="16"/>
      <w:szCs w:val="16"/>
    </w:rPr>
  </w:style>
  <w:style w:type="paragraph" w:styleId="NormalWeb">
    <w:name w:val="Normal (Web)"/>
    <w:basedOn w:val="Normal"/>
    <w:uiPriority w:val="99"/>
    <w:semiHidden/>
    <w:unhideWhenUsed/>
    <w:rsid w:val="00F0731D"/>
    <w:pPr>
      <w:spacing w:before="100" w:beforeAutospacing="1" w:after="100" w:afterAutospacing="1" w:line="240" w:lineRule="auto"/>
    </w:pPr>
    <w:rPr>
      <w:rFonts w:ascii="Aptos" w:hAnsi="Aptos" w:cs="Aptos"/>
      <w:kern w:val="0"/>
      <w:sz w:val="24"/>
      <w:szCs w:val="24"/>
      <w:lang w:eastAsia="en-IE"/>
      <w14:ligatures w14:val="none"/>
    </w:rPr>
  </w:style>
  <w:style w:type="paragraph" w:styleId="Revision">
    <w:name w:val="Revision"/>
    <w:hidden/>
    <w:uiPriority w:val="99"/>
    <w:semiHidden/>
    <w:rsid w:val="00645F18"/>
    <w:pPr>
      <w:spacing w:after="0" w:line="240" w:lineRule="auto"/>
    </w:pPr>
  </w:style>
  <w:style w:type="table" w:styleId="TableGrid">
    <w:name w:val="Table Grid"/>
    <w:basedOn w:val="TableNormal"/>
    <w:rsid w:val="006A1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A1F76"/>
    <w:rPr>
      <w:b/>
      <w:bCs/>
    </w:rPr>
  </w:style>
  <w:style w:type="character" w:customStyle="1" w:styleId="CommentSubjectChar">
    <w:name w:val="Comment Subject Char"/>
    <w:basedOn w:val="CommentTextChar"/>
    <w:link w:val="CommentSubject"/>
    <w:uiPriority w:val="99"/>
    <w:semiHidden/>
    <w:rsid w:val="006A1F76"/>
    <w:rPr>
      <w:b/>
      <w:bCs/>
      <w:sz w:val="20"/>
      <w:szCs w:val="20"/>
      <w:lang w:val="fr-FR"/>
    </w:rPr>
  </w:style>
  <w:style w:type="character" w:customStyle="1" w:styleId="Mention1">
    <w:name w:val="Mention1"/>
    <w:basedOn w:val="DefaultParagraphFont"/>
    <w:uiPriority w:val="99"/>
    <w:unhideWhenUsed/>
    <w:rsid w:val="00C00578"/>
    <w:rPr>
      <w:color w:val="2B579A"/>
      <w:shd w:val="clear" w:color="auto" w:fill="E1DFDD"/>
    </w:rPr>
  </w:style>
  <w:style w:type="character" w:customStyle="1" w:styleId="UnresolvedMention1">
    <w:name w:val="Unresolved Mention1"/>
    <w:basedOn w:val="DefaultParagraphFont"/>
    <w:uiPriority w:val="99"/>
    <w:semiHidden/>
    <w:unhideWhenUsed/>
    <w:rsid w:val="00C00578"/>
    <w:rPr>
      <w:color w:val="605E5C"/>
      <w:shd w:val="clear" w:color="auto" w:fill="E1DFDD"/>
    </w:rPr>
  </w:style>
  <w:style w:type="character" w:styleId="FollowedHyperlink">
    <w:name w:val="FollowedHyperlink"/>
    <w:basedOn w:val="DefaultParagraphFont"/>
    <w:uiPriority w:val="99"/>
    <w:semiHidden/>
    <w:unhideWhenUsed/>
    <w:rsid w:val="00C00578"/>
    <w:rPr>
      <w:color w:val="96607D" w:themeColor="followedHyperlink"/>
      <w:u w:val="single"/>
    </w:rPr>
  </w:style>
  <w:style w:type="paragraph" w:customStyle="1" w:styleId="typedudocumentcp">
    <w:name w:val="typedudocument_cp"/>
    <w:basedOn w:val="Normal"/>
    <w:rsid w:val="005141E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C53C35"/>
    <w:rPr>
      <w:b/>
      <w:bCs/>
    </w:rPr>
  </w:style>
  <w:style w:type="paragraph" w:customStyle="1" w:styleId="paragraph">
    <w:name w:val="paragraph"/>
    <w:basedOn w:val="Normal"/>
    <w:rsid w:val="00956D9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956D93"/>
  </w:style>
  <w:style w:type="character" w:customStyle="1" w:styleId="eop">
    <w:name w:val="eop"/>
    <w:basedOn w:val="DefaultParagraphFont"/>
    <w:rsid w:val="00956D93"/>
  </w:style>
  <w:style w:type="character" w:customStyle="1" w:styleId="Marker">
    <w:name w:val="Marker"/>
    <w:basedOn w:val="DefaultParagraphFont"/>
    <w:rsid w:val="00E36292"/>
    <w:rPr>
      <w:color w:val="0000FF"/>
      <w:shd w:val="clear" w:color="auto" w:fill="auto"/>
    </w:rPr>
  </w:style>
  <w:style w:type="paragraph" w:customStyle="1" w:styleId="FooterCoverPage">
    <w:name w:val="Footer Cover Page"/>
    <w:basedOn w:val="Normal"/>
    <w:link w:val="FooterCoverPageChar"/>
    <w:rsid w:val="00902FF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02FF8"/>
    <w:rPr>
      <w:rFonts w:ascii="Times New Roman" w:hAnsi="Times New Roman" w:cs="Times New Roman"/>
      <w:sz w:val="24"/>
    </w:rPr>
  </w:style>
  <w:style w:type="paragraph" w:customStyle="1" w:styleId="FooterSensitivity">
    <w:name w:val="Footer Sensitivity"/>
    <w:basedOn w:val="Normal"/>
    <w:link w:val="FooterSensitivityChar"/>
    <w:rsid w:val="00902FF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02FF8"/>
    <w:rPr>
      <w:rFonts w:ascii="Times New Roman" w:hAnsi="Times New Roman" w:cs="Times New Roman"/>
      <w:b/>
      <w:sz w:val="32"/>
    </w:rPr>
  </w:style>
  <w:style w:type="paragraph" w:customStyle="1" w:styleId="HeaderCoverPage">
    <w:name w:val="Header Cover Page"/>
    <w:basedOn w:val="Normal"/>
    <w:link w:val="HeaderCoverPageChar"/>
    <w:rsid w:val="00902FF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02FF8"/>
    <w:rPr>
      <w:rFonts w:ascii="Times New Roman" w:hAnsi="Times New Roman" w:cs="Times New Roman"/>
      <w:sz w:val="24"/>
    </w:rPr>
  </w:style>
  <w:style w:type="paragraph" w:customStyle="1" w:styleId="HeaderSensitivity">
    <w:name w:val="Header Sensitivity"/>
    <w:basedOn w:val="Normal"/>
    <w:link w:val="HeaderSensitivityChar"/>
    <w:rsid w:val="00902FF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02FF8"/>
    <w:rPr>
      <w:rFonts w:ascii="Times New Roman" w:hAnsi="Times New Roman" w:cs="Times New Roman"/>
      <w:b/>
      <w:sz w:val="32"/>
    </w:rPr>
  </w:style>
  <w:style w:type="paragraph" w:customStyle="1" w:styleId="HeaderSensitivityRight">
    <w:name w:val="Header Sensitivity Right"/>
    <w:basedOn w:val="Normal"/>
    <w:link w:val="HeaderSensitivityRightChar"/>
    <w:rsid w:val="00E8457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02FF8"/>
    <w:rPr>
      <w:rFonts w:ascii="Times New Roman" w:hAnsi="Times New Roman" w:cs="Times New Roman"/>
      <w:sz w:val="28"/>
    </w:rPr>
  </w:style>
  <w:style w:type="character" w:customStyle="1" w:styleId="superscript">
    <w:name w:val="superscript"/>
    <w:basedOn w:val="DefaultParagraphFont"/>
    <w:rsid w:val="00045D2B"/>
  </w:style>
  <w:style w:type="paragraph" w:customStyle="1" w:styleId="CarCarCarCarCarCarCarCar">
    <w:name w:val="Car Car Car Car Car Car Car Car"/>
    <w:aliases w:val="Car Car Car Car1 Car,Car Car Car Car1 Car Car Car Car"/>
    <w:basedOn w:val="Normal"/>
    <w:link w:val="FootnoteReference"/>
    <w:uiPriority w:val="99"/>
    <w:rsid w:val="00DA3C76"/>
    <w:pPr>
      <w:spacing w:line="240" w:lineRule="exact"/>
    </w:pPr>
    <w:rPr>
      <w:vertAlign w:val="superscript"/>
    </w:rPr>
  </w:style>
  <w:style w:type="paragraph" w:customStyle="1" w:styleId="Pagedecouverture">
    <w:name w:val="Page de couverture"/>
    <w:basedOn w:val="Normal"/>
    <w:next w:val="Normal"/>
    <w:rsid w:val="008C7FBE"/>
    <w:pPr>
      <w:spacing w:after="0" w:line="240" w:lineRule="auto"/>
      <w:jc w:val="both"/>
    </w:pPr>
    <w:rPr>
      <w:rFonts w:ascii="Times New Roman" w:hAnsi="Times New Roman" w:cs="Times New Roman"/>
      <w:kern w:val="0"/>
      <w:sz w:val="24"/>
      <w14:ligatures w14:val="none"/>
    </w:rPr>
  </w:style>
  <w:style w:type="paragraph" w:styleId="EndnoteText">
    <w:name w:val="endnote text"/>
    <w:basedOn w:val="Normal"/>
    <w:link w:val="EndnoteTextChar"/>
    <w:uiPriority w:val="99"/>
    <w:semiHidden/>
    <w:unhideWhenUsed/>
    <w:rsid w:val="00D646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46BF"/>
    <w:rPr>
      <w:sz w:val="20"/>
      <w:szCs w:val="20"/>
      <w:lang w:val="fr-FR"/>
    </w:rPr>
  </w:style>
  <w:style w:type="character" w:styleId="EndnoteReference">
    <w:name w:val="endnote reference"/>
    <w:basedOn w:val="DefaultParagraphFont"/>
    <w:uiPriority w:val="99"/>
    <w:semiHidden/>
    <w:unhideWhenUsed/>
    <w:rsid w:val="00D646BF"/>
    <w:rPr>
      <w:vertAlign w:val="superscript"/>
    </w:rPr>
  </w:style>
  <w:style w:type="paragraph" w:customStyle="1" w:styleId="Disclaimer">
    <w:name w:val="Disclaimer"/>
    <w:basedOn w:val="Normal"/>
    <w:rsid w:val="00E8457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E84576"/>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E84576"/>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E84576"/>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41295">
      <w:bodyDiv w:val="1"/>
      <w:marLeft w:val="0"/>
      <w:marRight w:val="0"/>
      <w:marTop w:val="0"/>
      <w:marBottom w:val="0"/>
      <w:divBdr>
        <w:top w:val="none" w:sz="0" w:space="0" w:color="auto"/>
        <w:left w:val="none" w:sz="0" w:space="0" w:color="auto"/>
        <w:bottom w:val="none" w:sz="0" w:space="0" w:color="auto"/>
        <w:right w:val="none" w:sz="0" w:space="0" w:color="auto"/>
      </w:divBdr>
    </w:div>
    <w:div w:id="233325183">
      <w:bodyDiv w:val="1"/>
      <w:marLeft w:val="0"/>
      <w:marRight w:val="0"/>
      <w:marTop w:val="0"/>
      <w:marBottom w:val="0"/>
      <w:divBdr>
        <w:top w:val="none" w:sz="0" w:space="0" w:color="auto"/>
        <w:left w:val="none" w:sz="0" w:space="0" w:color="auto"/>
        <w:bottom w:val="none" w:sz="0" w:space="0" w:color="auto"/>
        <w:right w:val="none" w:sz="0" w:space="0" w:color="auto"/>
      </w:divBdr>
    </w:div>
    <w:div w:id="360518097">
      <w:bodyDiv w:val="1"/>
      <w:marLeft w:val="0"/>
      <w:marRight w:val="0"/>
      <w:marTop w:val="0"/>
      <w:marBottom w:val="0"/>
      <w:divBdr>
        <w:top w:val="none" w:sz="0" w:space="0" w:color="auto"/>
        <w:left w:val="none" w:sz="0" w:space="0" w:color="auto"/>
        <w:bottom w:val="none" w:sz="0" w:space="0" w:color="auto"/>
        <w:right w:val="none" w:sz="0" w:space="0" w:color="auto"/>
      </w:divBdr>
    </w:div>
    <w:div w:id="400638175">
      <w:bodyDiv w:val="1"/>
      <w:marLeft w:val="0"/>
      <w:marRight w:val="0"/>
      <w:marTop w:val="0"/>
      <w:marBottom w:val="0"/>
      <w:divBdr>
        <w:top w:val="none" w:sz="0" w:space="0" w:color="auto"/>
        <w:left w:val="none" w:sz="0" w:space="0" w:color="auto"/>
        <w:bottom w:val="none" w:sz="0" w:space="0" w:color="auto"/>
        <w:right w:val="none" w:sz="0" w:space="0" w:color="auto"/>
      </w:divBdr>
      <w:divsChild>
        <w:div w:id="711269556">
          <w:marLeft w:val="0"/>
          <w:marRight w:val="0"/>
          <w:marTop w:val="0"/>
          <w:marBottom w:val="0"/>
          <w:divBdr>
            <w:top w:val="none" w:sz="0" w:space="0" w:color="auto"/>
            <w:left w:val="none" w:sz="0" w:space="0" w:color="auto"/>
            <w:bottom w:val="none" w:sz="0" w:space="0" w:color="auto"/>
            <w:right w:val="none" w:sz="0" w:space="0" w:color="auto"/>
          </w:divBdr>
        </w:div>
        <w:div w:id="794832469">
          <w:marLeft w:val="0"/>
          <w:marRight w:val="0"/>
          <w:marTop w:val="0"/>
          <w:marBottom w:val="0"/>
          <w:divBdr>
            <w:top w:val="none" w:sz="0" w:space="0" w:color="auto"/>
            <w:left w:val="none" w:sz="0" w:space="0" w:color="auto"/>
            <w:bottom w:val="none" w:sz="0" w:space="0" w:color="auto"/>
            <w:right w:val="none" w:sz="0" w:space="0" w:color="auto"/>
          </w:divBdr>
        </w:div>
      </w:divsChild>
    </w:div>
    <w:div w:id="492333450">
      <w:bodyDiv w:val="1"/>
      <w:marLeft w:val="0"/>
      <w:marRight w:val="0"/>
      <w:marTop w:val="0"/>
      <w:marBottom w:val="0"/>
      <w:divBdr>
        <w:top w:val="none" w:sz="0" w:space="0" w:color="auto"/>
        <w:left w:val="none" w:sz="0" w:space="0" w:color="auto"/>
        <w:bottom w:val="none" w:sz="0" w:space="0" w:color="auto"/>
        <w:right w:val="none" w:sz="0" w:space="0" w:color="auto"/>
      </w:divBdr>
    </w:div>
    <w:div w:id="497236426">
      <w:bodyDiv w:val="1"/>
      <w:marLeft w:val="0"/>
      <w:marRight w:val="0"/>
      <w:marTop w:val="0"/>
      <w:marBottom w:val="0"/>
      <w:divBdr>
        <w:top w:val="none" w:sz="0" w:space="0" w:color="auto"/>
        <w:left w:val="none" w:sz="0" w:space="0" w:color="auto"/>
        <w:bottom w:val="none" w:sz="0" w:space="0" w:color="auto"/>
        <w:right w:val="none" w:sz="0" w:space="0" w:color="auto"/>
      </w:divBdr>
    </w:div>
    <w:div w:id="686637780">
      <w:bodyDiv w:val="1"/>
      <w:marLeft w:val="0"/>
      <w:marRight w:val="0"/>
      <w:marTop w:val="0"/>
      <w:marBottom w:val="0"/>
      <w:divBdr>
        <w:top w:val="none" w:sz="0" w:space="0" w:color="auto"/>
        <w:left w:val="none" w:sz="0" w:space="0" w:color="auto"/>
        <w:bottom w:val="none" w:sz="0" w:space="0" w:color="auto"/>
        <w:right w:val="none" w:sz="0" w:space="0" w:color="auto"/>
      </w:divBdr>
    </w:div>
    <w:div w:id="751971705">
      <w:bodyDiv w:val="1"/>
      <w:marLeft w:val="0"/>
      <w:marRight w:val="0"/>
      <w:marTop w:val="0"/>
      <w:marBottom w:val="0"/>
      <w:divBdr>
        <w:top w:val="none" w:sz="0" w:space="0" w:color="auto"/>
        <w:left w:val="none" w:sz="0" w:space="0" w:color="auto"/>
        <w:bottom w:val="none" w:sz="0" w:space="0" w:color="auto"/>
        <w:right w:val="none" w:sz="0" w:space="0" w:color="auto"/>
      </w:divBdr>
    </w:div>
    <w:div w:id="757365867">
      <w:bodyDiv w:val="1"/>
      <w:marLeft w:val="0"/>
      <w:marRight w:val="0"/>
      <w:marTop w:val="0"/>
      <w:marBottom w:val="0"/>
      <w:divBdr>
        <w:top w:val="none" w:sz="0" w:space="0" w:color="auto"/>
        <w:left w:val="none" w:sz="0" w:space="0" w:color="auto"/>
        <w:bottom w:val="none" w:sz="0" w:space="0" w:color="auto"/>
        <w:right w:val="none" w:sz="0" w:space="0" w:color="auto"/>
      </w:divBdr>
    </w:div>
    <w:div w:id="826286670">
      <w:bodyDiv w:val="1"/>
      <w:marLeft w:val="0"/>
      <w:marRight w:val="0"/>
      <w:marTop w:val="0"/>
      <w:marBottom w:val="0"/>
      <w:divBdr>
        <w:top w:val="none" w:sz="0" w:space="0" w:color="auto"/>
        <w:left w:val="none" w:sz="0" w:space="0" w:color="auto"/>
        <w:bottom w:val="none" w:sz="0" w:space="0" w:color="auto"/>
        <w:right w:val="none" w:sz="0" w:space="0" w:color="auto"/>
      </w:divBdr>
    </w:div>
    <w:div w:id="846821594">
      <w:bodyDiv w:val="1"/>
      <w:marLeft w:val="0"/>
      <w:marRight w:val="0"/>
      <w:marTop w:val="0"/>
      <w:marBottom w:val="0"/>
      <w:divBdr>
        <w:top w:val="none" w:sz="0" w:space="0" w:color="auto"/>
        <w:left w:val="none" w:sz="0" w:space="0" w:color="auto"/>
        <w:bottom w:val="none" w:sz="0" w:space="0" w:color="auto"/>
        <w:right w:val="none" w:sz="0" w:space="0" w:color="auto"/>
      </w:divBdr>
    </w:div>
    <w:div w:id="910580950">
      <w:bodyDiv w:val="1"/>
      <w:marLeft w:val="0"/>
      <w:marRight w:val="0"/>
      <w:marTop w:val="0"/>
      <w:marBottom w:val="0"/>
      <w:divBdr>
        <w:top w:val="none" w:sz="0" w:space="0" w:color="auto"/>
        <w:left w:val="none" w:sz="0" w:space="0" w:color="auto"/>
        <w:bottom w:val="none" w:sz="0" w:space="0" w:color="auto"/>
        <w:right w:val="none" w:sz="0" w:space="0" w:color="auto"/>
      </w:divBdr>
    </w:div>
    <w:div w:id="937905700">
      <w:bodyDiv w:val="1"/>
      <w:marLeft w:val="0"/>
      <w:marRight w:val="0"/>
      <w:marTop w:val="0"/>
      <w:marBottom w:val="0"/>
      <w:divBdr>
        <w:top w:val="none" w:sz="0" w:space="0" w:color="auto"/>
        <w:left w:val="none" w:sz="0" w:space="0" w:color="auto"/>
        <w:bottom w:val="none" w:sz="0" w:space="0" w:color="auto"/>
        <w:right w:val="none" w:sz="0" w:space="0" w:color="auto"/>
      </w:divBdr>
    </w:div>
    <w:div w:id="1117137259">
      <w:bodyDiv w:val="1"/>
      <w:marLeft w:val="0"/>
      <w:marRight w:val="0"/>
      <w:marTop w:val="0"/>
      <w:marBottom w:val="0"/>
      <w:divBdr>
        <w:top w:val="none" w:sz="0" w:space="0" w:color="auto"/>
        <w:left w:val="none" w:sz="0" w:space="0" w:color="auto"/>
        <w:bottom w:val="none" w:sz="0" w:space="0" w:color="auto"/>
        <w:right w:val="none" w:sz="0" w:space="0" w:color="auto"/>
      </w:divBdr>
    </w:div>
    <w:div w:id="1172335105">
      <w:bodyDiv w:val="1"/>
      <w:marLeft w:val="0"/>
      <w:marRight w:val="0"/>
      <w:marTop w:val="0"/>
      <w:marBottom w:val="0"/>
      <w:divBdr>
        <w:top w:val="none" w:sz="0" w:space="0" w:color="auto"/>
        <w:left w:val="none" w:sz="0" w:space="0" w:color="auto"/>
        <w:bottom w:val="none" w:sz="0" w:space="0" w:color="auto"/>
        <w:right w:val="none" w:sz="0" w:space="0" w:color="auto"/>
      </w:divBdr>
    </w:div>
    <w:div w:id="1418360463">
      <w:bodyDiv w:val="1"/>
      <w:marLeft w:val="0"/>
      <w:marRight w:val="0"/>
      <w:marTop w:val="0"/>
      <w:marBottom w:val="0"/>
      <w:divBdr>
        <w:top w:val="none" w:sz="0" w:space="0" w:color="auto"/>
        <w:left w:val="none" w:sz="0" w:space="0" w:color="auto"/>
        <w:bottom w:val="none" w:sz="0" w:space="0" w:color="auto"/>
        <w:right w:val="none" w:sz="0" w:space="0" w:color="auto"/>
      </w:divBdr>
    </w:div>
    <w:div w:id="1536389816">
      <w:bodyDiv w:val="1"/>
      <w:marLeft w:val="0"/>
      <w:marRight w:val="0"/>
      <w:marTop w:val="0"/>
      <w:marBottom w:val="0"/>
      <w:divBdr>
        <w:top w:val="none" w:sz="0" w:space="0" w:color="auto"/>
        <w:left w:val="none" w:sz="0" w:space="0" w:color="auto"/>
        <w:bottom w:val="none" w:sz="0" w:space="0" w:color="auto"/>
        <w:right w:val="none" w:sz="0" w:space="0" w:color="auto"/>
      </w:divBdr>
      <w:divsChild>
        <w:div w:id="219901504">
          <w:marLeft w:val="0"/>
          <w:marRight w:val="0"/>
          <w:marTop w:val="0"/>
          <w:marBottom w:val="0"/>
          <w:divBdr>
            <w:top w:val="none" w:sz="0" w:space="0" w:color="auto"/>
            <w:left w:val="none" w:sz="0" w:space="0" w:color="auto"/>
            <w:bottom w:val="none" w:sz="0" w:space="0" w:color="auto"/>
            <w:right w:val="none" w:sz="0" w:space="0" w:color="auto"/>
          </w:divBdr>
        </w:div>
        <w:div w:id="368990212">
          <w:marLeft w:val="0"/>
          <w:marRight w:val="0"/>
          <w:marTop w:val="0"/>
          <w:marBottom w:val="0"/>
          <w:divBdr>
            <w:top w:val="none" w:sz="0" w:space="0" w:color="auto"/>
            <w:left w:val="none" w:sz="0" w:space="0" w:color="auto"/>
            <w:bottom w:val="none" w:sz="0" w:space="0" w:color="auto"/>
            <w:right w:val="none" w:sz="0" w:space="0" w:color="auto"/>
          </w:divBdr>
        </w:div>
        <w:div w:id="403332389">
          <w:marLeft w:val="0"/>
          <w:marRight w:val="0"/>
          <w:marTop w:val="0"/>
          <w:marBottom w:val="0"/>
          <w:divBdr>
            <w:top w:val="none" w:sz="0" w:space="0" w:color="auto"/>
            <w:left w:val="none" w:sz="0" w:space="0" w:color="auto"/>
            <w:bottom w:val="none" w:sz="0" w:space="0" w:color="auto"/>
            <w:right w:val="none" w:sz="0" w:space="0" w:color="auto"/>
          </w:divBdr>
        </w:div>
        <w:div w:id="463817992">
          <w:marLeft w:val="0"/>
          <w:marRight w:val="0"/>
          <w:marTop w:val="0"/>
          <w:marBottom w:val="0"/>
          <w:divBdr>
            <w:top w:val="none" w:sz="0" w:space="0" w:color="auto"/>
            <w:left w:val="none" w:sz="0" w:space="0" w:color="auto"/>
            <w:bottom w:val="none" w:sz="0" w:space="0" w:color="auto"/>
            <w:right w:val="none" w:sz="0" w:space="0" w:color="auto"/>
          </w:divBdr>
        </w:div>
        <w:div w:id="472721974">
          <w:marLeft w:val="0"/>
          <w:marRight w:val="0"/>
          <w:marTop w:val="0"/>
          <w:marBottom w:val="0"/>
          <w:divBdr>
            <w:top w:val="none" w:sz="0" w:space="0" w:color="auto"/>
            <w:left w:val="none" w:sz="0" w:space="0" w:color="auto"/>
            <w:bottom w:val="none" w:sz="0" w:space="0" w:color="auto"/>
            <w:right w:val="none" w:sz="0" w:space="0" w:color="auto"/>
          </w:divBdr>
        </w:div>
        <w:div w:id="484201959">
          <w:marLeft w:val="0"/>
          <w:marRight w:val="0"/>
          <w:marTop w:val="0"/>
          <w:marBottom w:val="0"/>
          <w:divBdr>
            <w:top w:val="none" w:sz="0" w:space="0" w:color="auto"/>
            <w:left w:val="none" w:sz="0" w:space="0" w:color="auto"/>
            <w:bottom w:val="none" w:sz="0" w:space="0" w:color="auto"/>
            <w:right w:val="none" w:sz="0" w:space="0" w:color="auto"/>
          </w:divBdr>
        </w:div>
        <w:div w:id="484787767">
          <w:marLeft w:val="0"/>
          <w:marRight w:val="0"/>
          <w:marTop w:val="0"/>
          <w:marBottom w:val="0"/>
          <w:divBdr>
            <w:top w:val="none" w:sz="0" w:space="0" w:color="auto"/>
            <w:left w:val="none" w:sz="0" w:space="0" w:color="auto"/>
            <w:bottom w:val="none" w:sz="0" w:space="0" w:color="auto"/>
            <w:right w:val="none" w:sz="0" w:space="0" w:color="auto"/>
          </w:divBdr>
        </w:div>
        <w:div w:id="619651926">
          <w:marLeft w:val="0"/>
          <w:marRight w:val="0"/>
          <w:marTop w:val="0"/>
          <w:marBottom w:val="0"/>
          <w:divBdr>
            <w:top w:val="none" w:sz="0" w:space="0" w:color="auto"/>
            <w:left w:val="none" w:sz="0" w:space="0" w:color="auto"/>
            <w:bottom w:val="none" w:sz="0" w:space="0" w:color="auto"/>
            <w:right w:val="none" w:sz="0" w:space="0" w:color="auto"/>
          </w:divBdr>
        </w:div>
        <w:div w:id="660427704">
          <w:marLeft w:val="0"/>
          <w:marRight w:val="0"/>
          <w:marTop w:val="0"/>
          <w:marBottom w:val="0"/>
          <w:divBdr>
            <w:top w:val="none" w:sz="0" w:space="0" w:color="auto"/>
            <w:left w:val="none" w:sz="0" w:space="0" w:color="auto"/>
            <w:bottom w:val="none" w:sz="0" w:space="0" w:color="auto"/>
            <w:right w:val="none" w:sz="0" w:space="0" w:color="auto"/>
          </w:divBdr>
        </w:div>
        <w:div w:id="689912018">
          <w:marLeft w:val="0"/>
          <w:marRight w:val="0"/>
          <w:marTop w:val="0"/>
          <w:marBottom w:val="0"/>
          <w:divBdr>
            <w:top w:val="none" w:sz="0" w:space="0" w:color="auto"/>
            <w:left w:val="none" w:sz="0" w:space="0" w:color="auto"/>
            <w:bottom w:val="none" w:sz="0" w:space="0" w:color="auto"/>
            <w:right w:val="none" w:sz="0" w:space="0" w:color="auto"/>
          </w:divBdr>
        </w:div>
        <w:div w:id="690301652">
          <w:marLeft w:val="0"/>
          <w:marRight w:val="0"/>
          <w:marTop w:val="0"/>
          <w:marBottom w:val="0"/>
          <w:divBdr>
            <w:top w:val="none" w:sz="0" w:space="0" w:color="auto"/>
            <w:left w:val="none" w:sz="0" w:space="0" w:color="auto"/>
            <w:bottom w:val="none" w:sz="0" w:space="0" w:color="auto"/>
            <w:right w:val="none" w:sz="0" w:space="0" w:color="auto"/>
          </w:divBdr>
        </w:div>
        <w:div w:id="823592361">
          <w:marLeft w:val="0"/>
          <w:marRight w:val="0"/>
          <w:marTop w:val="0"/>
          <w:marBottom w:val="0"/>
          <w:divBdr>
            <w:top w:val="none" w:sz="0" w:space="0" w:color="auto"/>
            <w:left w:val="none" w:sz="0" w:space="0" w:color="auto"/>
            <w:bottom w:val="none" w:sz="0" w:space="0" w:color="auto"/>
            <w:right w:val="none" w:sz="0" w:space="0" w:color="auto"/>
          </w:divBdr>
        </w:div>
        <w:div w:id="860512582">
          <w:marLeft w:val="0"/>
          <w:marRight w:val="0"/>
          <w:marTop w:val="0"/>
          <w:marBottom w:val="0"/>
          <w:divBdr>
            <w:top w:val="none" w:sz="0" w:space="0" w:color="auto"/>
            <w:left w:val="none" w:sz="0" w:space="0" w:color="auto"/>
            <w:bottom w:val="none" w:sz="0" w:space="0" w:color="auto"/>
            <w:right w:val="none" w:sz="0" w:space="0" w:color="auto"/>
          </w:divBdr>
        </w:div>
        <w:div w:id="1138956608">
          <w:marLeft w:val="0"/>
          <w:marRight w:val="0"/>
          <w:marTop w:val="0"/>
          <w:marBottom w:val="0"/>
          <w:divBdr>
            <w:top w:val="none" w:sz="0" w:space="0" w:color="auto"/>
            <w:left w:val="none" w:sz="0" w:space="0" w:color="auto"/>
            <w:bottom w:val="none" w:sz="0" w:space="0" w:color="auto"/>
            <w:right w:val="none" w:sz="0" w:space="0" w:color="auto"/>
          </w:divBdr>
        </w:div>
        <w:div w:id="1230536406">
          <w:marLeft w:val="0"/>
          <w:marRight w:val="0"/>
          <w:marTop w:val="0"/>
          <w:marBottom w:val="0"/>
          <w:divBdr>
            <w:top w:val="none" w:sz="0" w:space="0" w:color="auto"/>
            <w:left w:val="none" w:sz="0" w:space="0" w:color="auto"/>
            <w:bottom w:val="none" w:sz="0" w:space="0" w:color="auto"/>
            <w:right w:val="none" w:sz="0" w:space="0" w:color="auto"/>
          </w:divBdr>
        </w:div>
        <w:div w:id="1258751493">
          <w:marLeft w:val="0"/>
          <w:marRight w:val="0"/>
          <w:marTop w:val="0"/>
          <w:marBottom w:val="0"/>
          <w:divBdr>
            <w:top w:val="none" w:sz="0" w:space="0" w:color="auto"/>
            <w:left w:val="none" w:sz="0" w:space="0" w:color="auto"/>
            <w:bottom w:val="none" w:sz="0" w:space="0" w:color="auto"/>
            <w:right w:val="none" w:sz="0" w:space="0" w:color="auto"/>
          </w:divBdr>
        </w:div>
        <w:div w:id="1553690537">
          <w:marLeft w:val="0"/>
          <w:marRight w:val="0"/>
          <w:marTop w:val="0"/>
          <w:marBottom w:val="0"/>
          <w:divBdr>
            <w:top w:val="none" w:sz="0" w:space="0" w:color="auto"/>
            <w:left w:val="none" w:sz="0" w:space="0" w:color="auto"/>
            <w:bottom w:val="none" w:sz="0" w:space="0" w:color="auto"/>
            <w:right w:val="none" w:sz="0" w:space="0" w:color="auto"/>
          </w:divBdr>
        </w:div>
        <w:div w:id="1567034779">
          <w:marLeft w:val="0"/>
          <w:marRight w:val="0"/>
          <w:marTop w:val="0"/>
          <w:marBottom w:val="0"/>
          <w:divBdr>
            <w:top w:val="none" w:sz="0" w:space="0" w:color="auto"/>
            <w:left w:val="none" w:sz="0" w:space="0" w:color="auto"/>
            <w:bottom w:val="none" w:sz="0" w:space="0" w:color="auto"/>
            <w:right w:val="none" w:sz="0" w:space="0" w:color="auto"/>
          </w:divBdr>
        </w:div>
        <w:div w:id="1569415451">
          <w:marLeft w:val="0"/>
          <w:marRight w:val="0"/>
          <w:marTop w:val="0"/>
          <w:marBottom w:val="0"/>
          <w:divBdr>
            <w:top w:val="none" w:sz="0" w:space="0" w:color="auto"/>
            <w:left w:val="none" w:sz="0" w:space="0" w:color="auto"/>
            <w:bottom w:val="none" w:sz="0" w:space="0" w:color="auto"/>
            <w:right w:val="none" w:sz="0" w:space="0" w:color="auto"/>
          </w:divBdr>
        </w:div>
        <w:div w:id="1650861833">
          <w:marLeft w:val="0"/>
          <w:marRight w:val="0"/>
          <w:marTop w:val="0"/>
          <w:marBottom w:val="0"/>
          <w:divBdr>
            <w:top w:val="none" w:sz="0" w:space="0" w:color="auto"/>
            <w:left w:val="none" w:sz="0" w:space="0" w:color="auto"/>
            <w:bottom w:val="none" w:sz="0" w:space="0" w:color="auto"/>
            <w:right w:val="none" w:sz="0" w:space="0" w:color="auto"/>
          </w:divBdr>
        </w:div>
        <w:div w:id="1693065906">
          <w:marLeft w:val="0"/>
          <w:marRight w:val="0"/>
          <w:marTop w:val="0"/>
          <w:marBottom w:val="0"/>
          <w:divBdr>
            <w:top w:val="none" w:sz="0" w:space="0" w:color="auto"/>
            <w:left w:val="none" w:sz="0" w:space="0" w:color="auto"/>
            <w:bottom w:val="none" w:sz="0" w:space="0" w:color="auto"/>
            <w:right w:val="none" w:sz="0" w:space="0" w:color="auto"/>
          </w:divBdr>
        </w:div>
        <w:div w:id="1817262435">
          <w:marLeft w:val="0"/>
          <w:marRight w:val="0"/>
          <w:marTop w:val="0"/>
          <w:marBottom w:val="0"/>
          <w:divBdr>
            <w:top w:val="none" w:sz="0" w:space="0" w:color="auto"/>
            <w:left w:val="none" w:sz="0" w:space="0" w:color="auto"/>
            <w:bottom w:val="none" w:sz="0" w:space="0" w:color="auto"/>
            <w:right w:val="none" w:sz="0" w:space="0" w:color="auto"/>
          </w:divBdr>
        </w:div>
        <w:div w:id="1883707202">
          <w:marLeft w:val="0"/>
          <w:marRight w:val="0"/>
          <w:marTop w:val="0"/>
          <w:marBottom w:val="0"/>
          <w:divBdr>
            <w:top w:val="none" w:sz="0" w:space="0" w:color="auto"/>
            <w:left w:val="none" w:sz="0" w:space="0" w:color="auto"/>
            <w:bottom w:val="none" w:sz="0" w:space="0" w:color="auto"/>
            <w:right w:val="none" w:sz="0" w:space="0" w:color="auto"/>
          </w:divBdr>
        </w:div>
        <w:div w:id="1887570301">
          <w:marLeft w:val="0"/>
          <w:marRight w:val="0"/>
          <w:marTop w:val="0"/>
          <w:marBottom w:val="0"/>
          <w:divBdr>
            <w:top w:val="none" w:sz="0" w:space="0" w:color="auto"/>
            <w:left w:val="none" w:sz="0" w:space="0" w:color="auto"/>
            <w:bottom w:val="none" w:sz="0" w:space="0" w:color="auto"/>
            <w:right w:val="none" w:sz="0" w:space="0" w:color="auto"/>
          </w:divBdr>
        </w:div>
        <w:div w:id="1967617203">
          <w:marLeft w:val="0"/>
          <w:marRight w:val="0"/>
          <w:marTop w:val="0"/>
          <w:marBottom w:val="0"/>
          <w:divBdr>
            <w:top w:val="none" w:sz="0" w:space="0" w:color="auto"/>
            <w:left w:val="none" w:sz="0" w:space="0" w:color="auto"/>
            <w:bottom w:val="none" w:sz="0" w:space="0" w:color="auto"/>
            <w:right w:val="none" w:sz="0" w:space="0" w:color="auto"/>
          </w:divBdr>
        </w:div>
        <w:div w:id="1987973819">
          <w:marLeft w:val="0"/>
          <w:marRight w:val="0"/>
          <w:marTop w:val="0"/>
          <w:marBottom w:val="0"/>
          <w:divBdr>
            <w:top w:val="none" w:sz="0" w:space="0" w:color="auto"/>
            <w:left w:val="none" w:sz="0" w:space="0" w:color="auto"/>
            <w:bottom w:val="none" w:sz="0" w:space="0" w:color="auto"/>
            <w:right w:val="none" w:sz="0" w:space="0" w:color="auto"/>
          </w:divBdr>
        </w:div>
        <w:div w:id="2018581005">
          <w:marLeft w:val="0"/>
          <w:marRight w:val="0"/>
          <w:marTop w:val="0"/>
          <w:marBottom w:val="0"/>
          <w:divBdr>
            <w:top w:val="none" w:sz="0" w:space="0" w:color="auto"/>
            <w:left w:val="none" w:sz="0" w:space="0" w:color="auto"/>
            <w:bottom w:val="none" w:sz="0" w:space="0" w:color="auto"/>
            <w:right w:val="none" w:sz="0" w:space="0" w:color="auto"/>
          </w:divBdr>
        </w:div>
        <w:div w:id="2055999184">
          <w:marLeft w:val="0"/>
          <w:marRight w:val="0"/>
          <w:marTop w:val="0"/>
          <w:marBottom w:val="0"/>
          <w:divBdr>
            <w:top w:val="none" w:sz="0" w:space="0" w:color="auto"/>
            <w:left w:val="none" w:sz="0" w:space="0" w:color="auto"/>
            <w:bottom w:val="none" w:sz="0" w:space="0" w:color="auto"/>
            <w:right w:val="none" w:sz="0" w:space="0" w:color="auto"/>
          </w:divBdr>
        </w:div>
        <w:div w:id="2088648034">
          <w:marLeft w:val="0"/>
          <w:marRight w:val="0"/>
          <w:marTop w:val="0"/>
          <w:marBottom w:val="0"/>
          <w:divBdr>
            <w:top w:val="none" w:sz="0" w:space="0" w:color="auto"/>
            <w:left w:val="none" w:sz="0" w:space="0" w:color="auto"/>
            <w:bottom w:val="none" w:sz="0" w:space="0" w:color="auto"/>
            <w:right w:val="none" w:sz="0" w:space="0" w:color="auto"/>
          </w:divBdr>
        </w:div>
        <w:div w:id="2089182745">
          <w:marLeft w:val="0"/>
          <w:marRight w:val="0"/>
          <w:marTop w:val="0"/>
          <w:marBottom w:val="0"/>
          <w:divBdr>
            <w:top w:val="none" w:sz="0" w:space="0" w:color="auto"/>
            <w:left w:val="none" w:sz="0" w:space="0" w:color="auto"/>
            <w:bottom w:val="none" w:sz="0" w:space="0" w:color="auto"/>
            <w:right w:val="none" w:sz="0" w:space="0" w:color="auto"/>
          </w:divBdr>
        </w:div>
      </w:divsChild>
    </w:div>
    <w:div w:id="1793282385">
      <w:bodyDiv w:val="1"/>
      <w:marLeft w:val="0"/>
      <w:marRight w:val="0"/>
      <w:marTop w:val="0"/>
      <w:marBottom w:val="0"/>
      <w:divBdr>
        <w:top w:val="none" w:sz="0" w:space="0" w:color="auto"/>
        <w:left w:val="none" w:sz="0" w:space="0" w:color="auto"/>
        <w:bottom w:val="none" w:sz="0" w:space="0" w:color="auto"/>
        <w:right w:val="none" w:sz="0" w:space="0" w:color="auto"/>
      </w:divBdr>
    </w:div>
    <w:div w:id="1804956592">
      <w:bodyDiv w:val="1"/>
      <w:marLeft w:val="0"/>
      <w:marRight w:val="0"/>
      <w:marTop w:val="0"/>
      <w:marBottom w:val="0"/>
      <w:divBdr>
        <w:top w:val="none" w:sz="0" w:space="0" w:color="auto"/>
        <w:left w:val="none" w:sz="0" w:space="0" w:color="auto"/>
        <w:bottom w:val="none" w:sz="0" w:space="0" w:color="auto"/>
        <w:right w:val="none" w:sz="0" w:space="0" w:color="auto"/>
      </w:divBdr>
    </w:div>
    <w:div w:id="185853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eur-lex.europa.eu/legal-content/FR/TXT/?uri=CELEX:32024R30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cap-network.ec.europa.eu/index_fr" TargetMode="External"/><Relationship Id="rId13" Type="http://schemas.openxmlformats.org/officeDocument/2006/relationships/hyperlink" Target="https://taxation-customs.ec.europa.eu/carbon-border-adjustment-mechanism/price-cbam-certificates_en?prefLang=fr" TargetMode="External"/><Relationship Id="rId18" Type="http://schemas.openxmlformats.org/officeDocument/2006/relationships/hyperlink" Target="https://eur-lex.europa.eu/eli/dir/2024/3019/oj" TargetMode="External"/><Relationship Id="rId26" Type="http://schemas.openxmlformats.org/officeDocument/2006/relationships/hyperlink" Target="https://commission.europa.eu/topics/competitiveness/competitiveness-compass_fr" TargetMode="External"/><Relationship Id="rId3" Type="http://schemas.openxmlformats.org/officeDocument/2006/relationships/hyperlink" Target="https://energy.ec.europa.eu/publications/accelerateeu-energy-union-affordable-and-secure-energy-through-accelerated-action_fr" TargetMode="External"/><Relationship Id="rId21" Type="http://schemas.openxmlformats.org/officeDocument/2006/relationships/hyperlink" Target="http://data.europa.eu/eli/reg/2022/2472/oj" TargetMode="External"/><Relationship Id="rId34" Type="http://schemas.openxmlformats.org/officeDocument/2006/relationships/hyperlink" Target="https://eur-lex.europa.eu/legal-content/FR/TXT/?uri=CELEX%3A52025DC0075" TargetMode="External"/><Relationship Id="rId7" Type="http://schemas.openxmlformats.org/officeDocument/2006/relationships/hyperlink" Target="https://ec.europa.eu/commission/presscorner/detail/fr/ip_26_894." TargetMode="External"/><Relationship Id="rId12" Type="http://schemas.openxmlformats.org/officeDocument/2006/relationships/hyperlink" Target="https://eur-lex.europa.eu/legal-content/FR/TXT/?uri=OJ:L_202502620" TargetMode="External"/><Relationship Id="rId17" Type="http://schemas.openxmlformats.org/officeDocument/2006/relationships/hyperlink" Target="https://eur-lex.europa.eu/legal-content/FR/TXT/?uri=celex%3A52025DC0960" TargetMode="External"/><Relationship Id="rId25" Type="http://schemas.openxmlformats.org/officeDocument/2006/relationships/hyperlink" Target="https://www.cbe.europa.eu/" TargetMode="External"/><Relationship Id="rId33" Type="http://schemas.openxmlformats.org/officeDocument/2006/relationships/hyperlink" Target="https://eur-lex.europa.eu/legal-content/FR/TXT/?uri=OJ:JOC_2022_414_R_0001" TargetMode="External"/><Relationship Id="rId2" Type="http://schemas.openxmlformats.org/officeDocument/2006/relationships/hyperlink" Target="https://eur-lex.europa.eu/legal-content/FR/TXT/?uri=celex:52025DC0945" TargetMode="External"/><Relationship Id="rId16" Type="http://schemas.openxmlformats.org/officeDocument/2006/relationships/hyperlink" Target="https://civil-protection-humanitarian-aid.ec.europa.eu/what/civil-protection/resceu_en?prefLang=fr" TargetMode="External"/><Relationship Id="rId20" Type="http://schemas.openxmlformats.org/officeDocument/2006/relationships/hyperlink" Target="https://eur-lex.europa.eu/legal-content/FR/ALL/?uri=CELEX:02022XC1221(01)-20240305" TargetMode="External"/><Relationship Id="rId29" Type="http://schemas.openxmlformats.org/officeDocument/2006/relationships/hyperlink" Target="https://www.cbe.europa.eu/news/european-bioeconomy-investment-deployment-group-building-financial-backbone-europes-bio-based" TargetMode="External"/><Relationship Id="rId1" Type="http://schemas.openxmlformats.org/officeDocument/2006/relationships/hyperlink" Target="https://eur-lex.europa.eu/legal-content/FR/TXT/?uri=CELEX%3A52022DC0590%2801%29&amp;qid=1777965079173" TargetMode="External"/><Relationship Id="rId6" Type="http://schemas.openxmlformats.org/officeDocument/2006/relationships/hyperlink" Target="https://agriculture.ec.europa.eu/data-and-analysis/markets/overviews/market-observatories/fertilisers_en?prefLang=fr" TargetMode="External"/><Relationship Id="rId11" Type="http://schemas.openxmlformats.org/officeDocument/2006/relationships/hyperlink" Target="https://ec.europa.eu/transparency/documents-register/detail?ref=COM(2026)99&amp;lang=fr" TargetMode="External"/><Relationship Id="rId24" Type="http://schemas.openxmlformats.org/officeDocument/2006/relationships/hyperlink" Target="https://www.cbe.europa.eu/" TargetMode="External"/><Relationship Id="rId32" Type="http://schemas.openxmlformats.org/officeDocument/2006/relationships/hyperlink" Target="https://eur-lex.europa.eu/legal-content/FR/TXT/?uri=oj%3AJOC_2022_080_R_0001" TargetMode="External"/><Relationship Id="rId37" Type="http://schemas.openxmlformats.org/officeDocument/2006/relationships/hyperlink" Target="https://eur-lex.europa.eu/eli/dir/1991/676/oj/eng?eliuri=eli%3Adir%3A1991%3A676%3Aoj&amp;locale=fr" TargetMode="External"/><Relationship Id="rId5" Type="http://schemas.openxmlformats.org/officeDocument/2006/relationships/hyperlink" Target="https://www.fao.org/newsroom/detail/fao-chief-economist-warns-of-severe-global-food-security-risks-from-disruption-to-strait-of-hormuz-trade-corridor/en" TargetMode="External"/><Relationship Id="rId15" Type="http://schemas.openxmlformats.org/officeDocument/2006/relationships/hyperlink" Target="https://international-partnerships.ec.europa.eu/policies/team-europe-initiatives_fr" TargetMode="External"/><Relationship Id="rId23" Type="http://schemas.openxmlformats.org/officeDocument/2006/relationships/hyperlink" Target="https://climate.ec.europa.eu/eu-action/eu-funding-climate-action/innovation-fund_en?prefLang=fr" TargetMode="External"/><Relationship Id="rId28" Type="http://schemas.openxmlformats.org/officeDocument/2006/relationships/hyperlink" Target="https://www.cbe.europa.eu/news/european-bioeconomy-investment-deployment-group-building-financial-backbone-europes-bio-based" TargetMode="External"/><Relationship Id="rId36" Type="http://schemas.openxmlformats.org/officeDocument/2006/relationships/hyperlink" Target="https://commission.europa.eu/funding-tenders/find-funding/eu-funding-programmes/horizon-europe_en" TargetMode="External"/><Relationship Id="rId10" Type="http://schemas.openxmlformats.org/officeDocument/2006/relationships/hyperlink" Target="https://eur-lex.europa.eu/legal-content/FR/TXT/?uri=OJ:L_202402747" TargetMode="External"/><Relationship Id="rId19" Type="http://schemas.openxmlformats.org/officeDocument/2006/relationships/hyperlink" Target="https://eur-lex.europa.eu/legal-content/FR/TXT/?uri=CELEX%3A02008L0098-20251016" TargetMode="External"/><Relationship Id="rId31" Type="http://schemas.openxmlformats.org/officeDocument/2006/relationships/hyperlink" Target="https://ec.europa.eu/newsroom/growth/items/899222/en" TargetMode="External"/><Relationship Id="rId4" Type="http://schemas.openxmlformats.org/officeDocument/2006/relationships/hyperlink" Target="https://taxation-customs.ec.europa.eu/carbon-border-adjustment-mechanism_en?prefLang=fr" TargetMode="External"/><Relationship Id="rId9" Type="http://schemas.openxmlformats.org/officeDocument/2006/relationships/hyperlink" Target="https://ec.europa.eu/transparency/documents-register/detail?ref=COM(2026)99&amp;lang=fr" TargetMode="External"/><Relationship Id="rId14" Type="http://schemas.openxmlformats.org/officeDocument/2006/relationships/hyperlink" Target="https://commission.europa.eu/topics/international-partnerships/global-gateway_en?prefLang=fr" TargetMode="External"/><Relationship Id="rId22" Type="http://schemas.openxmlformats.org/officeDocument/2006/relationships/hyperlink" Target="https://climate.ec.europa.eu/eu-action/carbon-markets/eu-emissions-trading-system-eu-ets_en?prefLang=fr" TargetMode="External"/><Relationship Id="rId27" Type="http://schemas.openxmlformats.org/officeDocument/2006/relationships/hyperlink" Target="https://www.cbe.europa.eu/news/european-bioeconomy-investment-deployment-group-building-financial-backbone-europes-bio-based" TargetMode="External"/><Relationship Id="rId30" Type="http://schemas.openxmlformats.org/officeDocument/2006/relationships/hyperlink" Target="https://ec.europa.eu/newsroom/growth/items/899222/en" TargetMode="External"/><Relationship Id="rId35" Type="http://schemas.openxmlformats.org/officeDocument/2006/relationships/hyperlink" Target="https://commission.europa.eu/publications/european-fund-economic-social-and-territorial-cohesion-agriculture-and-rural-fisheries-and-maritim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24FB8744E08A4DBE383191C9C503E4" ma:contentTypeVersion="4" ma:contentTypeDescription="Create a new document." ma:contentTypeScope="" ma:versionID="8cdf56ac1f184a12c7ef3bd0f88ccea6">
  <xsd:schema xmlns:xsd="http://www.w3.org/2001/XMLSchema" xmlns:xs="http://www.w3.org/2001/XMLSchema" xmlns:p="http://schemas.microsoft.com/office/2006/metadata/properties" xmlns:ns2="a42d712b-8eb9-4edc-b861-e9e37fd24493" targetNamespace="http://schemas.microsoft.com/office/2006/metadata/properties" ma:root="true" ma:fieldsID="6692cffe8832ea7fa896b0bfb80ac867" ns2:_="">
    <xsd:import namespace="a42d712b-8eb9-4edc-b861-e9e37fd244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d712b-8eb9-4edc-b861-e9e37fd24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A5C16-B1B0-4540-8245-1CD4A46B6FB0}">
  <ds:schemaRefs>
    <ds:schemaRef ds:uri="http://schemas.microsoft.com/sharepoint/v3/contenttype/forms"/>
  </ds:schemaRefs>
</ds:datastoreItem>
</file>

<file path=customXml/itemProps2.xml><?xml version="1.0" encoding="utf-8"?>
<ds:datastoreItem xmlns:ds="http://schemas.openxmlformats.org/officeDocument/2006/customXml" ds:itemID="{6DE16E81-2F08-41E4-8C70-CFB156215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d712b-8eb9-4edc-b861-e9e37fd24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FB0FA9-167D-4690-8A2B-A6E422869D3D}">
  <ds:schemaRefs>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elements/1.1/"/>
    <ds:schemaRef ds:uri="http://schemas.openxmlformats.org/package/2006/metadata/core-properties"/>
    <ds:schemaRef ds:uri="a42d712b-8eb9-4edc-b861-e9e37fd24493"/>
    <ds:schemaRef ds:uri="http://www.w3.org/XML/1998/namespace"/>
  </ds:schemaRefs>
</ds:datastoreItem>
</file>

<file path=customXml/itemProps4.xml><?xml version="1.0" encoding="utf-8"?>
<ds:datastoreItem xmlns:ds="http://schemas.openxmlformats.org/officeDocument/2006/customXml" ds:itemID="{693E8B6E-FF79-47CE-832D-84DB1C3A8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9589</Words>
  <Characters>54661</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64122</CharactersWithSpaces>
  <SharedDoc>false</SharedDoc>
  <HLinks>
    <vt:vector size="204" baseType="variant">
      <vt:variant>
        <vt:i4>8061029</vt:i4>
      </vt:variant>
      <vt:variant>
        <vt:i4>0</vt:i4>
      </vt:variant>
      <vt:variant>
        <vt:i4>0</vt:i4>
      </vt:variant>
      <vt:variant>
        <vt:i4>5</vt:i4>
      </vt:variant>
      <vt:variant>
        <vt:lpwstr>https://eur-lex.europa.eu/eli/reg/2024/3012/oj/eng</vt:lpwstr>
      </vt:variant>
      <vt:variant>
        <vt:lpwstr/>
      </vt:variant>
      <vt:variant>
        <vt:i4>1048661</vt:i4>
      </vt:variant>
      <vt:variant>
        <vt:i4>96</vt:i4>
      </vt:variant>
      <vt:variant>
        <vt:i4>0</vt:i4>
      </vt:variant>
      <vt:variant>
        <vt:i4>5</vt:i4>
      </vt:variant>
      <vt:variant>
        <vt:lpwstr>https://eur-lex.europa.eu/eli/dir/1991/676/oj/eng</vt:lpwstr>
      </vt:variant>
      <vt:variant>
        <vt:lpwstr/>
      </vt:variant>
      <vt:variant>
        <vt:i4>4391015</vt:i4>
      </vt:variant>
      <vt:variant>
        <vt:i4>93</vt:i4>
      </vt:variant>
      <vt:variant>
        <vt:i4>0</vt:i4>
      </vt:variant>
      <vt:variant>
        <vt:i4>5</vt:i4>
      </vt:variant>
      <vt:variant>
        <vt:lpwstr>https://commission.europa.eu/funding-tenders/find-funding/eu-funding-programmes/horizon-europe_en</vt:lpwstr>
      </vt:variant>
      <vt:variant>
        <vt:lpwstr/>
      </vt:variant>
      <vt:variant>
        <vt:i4>2883662</vt:i4>
      </vt:variant>
      <vt:variant>
        <vt:i4>90</vt:i4>
      </vt:variant>
      <vt:variant>
        <vt:i4>0</vt:i4>
      </vt:variant>
      <vt:variant>
        <vt:i4>5</vt:i4>
      </vt:variant>
      <vt:variant>
        <vt:lpwstr>https://commission.europa.eu/publications/european-fund-economic-social-and-territorial-cohesion-agriculture-and-rural-fisheries-and-maritime_en</vt:lpwstr>
      </vt:variant>
      <vt:variant>
        <vt:lpwstr/>
      </vt:variant>
      <vt:variant>
        <vt:i4>458769</vt:i4>
      </vt:variant>
      <vt:variant>
        <vt:i4>87</vt:i4>
      </vt:variant>
      <vt:variant>
        <vt:i4>0</vt:i4>
      </vt:variant>
      <vt:variant>
        <vt:i4>5</vt:i4>
      </vt:variant>
      <vt:variant>
        <vt:lpwstr>https://eur-lex.europa.eu/legal-content/EN/TXT/?uri=CELEX:52025DC0075</vt:lpwstr>
      </vt:variant>
      <vt:variant>
        <vt:lpwstr/>
      </vt:variant>
      <vt:variant>
        <vt:i4>5373968</vt:i4>
      </vt:variant>
      <vt:variant>
        <vt:i4>84</vt:i4>
      </vt:variant>
      <vt:variant>
        <vt:i4>0</vt:i4>
      </vt:variant>
      <vt:variant>
        <vt:i4>5</vt:i4>
      </vt:variant>
      <vt:variant>
        <vt:lpwstr>https://eur-lex.europa.eu/legal-content/EN/TXT/?uri=oj:JOC_2022_414_R_0001</vt:lpwstr>
      </vt:variant>
      <vt:variant>
        <vt:lpwstr/>
      </vt:variant>
      <vt:variant>
        <vt:i4>6815854</vt:i4>
      </vt:variant>
      <vt:variant>
        <vt:i4>81</vt:i4>
      </vt:variant>
      <vt:variant>
        <vt:i4>0</vt:i4>
      </vt:variant>
      <vt:variant>
        <vt:i4>5</vt:i4>
      </vt:variant>
      <vt:variant>
        <vt:lpwstr>https://eur-lex.europa.eu/legal-content/EN/TXT/?uri=oj%3AJOC_2022_080_R_0001</vt:lpwstr>
      </vt:variant>
      <vt:variant>
        <vt:lpwstr/>
      </vt:variant>
      <vt:variant>
        <vt:i4>327703</vt:i4>
      </vt:variant>
      <vt:variant>
        <vt:i4>78</vt:i4>
      </vt:variant>
      <vt:variant>
        <vt:i4>0</vt:i4>
      </vt:variant>
      <vt:variant>
        <vt:i4>5</vt:i4>
      </vt:variant>
      <vt:variant>
        <vt:lpwstr>https://ec.europa.eu/newsroom/growth/items/899222/en</vt:lpwstr>
      </vt:variant>
      <vt:variant>
        <vt:lpwstr/>
      </vt:variant>
      <vt:variant>
        <vt:i4>4259914</vt:i4>
      </vt:variant>
      <vt:variant>
        <vt:i4>75</vt:i4>
      </vt:variant>
      <vt:variant>
        <vt:i4>0</vt:i4>
      </vt:variant>
      <vt:variant>
        <vt:i4>5</vt:i4>
      </vt:variant>
      <vt:variant>
        <vt:lpwstr>https://www.cbe.europa.eu/news/european-bioeconomy-investment-deployment-group-building-financial-backbone-europes-bio-based</vt:lpwstr>
      </vt:variant>
      <vt:variant>
        <vt:lpwstr/>
      </vt:variant>
      <vt:variant>
        <vt:i4>4980776</vt:i4>
      </vt:variant>
      <vt:variant>
        <vt:i4>72</vt:i4>
      </vt:variant>
      <vt:variant>
        <vt:i4>0</vt:i4>
      </vt:variant>
      <vt:variant>
        <vt:i4>5</vt:i4>
      </vt:variant>
      <vt:variant>
        <vt:lpwstr>https://commission.europa.eu/topics/competitiveness/competitiveness-compass_en</vt:lpwstr>
      </vt:variant>
      <vt:variant>
        <vt:lpwstr/>
      </vt:variant>
      <vt:variant>
        <vt:i4>3473530</vt:i4>
      </vt:variant>
      <vt:variant>
        <vt:i4>69</vt:i4>
      </vt:variant>
      <vt:variant>
        <vt:i4>0</vt:i4>
      </vt:variant>
      <vt:variant>
        <vt:i4>5</vt:i4>
      </vt:variant>
      <vt:variant>
        <vt:lpwstr>https://www.cbe.europa.eu/</vt:lpwstr>
      </vt:variant>
      <vt:variant>
        <vt:lpwstr/>
      </vt:variant>
      <vt:variant>
        <vt:i4>2883596</vt:i4>
      </vt:variant>
      <vt:variant>
        <vt:i4>66</vt:i4>
      </vt:variant>
      <vt:variant>
        <vt:i4>0</vt:i4>
      </vt:variant>
      <vt:variant>
        <vt:i4>5</vt:i4>
      </vt:variant>
      <vt:variant>
        <vt:lpwstr>https://climate.ec.europa.eu/eu-action/eu-funding-climate-action/innovation-fund_en</vt:lpwstr>
      </vt:variant>
      <vt:variant>
        <vt:lpwstr/>
      </vt:variant>
      <vt:variant>
        <vt:i4>7864410</vt:i4>
      </vt:variant>
      <vt:variant>
        <vt:i4>63</vt:i4>
      </vt:variant>
      <vt:variant>
        <vt:i4>0</vt:i4>
      </vt:variant>
      <vt:variant>
        <vt:i4>5</vt:i4>
      </vt:variant>
      <vt:variant>
        <vt:lpwstr>https://climate.ec.europa.eu/eu-action/carbon-markets/eu-emissions-trading-system-eu-ets_en</vt:lpwstr>
      </vt:variant>
      <vt:variant>
        <vt:lpwstr/>
      </vt:variant>
      <vt:variant>
        <vt:i4>7274602</vt:i4>
      </vt:variant>
      <vt:variant>
        <vt:i4>60</vt:i4>
      </vt:variant>
      <vt:variant>
        <vt:i4>0</vt:i4>
      </vt:variant>
      <vt:variant>
        <vt:i4>5</vt:i4>
      </vt:variant>
      <vt:variant>
        <vt:lpwstr>http://data.europa.eu/eli/reg/2022/2472/oj</vt:lpwstr>
      </vt:variant>
      <vt:variant>
        <vt:lpwstr/>
      </vt:variant>
      <vt:variant>
        <vt:i4>2359341</vt:i4>
      </vt:variant>
      <vt:variant>
        <vt:i4>57</vt:i4>
      </vt:variant>
      <vt:variant>
        <vt:i4>0</vt:i4>
      </vt:variant>
      <vt:variant>
        <vt:i4>5</vt:i4>
      </vt:variant>
      <vt:variant>
        <vt:lpwstr>https://eur-lex.europa.eu/legal-content/EN/ALL/?uri=CELEX:02022XC1221(01)-20240305</vt:lpwstr>
      </vt:variant>
      <vt:variant>
        <vt:lpwstr/>
      </vt:variant>
      <vt:variant>
        <vt:i4>8126568</vt:i4>
      </vt:variant>
      <vt:variant>
        <vt:i4>54</vt:i4>
      </vt:variant>
      <vt:variant>
        <vt:i4>0</vt:i4>
      </vt:variant>
      <vt:variant>
        <vt:i4>5</vt:i4>
      </vt:variant>
      <vt:variant>
        <vt:lpwstr>https://eur-lex.europa.eu/legal-content/EN/TXT/?uri=CELEX%3A02008L0098-20251016</vt:lpwstr>
      </vt:variant>
      <vt:variant>
        <vt:lpwstr/>
      </vt:variant>
      <vt:variant>
        <vt:i4>7667756</vt:i4>
      </vt:variant>
      <vt:variant>
        <vt:i4>51</vt:i4>
      </vt:variant>
      <vt:variant>
        <vt:i4>0</vt:i4>
      </vt:variant>
      <vt:variant>
        <vt:i4>5</vt:i4>
      </vt:variant>
      <vt:variant>
        <vt:lpwstr>https://eur-lex.europa.eu/eli/dir/2024/3019/oj</vt:lpwstr>
      </vt:variant>
      <vt:variant>
        <vt:lpwstr/>
      </vt:variant>
      <vt:variant>
        <vt:i4>7864363</vt:i4>
      </vt:variant>
      <vt:variant>
        <vt:i4>48</vt:i4>
      </vt:variant>
      <vt:variant>
        <vt:i4>0</vt:i4>
      </vt:variant>
      <vt:variant>
        <vt:i4>5</vt:i4>
      </vt:variant>
      <vt:variant>
        <vt:lpwstr>https://eur-lex.europa.eu/legal-content/EN/TXT/?uri=celex%3A52025DC0960</vt:lpwstr>
      </vt:variant>
      <vt:variant>
        <vt:lpwstr/>
      </vt:variant>
      <vt:variant>
        <vt:i4>6553600</vt:i4>
      </vt:variant>
      <vt:variant>
        <vt:i4>45</vt:i4>
      </vt:variant>
      <vt:variant>
        <vt:i4>0</vt:i4>
      </vt:variant>
      <vt:variant>
        <vt:i4>5</vt:i4>
      </vt:variant>
      <vt:variant>
        <vt:lpwstr>https://civil-protection-humanitarian-aid.ec.europa.eu/what/civil-protection/stockpiling_en</vt:lpwstr>
      </vt:variant>
      <vt:variant>
        <vt:lpwstr/>
      </vt:variant>
      <vt:variant>
        <vt:i4>5308519</vt:i4>
      </vt:variant>
      <vt:variant>
        <vt:i4>42</vt:i4>
      </vt:variant>
      <vt:variant>
        <vt:i4>0</vt:i4>
      </vt:variant>
      <vt:variant>
        <vt:i4>5</vt:i4>
      </vt:variant>
      <vt:variant>
        <vt:lpwstr>https://international-partnerships.ec.europa.eu/policies/team-europe-initiatives_en</vt:lpwstr>
      </vt:variant>
      <vt:variant>
        <vt:lpwstr>what-is-team-europe</vt:lpwstr>
      </vt:variant>
      <vt:variant>
        <vt:i4>2621447</vt:i4>
      </vt:variant>
      <vt:variant>
        <vt:i4>39</vt:i4>
      </vt:variant>
      <vt:variant>
        <vt:i4>0</vt:i4>
      </vt:variant>
      <vt:variant>
        <vt:i4>5</vt:i4>
      </vt:variant>
      <vt:variant>
        <vt:lpwstr>https://commission.europa.eu/topics/international-partnerships/global-gateway_en</vt:lpwstr>
      </vt:variant>
      <vt:variant>
        <vt:lpwstr/>
      </vt:variant>
      <vt:variant>
        <vt:i4>7274589</vt:i4>
      </vt:variant>
      <vt:variant>
        <vt:i4>36</vt:i4>
      </vt:variant>
      <vt:variant>
        <vt:i4>0</vt:i4>
      </vt:variant>
      <vt:variant>
        <vt:i4>5</vt:i4>
      </vt:variant>
      <vt:variant>
        <vt:lpwstr>https://taxation-customs.ec.europa.eu/carbon-border-adjustment-mechanism/price-cbam-certificates_en</vt:lpwstr>
      </vt:variant>
      <vt:variant>
        <vt:lpwstr/>
      </vt:variant>
      <vt:variant>
        <vt:i4>7208970</vt:i4>
      </vt:variant>
      <vt:variant>
        <vt:i4>33</vt:i4>
      </vt:variant>
      <vt:variant>
        <vt:i4>0</vt:i4>
      </vt:variant>
      <vt:variant>
        <vt:i4>5</vt:i4>
      </vt:variant>
      <vt:variant>
        <vt:lpwstr>https://eur-lex.europa.eu/legal-content/EN/TXT/?uri=OJ:L_202502620</vt:lpwstr>
      </vt:variant>
      <vt:variant>
        <vt:lpwstr/>
      </vt:variant>
      <vt:variant>
        <vt:i4>7274549</vt:i4>
      </vt:variant>
      <vt:variant>
        <vt:i4>30</vt:i4>
      </vt:variant>
      <vt:variant>
        <vt:i4>0</vt:i4>
      </vt:variant>
      <vt:variant>
        <vt:i4>5</vt:i4>
      </vt:variant>
      <vt:variant>
        <vt:lpwstr>https://ec.europa.eu/transparency/documents-register/detail?ref=COM(2026)99&amp;lang=en</vt:lpwstr>
      </vt:variant>
      <vt:variant>
        <vt:lpwstr/>
      </vt:variant>
      <vt:variant>
        <vt:i4>6815757</vt:i4>
      </vt:variant>
      <vt:variant>
        <vt:i4>27</vt:i4>
      </vt:variant>
      <vt:variant>
        <vt:i4>0</vt:i4>
      </vt:variant>
      <vt:variant>
        <vt:i4>5</vt:i4>
      </vt:variant>
      <vt:variant>
        <vt:lpwstr>https://eur-lex.europa.eu/legal-content/EN/TXT/?uri=OJ:L_202402747</vt:lpwstr>
      </vt:variant>
      <vt:variant>
        <vt:lpwstr/>
      </vt:variant>
      <vt:variant>
        <vt:i4>7274549</vt:i4>
      </vt:variant>
      <vt:variant>
        <vt:i4>24</vt:i4>
      </vt:variant>
      <vt:variant>
        <vt:i4>0</vt:i4>
      </vt:variant>
      <vt:variant>
        <vt:i4>5</vt:i4>
      </vt:variant>
      <vt:variant>
        <vt:lpwstr>https://ec.europa.eu/transparency/documents-register/detail?ref=COM(2026)99&amp;lang=en</vt:lpwstr>
      </vt:variant>
      <vt:variant>
        <vt:lpwstr/>
      </vt:variant>
      <vt:variant>
        <vt:i4>2687045</vt:i4>
      </vt:variant>
      <vt:variant>
        <vt:i4>21</vt:i4>
      </vt:variant>
      <vt:variant>
        <vt:i4>0</vt:i4>
      </vt:variant>
      <vt:variant>
        <vt:i4>5</vt:i4>
      </vt:variant>
      <vt:variant>
        <vt:lpwstr>https://eu-cap-network.ec.europa.eu/index_en</vt:lpwstr>
      </vt:variant>
      <vt:variant>
        <vt:lpwstr/>
      </vt:variant>
      <vt:variant>
        <vt:i4>4587609</vt:i4>
      </vt:variant>
      <vt:variant>
        <vt:i4>18</vt:i4>
      </vt:variant>
      <vt:variant>
        <vt:i4>0</vt:i4>
      </vt:variant>
      <vt:variant>
        <vt:i4>5</vt:i4>
      </vt:variant>
      <vt:variant>
        <vt:lpwstr>https://ec.europa.eu/commission/presscorner/detail/en/ip_26_894</vt:lpwstr>
      </vt:variant>
      <vt:variant>
        <vt:lpwstr/>
      </vt:variant>
      <vt:variant>
        <vt:i4>2424843</vt:i4>
      </vt:variant>
      <vt:variant>
        <vt:i4>15</vt:i4>
      </vt:variant>
      <vt:variant>
        <vt:i4>0</vt:i4>
      </vt:variant>
      <vt:variant>
        <vt:i4>5</vt:i4>
      </vt:variant>
      <vt:variant>
        <vt:lpwstr>https://agriculture.ec.europa.eu/data-and-analysis/markets/overviews/market-observatories/fertilisers_en</vt:lpwstr>
      </vt:variant>
      <vt:variant>
        <vt:lpwstr/>
      </vt:variant>
      <vt:variant>
        <vt:i4>786437</vt:i4>
      </vt:variant>
      <vt:variant>
        <vt:i4>12</vt:i4>
      </vt:variant>
      <vt:variant>
        <vt:i4>0</vt:i4>
      </vt:variant>
      <vt:variant>
        <vt:i4>5</vt:i4>
      </vt:variant>
      <vt:variant>
        <vt:lpwstr>https://www.fao.org/newsroom/detail/fao-chief-economist-warns-of-severe-global-food-security-risks-from-disruption-to-strait-of-hormuz-trade-corridor/en</vt:lpwstr>
      </vt:variant>
      <vt:variant>
        <vt:lpwstr/>
      </vt:variant>
      <vt:variant>
        <vt:i4>3080276</vt:i4>
      </vt:variant>
      <vt:variant>
        <vt:i4>9</vt:i4>
      </vt:variant>
      <vt:variant>
        <vt:i4>0</vt:i4>
      </vt:variant>
      <vt:variant>
        <vt:i4>5</vt:i4>
      </vt:variant>
      <vt:variant>
        <vt:lpwstr>https://taxation-customs.ec.europa.eu/carbon-border-adjustment-mechanism_en</vt:lpwstr>
      </vt:variant>
      <vt:variant>
        <vt:lpwstr/>
      </vt:variant>
      <vt:variant>
        <vt:i4>262247</vt:i4>
      </vt:variant>
      <vt:variant>
        <vt:i4>6</vt:i4>
      </vt:variant>
      <vt:variant>
        <vt:i4>0</vt:i4>
      </vt:variant>
      <vt:variant>
        <vt:i4>5</vt:i4>
      </vt:variant>
      <vt:variant>
        <vt:lpwstr>https://energy.ec.europa.eu/publications/accelerateeu-energy-union-affordable-and-secure-energy-through-accelerated-action_en</vt:lpwstr>
      </vt:variant>
      <vt:variant>
        <vt:lpwstr/>
      </vt:variant>
      <vt:variant>
        <vt:i4>262168</vt:i4>
      </vt:variant>
      <vt:variant>
        <vt:i4>3</vt:i4>
      </vt:variant>
      <vt:variant>
        <vt:i4>0</vt:i4>
      </vt:variant>
      <vt:variant>
        <vt:i4>5</vt:i4>
      </vt:variant>
      <vt:variant>
        <vt:lpwstr>https://eur-lex.europa.eu/legal-content/EN/TXT/?uri=celex:52025DC0945</vt:lpwstr>
      </vt:variant>
      <vt:variant>
        <vt:lpwstr/>
      </vt:variant>
      <vt:variant>
        <vt:i4>1245207</vt:i4>
      </vt:variant>
      <vt:variant>
        <vt:i4>0</vt:i4>
      </vt:variant>
      <vt:variant>
        <vt:i4>0</vt:i4>
      </vt:variant>
      <vt:variant>
        <vt:i4>5</vt:i4>
      </vt:variant>
      <vt:variant>
        <vt:lpwstr>https://eur-lex.europa.eu/legal-content/EN/TXT/?uri=CELEX%3A52022DC0590%2801%29&amp;qid=1777965079173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2026-05-19T05:59:00Z</dcterms:created>
  <dcterms:modified xsi:type="dcterms:W3CDTF">2026-06-05T15:36:00Z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2026-05-18T21:40:36Z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31a2b60f-8f36-4e6d-a605-1aa00b583c27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ContentTypeId">
    <vt:lpwstr>0x0101008524FB8744E08A4DBE383191C9C503E4</vt:lpwstr>
  </property>
  <property fmtid="{D5CDD505-2E9C-101B-9397-08002B2CF9AE}" pid="13" name="CPTemplateID">
    <vt:lpwstr>CP-014</vt:lpwstr>
  </property>
  <property fmtid="{D5CDD505-2E9C-101B-9397-08002B2CF9AE}" pid="14" name="Total parts">
    <vt:lpwstr>1</vt:lpwstr>
  </property>
  <property fmtid="{D5CDD505-2E9C-101B-9397-08002B2CF9AE}" pid="15" name="DocStatus">
    <vt:lpwstr>Green</vt:lpwstr>
  </property>
  <property fmtid="{D5CDD505-2E9C-101B-9397-08002B2CF9AE}" pid="16" name="Level of sensitivity">
    <vt:lpwstr>Standard treatment</vt:lpwstr>
  </property>
</Properties>
</file>