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A6D4E1" w14:textId="03FBA34D" w:rsidR="008C7FBE" w:rsidRDefault="00187699" w:rsidP="00187699">
      <w:pPr>
        <w:pStyle w:val="Pagedecouverture"/>
        <w:rPr>
          <w:noProof/>
        </w:rPr>
      </w:pPr>
      <w:bookmarkStart w:id="0" w:name="LW_BM_COVERPAGE"/>
      <w:r>
        <w:rPr>
          <w:noProof/>
        </w:rPr>
        <w:pict w14:anchorId="42328D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87A9BF1-1D1D-4BB6-98B0-6A2F6FEF6763" style="width:455.25pt;height:354.75pt">
            <v:imagedata r:id="rId11" o:title=""/>
          </v:shape>
        </w:pict>
      </w:r>
    </w:p>
    <w:bookmarkEnd w:id="0"/>
    <w:p w14:paraId="5F6372E9" w14:textId="77777777" w:rsidR="008C7FBE" w:rsidRDefault="008C7FBE" w:rsidP="008C7FBE">
      <w:pPr>
        <w:rPr>
          <w:noProof/>
        </w:rPr>
        <w:sectPr w:rsidR="008C7FBE" w:rsidSect="00187699">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67B047F3" w14:textId="3B738E31" w:rsidR="00284B79" w:rsidRPr="0027307A" w:rsidRDefault="00284B79" w:rsidP="00381BC7">
      <w:pPr>
        <w:pStyle w:val="ListParagraph"/>
        <w:numPr>
          <w:ilvl w:val="0"/>
          <w:numId w:val="48"/>
        </w:numPr>
        <w:spacing w:after="140" w:line="276" w:lineRule="auto"/>
        <w:jc w:val="both"/>
        <w:rPr>
          <w:rFonts w:ascii="Times New Roman" w:eastAsiaTheme="minorEastAsia" w:hAnsi="Times New Roman" w:cs="Times New Roman"/>
          <w:b/>
          <w:bCs/>
          <w:smallCaps/>
          <w:noProof/>
          <w:kern w:val="0"/>
          <w:sz w:val="24"/>
          <w:szCs w:val="24"/>
          <w14:ligatures w14:val="none"/>
        </w:rPr>
      </w:pPr>
      <w:bookmarkStart w:id="1" w:name="_GoBack"/>
      <w:bookmarkEnd w:id="1"/>
      <w:r>
        <w:rPr>
          <w:rFonts w:ascii="Times New Roman" w:hAnsi="Times New Roman"/>
          <w:b/>
          <w:smallCaps/>
          <w:noProof/>
          <w:sz w:val="24"/>
        </w:rPr>
        <w:lastRenderedPageBreak/>
        <w:t>Introducere: De ce are nevoie Uniunea Europeană de un plan de acțiune privind îngrășămintele?</w:t>
      </w:r>
    </w:p>
    <w:p w14:paraId="725ACA26" w14:textId="605D2FBB" w:rsidR="00C2508D" w:rsidRPr="0027307A" w:rsidRDefault="00C2508D" w:rsidP="00C05AB8">
      <w:pPr>
        <w:spacing w:after="140" w:line="276" w:lineRule="auto"/>
        <w:jc w:val="both"/>
        <w:rPr>
          <w:rFonts w:ascii="Times New Roman" w:eastAsiaTheme="minorEastAsia" w:hAnsi="Times New Roman" w:cs="Times New Roman"/>
          <w:noProof/>
          <w:kern w:val="0"/>
          <w:sz w:val="24"/>
          <w:szCs w:val="24"/>
          <w14:ligatures w14:val="none"/>
        </w:rPr>
      </w:pPr>
      <w:r>
        <w:rPr>
          <w:rFonts w:ascii="Times New Roman" w:hAnsi="Times New Roman"/>
          <w:b/>
          <w:noProof/>
          <w:sz w:val="24"/>
        </w:rPr>
        <w:t>Îngrășămintele sunt esențiale pentru productivitatea agriculturii, viabilitatea fermelor și securitatea alimentară.</w:t>
      </w:r>
      <w:r>
        <w:rPr>
          <w:rFonts w:ascii="Times New Roman" w:hAnsi="Times New Roman"/>
          <w:noProof/>
          <w:sz w:val="24"/>
        </w:rPr>
        <w:t xml:space="preserve"> Ele asigură principalii nutrienți pentru plante – azot (N), fosfor (P) și potasiu (K) – esențiali pentru creșterea culturilor, sănătatea plantelor, randamente și calitatea produselor. Producția mondială de alimente depinde în mare măsură de îngrășăminte.</w:t>
      </w:r>
    </w:p>
    <w:p w14:paraId="7E62F1DB" w14:textId="2E3F1260" w:rsidR="0038521A" w:rsidRPr="0027307A" w:rsidRDefault="2EF292EB" w:rsidP="00381BC7">
      <w:pPr>
        <w:spacing w:after="140" w:line="276" w:lineRule="auto"/>
        <w:jc w:val="both"/>
        <w:rPr>
          <w:rFonts w:ascii="Times New Roman" w:eastAsiaTheme="minorEastAsia" w:hAnsi="Times New Roman" w:cs="Times New Roman"/>
          <w:noProof/>
          <w:kern w:val="0"/>
          <w:sz w:val="24"/>
          <w:szCs w:val="24"/>
          <w14:ligatures w14:val="none"/>
        </w:rPr>
      </w:pPr>
      <w:r>
        <w:rPr>
          <w:rFonts w:ascii="Times New Roman" w:hAnsi="Times New Roman"/>
          <w:b/>
          <w:noProof/>
          <w:sz w:val="24"/>
        </w:rPr>
        <w:t>Pentru a doua oară în mai puțin de cinci ani, la nivel mondial și în Europa se înregistrează o creștere accentuată a prețurilor îngrășămintelor minerale</w:t>
      </w:r>
      <w:r>
        <w:rPr>
          <w:rFonts w:ascii="Times New Roman" w:hAnsi="Times New Roman"/>
          <w:noProof/>
          <w:sz w:val="24"/>
        </w:rPr>
        <w:t>. În 2022, Comisia a prezentat o „comunicare privind asigurarea disponibilității și accesibilității prețurilor îngrășămintelor”</w:t>
      </w:r>
      <w:r>
        <w:rPr>
          <w:rStyle w:val="FootnoteReference"/>
          <w:rFonts w:ascii="Times New Roman" w:eastAsiaTheme="minorEastAsia" w:hAnsi="Times New Roman" w:cs="Times New Roman"/>
          <w:noProof/>
          <w:kern w:val="0"/>
          <w:sz w:val="24"/>
          <w:szCs w:val="24"/>
        </w:rPr>
        <w:footnoteReference w:id="1"/>
      </w:r>
      <w:r>
        <w:rPr>
          <w:rFonts w:ascii="Times New Roman" w:hAnsi="Times New Roman"/>
          <w:noProof/>
          <w:sz w:val="24"/>
        </w:rPr>
        <w:t xml:space="preserve"> (comunicarea din 2022), care stabilește măsuri imediate pentru a proteja disponibilitatea și accesibilitatea prețurilor. De atunci, persistă prețurile ridicate și dificultățile structurale, ceea ce a determinat Comisia să anunțe un plan de acțiune privind îngrășămintele în comunicarea REsourceEU</w:t>
      </w:r>
      <w:r>
        <w:rPr>
          <w:rFonts w:ascii="Times New Roman" w:eastAsia="Aptos" w:hAnsi="Times New Roman" w:cs="Times New Roman"/>
          <w:noProof/>
          <w:kern w:val="0"/>
          <w:sz w:val="24"/>
          <w:szCs w:val="24"/>
          <w:vertAlign w:val="superscript"/>
        </w:rPr>
        <w:footnoteReference w:id="2"/>
      </w:r>
      <w:r>
        <w:rPr>
          <w:rFonts w:ascii="Times New Roman" w:hAnsi="Times New Roman"/>
          <w:noProof/>
          <w:sz w:val="24"/>
        </w:rPr>
        <w:t>, pentru a asigura disponibilitatea și accesibilitatea prețurilor îngrășămintelor interne și pentru a propune acțiuni care să permită tranziția către nutrienți reciclați și alte alternative. Criza din Orientul Mijlociu a scos și mai mult la iveală vulnerabilitățile structurale ale UE în ceea ce privește aprovizionarea cu îngrășăminte.</w:t>
      </w:r>
    </w:p>
    <w:p w14:paraId="2D74B171" w14:textId="7955DCB8" w:rsidR="0099472F" w:rsidRPr="0027307A" w:rsidRDefault="00914314" w:rsidP="00381BC7">
      <w:pPr>
        <w:spacing w:after="140" w:line="276" w:lineRule="auto"/>
        <w:jc w:val="both"/>
        <w:rPr>
          <w:rFonts w:ascii="Times New Roman" w:eastAsiaTheme="minorEastAsia" w:hAnsi="Times New Roman" w:cs="Times New Roman"/>
          <w:noProof/>
          <w:kern w:val="0"/>
          <w:sz w:val="24"/>
          <w:szCs w:val="24"/>
          <w14:ligatures w14:val="none"/>
        </w:rPr>
      </w:pPr>
      <w:r>
        <w:rPr>
          <w:rFonts w:ascii="Times New Roman" w:hAnsi="Times New Roman"/>
          <w:b/>
          <w:noProof/>
          <w:sz w:val="24"/>
        </w:rPr>
        <w:t>În prezent, aprovizionarea cu îngrășăminte a UE depinde de importuri</w:t>
      </w:r>
      <w:r>
        <w:rPr>
          <w:rFonts w:ascii="Times New Roman" w:hAnsi="Times New Roman"/>
          <w:noProof/>
          <w:sz w:val="24"/>
        </w:rPr>
        <w:t xml:space="preserve"> pentru o mare parte din îngrășămintele anorganice și materiile prime aferente (gaze naturale, amoniac, fosforit)</w:t>
      </w:r>
      <w:r>
        <w:rPr>
          <w:rFonts w:ascii="Times New Roman" w:hAnsi="Times New Roman" w:cs="Times New Roman"/>
          <w:noProof/>
          <w:sz w:val="24"/>
          <w:szCs w:val="24"/>
          <w:vertAlign w:val="superscript"/>
        </w:rPr>
        <w:footnoteReference w:id="3"/>
      </w:r>
      <w:r>
        <w:rPr>
          <w:rFonts w:ascii="Times New Roman" w:hAnsi="Times New Roman"/>
          <w:noProof/>
          <w:sz w:val="24"/>
        </w:rPr>
        <w:t>. În același timp, producția internă este puternic afectată de prețurile la energie, în special în ceea ce privește îngrășămintele azotoase, în cazul cărora gazul natural servește atât ca materie intermediară, cât și ca sursă majoră de energie. În plus, cantitățile mari de emisii de gaze cu efect de seră (GES) din timpul producției și dependența ridicată de combustibilii fosili importați indică faptul că producția de îngrășăminte trebuie să se decarbonizeze fără a se pune în pericol securitatea alimentară și capacitatea financiară a fermierilor.</w:t>
      </w:r>
    </w:p>
    <w:p w14:paraId="517ED9AA" w14:textId="5CFE3CA4" w:rsidR="00402DC9" w:rsidRPr="00D16309" w:rsidRDefault="6F68157C" w:rsidP="00381BC7">
      <w:pPr>
        <w:spacing w:after="140" w:line="276" w:lineRule="auto"/>
        <w:jc w:val="both"/>
        <w:rPr>
          <w:rFonts w:ascii="Times New Roman" w:hAnsi="Times New Roman" w:cs="Times New Roman"/>
          <w:b/>
          <w:bCs/>
          <w:noProof/>
          <w:sz w:val="24"/>
          <w:szCs w:val="24"/>
        </w:rPr>
      </w:pPr>
      <w:r>
        <w:rPr>
          <w:rFonts w:ascii="Times New Roman" w:hAnsi="Times New Roman"/>
          <w:b/>
          <w:noProof/>
          <w:sz w:val="24"/>
        </w:rPr>
        <w:t>O strategie de succes pentru fertilizare în UE necesită o colaborare strânsă între industrie și fermieri, în cadrul unui parteneriat și al unui lanț valoric transparent: asigurarea competitivității atât pentru fermieri, cât și pentru industria îngrășămintelor și a autonomiei strategice a UE, contribuind în același timp la atingerea obiectivelor UE în materie de climă și mediu.</w:t>
      </w:r>
      <w:r>
        <w:rPr>
          <w:rFonts w:ascii="Times New Roman" w:hAnsi="Times New Roman"/>
          <w:noProof/>
          <w:sz w:val="24"/>
        </w:rPr>
        <w:t xml:space="preserve"> Recenta comunicare AccelerateEU</w:t>
      </w:r>
      <w:r>
        <w:rPr>
          <w:rStyle w:val="FootnoteReference"/>
          <w:rFonts w:ascii="Times New Roman" w:hAnsi="Times New Roman" w:cs="Times New Roman"/>
          <w:noProof/>
          <w:sz w:val="24"/>
          <w:szCs w:val="24"/>
        </w:rPr>
        <w:footnoteReference w:id="4"/>
      </w:r>
      <w:r>
        <w:rPr>
          <w:rFonts w:ascii="Times New Roman" w:hAnsi="Times New Roman"/>
          <w:noProof/>
          <w:sz w:val="24"/>
        </w:rPr>
        <w:t xml:space="preserve"> orientează acțiunile UE și ale statelor membre pentru a aborda impactul prețurilor la energie asupra îngrășămintelor și agriculturii, punând accentul pe efectele imediate, într-o perspectivă pe termen mediu.</w:t>
      </w:r>
      <w:r>
        <w:rPr>
          <w:noProof/>
        </w:rPr>
        <w:t xml:space="preserve"> </w:t>
      </w:r>
      <w:r>
        <w:rPr>
          <w:rFonts w:ascii="Times New Roman" w:hAnsi="Times New Roman"/>
          <w:noProof/>
          <w:sz w:val="24"/>
        </w:rPr>
        <w:t xml:space="preserve">Acest plan de acțiune va oferi un set mai larg de acțiuni care urmează să fie puse în aplicare în parteneriat cu producătorii de îngrășăminte și cu fermierii pentru a atinge mai multe obiective de consolidare legate de disponibilitate și accesibilitatea prețurilor, de autonomia strategică și de reziliență, precum și de transparență și dialog.  </w:t>
      </w:r>
    </w:p>
    <w:p w14:paraId="1D345A26" w14:textId="561ACFF2" w:rsidR="006248A3" w:rsidRPr="0027307A" w:rsidRDefault="006248A3" w:rsidP="006359C8">
      <w:pPr>
        <w:pStyle w:val="ListParagraph"/>
        <w:keepNext/>
        <w:keepLines/>
        <w:numPr>
          <w:ilvl w:val="0"/>
          <w:numId w:val="48"/>
        </w:numPr>
        <w:spacing w:after="140" w:line="276" w:lineRule="auto"/>
        <w:jc w:val="both"/>
        <w:rPr>
          <w:rFonts w:ascii="Times New Roman" w:eastAsiaTheme="minorEastAsia" w:hAnsi="Times New Roman" w:cs="Times New Roman"/>
          <w:b/>
          <w:smallCaps/>
          <w:noProof/>
          <w:kern w:val="0"/>
          <w:sz w:val="24"/>
          <w:szCs w:val="24"/>
          <w14:ligatures w14:val="none"/>
        </w:rPr>
      </w:pPr>
      <w:r>
        <w:rPr>
          <w:rFonts w:ascii="Times New Roman" w:hAnsi="Times New Roman"/>
          <w:b/>
          <w:smallCaps/>
          <w:noProof/>
          <w:sz w:val="24"/>
        </w:rPr>
        <w:t>Context și provocări</w:t>
      </w:r>
    </w:p>
    <w:p w14:paraId="392C07CD" w14:textId="5EE4FBD9" w:rsidR="004D0818" w:rsidRPr="0027307A" w:rsidRDefault="004D0818" w:rsidP="006359C8">
      <w:pPr>
        <w:keepNext/>
        <w:keepLines/>
        <w:spacing w:after="140" w:line="276" w:lineRule="auto"/>
        <w:jc w:val="both"/>
        <w:rPr>
          <w:rFonts w:ascii="Times New Roman" w:hAnsi="Times New Roman" w:cs="Times New Roman"/>
          <w:noProof/>
          <w:sz w:val="24"/>
          <w:szCs w:val="24"/>
        </w:rPr>
      </w:pPr>
      <w:r>
        <w:rPr>
          <w:rFonts w:ascii="Times New Roman" w:hAnsi="Times New Roman"/>
          <w:b/>
          <w:noProof/>
          <w:sz w:val="24"/>
        </w:rPr>
        <w:t xml:space="preserve">2.1. Creșterea costurilor care afectează competitivitatea agriculturii UE  </w:t>
      </w:r>
    </w:p>
    <w:p w14:paraId="1332BD2A" w14:textId="2DC76FE0" w:rsidR="006E04D4" w:rsidRDefault="00812147" w:rsidP="006359C8">
      <w:pPr>
        <w:keepNext/>
        <w:keepLines/>
        <w:spacing w:after="0" w:line="276" w:lineRule="auto"/>
        <w:contextualSpacing/>
        <w:jc w:val="both"/>
        <w:rPr>
          <w:rFonts w:ascii="Times New Roman" w:eastAsiaTheme="minorEastAsia" w:hAnsi="Times New Roman" w:cs="Times New Roman"/>
          <w:noProof/>
          <w:sz w:val="24"/>
          <w:szCs w:val="24"/>
        </w:rPr>
      </w:pPr>
      <w:r>
        <w:rPr>
          <w:rFonts w:ascii="Times New Roman" w:hAnsi="Times New Roman"/>
          <w:b/>
          <w:noProof/>
          <w:sz w:val="24"/>
        </w:rPr>
        <w:t>Costurile îngrășămintelor afectează în mod direct producția de alimente, deoarece fertilizarea reprezintă unul dintre cele mai mari costuri pentru fermieri</w:t>
      </w:r>
      <w:r>
        <w:rPr>
          <w:rStyle w:val="FootnoteReference"/>
          <w:rFonts w:ascii="Times New Roman" w:eastAsiaTheme="minorEastAsia" w:hAnsi="Times New Roman" w:cs="Times New Roman"/>
          <w:noProof/>
          <w:sz w:val="24"/>
          <w:szCs w:val="24"/>
        </w:rPr>
        <w:footnoteReference w:id="5"/>
      </w:r>
      <w:r>
        <w:rPr>
          <w:rFonts w:ascii="Times New Roman" w:hAnsi="Times New Roman"/>
          <w:noProof/>
          <w:sz w:val="24"/>
        </w:rPr>
        <w:t>. Ponderea îngrășămintelor în contabilitatea exploatației este deosebit de ridicată pentru fermierii care produc culturi arabile</w:t>
      </w:r>
      <w:r>
        <w:rPr>
          <w:rStyle w:val="FootnoteReference"/>
          <w:rFonts w:ascii="Times New Roman" w:eastAsiaTheme="minorEastAsia" w:hAnsi="Times New Roman" w:cs="Times New Roman"/>
          <w:noProof/>
          <w:sz w:val="24"/>
          <w:szCs w:val="24"/>
        </w:rPr>
        <w:footnoteReference w:id="6"/>
      </w:r>
      <w:r>
        <w:rPr>
          <w:rFonts w:ascii="Times New Roman" w:hAnsi="Times New Roman"/>
          <w:noProof/>
          <w:sz w:val="24"/>
        </w:rPr>
        <w:t>. În ultimul trimestru al anului 2025, costurile îngrășămintelor pentru fermierii din UE erau în continuare cu 62 % peste nivelurile din 2020 (înainte de prețul de vârf anterior). În primele luni ale anului 2026, prețurile îngrășămintelor produse în UE au crescut semnificativ, în special cele ale îngrășămintelor azotoase, alimentate de cererea mondială, de comerț și de factorii geopolitici. În aprilie 2026, prețurile globale ale îngrășămintelor azotoase în UE au crescut cu încă 40 % peste nivelul din decembrie 2025.</w:t>
      </w:r>
    </w:p>
    <w:p w14:paraId="01BE6F09" w14:textId="77777777" w:rsidR="00080D71" w:rsidRPr="0027307A" w:rsidRDefault="00080D71" w:rsidP="00381BC7">
      <w:pPr>
        <w:spacing w:after="0" w:line="276" w:lineRule="auto"/>
        <w:contextualSpacing/>
        <w:jc w:val="both"/>
        <w:rPr>
          <w:rFonts w:ascii="Times New Roman" w:eastAsiaTheme="minorEastAsia" w:hAnsi="Times New Roman" w:cs="Times New Roman"/>
          <w:noProof/>
          <w:sz w:val="24"/>
          <w:szCs w:val="24"/>
        </w:rPr>
      </w:pPr>
    </w:p>
    <w:p w14:paraId="6299E9F8" w14:textId="5B50D7AD" w:rsidR="008E7837" w:rsidRPr="0027307A" w:rsidRDefault="004B75C2" w:rsidP="00381BC7">
      <w:pPr>
        <w:spacing w:after="0" w:line="276" w:lineRule="auto"/>
        <w:contextualSpacing/>
        <w:jc w:val="both"/>
        <w:rPr>
          <w:rFonts w:ascii="Times New Roman" w:eastAsiaTheme="minorEastAsia" w:hAnsi="Times New Roman" w:cs="Times New Roman"/>
          <w:noProof/>
          <w:sz w:val="24"/>
          <w:szCs w:val="24"/>
        </w:rPr>
      </w:pPr>
      <w:r>
        <w:rPr>
          <w:rFonts w:ascii="Times New Roman" w:hAnsi="Times New Roman"/>
          <w:b/>
          <w:noProof/>
          <w:sz w:val="24"/>
        </w:rPr>
        <w:t>Creșterea costurilor îngrășămintelor poate obliga fermierii să reducă utilizarea lor, existând un risc clar de reducere a calității și a randamentelor</w:t>
      </w:r>
      <w:r>
        <w:rPr>
          <w:rFonts w:ascii="Times New Roman" w:hAnsi="Times New Roman"/>
          <w:noProof/>
          <w:sz w:val="24"/>
        </w:rPr>
        <w:t>. De asemenea, ar putea fi redusă suprafața cultivată, ceea ce ar afecta producția UE. În plus, acest lucru îi poate determina pe fermieri să acorde prioritate producției pe termen scurt, preferând aportul de azot în detrimentul aportului de fosfor și potasiu, cu potențiale consecințe pe termen lung asupra fertilității solului.</w:t>
      </w:r>
    </w:p>
    <w:p w14:paraId="7338DA2B" w14:textId="77777777" w:rsidR="00071159" w:rsidRPr="0027307A" w:rsidRDefault="00071159" w:rsidP="00381BC7">
      <w:pPr>
        <w:spacing w:after="0" w:line="276" w:lineRule="auto"/>
        <w:contextualSpacing/>
        <w:jc w:val="both"/>
        <w:rPr>
          <w:rFonts w:ascii="Times New Roman" w:eastAsiaTheme="minorEastAsia" w:hAnsi="Times New Roman" w:cs="Times New Roman"/>
          <w:noProof/>
          <w:sz w:val="24"/>
          <w:szCs w:val="24"/>
        </w:rPr>
      </w:pPr>
    </w:p>
    <w:p w14:paraId="491B24D9" w14:textId="476EE2BC" w:rsidR="00F93E8A" w:rsidRPr="0027307A" w:rsidRDefault="004D0818" w:rsidP="00381BC7">
      <w:pPr>
        <w:spacing w:after="140" w:line="276" w:lineRule="auto"/>
        <w:jc w:val="both"/>
        <w:rPr>
          <w:rFonts w:ascii="Times New Roman" w:hAnsi="Times New Roman" w:cs="Times New Roman"/>
          <w:b/>
          <w:bCs/>
          <w:noProof/>
          <w:sz w:val="24"/>
          <w:szCs w:val="24"/>
        </w:rPr>
      </w:pPr>
      <w:r>
        <w:rPr>
          <w:rFonts w:ascii="Times New Roman" w:hAnsi="Times New Roman"/>
          <w:b/>
          <w:noProof/>
          <w:sz w:val="24"/>
        </w:rPr>
        <w:t>2.2. Provocările cu care se confruntă industria</w:t>
      </w:r>
    </w:p>
    <w:p w14:paraId="51AAD783" w14:textId="06F328B6" w:rsidR="00FD5F83" w:rsidRPr="0027307A" w:rsidRDefault="172EE20A" w:rsidP="00381BC7">
      <w:pPr>
        <w:spacing w:after="140" w:line="276" w:lineRule="auto"/>
        <w:jc w:val="both"/>
        <w:rPr>
          <w:rFonts w:ascii="Times New Roman" w:hAnsi="Times New Roman" w:cs="Times New Roman"/>
          <w:noProof/>
          <w:sz w:val="24"/>
          <w:szCs w:val="24"/>
        </w:rPr>
      </w:pPr>
      <w:r>
        <w:rPr>
          <w:rFonts w:ascii="Times New Roman" w:hAnsi="Times New Roman"/>
          <w:noProof/>
          <w:sz w:val="24"/>
        </w:rPr>
        <w:t>Structura costurilor industriei îngrășămintelor din UE este dominată de energie, gazele naturale reprezentând 70-80 % din costurile de producție ale îngrășămintelor azotoase.</w:t>
      </w:r>
      <w:r>
        <w:rPr>
          <w:noProof/>
        </w:rPr>
        <w:t xml:space="preserve"> </w:t>
      </w:r>
      <w:r>
        <w:rPr>
          <w:rFonts w:ascii="Times New Roman" w:hAnsi="Times New Roman"/>
          <w:noProof/>
          <w:sz w:val="24"/>
        </w:rPr>
        <w:t xml:space="preserve">UE depinde de importurile de gaze naturale, iar producția locală de îngrășăminte azotoase nu asigură autonomia. Odată cu apariția crizei energetice, nivelul de autonomie a scăzut, de asemenea. Aceasta este o consecință a faptului că amoniacul produs în Europa se află la limita superioară a curbei costurilor de producție de la nivel mondial. Îngrășămintele pe bază de fosfat și potasă depind în principal de materii intermediare obținute prin extracție minieră. </w:t>
      </w:r>
    </w:p>
    <w:p w14:paraId="4D9A3E41" w14:textId="0EE405CE" w:rsidR="00FA3854" w:rsidRPr="0027307A" w:rsidRDefault="006213C3" w:rsidP="00381BC7">
      <w:pPr>
        <w:spacing w:after="140" w:line="276" w:lineRule="auto"/>
        <w:jc w:val="both"/>
        <w:rPr>
          <w:rFonts w:ascii="Times New Roman" w:hAnsi="Times New Roman" w:cs="Times New Roman"/>
          <w:noProof/>
          <w:sz w:val="24"/>
          <w:szCs w:val="24"/>
        </w:rPr>
      </w:pPr>
      <w:r>
        <w:rPr>
          <w:rFonts w:ascii="Times New Roman" w:hAnsi="Times New Roman"/>
          <w:b/>
          <w:noProof/>
          <w:sz w:val="24"/>
        </w:rPr>
        <w:t>Având în vedere persistența prețurilor ridicate la factorii de producție, există un risc de dezindustrializare în UE, deși o capacitate de producție internă este de importanță strategică pentru UE:</w:t>
      </w:r>
      <w:r>
        <w:rPr>
          <w:rFonts w:ascii="Times New Roman" w:hAnsi="Times New Roman"/>
          <w:noProof/>
          <w:sz w:val="24"/>
        </w:rPr>
        <w:t xml:space="preserve"> În ultimii ani, scăderea producției de amoniac în UE s-a accelerat, după cum o demonstrează închiderea definitivă, începând din 2023, a unor uzine reprezentând 9 % din capacitatea UE. Mai multe unități de producție a îngrășămintelor din întreaga Europă sunt inactive sau au fost închise.</w:t>
      </w:r>
      <w:r>
        <w:rPr>
          <w:rFonts w:ascii="Times New Roman" w:hAnsi="Times New Roman"/>
          <w:noProof/>
          <w:color w:val="000000" w:themeColor="text1"/>
          <w:sz w:val="24"/>
        </w:rPr>
        <w:t xml:space="preserve"> Provocările sunt exacerbate de faptul că industria are o contribuție majoră la emisiile de GES</w:t>
      </w:r>
      <w:r>
        <w:rPr>
          <w:rStyle w:val="FootnoteReference"/>
          <w:rFonts w:ascii="Times New Roman" w:hAnsi="Times New Roman" w:cs="Times New Roman"/>
          <w:noProof/>
          <w:color w:val="000000" w:themeColor="text1"/>
          <w:sz w:val="24"/>
          <w:szCs w:val="24"/>
        </w:rPr>
        <w:footnoteReference w:id="7"/>
      </w:r>
      <w:r>
        <w:rPr>
          <w:rFonts w:ascii="Times New Roman" w:hAnsi="Times New Roman"/>
          <w:noProof/>
          <w:color w:val="000000" w:themeColor="text1"/>
          <w:sz w:val="24"/>
        </w:rPr>
        <w:t>, iar tranziția către o producție cu emisii scăzute de dioxid de carbon necesită investiții mari, în a căror mobilizare întreprinderile din UE întâmpină dificultăți atunci când costurile ridicate ale factorilor de producție, volatilitatea globală și absența unor condiții de concurență echitabile le subminează profitabilitatea.</w:t>
      </w:r>
    </w:p>
    <w:p w14:paraId="65E59E14" w14:textId="25F6D12D" w:rsidR="00381BC7" w:rsidRPr="0027307A" w:rsidRDefault="31404653" w:rsidP="00381BC7">
      <w:pPr>
        <w:spacing w:after="140" w:line="276" w:lineRule="auto"/>
        <w:jc w:val="both"/>
        <w:rPr>
          <w:rFonts w:ascii="Times New Roman" w:eastAsiaTheme="minorEastAsia" w:hAnsi="Times New Roman" w:cs="Times New Roman"/>
          <w:noProof/>
          <w:kern w:val="0"/>
          <w:sz w:val="24"/>
          <w:szCs w:val="24"/>
          <w14:ligatures w14:val="none"/>
        </w:rPr>
      </w:pPr>
      <w:r>
        <w:rPr>
          <w:rFonts w:ascii="Times New Roman" w:hAnsi="Times New Roman"/>
          <w:b/>
          <w:noProof/>
          <w:sz w:val="24"/>
        </w:rPr>
        <w:t>Strategia UE pentru decarbonizare și o mai bună circularitate a nutrienților în sistemele agricole vizează reducerea emisiilor, dar această schimbare trebuie să depășească o serie de obstacole majore.</w:t>
      </w:r>
      <w:r>
        <w:rPr>
          <w:rFonts w:ascii="Times New Roman" w:hAnsi="Times New Roman"/>
          <w:noProof/>
          <w:sz w:val="24"/>
        </w:rPr>
        <w:t xml:space="preserve"> Amoniacul verde, care este produs utilizând hidrogen obținut prin electroliză din surse regenerabile de energie, necesită în continuare investiții majore. Amoniacul verde se confruntă cu costuri de producție mai mari decât alternativele bazate pe combustibili fosili, inclusiv amoniacul albastru – cu captarea și stocarea dioxidului de carbon (CSC) – și îngrășămintele azotoase pe bază de bioresurse. Pe de altă parte, îngrășămintele pe bază de bioresurse se confruntă cu bariere la intrarea pe piață și de reglementare, inclusiv procese îndelungate de aprobare, blocaje în materie de reglementare legate de factorii de producție derivați din deșeuri și o adoptare inegală între statele membre.</w:t>
      </w:r>
    </w:p>
    <w:p w14:paraId="5078106E" w14:textId="5B2AF263" w:rsidR="004D0818" w:rsidRPr="0027307A" w:rsidRDefault="004D0818" w:rsidP="00381BC7">
      <w:pPr>
        <w:spacing w:after="140" w:line="276" w:lineRule="auto"/>
        <w:jc w:val="both"/>
        <w:rPr>
          <w:rFonts w:ascii="Times New Roman" w:hAnsi="Times New Roman" w:cs="Times New Roman"/>
          <w:b/>
          <w:noProof/>
          <w:sz w:val="24"/>
          <w:szCs w:val="24"/>
        </w:rPr>
      </w:pPr>
      <w:r>
        <w:rPr>
          <w:rFonts w:ascii="Times New Roman" w:hAnsi="Times New Roman"/>
          <w:b/>
          <w:noProof/>
          <w:sz w:val="24"/>
        </w:rPr>
        <w:t>2.3. Volatilitatea pieței îngrășămintelor</w:t>
      </w:r>
    </w:p>
    <w:p w14:paraId="61C4560F" w14:textId="19A19769" w:rsidR="00FD5F83" w:rsidRPr="001930F7" w:rsidRDefault="05A2F329" w:rsidP="00381BC7">
      <w:pPr>
        <w:pStyle w:val="ListParagraph"/>
        <w:numPr>
          <w:ilvl w:val="0"/>
          <w:numId w:val="58"/>
        </w:numPr>
        <w:spacing w:after="140" w:line="276" w:lineRule="auto"/>
        <w:jc w:val="both"/>
        <w:rPr>
          <w:rFonts w:ascii="Times New Roman" w:hAnsi="Times New Roman" w:cs="Times New Roman"/>
          <w:i/>
          <w:iCs/>
          <w:noProof/>
          <w:sz w:val="24"/>
          <w:szCs w:val="24"/>
        </w:rPr>
      </w:pPr>
      <w:r>
        <w:rPr>
          <w:rFonts w:ascii="Times New Roman" w:hAnsi="Times New Roman"/>
          <w:b/>
          <w:i/>
          <w:noProof/>
          <w:sz w:val="24"/>
        </w:rPr>
        <w:t>Piețele mondiale ale îngrășămintelor s-au confruntat cu o volatilitate substanțială</w:t>
      </w:r>
    </w:p>
    <w:p w14:paraId="6CD11A6A" w14:textId="22B7336F" w:rsidR="007A17F2" w:rsidRDefault="5C251F5F" w:rsidP="00381BC7">
      <w:pPr>
        <w:spacing w:after="140" w:line="276" w:lineRule="auto"/>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Războiul ilegal de agresiune al Rusiei împotriva Ucrainei a dus la perturbarea aprovizionării cu îngrășăminte, contribuind la creșterea presiunii asupra prețurilor. La 20 iunie 2025, Comisia a adoptat măsuri tarifare adecvate pentru a aborda dependența economică a Uniunii de importurile tuturor îngrășămintelor pe bază de azot din Federația Rusă și Belarus. Această măsură a fost necesară pentru a reduce dependența strategică a UE de Rusia.</w:t>
      </w:r>
    </w:p>
    <w:p w14:paraId="55CA7E00" w14:textId="04472187" w:rsidR="00F80821" w:rsidRPr="0027307A" w:rsidRDefault="457AA119" w:rsidP="00381BC7">
      <w:pPr>
        <w:spacing w:after="140" w:line="276" w:lineRule="auto"/>
        <w:jc w:val="both"/>
        <w:rPr>
          <w:rFonts w:ascii="Times New Roman" w:hAnsi="Times New Roman" w:cs="Times New Roman"/>
          <w:noProof/>
          <w:sz w:val="24"/>
          <w:szCs w:val="24"/>
        </w:rPr>
      </w:pPr>
      <w:r>
        <w:rPr>
          <w:rFonts w:ascii="Times New Roman" w:hAnsi="Times New Roman"/>
          <w:noProof/>
          <w:sz w:val="24"/>
        </w:rPr>
        <w:t>În plus, recenta extindere a taxelor antidumping definitive la importurile de amestec de azotat de amoniu și uree din Federația Rusă, SUA și Trinidad și Tobago restricționează și mai mult aprovizionarea, deși a fost necesară protejarea industriei îngrășămintelor din UE de concurența neloială continuă. În decembrie 2025, în perioada premergătoare introducerii mecanismului de ajustare a carbonului la frontieră (CBAM)</w:t>
      </w:r>
      <w:r>
        <w:rPr>
          <w:rFonts w:ascii="Times New Roman" w:hAnsi="Times New Roman" w:cs="Times New Roman"/>
          <w:noProof/>
          <w:sz w:val="24"/>
          <w:szCs w:val="24"/>
          <w:vertAlign w:val="superscript"/>
        </w:rPr>
        <w:footnoteReference w:id="8"/>
      </w:r>
      <w:r>
        <w:rPr>
          <w:rFonts w:ascii="Times New Roman" w:hAnsi="Times New Roman"/>
          <w:noProof/>
          <w:sz w:val="24"/>
        </w:rPr>
        <w:t>, așteptările pieței cu privire la viitoarele condiții de import, alături de alți factori, au contribuit la creșterea prețurilor îngrășămintelor azotoase.</w:t>
      </w:r>
    </w:p>
    <w:p w14:paraId="1503A7FA" w14:textId="602C2729" w:rsidR="002568BE" w:rsidRPr="0027307A" w:rsidRDefault="00561A6D" w:rsidP="00381BC7">
      <w:pPr>
        <w:spacing w:after="0" w:line="276" w:lineRule="auto"/>
        <w:contextualSpacing/>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Escaladarea militară din Orientul Mijlociu începând cu 28 februarie 2026 a afectat o regiune care are un rol important în aprovizionarea mondială, reprezentând 20-30 % din exporturile mondiale, în special pentru amoniac și uree, precum și prin furnizarea de sulf utilizat pentru producția de îngrășăminte fosfatice. În aprilie 2026, prețurile medii ale îngrășămintelor azotoase au crescut brusc, cu aproximativ 40 de puncte procentuale, comparativ cu februarie 2026 (și se situează cu aproximativ 70 % peste media din 2024). Prețurile îngrășămintelor fosfatice sunt, de asemenea, afectate.</w:t>
      </w:r>
    </w:p>
    <w:p w14:paraId="7C790DB2" w14:textId="29562BA4" w:rsidR="0007709B" w:rsidRPr="0027307A" w:rsidRDefault="009A0B5F" w:rsidP="00C05AB8">
      <w:pPr>
        <w:spacing w:after="0" w:line="276" w:lineRule="auto"/>
        <w:contextualSpacing/>
        <w:jc w:val="both"/>
        <w:rPr>
          <w:rFonts w:ascii="Times New Roman" w:eastAsiaTheme="minorEastAsia" w:hAnsi="Times New Roman" w:cs="Times New Roman"/>
          <w:noProof/>
          <w:sz w:val="24"/>
          <w:szCs w:val="24"/>
        </w:rPr>
      </w:pPr>
      <w:r w:rsidRPr="009A0B5F">
        <w:rPr>
          <w:noProof/>
          <w:lang w:val="en-GB" w:eastAsia="en-GB"/>
        </w:rPr>
        <w:drawing>
          <wp:inline distT="0" distB="0" distL="0" distR="0" wp14:anchorId="29869034" wp14:editId="6C1891C0">
            <wp:extent cx="5731510" cy="3362960"/>
            <wp:effectExtent l="0" t="0" r="2540" b="8890"/>
            <wp:docPr id="5161615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3362960"/>
                    </a:xfrm>
                    <a:prstGeom prst="rect">
                      <a:avLst/>
                    </a:prstGeom>
                    <a:noFill/>
                    <a:ln>
                      <a:noFill/>
                    </a:ln>
                  </pic:spPr>
                </pic:pic>
              </a:graphicData>
            </a:graphic>
          </wp:inline>
        </w:drawing>
      </w:r>
      <w:r w:rsidR="00BB57E2">
        <w:rPr>
          <w:rFonts w:ascii="Times New Roman" w:hAnsi="Times New Roman"/>
          <w:i/>
          <w:noProof/>
          <w:sz w:val="18"/>
        </w:rPr>
        <w:t xml:space="preserve">Graficul 1: Evoluția prețurilor îngrășămintelor și raportul cu prețurile cerealelor. Un raport mai mare între prețul îngrășămintelor și cel al cerealelor indică o accesibilitate mai scăzută a prețurilor îngrășămintelor </w:t>
      </w:r>
    </w:p>
    <w:p w14:paraId="4FAE52C1" w14:textId="77777777" w:rsidR="00F306F5" w:rsidRPr="0027307A" w:rsidRDefault="00F306F5" w:rsidP="00381BC7">
      <w:pPr>
        <w:spacing w:after="0" w:line="276" w:lineRule="auto"/>
        <w:contextualSpacing/>
        <w:jc w:val="both"/>
        <w:rPr>
          <w:rFonts w:ascii="Times New Roman" w:eastAsiaTheme="minorEastAsia" w:hAnsi="Times New Roman" w:cs="Times New Roman"/>
          <w:noProof/>
          <w:sz w:val="24"/>
          <w:szCs w:val="24"/>
        </w:rPr>
      </w:pPr>
    </w:p>
    <w:p w14:paraId="099A3A44" w14:textId="0F938DDC" w:rsidR="001F10D3" w:rsidRDefault="0A1409F6" w:rsidP="00381BC7">
      <w:pPr>
        <w:spacing w:after="140" w:line="276" w:lineRule="auto"/>
        <w:jc w:val="both"/>
        <w:rPr>
          <w:rFonts w:ascii="Times New Roman" w:eastAsiaTheme="minorEastAsia" w:hAnsi="Times New Roman" w:cs="Times New Roman"/>
          <w:b/>
          <w:bCs/>
          <w:noProof/>
          <w:sz w:val="24"/>
          <w:szCs w:val="24"/>
        </w:rPr>
      </w:pPr>
      <w:r>
        <w:rPr>
          <w:rFonts w:ascii="Times New Roman" w:hAnsi="Times New Roman"/>
          <w:noProof/>
          <w:sz w:val="24"/>
        </w:rPr>
        <w:t>La nivel mondial, țările cu venituri mici și medii care depind de piața mondială pentru a-și procura îngrășămintele sunt cele mai afectate, în special țările din Asia, Africa și America Latină care cumpără în mod tradițional îngrășăminte azotoase din Orientul Mijlociu. Organizația Națiunilor Unite pentru Alimentație și Agricultură (FAO) preconizează că, în cazul în care perturbarea din Strâmtoarea Ormuz va persista, riscurile vor crește semnificativ, afectând deciziile de plantare pentru anul 2026 și cele pentru anii următori</w:t>
      </w:r>
      <w:r>
        <w:rPr>
          <w:rStyle w:val="FootnoteReference"/>
          <w:rFonts w:ascii="Times New Roman" w:eastAsiaTheme="minorEastAsia" w:hAnsi="Times New Roman" w:cs="Times New Roman"/>
          <w:noProof/>
          <w:kern w:val="0"/>
          <w:sz w:val="24"/>
          <w:szCs w:val="24"/>
        </w:rPr>
        <w:footnoteReference w:id="9"/>
      </w:r>
      <w:r>
        <w:rPr>
          <w:rFonts w:ascii="Times New Roman" w:hAnsi="Times New Roman"/>
          <w:noProof/>
          <w:sz w:val="24"/>
        </w:rPr>
        <w:t xml:space="preserve">. Mai multe țări (China, India, Mexic, Rusia, Statele Unite) au început să adopte măsuri pentru a face față situației actuale: folosirea rezervelor strategice, impunerea de restricții la export, stabilirea de plafoane de preț pentru fermieri sau eliminarea barierelor la import. </w:t>
      </w:r>
      <w:r>
        <w:rPr>
          <w:rFonts w:ascii="Times New Roman" w:hAnsi="Times New Roman"/>
          <w:b/>
          <w:noProof/>
          <w:sz w:val="24"/>
        </w:rPr>
        <w:t>Echilibrul pieței mondiale și securitatea alimentară sunt în pericol.</w:t>
      </w:r>
    </w:p>
    <w:p w14:paraId="133247E1" w14:textId="213DCD21" w:rsidR="004D0818" w:rsidRPr="001930F7" w:rsidRDefault="00F93E8A" w:rsidP="00381BC7">
      <w:pPr>
        <w:pStyle w:val="ListParagraph"/>
        <w:numPr>
          <w:ilvl w:val="0"/>
          <w:numId w:val="58"/>
        </w:numPr>
        <w:spacing w:after="140" w:line="276" w:lineRule="auto"/>
        <w:jc w:val="both"/>
        <w:rPr>
          <w:rFonts w:ascii="Times New Roman" w:hAnsi="Times New Roman" w:cs="Times New Roman"/>
          <w:b/>
          <w:bCs/>
          <w:i/>
          <w:iCs/>
          <w:noProof/>
          <w:sz w:val="24"/>
          <w:szCs w:val="24"/>
        </w:rPr>
      </w:pPr>
      <w:r>
        <w:rPr>
          <w:rFonts w:ascii="Times New Roman" w:hAnsi="Times New Roman"/>
          <w:b/>
          <w:i/>
          <w:noProof/>
          <w:sz w:val="24"/>
        </w:rPr>
        <w:t>Necesitatea unui lanț de aprovizionare al UE transparent, funcțional și mai dezvoltat</w:t>
      </w:r>
    </w:p>
    <w:p w14:paraId="21B04D24" w14:textId="33FBABCD" w:rsidR="007E5F7A" w:rsidRPr="0027307A" w:rsidRDefault="5C8E3A41" w:rsidP="00381BC7">
      <w:pPr>
        <w:spacing w:beforeAutospacing="1" w:afterAutospacing="1" w:line="276" w:lineRule="auto"/>
        <w:jc w:val="both"/>
        <w:rPr>
          <w:rFonts w:ascii="Times New Roman" w:eastAsia="Times New Roman" w:hAnsi="Times New Roman" w:cs="Times New Roman"/>
          <w:noProof/>
          <w:kern w:val="0"/>
          <w:sz w:val="24"/>
          <w:szCs w:val="24"/>
          <w14:ligatures w14:val="none"/>
        </w:rPr>
      </w:pPr>
      <w:r>
        <w:rPr>
          <w:rFonts w:ascii="Times New Roman" w:hAnsi="Times New Roman"/>
          <w:b/>
          <w:noProof/>
          <w:sz w:val="24"/>
        </w:rPr>
        <w:t>Piața îngrășămintelor din UE, în comparație cu alte piețe, se caracterizează prin asimetrie, fragmentare, lipsă de transparență și producție relativ concentrată.</w:t>
      </w:r>
      <w:r>
        <w:rPr>
          <w:rFonts w:ascii="Times New Roman" w:hAnsi="Times New Roman"/>
          <w:noProof/>
          <w:sz w:val="24"/>
        </w:rPr>
        <w:t xml:space="preserve"> Chiar și în cazul în care fermierii achiziționează în comun factori de producție în cadrul organizațiilor de producători, asimetria puterii de negociere și a accesului la informații în cadrul lanțului persistă. În special, lipsesc datele în timp real privind prețurile și informațiile generale privind piața referitoare la situația cererii și a ofertei, care să fie puse la dispoziția publicului.</w:t>
      </w:r>
    </w:p>
    <w:p w14:paraId="365084FE" w14:textId="3A6E0681" w:rsidR="00FD5F83" w:rsidRPr="0027307A" w:rsidRDefault="007E5F7A" w:rsidP="00381BC7">
      <w:pPr>
        <w:spacing w:beforeAutospacing="1" w:afterAutospacing="1" w:line="276" w:lineRule="auto"/>
        <w:jc w:val="both"/>
        <w:rPr>
          <w:rFonts w:ascii="Times New Roman" w:eastAsia="Times New Roman" w:hAnsi="Times New Roman" w:cs="Times New Roman"/>
          <w:noProof/>
          <w:kern w:val="0"/>
          <w:sz w:val="24"/>
          <w:szCs w:val="24"/>
          <w14:ligatures w14:val="none"/>
        </w:rPr>
      </w:pPr>
      <w:r>
        <w:rPr>
          <w:rFonts w:ascii="Times New Roman" w:hAnsi="Times New Roman"/>
          <w:b/>
          <w:noProof/>
          <w:sz w:val="24"/>
        </w:rPr>
        <w:t xml:space="preserve">Nu există o piață unică pentru îngrășăminte în UE. </w:t>
      </w:r>
      <w:r>
        <w:rPr>
          <w:rFonts w:ascii="Times New Roman" w:hAnsi="Times New Roman"/>
          <w:noProof/>
          <w:sz w:val="24"/>
        </w:rPr>
        <w:t>În temeiul Regulamentului privind produsele fertilizante (RPF</w:t>
      </w:r>
      <w:r>
        <w:rPr>
          <w:rStyle w:val="FootnoteReference"/>
          <w:rFonts w:ascii="Times New Roman" w:hAnsi="Times New Roman" w:cs="Times New Roman"/>
          <w:noProof/>
          <w:sz w:val="24"/>
          <w:szCs w:val="24"/>
          <w:lang w:eastAsia="en-IE"/>
        </w:rPr>
        <w:footnoteReference w:id="10"/>
      </w:r>
      <w:r>
        <w:rPr>
          <w:rFonts w:ascii="Times New Roman" w:hAnsi="Times New Roman"/>
          <w:noProof/>
          <w:sz w:val="24"/>
        </w:rPr>
        <w:t>), îngrășămintele circulă liber în UE ca produse care poartă marcajul CE. Cu toate acestea, RPF urmează modelul armonizării opționale, lăsând piețele naționale ale îngrășămintelor să coexiste cu piața unică. Abordarea, care există din 2003 și a fost reînnoită în 2019, este privită pozitiv de producători, deoarece permite</w:t>
      </w:r>
      <w:r>
        <w:rPr>
          <w:noProof/>
        </w:rPr>
        <w:t xml:space="preserve"> </w:t>
      </w:r>
      <w:r>
        <w:rPr>
          <w:rFonts w:ascii="Times New Roman" w:hAnsi="Times New Roman"/>
          <w:noProof/>
          <w:sz w:val="24"/>
        </w:rPr>
        <w:t>legislațiilor naționale să pună în aplicare norme naționale privind încetarea statutului de deșeu și măsuri naționale pentru utilizarea subproduselor de origine animală și pune la dispoziție pe piață mai multe produse fertilizante pentru fermieri. Cu toate acestea, regulamentul limitează, de asemenea, capacitatea de a achiziționa produse fertilizante la nivel transfrontalier pe piața unică. Piața unică este și mai fragmentată în ceea ce privește îngrășămintele minerale cu emisii scăzute de dioxid de carbon și îngrășămintele (organice) pe bază de bioresurse, unde gradul mai scăzut de standardizare a produselor, alături de un peisaj de reglementare complex, reprezintă un obstacol suplimentar.</w:t>
      </w:r>
    </w:p>
    <w:p w14:paraId="799317F1" w14:textId="40181B3B" w:rsidR="00567EB3" w:rsidRPr="0027307A" w:rsidRDefault="72B6492F" w:rsidP="00567EB3">
      <w:pPr>
        <w:spacing w:beforeAutospacing="1" w:afterAutospacing="1" w:line="276" w:lineRule="auto"/>
        <w:jc w:val="both"/>
        <w:rPr>
          <w:rFonts w:ascii="Times New Roman" w:eastAsia="Times New Roman" w:hAnsi="Times New Roman" w:cs="Times New Roman"/>
          <w:noProof/>
          <w:sz w:val="24"/>
          <w:szCs w:val="24"/>
        </w:rPr>
      </w:pPr>
      <w:r>
        <w:rPr>
          <w:rFonts w:ascii="Times New Roman" w:hAnsi="Times New Roman"/>
          <w:noProof/>
          <w:sz w:val="24"/>
        </w:rPr>
        <w:t>În 2022, Comisia a înființat un Observator al pieței îngrășămintelor</w:t>
      </w:r>
      <w:r>
        <w:rPr>
          <w:rStyle w:val="FootnoteReference"/>
          <w:rFonts w:ascii="Times New Roman" w:eastAsia="Times New Roman" w:hAnsi="Times New Roman" w:cs="Times New Roman"/>
          <w:noProof/>
          <w:sz w:val="24"/>
          <w:szCs w:val="24"/>
          <w:lang w:eastAsia="en-IE"/>
        </w:rPr>
        <w:footnoteReference w:id="11"/>
      </w:r>
      <w:r>
        <w:rPr>
          <w:rFonts w:ascii="Times New Roman" w:hAnsi="Times New Roman"/>
          <w:noProof/>
          <w:sz w:val="24"/>
        </w:rPr>
        <w:t>, care a sporit transparența pieței, în special prin publicarea de date recente și actualizate privind prețurile și comerțul cu îngrășăminte minerale în UE. Cu toate acestea, progresele înregistrate sunt insuficiente pentru a oferi fermierilor claritate și previzibilitate deplină în ceea ce privește achizițiile lor.</w:t>
      </w:r>
    </w:p>
    <w:p w14:paraId="77B7C06B" w14:textId="77D96CB7" w:rsidR="00567EB3" w:rsidRPr="0027307A" w:rsidRDefault="00A110A8" w:rsidP="00567EB3">
      <w:pPr>
        <w:pStyle w:val="ListParagraph"/>
        <w:numPr>
          <w:ilvl w:val="0"/>
          <w:numId w:val="48"/>
        </w:numPr>
        <w:spacing w:after="140" w:line="276" w:lineRule="auto"/>
        <w:jc w:val="both"/>
        <w:rPr>
          <w:rFonts w:ascii="Times New Roman" w:eastAsiaTheme="minorEastAsia" w:hAnsi="Times New Roman" w:cs="Times New Roman"/>
          <w:b/>
          <w:bCs/>
          <w:smallCaps/>
          <w:noProof/>
          <w:kern w:val="0"/>
          <w:sz w:val="24"/>
          <w:szCs w:val="24"/>
          <w14:ligatures w14:val="none"/>
        </w:rPr>
      </w:pPr>
      <w:r>
        <w:rPr>
          <w:rFonts w:ascii="Times New Roman" w:hAnsi="Times New Roman"/>
          <w:b/>
          <w:smallCaps/>
          <w:noProof/>
          <w:sz w:val="24"/>
        </w:rPr>
        <w:t>Obiective</w:t>
      </w:r>
    </w:p>
    <w:p w14:paraId="397AC380" w14:textId="56E52A7F" w:rsidR="002A3C08" w:rsidRPr="0027307A" w:rsidRDefault="002A3C08" w:rsidP="001C18F0">
      <w:pPr>
        <w:spacing w:after="140" w:line="276" w:lineRule="auto"/>
        <w:jc w:val="both"/>
        <w:rPr>
          <w:rFonts w:ascii="Times New Roman" w:eastAsia="Times New Roman" w:hAnsi="Times New Roman" w:cs="Times New Roman"/>
          <w:noProof/>
          <w:sz w:val="24"/>
          <w:szCs w:val="24"/>
        </w:rPr>
      </w:pPr>
      <w:r>
        <w:rPr>
          <w:rFonts w:ascii="Times New Roman" w:hAnsi="Times New Roman"/>
          <w:noProof/>
          <w:sz w:val="24"/>
        </w:rPr>
        <w:t>Acest plan de acțiune continuă lucrările anterioare într-un context de politică mai presant din punct de vedere geopolitic, comercial și al economiei circulare. În cadrul obiectivelor mai ample ale UE privind competitivitatea, autonomia strategică, securitatea alimentară, sustenabilitatea și neutralitatea climatică, planul de acțiune privind îngrășămintele abordează toate etapele lanțului valoric: de la producerea de către industria îngrășămintelor din UE până la utilizarea finală de către fermierii din UE, având în vedere că ambele fac obiectul dinamicii piețelor internaționale ale factorilor de producție. Răspunsurile trebuie să acopere întregul lanț valoric, de la ofertă la cerere.</w:t>
      </w:r>
    </w:p>
    <w:p w14:paraId="4D5E6623" w14:textId="4B2DE4A5" w:rsidR="00FF7C77" w:rsidRPr="00D16309" w:rsidRDefault="0097079E" w:rsidP="00381BC7">
      <w:pPr>
        <w:spacing w:before="100" w:beforeAutospacing="1" w:after="100" w:afterAutospacing="1" w:line="276" w:lineRule="auto"/>
        <w:jc w:val="both"/>
        <w:rPr>
          <w:rFonts w:ascii="Times New Roman" w:eastAsia="Times New Roman" w:hAnsi="Times New Roman" w:cs="Times New Roman"/>
          <w:b/>
          <w:bCs/>
          <w:noProof/>
          <w:kern w:val="0"/>
          <w:sz w:val="24"/>
          <w:szCs w:val="24"/>
          <w14:ligatures w14:val="none"/>
        </w:rPr>
      </w:pPr>
      <w:r>
        <w:rPr>
          <w:rFonts w:ascii="Times New Roman" w:hAnsi="Times New Roman"/>
          <w:b/>
          <w:noProof/>
          <w:sz w:val="24"/>
        </w:rPr>
        <w:t>Planul de acțiune urmărește să creeze un parteneriat între producătorii de îngrășăminte și fermieri, mobilizând toți actorii de la nivelul UE și de la nivel național pentru a realiza acțiuni pe termen scurt menite să sprijine accesibilitatea prețurilor și securitatea aprovizionării. El este conceput în cadrul unei abordări mai ample pe termen mediu și lung, menită să sprijine producția internă, să promoveze o utilizare mai eficientă și mai sustenabilă a nutrienților și să încurajeze tranziția către îngrășăminte circulare și cu emisii scăzute de dioxid de carbon.</w:t>
      </w:r>
    </w:p>
    <w:p w14:paraId="5443B720" w14:textId="1EA4A42C" w:rsidR="00A110A8" w:rsidRPr="0027307A" w:rsidRDefault="00A110A8" w:rsidP="00381BC7">
      <w:pPr>
        <w:spacing w:after="140" w:line="276" w:lineRule="auto"/>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 xml:space="preserve">Planul de acțiune privind îngrășămintele are </w:t>
      </w:r>
      <w:r>
        <w:rPr>
          <w:rFonts w:ascii="Times New Roman" w:hAnsi="Times New Roman"/>
          <w:b/>
          <w:noProof/>
          <w:sz w:val="24"/>
        </w:rPr>
        <w:t>trei obiective care se consolidează reciproc</w:t>
      </w:r>
      <w:r>
        <w:rPr>
          <w:rFonts w:ascii="Times New Roman" w:hAnsi="Times New Roman"/>
          <w:noProof/>
          <w:sz w:val="24"/>
        </w:rPr>
        <w:t>:</w:t>
      </w:r>
    </w:p>
    <w:p w14:paraId="34294DC4" w14:textId="4BA069BB" w:rsidR="00B902CD" w:rsidRPr="0027307A" w:rsidRDefault="00FE13F5" w:rsidP="00381BC7">
      <w:pPr>
        <w:numPr>
          <w:ilvl w:val="0"/>
          <w:numId w:val="39"/>
        </w:numPr>
        <w:spacing w:after="140" w:line="276" w:lineRule="auto"/>
        <w:contextualSpacing/>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creșterea disponibilității îngrășămintelor și a accesibilității prețurilor acestora pe termen scurt;</w:t>
      </w:r>
    </w:p>
    <w:p w14:paraId="421FA650" w14:textId="75AC3FCF" w:rsidR="00A110A8" w:rsidRPr="0027307A" w:rsidRDefault="00FE13F5" w:rsidP="00381BC7">
      <w:pPr>
        <w:numPr>
          <w:ilvl w:val="0"/>
          <w:numId w:val="39"/>
        </w:numPr>
        <w:spacing w:after="140" w:line="276" w:lineRule="auto"/>
        <w:contextualSpacing/>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consolidarea autonomiei strategice deschise și a rezilienței UE prin consolidarea producției interne, diversificarea aprovizionării, asigurarea gestionării sustenabile a nutrienților și accelerarea tranziției către decarbonizare și</w:t>
      </w:r>
    </w:p>
    <w:p w14:paraId="533C21C1" w14:textId="6C18DCB6" w:rsidR="00A110A8" w:rsidRPr="0027307A" w:rsidRDefault="00FE13F5" w:rsidP="00381BC7">
      <w:pPr>
        <w:numPr>
          <w:ilvl w:val="0"/>
          <w:numId w:val="39"/>
        </w:numPr>
        <w:spacing w:after="140" w:line="276" w:lineRule="auto"/>
        <w:contextualSpacing/>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consolidarea transparenței și a dialogului de-a lungul lanțului de aprovizionare cu îngrășăminte.</w:t>
      </w:r>
    </w:p>
    <w:p w14:paraId="4E742204" w14:textId="77777777" w:rsidR="001C7359" w:rsidRPr="0027307A" w:rsidRDefault="001C7359" w:rsidP="00381BC7">
      <w:pPr>
        <w:spacing w:after="140" w:line="276" w:lineRule="auto"/>
        <w:contextualSpacing/>
        <w:jc w:val="both"/>
        <w:rPr>
          <w:rFonts w:ascii="Times New Roman" w:eastAsiaTheme="minorEastAsia" w:hAnsi="Times New Roman" w:cs="Times New Roman"/>
          <w:noProof/>
          <w:kern w:val="0"/>
          <w:sz w:val="24"/>
          <w:szCs w:val="24"/>
          <w14:ligatures w14:val="none"/>
        </w:rPr>
      </w:pPr>
    </w:p>
    <w:p w14:paraId="0B17B1D7" w14:textId="28A039DE" w:rsidR="00A110A8" w:rsidRPr="0027307A" w:rsidRDefault="00A110A8" w:rsidP="004739E9">
      <w:pPr>
        <w:pStyle w:val="ListParagraph"/>
        <w:keepNext/>
        <w:numPr>
          <w:ilvl w:val="0"/>
          <w:numId w:val="48"/>
        </w:numPr>
        <w:spacing w:after="140" w:line="276" w:lineRule="auto"/>
        <w:jc w:val="both"/>
        <w:rPr>
          <w:rFonts w:ascii="Times New Roman" w:eastAsiaTheme="minorEastAsia" w:hAnsi="Times New Roman" w:cs="Times New Roman"/>
          <w:b/>
          <w:bCs/>
          <w:smallCaps/>
          <w:noProof/>
          <w:kern w:val="0"/>
          <w:sz w:val="24"/>
          <w:szCs w:val="24"/>
          <w14:ligatures w14:val="none"/>
        </w:rPr>
      </w:pPr>
      <w:r>
        <w:rPr>
          <w:rFonts w:ascii="Times New Roman" w:hAnsi="Times New Roman"/>
          <w:b/>
          <w:smallCaps/>
          <w:noProof/>
          <w:sz w:val="24"/>
        </w:rPr>
        <w:t>Domenii-cheie de acțiune</w:t>
      </w:r>
    </w:p>
    <w:p w14:paraId="173C01B1" w14:textId="50A2C638" w:rsidR="00E0437F" w:rsidRDefault="002A795D" w:rsidP="004739E9">
      <w:pPr>
        <w:keepNext/>
        <w:spacing w:after="140" w:line="276" w:lineRule="auto"/>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Planul de acțiune îndeplinește aceste obiective prin două tipuri de măsuri: măsuri pe termen scurt care vizează perturbarea geopolitică bruscă ce afectează disponibilitatea și accesibilitatea prețurilor îngrășămintelor pentru fermierii europeni și măsuri pe termen mai lung care stimulează transformarea structurală a lanțului valoric european al îngrășămintelor și utilizarea nutrienților.</w:t>
      </w:r>
    </w:p>
    <w:p w14:paraId="488F705F" w14:textId="2BDCB105" w:rsidR="00B15BE4" w:rsidRPr="0027307A" w:rsidRDefault="00B15BE4" w:rsidP="00381BC7">
      <w:pPr>
        <w:spacing w:after="140" w:line="276" w:lineRule="auto"/>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Măsurile care vizează creșterea accesibilității prețurilor și a disponibilității pe termen scurt vor constitui elemente de bază ale eforturilor pe termen mai lung.</w:t>
      </w:r>
    </w:p>
    <w:p w14:paraId="24A4227A" w14:textId="336A44FC" w:rsidR="00F43A4B" w:rsidRPr="0027307A" w:rsidRDefault="00DF0F97" w:rsidP="00567EB3">
      <w:pPr>
        <w:spacing w:after="140" w:line="276" w:lineRule="auto"/>
        <w:jc w:val="both"/>
        <w:rPr>
          <w:rFonts w:ascii="Times New Roman" w:eastAsiaTheme="minorEastAsia" w:hAnsi="Times New Roman" w:cs="Times New Roman"/>
          <w:b/>
          <w:bCs/>
          <w:noProof/>
          <w:kern w:val="0"/>
          <w:sz w:val="24"/>
          <w:szCs w:val="24"/>
          <w14:ligatures w14:val="none"/>
        </w:rPr>
      </w:pPr>
      <w:r>
        <w:rPr>
          <w:rFonts w:ascii="Times New Roman" w:hAnsi="Times New Roman"/>
          <w:b/>
          <w:noProof/>
          <w:sz w:val="24"/>
        </w:rPr>
        <w:t>4.1. Îmbunătățirea accesului fermierilor la îngrășăminte la prețuri accesibile: acțiuni pe termen scurt</w:t>
      </w:r>
    </w:p>
    <w:p w14:paraId="26E5E6BD" w14:textId="6478FA84" w:rsidR="0014022A" w:rsidRPr="0027307A" w:rsidRDefault="00297510" w:rsidP="00381BC7">
      <w:pPr>
        <w:spacing w:after="140" w:line="276" w:lineRule="auto"/>
        <w:contextualSpacing/>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În următoarele săptămâni și luni, fermierii europeni se vor confrunta cu decizii dificile privind următorul sezon de semănat pentru recolta din 2027, în circumstanțe economice dificile. Acesta este motivul pentru care sunt necesare măsuri imediate. Pentru a reduce presiunea asupra costurilor și prețurilor de producție a îngrășămintelor și pentru a asigura aprovizionarea fermierilor și a industriei interne a îngrășămintelor, se propun următoarele măsuri pe termen scurt:</w:t>
      </w:r>
    </w:p>
    <w:p w14:paraId="054ABAA0" w14:textId="77777777" w:rsidR="00417C2F" w:rsidRPr="0027307A" w:rsidRDefault="00417C2F" w:rsidP="00381BC7">
      <w:pPr>
        <w:spacing w:after="140" w:line="276" w:lineRule="auto"/>
        <w:contextualSpacing/>
        <w:jc w:val="both"/>
        <w:rPr>
          <w:rFonts w:ascii="Times New Roman" w:eastAsiaTheme="minorEastAsia" w:hAnsi="Times New Roman" w:cs="Times New Roman"/>
          <w:noProof/>
          <w:kern w:val="0"/>
          <w:sz w:val="24"/>
          <w:szCs w:val="24"/>
          <w:lang w:eastAsia="en-IE"/>
          <w14:ligatures w14:val="none"/>
        </w:rPr>
      </w:pPr>
    </w:p>
    <w:p w14:paraId="5E4DB751" w14:textId="24737D86" w:rsidR="00E074E8" w:rsidRPr="0027307A" w:rsidRDefault="00A33D69" w:rsidP="00381BC7">
      <w:pPr>
        <w:spacing w:after="140" w:line="276" w:lineRule="auto"/>
        <w:contextualSpacing/>
        <w:jc w:val="both"/>
        <w:rPr>
          <w:rFonts w:ascii="Times New Roman" w:hAnsi="Times New Roman" w:cs="Times New Roman"/>
          <w:b/>
          <w:bCs/>
          <w:noProof/>
          <w:kern w:val="0"/>
          <w:sz w:val="24"/>
          <w:szCs w:val="24"/>
          <w14:ligatures w14:val="none"/>
        </w:rPr>
      </w:pPr>
      <w:r>
        <w:rPr>
          <w:rFonts w:ascii="Times New Roman" w:hAnsi="Times New Roman"/>
          <w:b/>
          <w:noProof/>
          <w:sz w:val="24"/>
        </w:rPr>
        <w:t>Pentru a asigura lichidități imediate</w:t>
      </w:r>
      <w:r>
        <w:rPr>
          <w:b/>
          <w:noProof/>
        </w:rPr>
        <w:t xml:space="preserve"> </w:t>
      </w:r>
      <w:r>
        <w:rPr>
          <w:rFonts w:ascii="Times New Roman" w:hAnsi="Times New Roman"/>
          <w:b/>
          <w:noProof/>
          <w:sz w:val="24"/>
        </w:rPr>
        <w:t>și a susține producția agricolă, este necesar să se ofere un sprijin excepțional specific celor mai afectați fermieri europeni</w:t>
      </w:r>
      <w:r>
        <w:rPr>
          <w:rFonts w:ascii="Times New Roman" w:hAnsi="Times New Roman"/>
          <w:noProof/>
          <w:sz w:val="24"/>
        </w:rPr>
        <w:t xml:space="preserve"> prin intermediul instrumentelor de criză existente în cadrul politicii agricole comune (PAC). </w:t>
      </w:r>
      <w:r>
        <w:rPr>
          <w:rFonts w:ascii="Times New Roman" w:hAnsi="Times New Roman"/>
          <w:b/>
          <w:noProof/>
          <w:sz w:val="24"/>
        </w:rPr>
        <w:t>Comisia va propune rapid mobilizarea bugetului UE pentru a majora rezerva pentru agricultură cu o sumă substanțială, cu scopul de a oferi ajutor rapid fermierilor.</w:t>
      </w:r>
    </w:p>
    <w:p w14:paraId="21589FD7" w14:textId="77777777" w:rsidR="00417C2F" w:rsidRPr="0027307A" w:rsidRDefault="00417C2F" w:rsidP="00567EB3">
      <w:pPr>
        <w:spacing w:after="140" w:line="276" w:lineRule="auto"/>
        <w:contextualSpacing/>
        <w:jc w:val="both"/>
        <w:rPr>
          <w:rFonts w:ascii="Times New Roman" w:eastAsiaTheme="minorEastAsia" w:hAnsi="Times New Roman" w:cs="Times New Roman"/>
          <w:noProof/>
          <w:kern w:val="0"/>
          <w:sz w:val="24"/>
          <w:szCs w:val="24"/>
          <w:lang w:eastAsia="en-IE"/>
          <w14:ligatures w14:val="none"/>
        </w:rPr>
      </w:pPr>
    </w:p>
    <w:p w14:paraId="3F7B188C" w14:textId="2B950AA3" w:rsidR="005051F3" w:rsidRPr="0027307A" w:rsidRDefault="00AE0280" w:rsidP="00567EB3">
      <w:pPr>
        <w:spacing w:after="140" w:line="276" w:lineRule="auto"/>
        <w:contextualSpacing/>
        <w:jc w:val="both"/>
        <w:rPr>
          <w:rFonts w:ascii="Times New Roman" w:eastAsiaTheme="minorEastAsia" w:hAnsi="Times New Roman" w:cs="Times New Roman"/>
          <w:noProof/>
          <w:kern w:val="0"/>
          <w:sz w:val="24"/>
          <w:szCs w:val="24"/>
          <w14:ligatures w14:val="none"/>
        </w:rPr>
      </w:pPr>
      <w:r>
        <w:rPr>
          <w:rFonts w:ascii="Times New Roman" w:hAnsi="Times New Roman"/>
          <w:b/>
          <w:noProof/>
          <w:sz w:val="24"/>
        </w:rPr>
        <w:t xml:space="preserve">Pentru a oferi previzibilitate și stabilitate și pentru a facilita cooperarea de-a lungul lanțului valoric, Comisia va lansa un parteneriat al UE privind lanțul valoric al îngrășămintelor între producătorii de îngrășăminte, fermieri, alte părți interesate în cauză și statele membre. </w:t>
      </w:r>
      <w:r>
        <w:rPr>
          <w:rFonts w:ascii="Times New Roman" w:hAnsi="Times New Roman"/>
          <w:noProof/>
          <w:sz w:val="24"/>
        </w:rPr>
        <w:t xml:space="preserve">Un astfel de parteneriat ar urmări: (i) să asigure disponibilitatea și accesibilitatea prețurilor îngrășămintelor autohtone pentru fermierii din UE; (ii) să îmbunătățească previzibilitatea atât pentru producători, cât și pentru utilizatori și (iii) să sprijine decarbonizarea industriei îngrășămintelor din UE, ținând seama de obiectivele UE în materie de energie și climă. Odată lansat, parteneriatul va lua forma unor sesiuni de </w:t>
      </w:r>
      <w:r>
        <w:rPr>
          <w:rFonts w:ascii="Times New Roman" w:hAnsi="Times New Roman"/>
          <w:b/>
          <w:noProof/>
          <w:sz w:val="24"/>
        </w:rPr>
        <w:t>dialog în materie de politici</w:t>
      </w:r>
      <w:r>
        <w:rPr>
          <w:rFonts w:ascii="Times New Roman" w:hAnsi="Times New Roman"/>
          <w:noProof/>
          <w:sz w:val="24"/>
        </w:rPr>
        <w:t>. Vor fi instituite garanții adecvate pentru a se asigura respectarea normelor UE în materie de concurență în timpul acestor sesiuni și în ceea ce privește eventualele rezultate.</w:t>
      </w:r>
    </w:p>
    <w:p w14:paraId="54E571E6" w14:textId="6B80B3FF" w:rsidR="0082781E" w:rsidRPr="001C18F0" w:rsidRDefault="0082781E" w:rsidP="00567EB3">
      <w:pPr>
        <w:spacing w:after="140" w:line="276" w:lineRule="auto"/>
        <w:contextualSpacing/>
        <w:jc w:val="both"/>
        <w:rPr>
          <w:rFonts w:ascii="Times New Roman" w:eastAsiaTheme="minorEastAsia" w:hAnsi="Times New Roman" w:cs="Times New Roman"/>
          <w:noProof/>
          <w:kern w:val="0"/>
          <w:sz w:val="24"/>
          <w:szCs w:val="24"/>
          <w:u w:val="wavyDouble"/>
          <w:lang w:eastAsia="en-IE"/>
          <w14:ligatures w14:val="none"/>
        </w:rPr>
      </w:pPr>
    </w:p>
    <w:p w14:paraId="2061855F" w14:textId="04477B6B" w:rsidR="00A51AB6" w:rsidRDefault="00AF7136" w:rsidP="00381BC7">
      <w:pPr>
        <w:spacing w:after="140" w:line="276" w:lineRule="auto"/>
        <w:contextualSpacing/>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 xml:space="preserve">Pentru a aborda efectele crizei din Orientul Mijlociu asupra celor mai afectate sectoare, Comisia a adoptat, la 29 aprilie 2026, un </w:t>
      </w:r>
      <w:r>
        <w:rPr>
          <w:rFonts w:ascii="Times New Roman" w:hAnsi="Times New Roman"/>
          <w:b/>
          <w:noProof/>
          <w:sz w:val="24"/>
        </w:rPr>
        <w:t>cadru temporar privind ajutoarele de stat</w:t>
      </w:r>
      <w:r>
        <w:rPr>
          <w:rStyle w:val="FootnoteReference"/>
          <w:rFonts w:ascii="Times New Roman" w:eastAsiaTheme="minorEastAsia" w:hAnsi="Times New Roman" w:cs="Times New Roman"/>
          <w:noProof/>
          <w:kern w:val="0"/>
          <w:sz w:val="24"/>
          <w:szCs w:val="24"/>
          <w:lang w:eastAsia="en-IE"/>
        </w:rPr>
        <w:footnoteReference w:id="12"/>
      </w:r>
      <w:r>
        <w:rPr>
          <w:rFonts w:ascii="Times New Roman" w:hAnsi="Times New Roman"/>
          <w:noProof/>
          <w:sz w:val="24"/>
        </w:rPr>
        <w:t xml:space="preserve">, care completează normele existente privind ajutoarele de stat. Statele membre se vor putea baza pe acest cadru temporar pentru a sprijini întreprinderile care își desfășoară activitatea în domeniul producției agricole primare afectate în mod direct sau indirect de criza din Orientul Mijlociu, pentru a atenua consecințele creșterii excepțional de abrupte a prețurilor combustibililor și îngrășămintelor. </w:t>
      </w:r>
    </w:p>
    <w:p w14:paraId="6EA7295D" w14:textId="77777777" w:rsidR="006B3A25" w:rsidRPr="0027307A" w:rsidRDefault="006B3A25" w:rsidP="00381BC7">
      <w:pPr>
        <w:spacing w:after="140" w:line="276" w:lineRule="auto"/>
        <w:contextualSpacing/>
        <w:jc w:val="both"/>
        <w:rPr>
          <w:rFonts w:ascii="Times New Roman" w:eastAsiaTheme="minorEastAsia" w:hAnsi="Times New Roman" w:cs="Times New Roman"/>
          <w:noProof/>
          <w:kern w:val="0"/>
          <w:sz w:val="24"/>
          <w:szCs w:val="24"/>
          <w:lang w:eastAsia="en-IE"/>
          <w14:ligatures w14:val="none"/>
        </w:rPr>
      </w:pPr>
    </w:p>
    <w:p w14:paraId="7E464715" w14:textId="0E252B70" w:rsidR="00E87FAD" w:rsidRPr="0027307A" w:rsidRDefault="00CE2F0F" w:rsidP="00381BC7">
      <w:pPr>
        <w:spacing w:after="140" w:line="276" w:lineRule="auto"/>
        <w:contextualSpacing/>
        <w:jc w:val="both"/>
        <w:rPr>
          <w:rFonts w:ascii="Times New Roman" w:eastAsiaTheme="minorEastAsia" w:hAnsi="Times New Roman" w:cs="Times New Roman"/>
          <w:noProof/>
          <w:kern w:val="0"/>
          <w:sz w:val="24"/>
          <w:szCs w:val="24"/>
          <w14:ligatures w14:val="none"/>
        </w:rPr>
      </w:pPr>
      <w:bookmarkStart w:id="2" w:name="_Hlk228216218"/>
      <w:r>
        <w:rPr>
          <w:rFonts w:ascii="Times New Roman" w:hAnsi="Times New Roman"/>
          <w:b/>
          <w:noProof/>
          <w:sz w:val="24"/>
        </w:rPr>
        <w:t>Pentru a oferi un ajutor suplimentar pe termen scurt, Comisia va prezenta un pachet PAC specific care să permită statelor membre să utilizeze la maximum sprijinul disponibil în cadrul planurilor strategice PAC actuale.</w:t>
      </w:r>
      <w:r>
        <w:rPr>
          <w:rFonts w:ascii="Times New Roman" w:hAnsi="Times New Roman"/>
          <w:noProof/>
          <w:sz w:val="24"/>
        </w:rPr>
        <w:t xml:space="preserve"> Comisia:</w:t>
      </w:r>
    </w:p>
    <w:p w14:paraId="07FEBD1F" w14:textId="444F04E9" w:rsidR="009571BC" w:rsidRPr="009571BC" w:rsidRDefault="002220F1" w:rsidP="001C18F0">
      <w:pPr>
        <w:pStyle w:val="ListParagraph"/>
        <w:numPr>
          <w:ilvl w:val="0"/>
          <w:numId w:val="63"/>
        </w:numPr>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va propune o măsură, în cadrul pachetului financiar existent al PAC, care să creeze sprijin de lichiditate pentru fermieri, după caz, și va propune ca plățile în avans</w:t>
      </w:r>
      <w:r>
        <w:rPr>
          <w:noProof/>
        </w:rPr>
        <w:t xml:space="preserve"> </w:t>
      </w:r>
      <w:r>
        <w:rPr>
          <w:rFonts w:ascii="Times New Roman" w:hAnsi="Times New Roman"/>
          <w:noProof/>
          <w:sz w:val="24"/>
        </w:rPr>
        <w:t>către beneficiari</w:t>
      </w:r>
      <w:r>
        <w:rPr>
          <w:noProof/>
        </w:rPr>
        <w:t xml:space="preserve"> </w:t>
      </w:r>
      <w:r>
        <w:rPr>
          <w:rFonts w:ascii="Times New Roman" w:hAnsi="Times New Roman"/>
          <w:noProof/>
          <w:sz w:val="24"/>
        </w:rPr>
        <w:t>să fie mai flexibile, pentru a le permite fermierilor să își îndeplinească în continuare obligațiile financiare față de bănci și furnizorii de factori de producție în aceste circumstanțe excepționale;</w:t>
      </w:r>
    </w:p>
    <w:p w14:paraId="06F7E71C" w14:textId="52A9FA78" w:rsidR="00C0697D" w:rsidRPr="001C18F0" w:rsidRDefault="00C0697D" w:rsidP="001C18F0">
      <w:pPr>
        <w:pStyle w:val="ListParagraph"/>
        <w:spacing w:after="140" w:line="276" w:lineRule="auto"/>
        <w:jc w:val="both"/>
        <w:rPr>
          <w:rFonts w:ascii="Times New Roman" w:eastAsiaTheme="minorEastAsia" w:hAnsi="Times New Roman" w:cs="Times New Roman"/>
          <w:noProof/>
          <w:kern w:val="0"/>
          <w:sz w:val="24"/>
          <w:szCs w:val="24"/>
          <w:highlight w:val="yellow"/>
          <w:lang w:eastAsia="en-IE"/>
          <w14:ligatures w14:val="none"/>
        </w:rPr>
      </w:pPr>
    </w:p>
    <w:p w14:paraId="680D6F77" w14:textId="41017D32" w:rsidR="002220F1" w:rsidRPr="0027307A" w:rsidRDefault="002220F1" w:rsidP="00C0697D">
      <w:pPr>
        <w:pStyle w:val="ListParagraph"/>
        <w:numPr>
          <w:ilvl w:val="0"/>
          <w:numId w:val="58"/>
        </w:numPr>
        <w:spacing w:after="140" w:line="276" w:lineRule="auto"/>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va recomanda statelor membre să elaboreze și să finanțeze, în cadrul planurilor lor strategice PAC, o eco-schemă nouă sau să adapteze o eco-schemă existentă sau o măsură de agromediu și climă pentru a îmbunătăți eficiența fertilizării, a stimula utilizarea sustenabilă a nutrienților reciclați și a consolida reziliența fermelor, inclusiv, după caz, prin reprogramarea și dezvoltarea unor intervenții specifice;</w:t>
      </w:r>
    </w:p>
    <w:p w14:paraId="0BE0571E" w14:textId="050B7825" w:rsidR="00243D3D" w:rsidRPr="005D6316" w:rsidRDefault="002220F1" w:rsidP="00243D3D">
      <w:pPr>
        <w:pStyle w:val="ListParagraph"/>
        <w:numPr>
          <w:ilvl w:val="0"/>
          <w:numId w:val="58"/>
        </w:numPr>
        <w:spacing w:after="140" w:line="276" w:lineRule="auto"/>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va recomanda statelor membre să majoreze finanțarea, în cadrul pachetelor financiare existente ale PAC, pentru măsuri de investiții care sprijină utilizarea mai eficientă și mai sustenabilă a îngrășămintelor (cum ar fi agricultura ecologică, agricultura de precizie etc.).</w:t>
      </w:r>
    </w:p>
    <w:bookmarkEnd w:id="2"/>
    <w:p w14:paraId="64F54868" w14:textId="3DC93384" w:rsidR="00243D3D" w:rsidRPr="0027307A" w:rsidRDefault="00243D3D" w:rsidP="00243D3D">
      <w:pPr>
        <w:spacing w:after="140" w:line="276" w:lineRule="auto"/>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Aceste propuneri ar permite statelor membre să ofere un ajutor excepțional rapid până la sfârșitul perioadei actuale (2027) și să se asigure că fondurile PAC sprijină în mod eficace fermierii în criza actuală.</w:t>
      </w:r>
    </w:p>
    <w:p w14:paraId="38A961A3" w14:textId="38F5F465" w:rsidR="00E4231B" w:rsidRPr="0027307A" w:rsidRDefault="00731EEE" w:rsidP="00381BC7">
      <w:pPr>
        <w:spacing w:after="140" w:line="276" w:lineRule="auto"/>
        <w:contextualSpacing/>
        <w:jc w:val="both"/>
        <w:rPr>
          <w:rFonts w:ascii="Times New Roman" w:eastAsiaTheme="minorEastAsia" w:hAnsi="Times New Roman" w:cs="Times New Roman"/>
          <w:b/>
          <w:noProof/>
          <w:kern w:val="0"/>
          <w:sz w:val="24"/>
          <w:szCs w:val="24"/>
          <w14:ligatures w14:val="none"/>
        </w:rPr>
      </w:pPr>
      <w:r>
        <w:rPr>
          <w:rFonts w:ascii="Times New Roman" w:hAnsi="Times New Roman"/>
          <w:noProof/>
          <w:sz w:val="24"/>
        </w:rPr>
        <w:t>De asemenea, Comisia va consolida și va disemina un pachet de informații pentru statele membre cu privire la instrumentele aflate la dispoziția fermierilor și la resursele de cunoștințe relevante prin intermediul rețelei PAC a UE</w:t>
      </w:r>
      <w:r>
        <w:rPr>
          <w:rStyle w:val="FootnoteReference"/>
          <w:rFonts w:ascii="Times New Roman" w:hAnsi="Times New Roman" w:cs="Times New Roman"/>
          <w:bCs/>
          <w:noProof/>
          <w:sz w:val="24"/>
          <w:szCs w:val="24"/>
        </w:rPr>
        <w:footnoteReference w:id="13"/>
      </w:r>
      <w:r>
        <w:rPr>
          <w:noProof/>
        </w:rPr>
        <w:t xml:space="preserve"> </w:t>
      </w:r>
      <w:r>
        <w:rPr>
          <w:rFonts w:ascii="Times New Roman" w:hAnsi="Times New Roman"/>
          <w:noProof/>
          <w:sz w:val="24"/>
        </w:rPr>
        <w:t xml:space="preserve">și printr-o publicație specifică privind rezultatele cercetării și inovării din cadrul programului Orizont Europa în ceea ce privește îngrășămintele pe bază de bioresurse. </w:t>
      </w:r>
    </w:p>
    <w:p w14:paraId="51F8D2ED" w14:textId="77777777" w:rsidR="00417C2F" w:rsidRPr="0027307A" w:rsidRDefault="00417C2F" w:rsidP="00567EB3">
      <w:pPr>
        <w:spacing w:after="140" w:line="276" w:lineRule="auto"/>
        <w:contextualSpacing/>
        <w:jc w:val="both"/>
        <w:rPr>
          <w:rFonts w:ascii="Times New Roman" w:eastAsiaTheme="minorEastAsia" w:hAnsi="Times New Roman" w:cs="Times New Roman"/>
          <w:noProof/>
          <w:kern w:val="0"/>
          <w:sz w:val="24"/>
          <w:szCs w:val="24"/>
          <w:lang w:eastAsia="en-IE"/>
          <w14:ligatures w14:val="none"/>
        </w:rPr>
      </w:pPr>
    </w:p>
    <w:p w14:paraId="3A3A0E60" w14:textId="4EAD9F8E" w:rsidR="00E8710E" w:rsidRPr="0027307A" w:rsidRDefault="00656260" w:rsidP="00381BC7">
      <w:pPr>
        <w:spacing w:after="140" w:line="276" w:lineRule="auto"/>
        <w:contextualSpacing/>
        <w:jc w:val="both"/>
        <w:rPr>
          <w:rFonts w:ascii="Times New Roman" w:eastAsiaTheme="minorEastAsia" w:hAnsi="Times New Roman" w:cs="Times New Roman"/>
          <w:noProof/>
          <w:kern w:val="0"/>
          <w:sz w:val="24"/>
          <w:szCs w:val="24"/>
          <w14:ligatures w14:val="none"/>
        </w:rPr>
      </w:pPr>
      <w:r>
        <w:rPr>
          <w:rFonts w:ascii="Times New Roman" w:hAnsi="Times New Roman"/>
          <w:b/>
          <w:noProof/>
          <w:sz w:val="24"/>
        </w:rPr>
        <w:t>Statele membre au posibilitatea, în cadrul fondurilor existente, în special în cadrul fondurilor de coeziune, de a sprijini producția sustenabilă de biogaz și biometan, în conformitate cu comunicarea „AccelerateEU – Uniunea energetică – Energie la prețuri accesibile și sigură prin acțiuni accelerate”</w:t>
      </w:r>
      <w:r>
        <w:rPr>
          <w:rStyle w:val="FootnoteReference"/>
          <w:rFonts w:ascii="Times New Roman" w:eastAsiaTheme="minorEastAsia" w:hAnsi="Times New Roman" w:cs="Times New Roman"/>
          <w:bCs/>
          <w:noProof/>
          <w:sz w:val="24"/>
          <w:szCs w:val="24"/>
          <w:lang w:eastAsia="en-IE"/>
        </w:rPr>
        <w:footnoteReference w:id="14"/>
      </w:r>
      <w:r>
        <w:rPr>
          <w:rFonts w:ascii="Times New Roman" w:hAnsi="Times New Roman"/>
          <w:noProof/>
          <w:sz w:val="24"/>
        </w:rPr>
        <w:t>, accelerând în același timp punerea în aplicare a măsurilor relevante deja incluse în planurile lor de redresare și reziliență. Sprijinul poate acoperi proiecte desfășurate în cadrul fermelor și al cooperativelor, modernizarea uzinelor existente, abordarea blocajelor rămase în ceea ce privește autorizațiile pentru instalațiile noi, gestionarea digestatului și transportul de materii intermediare sustenabile între regiuni. Biogazul poate reduce dependența energetică și de nutrienți, poate genera venituri suplimentare pentru fermieri, poate crea valoare locală în zonele rurale și poate spori reziliența prin soluții circulare pentru energie și nutrienți reciclați.</w:t>
      </w:r>
    </w:p>
    <w:p w14:paraId="5DA12D80" w14:textId="77777777" w:rsidR="00D004E0" w:rsidRPr="0027307A" w:rsidRDefault="00D004E0" w:rsidP="00381BC7">
      <w:pPr>
        <w:spacing w:after="140" w:line="276" w:lineRule="auto"/>
        <w:contextualSpacing/>
        <w:jc w:val="both"/>
        <w:rPr>
          <w:rFonts w:ascii="Times New Roman" w:eastAsiaTheme="minorEastAsia" w:hAnsi="Times New Roman" w:cs="Times New Roman"/>
          <w:noProof/>
          <w:kern w:val="0"/>
          <w:sz w:val="24"/>
          <w:szCs w:val="24"/>
          <w:lang w:eastAsia="en-IE"/>
          <w14:ligatures w14:val="none"/>
        </w:rPr>
      </w:pPr>
    </w:p>
    <w:p w14:paraId="56EE5E5D" w14:textId="27076F22" w:rsidR="002639C4" w:rsidRPr="0027307A" w:rsidRDefault="00C024D8" w:rsidP="00381BC7">
      <w:pPr>
        <w:spacing w:after="140" w:line="276" w:lineRule="auto"/>
        <w:contextualSpacing/>
        <w:jc w:val="both"/>
        <w:rPr>
          <w:rFonts w:ascii="Times New Roman" w:eastAsiaTheme="minorEastAsia" w:hAnsi="Times New Roman" w:cs="Times New Roman"/>
          <w:noProof/>
          <w:kern w:val="0"/>
          <w:sz w:val="24"/>
          <w:szCs w:val="24"/>
          <w14:ligatures w14:val="none"/>
        </w:rPr>
      </w:pPr>
      <w:r>
        <w:rPr>
          <w:rFonts w:ascii="Times New Roman" w:hAnsi="Times New Roman"/>
          <w:b/>
          <w:noProof/>
          <w:sz w:val="24"/>
        </w:rPr>
        <w:t>În plus, în conformitate cu comunicarea AccelerateEU, statele membre au posibilitatea de a concepe măsuri specifice, prompte și temporare, inclusiv intervenții asupra prețurilor, scheme de sprijin pentru venit și stimulente fiscale, menite să sprijine industriile mari consumatoare de energie</w:t>
      </w:r>
      <w:r>
        <w:rPr>
          <w:rFonts w:ascii="Times New Roman" w:hAnsi="Times New Roman"/>
          <w:noProof/>
          <w:sz w:val="24"/>
        </w:rPr>
        <w:t>, menținând în același timp stimulentul pentru economisirea de energie și reducerea dependenței de combustibilii fosili importați.</w:t>
      </w:r>
      <w:r>
        <w:rPr>
          <w:noProof/>
        </w:rPr>
        <w:t xml:space="preserve"> </w:t>
      </w:r>
      <w:r>
        <w:rPr>
          <w:rFonts w:ascii="Times New Roman" w:hAnsi="Times New Roman"/>
          <w:noProof/>
          <w:sz w:val="24"/>
        </w:rPr>
        <w:t>Acest lucru ar putea contribui la stabilizarea costurilor cu energia ale producătorilor de îngrășăminte. Aceasta le-ar permite să producă în continuare îngrășăminte autohtone la prețuri accesibile, să sporească competitivitatea sectorului și să utilizeze în continuare materiale circulare și din bioresurse ca materii intermediare alternative. Acest lucru este în conformitate cu acțiunea planificată a Comisiei de a cartografia capacitățile europene și de a colabora cu industria pentru a elimina barierele pe termen scurt din calea implementării.</w:t>
      </w:r>
    </w:p>
    <w:p w14:paraId="6C618699" w14:textId="77777777" w:rsidR="00417C2F" w:rsidRPr="0027307A" w:rsidRDefault="00417C2F" w:rsidP="00567EB3">
      <w:pPr>
        <w:spacing w:after="140" w:line="276" w:lineRule="auto"/>
        <w:contextualSpacing/>
        <w:jc w:val="both"/>
        <w:rPr>
          <w:rFonts w:ascii="Times New Roman" w:eastAsiaTheme="minorEastAsia" w:hAnsi="Times New Roman" w:cs="Times New Roman"/>
          <w:noProof/>
          <w:kern w:val="0"/>
          <w:sz w:val="24"/>
          <w:szCs w:val="24"/>
          <w:lang w:eastAsia="en-IE"/>
          <w14:ligatures w14:val="none"/>
        </w:rPr>
      </w:pPr>
    </w:p>
    <w:p w14:paraId="784D2D9C" w14:textId="3E2FD0B1" w:rsidR="00417C2F" w:rsidRPr="0027307A" w:rsidRDefault="00261FCF" w:rsidP="00567EB3">
      <w:pPr>
        <w:spacing w:after="140" w:line="276" w:lineRule="auto"/>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 xml:space="preserve">Pentru a se pregăti în vederea adoptării măsurilor mai structurale descrise mai jos, </w:t>
      </w:r>
      <w:r>
        <w:rPr>
          <w:rFonts w:ascii="Times New Roman" w:hAnsi="Times New Roman"/>
          <w:b/>
          <w:noProof/>
          <w:sz w:val="24"/>
        </w:rPr>
        <w:t>Comisia va explora acțiuni pe termen scurt pentru a facilita utilizarea digestatelor,</w:t>
      </w:r>
      <w:r>
        <w:rPr>
          <w:b/>
          <w:noProof/>
        </w:rPr>
        <w:t xml:space="preserve"> </w:t>
      </w:r>
      <w:r>
        <w:rPr>
          <w:rFonts w:ascii="Times New Roman" w:hAnsi="Times New Roman"/>
          <w:b/>
          <w:noProof/>
          <w:sz w:val="24"/>
        </w:rPr>
        <w:t>inclusiv propunerea și instituirea unui spațiu de testare în materie de reglementare.</w:t>
      </w:r>
    </w:p>
    <w:p w14:paraId="3AEEBC5D" w14:textId="4A36675C" w:rsidR="006B7F8A" w:rsidRPr="0027307A" w:rsidRDefault="008F7F64" w:rsidP="00567EB3">
      <w:pPr>
        <w:spacing w:after="140" w:line="276" w:lineRule="auto"/>
        <w:contextualSpacing/>
        <w:jc w:val="both"/>
        <w:rPr>
          <w:rFonts w:ascii="Times New Roman" w:eastAsiaTheme="minorEastAsia" w:hAnsi="Times New Roman" w:cs="Times New Roman"/>
          <w:noProof/>
          <w:kern w:val="0"/>
          <w:sz w:val="24"/>
          <w:szCs w:val="24"/>
          <w14:ligatures w14:val="none"/>
        </w:rPr>
      </w:pPr>
      <w:r>
        <w:rPr>
          <w:rFonts w:ascii="Times New Roman" w:hAnsi="Times New Roman"/>
          <w:b/>
          <w:noProof/>
          <w:sz w:val="24"/>
        </w:rPr>
        <w:t>Comisia va monitoriza periodic evoluțiile de pe piețele europene și mondiale ale îngrășămintelor și este pregătită să ia în considerare măsuri comerciale suplimentare</w:t>
      </w:r>
      <w:r>
        <w:rPr>
          <w:rFonts w:ascii="Times New Roman" w:hAnsi="Times New Roman"/>
          <w:noProof/>
          <w:sz w:val="24"/>
        </w:rPr>
        <w:t>, în cazul în care acest lucru este justificat din punct de vedere juridic și economic și impus de condițiile pieței, pentru a îmbunătăți accesul la îngrășămintele provenite de la o gamă mai largă de furnizori, ținând cont, în același timp, de situația producătorilor interni, precum și de cea a țărilor fragile care sunt dependente de importurile de îngrășăminte. Măsurile vizate ar putea include extinderea domeniului de aplicare al produselor fertilizante care ar beneficia de suspendarea temporară a taxelor vamale aplicabile națiunii celei mai favorizate, propusă deja de Comisie</w:t>
      </w:r>
      <w:r>
        <w:rPr>
          <w:rStyle w:val="FootnoteReference"/>
          <w:rFonts w:ascii="Times New Roman" w:eastAsiaTheme="minorEastAsia" w:hAnsi="Times New Roman" w:cs="Times New Roman"/>
          <w:noProof/>
          <w:kern w:val="0"/>
          <w:sz w:val="24"/>
          <w:szCs w:val="24"/>
          <w:lang w:eastAsia="en-IE"/>
        </w:rPr>
        <w:footnoteReference w:id="15"/>
      </w:r>
      <w:r>
        <w:rPr>
          <w:rFonts w:ascii="Times New Roman" w:hAnsi="Times New Roman"/>
          <w:noProof/>
          <w:sz w:val="24"/>
        </w:rPr>
        <w:t>.</w:t>
      </w:r>
    </w:p>
    <w:p w14:paraId="27C3183B" w14:textId="77777777" w:rsidR="00B215DC" w:rsidRPr="0027307A" w:rsidRDefault="00B215DC" w:rsidP="00381BC7">
      <w:pPr>
        <w:spacing w:after="140" w:line="276" w:lineRule="auto"/>
        <w:contextualSpacing/>
        <w:jc w:val="both"/>
        <w:rPr>
          <w:rFonts w:ascii="Times New Roman" w:eastAsiaTheme="minorEastAsia" w:hAnsi="Times New Roman" w:cs="Times New Roman"/>
          <w:b/>
          <w:bCs/>
          <w:noProof/>
          <w:kern w:val="0"/>
          <w:sz w:val="24"/>
          <w:szCs w:val="24"/>
          <w:lang w:eastAsia="en-IE"/>
          <w14:ligatures w14:val="none"/>
        </w:rPr>
      </w:pPr>
    </w:p>
    <w:p w14:paraId="59DF2672" w14:textId="14AA90BD" w:rsidR="00E826BD" w:rsidRDefault="00553AFA" w:rsidP="00567EB3">
      <w:pPr>
        <w:spacing w:after="140" w:line="276" w:lineRule="auto"/>
        <w:contextualSpacing/>
        <w:jc w:val="both"/>
        <w:rPr>
          <w:rFonts w:ascii="Times New Roman" w:eastAsiaTheme="minorEastAsia" w:hAnsi="Times New Roman" w:cs="Times New Roman"/>
          <w:noProof/>
          <w:sz w:val="24"/>
          <w:szCs w:val="24"/>
        </w:rPr>
      </w:pPr>
      <w:r>
        <w:rPr>
          <w:rFonts w:ascii="Times New Roman" w:hAnsi="Times New Roman"/>
          <w:noProof/>
          <w:sz w:val="24"/>
        </w:rPr>
        <w:t>Comisia poate solicita activarea de către Consiliu a Regulamentului privind situațiile de urgență și reziliența pieței interne</w:t>
      </w:r>
      <w:r>
        <w:rPr>
          <w:rFonts w:ascii="Times New Roman" w:eastAsiaTheme="minorEastAsia" w:hAnsi="Times New Roman" w:cs="Times New Roman"/>
          <w:noProof/>
          <w:sz w:val="24"/>
          <w:szCs w:val="24"/>
          <w:vertAlign w:val="superscript"/>
          <w:lang w:eastAsia="en-IE"/>
        </w:rPr>
        <w:footnoteReference w:id="16"/>
      </w:r>
      <w:r>
        <w:rPr>
          <w:rFonts w:ascii="Times New Roman" w:hAnsi="Times New Roman"/>
          <w:noProof/>
          <w:sz w:val="24"/>
        </w:rPr>
        <w:t xml:space="preserve"> (IMERA) în regimul de vigilență sau de urgență, în funcție de evoluțiile pieței. Acest lucru ar necesita desemnarea îngrășămintelor și a materiilor prime necesare pentru producția lor ca bunuri relevante în situații de criză, permițând, de exemplu, o monitorizare sporită, achiziții publice efectuate de Comisie în numele statelor membre, cereri de informații specifice, cereri prioritare, aprobări mai rapide și măsuri de extindere a capacității de producție, menținând în același timp libera circulație a îngrășămintelor pe piața unică.</w:t>
      </w:r>
    </w:p>
    <w:p w14:paraId="7B3B7016" w14:textId="77777777" w:rsidR="005A0883" w:rsidRDefault="005A0883" w:rsidP="00567EB3">
      <w:pPr>
        <w:spacing w:after="140" w:line="276" w:lineRule="auto"/>
        <w:contextualSpacing/>
        <w:jc w:val="both"/>
        <w:rPr>
          <w:rFonts w:ascii="Times New Roman" w:eastAsiaTheme="minorEastAsia" w:hAnsi="Times New Roman" w:cs="Times New Roman"/>
          <w:noProof/>
          <w:sz w:val="24"/>
          <w:szCs w:val="24"/>
          <w:lang w:eastAsia="en-IE"/>
        </w:rPr>
      </w:pPr>
    </w:p>
    <w:p w14:paraId="5011BFA7" w14:textId="6EED2EB8" w:rsidR="005A0883" w:rsidRPr="0027307A" w:rsidRDefault="005A0883" w:rsidP="00567EB3">
      <w:pPr>
        <w:spacing w:after="140" w:line="276" w:lineRule="auto"/>
        <w:contextualSpacing/>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În cazul în care situația degenerează și mai mult în ceea ce privește disponibilitatea îngrășămintelor și accesibilitatea prețurilor acestora, Comisia ar lua în considerare alte măsuri care ar putea avea un caracter temporar.</w:t>
      </w:r>
    </w:p>
    <w:p w14:paraId="3C69A8AB" w14:textId="44ADC0B4" w:rsidR="00FD0036" w:rsidRPr="0027307A" w:rsidRDefault="00FD0036" w:rsidP="00381BC7">
      <w:pPr>
        <w:spacing w:after="140" w:line="276" w:lineRule="auto"/>
        <w:ind w:left="720"/>
        <w:contextualSpacing/>
        <w:jc w:val="both"/>
        <w:rPr>
          <w:rFonts w:ascii="Times New Roman" w:eastAsiaTheme="minorEastAsia" w:hAnsi="Times New Roman" w:cs="Times New Roman"/>
          <w:noProof/>
          <w:kern w:val="0"/>
          <w:sz w:val="24"/>
          <w:szCs w:val="24"/>
          <w:lang w:eastAsia="en-IE"/>
          <w14:ligatures w14:val="none"/>
        </w:rPr>
      </w:pPr>
    </w:p>
    <w:p w14:paraId="7BF820DB" w14:textId="6B74EFDF" w:rsidR="00863E86" w:rsidRPr="0027307A" w:rsidRDefault="0063085B" w:rsidP="00381BC7">
      <w:pPr>
        <w:spacing w:after="140" w:line="276" w:lineRule="auto"/>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În plus, ca parte a răspunsului său imediat, Comisia a adoptat deja sau a anunțat o serie de măsuri specifice.</w:t>
      </w:r>
    </w:p>
    <w:p w14:paraId="79115C8E" w14:textId="41E360D4" w:rsidR="00863E86" w:rsidRPr="0027307A" w:rsidRDefault="00863E86" w:rsidP="00381BC7">
      <w:pPr>
        <w:numPr>
          <w:ilvl w:val="0"/>
          <w:numId w:val="40"/>
        </w:numPr>
        <w:spacing w:after="140" w:line="276" w:lineRule="auto"/>
        <w:contextualSpacing/>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 xml:space="preserve">În ceea ce privește </w:t>
      </w:r>
      <w:r>
        <w:rPr>
          <w:rFonts w:ascii="Times New Roman" w:hAnsi="Times New Roman"/>
          <w:b/>
          <w:noProof/>
          <w:sz w:val="24"/>
        </w:rPr>
        <w:t>măsurile comerciale</w:t>
      </w:r>
      <w:r>
        <w:rPr>
          <w:rFonts w:ascii="Times New Roman" w:hAnsi="Times New Roman"/>
          <w:noProof/>
          <w:sz w:val="24"/>
        </w:rPr>
        <w:t>, la 20 februarie 2026, Comisia a adoptat o propunere de regulament al Consiliului</w:t>
      </w:r>
      <w:r>
        <w:rPr>
          <w:rFonts w:ascii="Times New Roman" w:eastAsiaTheme="minorEastAsia" w:hAnsi="Times New Roman" w:cs="Times New Roman"/>
          <w:noProof/>
          <w:kern w:val="0"/>
          <w:sz w:val="24"/>
          <w:szCs w:val="24"/>
          <w:vertAlign w:val="superscript"/>
          <w:lang w:eastAsia="en-IE"/>
        </w:rPr>
        <w:footnoteReference w:id="17"/>
      </w:r>
      <w:r>
        <w:rPr>
          <w:rFonts w:ascii="Times New Roman" w:hAnsi="Times New Roman"/>
          <w:noProof/>
          <w:sz w:val="24"/>
        </w:rPr>
        <w:t xml:space="preserve"> de suspendare pe o perioadă de un an a taxelor din Tariful vamal comun pentru amoniac, uree și anumite alte îngrășăminte pe bază de azot și mixte din alte țări decât Rusia și Belarus, prin intermediul unor contingente tarifare scutite de taxe vamale. Odată adoptată, măsura va consolida sectorul agroalimentar al UE, reducând costurile pentru fermieri și industria îngrășămintelor prin economiile realizate la nivelul taxelor la import, estimate la 60 de milioane EUR.</w:t>
      </w:r>
    </w:p>
    <w:p w14:paraId="33A42D3F" w14:textId="29AB4830" w:rsidR="00583B4B" w:rsidRPr="0027307A" w:rsidRDefault="00863E86" w:rsidP="00381BC7">
      <w:pPr>
        <w:numPr>
          <w:ilvl w:val="0"/>
          <w:numId w:val="40"/>
        </w:numPr>
        <w:spacing w:after="140" w:line="276" w:lineRule="auto"/>
        <w:contextualSpacing/>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 xml:space="preserve">Deși mecanismul de ajustare a carbonului la frontieră (CBAM) este implementat treptat, Comisia a introdus o excepție de la normele standard de calcul pentru valorile implicite: </w:t>
      </w:r>
      <w:r>
        <w:rPr>
          <w:rFonts w:ascii="Times New Roman" w:hAnsi="Times New Roman"/>
          <w:b/>
          <w:noProof/>
          <w:sz w:val="24"/>
        </w:rPr>
        <w:t>o marjă forfetară de 1 % aplicată valorilor implicite CBAM pentru îngrășăminte</w:t>
      </w:r>
      <w:r>
        <w:rPr>
          <w:rFonts w:ascii="Times New Roman" w:hAnsi="Times New Roman"/>
          <w:noProof/>
          <w:sz w:val="24"/>
        </w:rPr>
        <w:t>, care este mult mai mică decât marjele utilizate pentru alte mărfuri care intră sub incidența CBAM (10 %, 20 % și 30 % în 2026, 2027 și, respectiv, 2028). Comisia va revizui valorile implicite până cel târziu în decembrie 2027. Comisia a publicat, de asemenea, actul de punere în aplicare privind ajustarea alocării cu titlu gratuit. Acest act, precum și alte acte de punere în aplicare și alte acte delegate necesare pentru începerea perioadei definitive a CBAM au fost publicate la sfârșitul anului 2025. Normele impuse prin actele respective oferă importatorilor claritatea necesară pentru a-și estima expunerea la CBAM</w:t>
      </w:r>
      <w:r>
        <w:rPr>
          <w:rStyle w:val="FootnoteReference"/>
          <w:rFonts w:ascii="Times New Roman" w:eastAsiaTheme="minorEastAsia" w:hAnsi="Times New Roman" w:cs="Times New Roman"/>
          <w:noProof/>
          <w:kern w:val="0"/>
          <w:sz w:val="24"/>
          <w:szCs w:val="24"/>
          <w:lang w:eastAsia="en-IE"/>
        </w:rPr>
        <w:footnoteReference w:id="18"/>
      </w:r>
      <w:r>
        <w:rPr>
          <w:rFonts w:ascii="Times New Roman" w:hAnsi="Times New Roman"/>
          <w:noProof/>
          <w:sz w:val="24"/>
        </w:rPr>
        <w:t>. Comisia promovează, de asemenea, disponibilitatea verificatorilor pentru a facilita declararea valorilor reale, ceea ce ar putea conduce la o obligație CBAM mai mică în comparație cu utilizarea valorilor implicite.</w:t>
      </w:r>
    </w:p>
    <w:p w14:paraId="2FBBBB3E" w14:textId="3CDF7DCB" w:rsidR="004A597F" w:rsidRPr="0027307A" w:rsidRDefault="00FE4B80" w:rsidP="00381BC7">
      <w:pPr>
        <w:numPr>
          <w:ilvl w:val="0"/>
          <w:numId w:val="40"/>
        </w:numPr>
        <w:spacing w:after="140" w:line="276" w:lineRule="auto"/>
        <w:contextualSpacing/>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 xml:space="preserve">La 22 aprilie 2026, Comisia și-a prezentat comunicarea privind energia intitulată </w:t>
      </w:r>
      <w:r>
        <w:rPr>
          <w:rFonts w:ascii="Times New Roman" w:hAnsi="Times New Roman"/>
          <w:b/>
          <w:noProof/>
          <w:sz w:val="24"/>
        </w:rPr>
        <w:t>„AccelerateEU – Uniunea energetică – Energie la prețuri accesibile și sigură prin acțiuni accelerate”</w:t>
      </w:r>
      <w:r>
        <w:rPr>
          <w:rFonts w:ascii="Times New Roman" w:hAnsi="Times New Roman"/>
          <w:noProof/>
          <w:sz w:val="24"/>
        </w:rPr>
        <w:t>, care urmărește să protejeze cu efect imediat sectoarele vulnerabile de prețurile ridicate la energie și, pe termen mai lung, să reducă structural prețurile la energie și să ofere ajutor întreprinderilor. Comunicarea recunoaște situația specifică a îngrășămintelor și face referire la importanța soluțiilor circulare, a nutrienților reciclați și a potențialului neexploatat al biogazului și al biometanului.</w:t>
      </w:r>
    </w:p>
    <w:p w14:paraId="00A9D3B6" w14:textId="28220BB5" w:rsidR="00863E86" w:rsidRPr="0027307A" w:rsidRDefault="00693E37" w:rsidP="00381BC7">
      <w:pPr>
        <w:numPr>
          <w:ilvl w:val="0"/>
          <w:numId w:val="40"/>
        </w:numPr>
        <w:spacing w:after="140" w:line="276" w:lineRule="auto"/>
        <w:contextualSpacing/>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 xml:space="preserve">Comisia sprijină </w:t>
      </w:r>
      <w:r>
        <w:rPr>
          <w:rFonts w:ascii="Times New Roman" w:hAnsi="Times New Roman"/>
          <w:b/>
          <w:noProof/>
          <w:sz w:val="24"/>
        </w:rPr>
        <w:t>apelurile la coordonare la nivel internațional</w:t>
      </w:r>
      <w:r>
        <w:rPr>
          <w:rFonts w:ascii="Times New Roman" w:hAnsi="Times New Roman"/>
          <w:noProof/>
          <w:sz w:val="24"/>
        </w:rPr>
        <w:t>, inclusiv în cadrul forurilor G7 și G20, cu scopul de a facilita redirecționarea aprovizionării, inclusiv prin coridoare comerciale alternative care să sporească transparența pieței și să asigure buna funcționare a lanțurilor de aprovizionare, să mențină comerțul deschis și să evite restricțiile nejustificate la export pentru produsele alimentare și factorii de producție agricolă esențiali, cum ar fi îngrășămintele, consolidând în același timp securitatea alimentară la nivel mondial.</w:t>
      </w:r>
    </w:p>
    <w:p w14:paraId="3EC7C923" w14:textId="77777777" w:rsidR="008B6E3B" w:rsidRPr="0027307A" w:rsidRDefault="008B6E3B" w:rsidP="00567EB3">
      <w:pPr>
        <w:spacing w:after="140" w:line="276" w:lineRule="auto"/>
        <w:ind w:left="720"/>
        <w:contextualSpacing/>
        <w:jc w:val="both"/>
        <w:rPr>
          <w:rFonts w:ascii="Times New Roman" w:eastAsiaTheme="minorEastAsia" w:hAnsi="Times New Roman" w:cs="Times New Roman"/>
          <w:noProof/>
          <w:kern w:val="0"/>
          <w:sz w:val="24"/>
          <w:szCs w:val="24"/>
          <w:lang w:eastAsia="en-IE"/>
          <w14:ligatures w14:val="none"/>
        </w:rPr>
      </w:pPr>
    </w:p>
    <w:p w14:paraId="60E31225" w14:textId="3D31822A" w:rsidR="005725E9" w:rsidRPr="00A82458" w:rsidRDefault="00977F09" w:rsidP="00381BC7">
      <w:pPr>
        <w:spacing w:line="276" w:lineRule="auto"/>
        <w:jc w:val="both"/>
        <w:rPr>
          <w:rFonts w:ascii="Times New Roman" w:hAnsi="Times New Roman" w:cs="Times New Roman"/>
          <w:b/>
          <w:bCs/>
          <w:noProof/>
          <w:sz w:val="24"/>
          <w:szCs w:val="24"/>
        </w:rPr>
      </w:pPr>
      <w:r>
        <w:rPr>
          <w:rFonts w:ascii="Times New Roman" w:hAnsi="Times New Roman"/>
          <w:b/>
          <w:noProof/>
          <w:sz w:val="24"/>
        </w:rPr>
        <w:t>4.2. Consolidarea autonomiei strategice și a rezilienței pe termen mediu: consolidarea producției interne, reducerea dependențelor și accelerarea tranziției către îngrășăminte decarbonizate, cu emisii scăzute de dioxid de carbon și circulare</w:t>
      </w:r>
    </w:p>
    <w:p w14:paraId="73929863" w14:textId="649AE334" w:rsidR="00C2164C" w:rsidRDefault="003060A6" w:rsidP="00381BC7">
      <w:pPr>
        <w:spacing w:line="276" w:lineRule="auto"/>
        <w:jc w:val="both"/>
        <w:rPr>
          <w:rFonts w:ascii="Times New Roman" w:hAnsi="Times New Roman" w:cs="Times New Roman"/>
          <w:noProof/>
          <w:sz w:val="24"/>
          <w:szCs w:val="24"/>
        </w:rPr>
      </w:pPr>
      <w:r>
        <w:rPr>
          <w:rFonts w:ascii="Times New Roman" w:hAnsi="Times New Roman"/>
          <w:noProof/>
          <w:sz w:val="24"/>
        </w:rPr>
        <w:t>Măsurile structurale pe termen mai lung se bazează pe abordarea deja reflectată în comunicarea din 2022, prin care se asigură faptul că securitatea aprovizionării, securitatea alimentară, autonomia strategică, competitivitatea industrială și sustenabilitatea trebuie urmărite împreună.</w:t>
      </w:r>
      <w:bookmarkStart w:id="3" w:name="_Hlk225269584"/>
    </w:p>
    <w:p w14:paraId="476FE4B6" w14:textId="0F23A28B" w:rsidR="0071592E" w:rsidRPr="00A82458" w:rsidRDefault="0071592E" w:rsidP="00381BC7">
      <w:pPr>
        <w:spacing w:line="276" w:lineRule="auto"/>
        <w:jc w:val="both"/>
        <w:rPr>
          <w:rFonts w:ascii="Times New Roman Bold" w:eastAsiaTheme="minorEastAsia" w:hAnsi="Times New Roman Bold" w:cs="Times New Roman" w:hint="eastAsia"/>
          <w:b/>
          <w:bCs/>
          <w:smallCaps/>
          <w:noProof/>
          <w:color w:val="215E99" w:themeColor="text2" w:themeTint="BF"/>
          <w:kern w:val="0"/>
          <w:sz w:val="24"/>
          <w:szCs w:val="24"/>
          <w14:ligatures w14:val="none"/>
        </w:rPr>
      </w:pPr>
      <w:bookmarkStart w:id="4" w:name="_Hlk228199487"/>
      <w:r>
        <w:rPr>
          <w:rFonts w:ascii="Times New Roman Bold" w:hAnsi="Times New Roman Bold"/>
          <w:b/>
          <w:smallCaps/>
          <w:noProof/>
          <w:sz w:val="24"/>
        </w:rPr>
        <w:t>Acțiuni de sprijinire a disponibilității și a accesibilității prețurilor</w:t>
      </w:r>
    </w:p>
    <w:bookmarkEnd w:id="4"/>
    <w:p w14:paraId="40A63BAB" w14:textId="1F909F14" w:rsidR="00525D5C" w:rsidRPr="0027307A" w:rsidRDefault="00525D5C" w:rsidP="00381BC7">
      <w:pPr>
        <w:spacing w:after="140" w:line="276" w:lineRule="auto"/>
        <w:contextualSpacing/>
        <w:jc w:val="both"/>
        <w:rPr>
          <w:rFonts w:ascii="Times New Roman" w:hAnsi="Times New Roman" w:cs="Times New Roman"/>
          <w:noProof/>
          <w:sz w:val="24"/>
          <w:szCs w:val="24"/>
        </w:rPr>
      </w:pPr>
      <w:r>
        <w:rPr>
          <w:rFonts w:ascii="Times New Roman" w:hAnsi="Times New Roman"/>
          <w:noProof/>
          <w:sz w:val="24"/>
        </w:rPr>
        <w:t>Reducerea dependenței de factorii de producție care constau în combustibili fosili, creșterea rezilienței la șocurile externe și dezvoltarea industriei interne a UE necesită o capacitate de producție suficientă, o producție mai sustenabilă de îngrășăminte minerale și extinderea alternativelor bazate pe surse de nutrienți cu emisii scăzute de dioxid de carbon, circulare, reciclate și bazate pe bioresurse.</w:t>
      </w:r>
    </w:p>
    <w:p w14:paraId="218C6EB6" w14:textId="77777777" w:rsidR="00D16309" w:rsidRDefault="00D16309" w:rsidP="00381BC7">
      <w:pPr>
        <w:spacing w:after="140" w:line="276" w:lineRule="auto"/>
        <w:jc w:val="both"/>
        <w:rPr>
          <w:rFonts w:ascii="Times New Roman" w:eastAsiaTheme="minorEastAsia" w:hAnsi="Times New Roman" w:cs="Times New Roman"/>
          <w:b/>
          <w:bCs/>
          <w:noProof/>
          <w:kern w:val="0"/>
          <w:sz w:val="24"/>
          <w:szCs w:val="24"/>
          <w14:ligatures w14:val="none"/>
        </w:rPr>
      </w:pPr>
    </w:p>
    <w:p w14:paraId="177751FC" w14:textId="75ADA47E" w:rsidR="00931D0D" w:rsidRPr="0027307A" w:rsidRDefault="00686DD4" w:rsidP="00381BC7">
      <w:pPr>
        <w:spacing w:after="140" w:line="276" w:lineRule="auto"/>
        <w:jc w:val="both"/>
        <w:rPr>
          <w:rFonts w:ascii="Times New Roman" w:eastAsiaTheme="minorEastAsia" w:hAnsi="Times New Roman" w:cs="Times New Roman"/>
          <w:b/>
          <w:bCs/>
          <w:noProof/>
          <w:kern w:val="0"/>
          <w:sz w:val="24"/>
          <w:szCs w:val="24"/>
          <w14:ligatures w14:val="none"/>
        </w:rPr>
      </w:pPr>
      <w:r>
        <w:rPr>
          <w:rFonts w:ascii="Times New Roman" w:hAnsi="Times New Roman"/>
          <w:b/>
          <w:noProof/>
          <w:sz w:val="24"/>
        </w:rPr>
        <w:t>4.2.1. Industrie, aprovizionare și pregătire</w:t>
      </w:r>
    </w:p>
    <w:bookmarkEnd w:id="3"/>
    <w:p w14:paraId="45A2F70E" w14:textId="73CFFA07" w:rsidR="000354EC" w:rsidRPr="0027307A" w:rsidRDefault="002E3E62" w:rsidP="00381BC7">
      <w:pPr>
        <w:spacing w:after="140" w:line="276" w:lineRule="auto"/>
        <w:contextualSpacing/>
        <w:jc w:val="both"/>
        <w:rPr>
          <w:rFonts w:ascii="Times New Roman" w:hAnsi="Times New Roman" w:cs="Times New Roman"/>
          <w:noProof/>
          <w:sz w:val="24"/>
          <w:szCs w:val="24"/>
        </w:rPr>
      </w:pPr>
      <w:r>
        <w:rPr>
          <w:rFonts w:ascii="Times New Roman" w:hAnsi="Times New Roman"/>
          <w:noProof/>
          <w:sz w:val="24"/>
        </w:rPr>
        <w:t>Prin intermediul Parteneriatului UE privind lanțul valoric al îngrășămintelor, Comisia va intensifica dialogul pentru a identifica oportunități de consolidare și extindere a capacității de producție, de abordare a constrângerilor legate de energie, de asigurare a accesului la materii intermediare și materii prime esențiale, de eliminare a blocajelor operaționale și de îmbunătățire a competitivității.</w:t>
      </w:r>
    </w:p>
    <w:p w14:paraId="573BE260" w14:textId="77777777" w:rsidR="00525D5C" w:rsidRPr="0027307A" w:rsidRDefault="00525D5C" w:rsidP="00381BC7">
      <w:pPr>
        <w:spacing w:after="140" w:line="276" w:lineRule="auto"/>
        <w:contextualSpacing/>
        <w:jc w:val="both"/>
        <w:rPr>
          <w:rFonts w:ascii="Times New Roman" w:hAnsi="Times New Roman" w:cs="Times New Roman"/>
          <w:noProof/>
          <w:sz w:val="24"/>
          <w:szCs w:val="24"/>
          <w:lang w:eastAsia="en-IE"/>
        </w:rPr>
      </w:pPr>
    </w:p>
    <w:p w14:paraId="17ECA3AA" w14:textId="4F08ACA0" w:rsidR="000354EC" w:rsidRPr="0027307A" w:rsidRDefault="000354EC" w:rsidP="490C9E3B">
      <w:pPr>
        <w:spacing w:after="140" w:line="276" w:lineRule="auto"/>
        <w:contextualSpacing/>
        <w:jc w:val="both"/>
        <w:rPr>
          <w:rFonts w:ascii="Times New Roman" w:hAnsi="Times New Roman" w:cs="Times New Roman"/>
          <w:noProof/>
          <w:sz w:val="24"/>
          <w:szCs w:val="24"/>
        </w:rPr>
      </w:pPr>
      <w:r>
        <w:rPr>
          <w:rFonts w:ascii="Times New Roman" w:hAnsi="Times New Roman"/>
          <w:b/>
          <w:noProof/>
          <w:sz w:val="24"/>
        </w:rPr>
        <w:t>În colaborarea lor cu țările partenere, Comisia și Serviciul European de Acțiune Externă vor acorda o atenție deosebită acțiunilor de promovare a diversificării, atât pentru UE, cât și pentru țările sale partenere, a aprovizionării cu amoniac, uree, precum și cu alte îngrășăminte și alți factori de producție relevanți, în concordanță cu politica comercială a Uniunii și cu regimul de sancțiuni, menținând în același timp o bază de producție internă rezilientă.</w:t>
      </w:r>
      <w:r>
        <w:rPr>
          <w:rFonts w:ascii="Times New Roman" w:hAnsi="Times New Roman"/>
          <w:noProof/>
          <w:sz w:val="24"/>
        </w:rPr>
        <w:t xml:space="preserve"> Pentru a diversifica aprovizionarea, Comisia va explora investițiile în țările partenere, prin parteneriate reciproc avantajoase, printre altele în cadrul strategiei „Global Gateway”</w:t>
      </w:r>
      <w:r>
        <w:rPr>
          <w:rStyle w:val="FootnoteReference"/>
          <w:rFonts w:ascii="Times New Roman" w:hAnsi="Times New Roman" w:cs="Times New Roman"/>
          <w:noProof/>
          <w:sz w:val="24"/>
          <w:szCs w:val="24"/>
        </w:rPr>
        <w:footnoteReference w:id="19"/>
      </w:r>
      <w:r>
        <w:rPr>
          <w:rFonts w:ascii="Times New Roman" w:hAnsi="Times New Roman"/>
          <w:noProof/>
          <w:sz w:val="24"/>
        </w:rPr>
        <w:t xml:space="preserve"> și al abordării de tip „Echipa Europa”</w:t>
      </w:r>
      <w:r>
        <w:rPr>
          <w:rStyle w:val="FootnoteReference"/>
          <w:rFonts w:ascii="Times New Roman" w:hAnsi="Times New Roman" w:cs="Times New Roman"/>
          <w:noProof/>
          <w:sz w:val="24"/>
          <w:szCs w:val="24"/>
        </w:rPr>
        <w:footnoteReference w:id="20"/>
      </w:r>
      <w:r>
        <w:rPr>
          <w:rFonts w:ascii="Times New Roman" w:hAnsi="Times New Roman"/>
          <w:noProof/>
          <w:sz w:val="24"/>
        </w:rPr>
        <w:t>, care implică producția de amoniac și de îngrășăminte organice pe bază de bioresurse pentru a deservi piețele locale, regionale și piața UE de-a lungul coridoarelor identificate, cu instalații fiabile de transport, logistică și depozitare. În cazul amoniacului verde, proiectele de investiții potențiale sau proiectele în curs din cadrul inițiativei „Echipa Europa” privind producția de hidrogen din surse regenerabile în țări terțe, cum ar fi Namibia sau Paraguay, constituie un bun exemplu în acest sens,</w:t>
      </w:r>
      <w:r>
        <w:rPr>
          <w:noProof/>
        </w:rPr>
        <w:t xml:space="preserve"> </w:t>
      </w:r>
      <w:r>
        <w:rPr>
          <w:rFonts w:ascii="Times New Roman" w:hAnsi="Times New Roman"/>
          <w:noProof/>
          <w:sz w:val="24"/>
        </w:rPr>
        <w:t>la fel ca potențialul de cooperare cu Ucraina în ceea ce privește biometanul.</w:t>
      </w:r>
      <w:r>
        <w:rPr>
          <w:rFonts w:ascii="Times New Roman" w:hAnsi="Times New Roman"/>
          <w:b/>
          <w:noProof/>
          <w:sz w:val="24"/>
        </w:rPr>
        <w:t xml:space="preserve"> </w:t>
      </w:r>
      <w:r>
        <w:rPr>
          <w:rFonts w:ascii="Times New Roman" w:hAnsi="Times New Roman"/>
          <w:noProof/>
          <w:sz w:val="24"/>
        </w:rPr>
        <w:t>Prin urmare, cooperarea consolidată cu partenerii noștri este esențială, utilizând toate fluxurile de lucru disponibile, cum ar fi parteneriatele cuprinzătoare, precum și forurile regionale și multilaterale. Împreună cu țările din vecinătatea sudică și cu partenerii din Golf, în special, Pactul pentru Mediterana poate crea, de asemenea, oportunități concrete, pe termen scurt.</w:t>
      </w:r>
      <w:r>
        <w:rPr>
          <w:rFonts w:ascii="Times New Roman" w:hAnsi="Times New Roman"/>
          <w:b/>
          <w:noProof/>
          <w:sz w:val="24"/>
        </w:rPr>
        <w:t xml:space="preserve"> </w:t>
      </w:r>
    </w:p>
    <w:p w14:paraId="6F53A632" w14:textId="77777777" w:rsidR="00525D5C" w:rsidRPr="0027307A" w:rsidRDefault="00525D5C" w:rsidP="00381BC7">
      <w:pPr>
        <w:spacing w:after="140" w:line="276" w:lineRule="auto"/>
        <w:contextualSpacing/>
        <w:jc w:val="both"/>
        <w:rPr>
          <w:rFonts w:ascii="Times New Roman" w:hAnsi="Times New Roman" w:cs="Times New Roman"/>
          <w:noProof/>
          <w:sz w:val="24"/>
          <w:szCs w:val="24"/>
        </w:rPr>
      </w:pPr>
    </w:p>
    <w:p w14:paraId="1B0C109A" w14:textId="18EBB090" w:rsidR="00833CDB" w:rsidRPr="0027307A" w:rsidRDefault="00833CDB" w:rsidP="490C9E3B">
      <w:pPr>
        <w:spacing w:after="140" w:line="276" w:lineRule="auto"/>
        <w:contextualSpacing/>
        <w:jc w:val="both"/>
        <w:rPr>
          <w:rFonts w:ascii="Times New Roman" w:hAnsi="Times New Roman" w:cs="Times New Roman"/>
          <w:noProof/>
          <w:sz w:val="24"/>
          <w:szCs w:val="24"/>
        </w:rPr>
      </w:pPr>
      <w:r>
        <w:rPr>
          <w:rFonts w:ascii="Times New Roman" w:hAnsi="Times New Roman"/>
          <w:b/>
          <w:noProof/>
          <w:sz w:val="24"/>
        </w:rPr>
        <w:t>Comisia va evalua și, pe această bază, va aborda și va reduce riscurile în ceea ce privește accesul UE la potasă și fosfat, precum și la îngrășăminte fosfatice și potasice</w:t>
      </w:r>
      <w:r>
        <w:rPr>
          <w:rFonts w:ascii="Times New Roman" w:hAnsi="Times New Roman"/>
          <w:noProof/>
          <w:sz w:val="24"/>
        </w:rPr>
        <w:t>, inclusiv prin menținerea sau stimularea capacității de producție interne, asigurarea diversificării importurilor, abordarea nevoilor de modernizare și a considerentelor de mediu, efectuând modificările adecvate ale reglementărilor, dacă este necesar.</w:t>
      </w:r>
    </w:p>
    <w:p w14:paraId="7BF597EF" w14:textId="77777777" w:rsidR="00525D5C" w:rsidRPr="00D16309" w:rsidRDefault="00525D5C" w:rsidP="00381BC7">
      <w:pPr>
        <w:spacing w:after="140" w:line="276" w:lineRule="auto"/>
        <w:contextualSpacing/>
        <w:jc w:val="both"/>
        <w:rPr>
          <w:rFonts w:ascii="Times New Roman" w:hAnsi="Times New Roman" w:cs="Times New Roman"/>
          <w:b/>
          <w:bCs/>
          <w:noProof/>
          <w:sz w:val="24"/>
          <w:szCs w:val="24"/>
          <w:lang w:eastAsia="en-IE"/>
        </w:rPr>
      </w:pPr>
    </w:p>
    <w:p w14:paraId="41BADAF7" w14:textId="398676C5" w:rsidR="00EB51AD" w:rsidRDefault="000354EC" w:rsidP="490C9E3B">
      <w:pPr>
        <w:spacing w:after="140" w:line="276" w:lineRule="auto"/>
        <w:contextualSpacing/>
        <w:jc w:val="both"/>
        <w:rPr>
          <w:rFonts w:ascii="Times New Roman" w:hAnsi="Times New Roman" w:cs="Times New Roman"/>
          <w:noProof/>
          <w:sz w:val="24"/>
          <w:szCs w:val="24"/>
        </w:rPr>
      </w:pPr>
      <w:r>
        <w:rPr>
          <w:rFonts w:ascii="Times New Roman" w:hAnsi="Times New Roman"/>
          <w:b/>
          <w:noProof/>
          <w:sz w:val="24"/>
        </w:rPr>
        <w:t>Comisia va evalua constituirea de stocuri și alte opțiuni de pregătire</w:t>
      </w:r>
      <w:r>
        <w:rPr>
          <w:rFonts w:ascii="Times New Roman" w:hAnsi="Times New Roman"/>
          <w:noProof/>
          <w:sz w:val="24"/>
        </w:rPr>
        <w:t xml:space="preserve"> pentru îngrășămintele și factorii de producție esențiali, inclusiv stocurile sezoniere sau minime și, după caz, achizițiile publice comune sau alte instrumente pentru a spori reziliența la șocurile externe și pentru a stabiliza volatilitatea prețurilor. Această activitate va contribui la schimburile relevante privind pregătirea materială a UE în cadrul rețelei UE de constituire de stocuri creată în cadrul strategiei de constituire de stocuri la nivelul UE</w:t>
      </w:r>
      <w:r>
        <w:rPr>
          <w:rStyle w:val="FootnoteReference"/>
          <w:rFonts w:ascii="Times New Roman" w:hAnsi="Times New Roman" w:cs="Times New Roman"/>
          <w:noProof/>
          <w:sz w:val="24"/>
          <w:szCs w:val="24"/>
          <w:lang w:eastAsia="en-IE"/>
        </w:rPr>
        <w:footnoteReference w:id="21"/>
      </w:r>
      <w:r>
        <w:rPr>
          <w:rFonts w:ascii="Times New Roman" w:hAnsi="Times New Roman"/>
          <w:noProof/>
          <w:sz w:val="24"/>
        </w:rPr>
        <w:t>, la alte acțiuni-cheie privind o uniune a pregătirii, la setul de instrumente IMERA și la colectarea de date privind stocurile în cadrul măsurilor de transparență a pieței propuse mai jos. Activitatea Comisiei va ține seama pe deplin de subsidiaritate, de constrângerile în materie de stocare și de siguranță, de posibilele efecte asupra prețurilor și asupra țărilor terțe fragile dependente de importuri, precum și de coerența cu instrumentele orizontale de pregătire.</w:t>
      </w:r>
    </w:p>
    <w:p w14:paraId="30064162" w14:textId="77777777" w:rsidR="004739E9" w:rsidRDefault="004739E9" w:rsidP="490C9E3B">
      <w:pPr>
        <w:spacing w:after="140" w:line="276" w:lineRule="auto"/>
        <w:contextualSpacing/>
        <w:jc w:val="both"/>
        <w:rPr>
          <w:rFonts w:ascii="Times New Roman" w:hAnsi="Times New Roman" w:cs="Times New Roman"/>
          <w:noProof/>
          <w:sz w:val="24"/>
          <w:szCs w:val="24"/>
          <w:lang w:eastAsia="en-IE"/>
        </w:rPr>
      </w:pPr>
    </w:p>
    <w:p w14:paraId="37F44EE3" w14:textId="51AFFA96" w:rsidR="00F17277" w:rsidRPr="0027307A" w:rsidRDefault="000F5812" w:rsidP="00381BC7">
      <w:pPr>
        <w:spacing w:after="140" w:line="276" w:lineRule="auto"/>
        <w:contextualSpacing/>
        <w:jc w:val="both"/>
        <w:rPr>
          <w:rFonts w:ascii="Times New Roman" w:hAnsi="Times New Roman" w:cs="Times New Roman"/>
          <w:b/>
          <w:bCs/>
          <w:noProof/>
          <w:sz w:val="24"/>
          <w:szCs w:val="24"/>
        </w:rPr>
      </w:pPr>
      <w:bookmarkStart w:id="5" w:name="_Hlk226704747"/>
      <w:r>
        <w:rPr>
          <w:rFonts w:ascii="Times New Roman" w:hAnsi="Times New Roman"/>
          <w:b/>
          <w:noProof/>
          <w:sz w:val="24"/>
        </w:rPr>
        <w:t>4.2.2. Circularitatea, integrarea pieței și decarbonizarea</w:t>
      </w:r>
    </w:p>
    <w:bookmarkEnd w:id="5"/>
    <w:p w14:paraId="030427E7" w14:textId="3EC20BF2" w:rsidR="00BD3F31" w:rsidRPr="0027307A" w:rsidRDefault="00BD3F31" w:rsidP="00BD3F31">
      <w:pPr>
        <w:spacing w:beforeAutospacing="1" w:afterAutospacing="1" w:line="276" w:lineRule="auto"/>
        <w:jc w:val="both"/>
        <w:rPr>
          <w:rFonts w:ascii="Times New Roman" w:eastAsia="Times New Roman" w:hAnsi="Times New Roman" w:cs="Times New Roman"/>
          <w:b/>
          <w:bCs/>
          <w:noProof/>
          <w:kern w:val="0"/>
          <w:sz w:val="24"/>
          <w:szCs w:val="24"/>
          <w14:ligatures w14:val="none"/>
        </w:rPr>
      </w:pPr>
      <w:r>
        <w:rPr>
          <w:rFonts w:ascii="Times New Roman" w:hAnsi="Times New Roman"/>
          <w:b/>
          <w:noProof/>
          <w:sz w:val="24"/>
        </w:rPr>
        <w:t>Există un potențial clar de îmbunătățire a eficienței nutrienților și de consolidare a circularității în agricultura UE.</w:t>
      </w:r>
      <w:r>
        <w:rPr>
          <w:rFonts w:ascii="Times New Roman" w:hAnsi="Times New Roman"/>
          <w:noProof/>
          <w:sz w:val="24"/>
        </w:rPr>
        <w:t xml:space="preserve"> Închiderea buclei în ceea ce privește utilizarea nutrienților, menținând în același timp producția internă, este atât realizabilă, cât și benefică, oferind economii de costuri, reducerea riscurilor de poluare, îmbunătățirea eficienței resurselor și securitatea aprovizionării.</w:t>
      </w:r>
    </w:p>
    <w:p w14:paraId="7582987F" w14:textId="6CB28446" w:rsidR="00CC56D3" w:rsidRPr="0027307A" w:rsidRDefault="00EB51AD" w:rsidP="00381BC7">
      <w:pPr>
        <w:spacing w:after="140" w:line="276" w:lineRule="auto"/>
        <w:jc w:val="both"/>
        <w:rPr>
          <w:rFonts w:ascii="Times New Roman" w:hAnsi="Times New Roman" w:cs="Times New Roman"/>
          <w:noProof/>
          <w:sz w:val="24"/>
          <w:szCs w:val="24"/>
        </w:rPr>
      </w:pPr>
      <w:r>
        <w:rPr>
          <w:rFonts w:ascii="Times New Roman" w:hAnsi="Times New Roman"/>
          <w:b/>
          <w:noProof/>
          <w:sz w:val="24"/>
        </w:rPr>
        <w:t>Comisia va sprijini dezvoltarea și adoptarea îngrășămintelor organice și a alternativelor la îngrășămintele anorganice convenționale, în special a îngrășămintelor pe bază de bioresurse</w:t>
      </w:r>
      <w:r>
        <w:rPr>
          <w:rFonts w:ascii="Times New Roman" w:hAnsi="Times New Roman"/>
          <w:noProof/>
          <w:sz w:val="24"/>
        </w:rPr>
        <w:t>, prin reciclarea nutrienților, recuperarea fosforului și a azotului, filiere de biometan și biogaz, valorificarea digestatului, valorificarea biomasei de alge, soluții microbiene și alte tehnologii inovatoare. Această activitate se va baza pe strategia în domeniul bioeconomiei</w:t>
      </w:r>
      <w:r>
        <w:rPr>
          <w:rStyle w:val="FootnoteReference"/>
          <w:rFonts w:ascii="Times New Roman" w:hAnsi="Times New Roman" w:cs="Times New Roman"/>
          <w:noProof/>
          <w:sz w:val="24"/>
          <w:szCs w:val="24"/>
          <w:lang w:eastAsia="en-IE"/>
        </w:rPr>
        <w:footnoteReference w:id="22"/>
      </w:r>
      <w:r>
        <w:rPr>
          <w:rFonts w:ascii="Times New Roman" w:hAnsi="Times New Roman"/>
          <w:noProof/>
          <w:sz w:val="24"/>
        </w:rPr>
        <w:t>, pe punerea în aplicare a Directivei privind epurarea apelor uzate urbane</w:t>
      </w:r>
      <w:r>
        <w:rPr>
          <w:rFonts w:ascii="Times New Roman" w:hAnsi="Times New Roman" w:cs="Times New Roman"/>
          <w:iCs/>
          <w:noProof/>
          <w:sz w:val="24"/>
          <w:szCs w:val="24"/>
          <w:vertAlign w:val="superscript"/>
          <w:lang w:eastAsia="en-IE"/>
        </w:rPr>
        <w:footnoteReference w:id="23"/>
      </w:r>
      <w:r>
        <w:rPr>
          <w:rFonts w:ascii="Times New Roman" w:hAnsi="Times New Roman"/>
          <w:noProof/>
          <w:sz w:val="24"/>
        </w:rPr>
        <w:t xml:space="preserve"> și pe inițiativele relevante privind economia circulară menite să faciliteze producția și utilizarea în condiții de siguranță a nutrienților recuperați, precum și să valorifice reziduurile, deșeurile și subprodusele de-a lungul lanțurilor valorice, inclusiv în sectoare precum agricultura, silvicultura, acvacultura și pescuitul. Măsurile relevante sunt, de asemenea, evaluate în perspectiva viitorului act legislativ privind economia circulară. </w:t>
      </w:r>
    </w:p>
    <w:p w14:paraId="3C4860EE" w14:textId="339C53DB" w:rsidR="00525D5C" w:rsidRPr="0027307A" w:rsidRDefault="00A92C1B" w:rsidP="00381BC7">
      <w:pPr>
        <w:spacing w:after="140" w:line="276" w:lineRule="auto"/>
        <w:jc w:val="both"/>
        <w:rPr>
          <w:rFonts w:ascii="Times New Roman" w:hAnsi="Times New Roman" w:cs="Times New Roman"/>
          <w:noProof/>
          <w:sz w:val="24"/>
          <w:szCs w:val="24"/>
        </w:rPr>
      </w:pPr>
      <w:r>
        <w:rPr>
          <w:rFonts w:ascii="Times New Roman" w:hAnsi="Times New Roman"/>
          <w:b/>
          <w:noProof/>
          <w:sz w:val="24"/>
        </w:rPr>
        <w:t>Piața îngrășămintelor pe bază de bioresurse a fost identificată ca fiind una dintre piețele-lider în sectorul înlocuitorilor îngrășămintelor minerale tradiționale în recenta strategie din domeniul bioeconomiei.</w:t>
      </w:r>
      <w:r>
        <w:rPr>
          <w:rFonts w:ascii="Times New Roman" w:hAnsi="Times New Roman"/>
          <w:noProof/>
          <w:sz w:val="24"/>
        </w:rPr>
        <w:t xml:space="preserve"> Comisia va examina opțiunile de furnizare a unor definiții clare pentru aceste îngrășăminte. Pe lângă eliminarea barierelor la intrarea pe piață sau de reglementare, stabilirea unei astfel de definiții va constitui un prim pas necesar pentru măsurile descrise mai jos, care vizează crearea de piețe-lider pentru astfel de produse. Pentru a accelera trecerea de la produse fertilizante pe bază de combustibili fosili la alternative circulare și bazate pe bioresurse, Comisia va propune măsuri de creștere a competitivității și a gradului de utilizare a produselor fertilizante pe bază de bioresurse, inclusiv a biostimulatorilor plantelor, ținând seama de recomandările Alianței pentru substanțe chimice critice.</w:t>
      </w:r>
    </w:p>
    <w:p w14:paraId="5D2E4581" w14:textId="30A02C95" w:rsidR="00F37855" w:rsidRPr="001C18F0" w:rsidRDefault="00A32E19" w:rsidP="00381BC7">
      <w:pPr>
        <w:spacing w:after="140" w:line="276" w:lineRule="auto"/>
        <w:jc w:val="both"/>
        <w:rPr>
          <w:rFonts w:ascii="Times New Roman" w:hAnsi="Times New Roman" w:cs="Times New Roman"/>
          <w:b/>
          <w:bCs/>
          <w:noProof/>
          <w:sz w:val="24"/>
          <w:szCs w:val="24"/>
        </w:rPr>
      </w:pPr>
      <w:r>
        <w:rPr>
          <w:rFonts w:ascii="Times New Roman" w:hAnsi="Times New Roman"/>
          <w:b/>
          <w:noProof/>
          <w:sz w:val="24"/>
        </w:rPr>
        <w:t>În propunerea de regulament privind biotehnologiile II, Comisia va pregăti măsuri de creare a unor piețe-lider pentru produsele fertilizante pe bază de bioresurse</w:t>
      </w:r>
      <w:r>
        <w:rPr>
          <w:rFonts w:ascii="Times New Roman" w:hAnsi="Times New Roman"/>
          <w:noProof/>
          <w:sz w:val="24"/>
        </w:rPr>
        <w:t xml:space="preserve">. Scopul creării de piețe-lider de acest tip este de a consolida argumentele economice în favoarea unor astfel de procese de producție și de a face prețurile produselor în cauză mai accesibile în timp. </w:t>
      </w:r>
      <w:r>
        <w:rPr>
          <w:rFonts w:ascii="Times New Roman" w:hAnsi="Times New Roman"/>
          <w:b/>
          <w:noProof/>
          <w:sz w:val="24"/>
        </w:rPr>
        <w:t>Aceasta va include cerințe minime privind combinarea conținutului cu emisii scăzute de dioxid de carbon și/sau a conținutului bazat pe bioresurse și/sau alte mecanisme axate pe cerere, cum ar fi sistemele de etichetare voluntare și obligatorii.</w:t>
      </w:r>
    </w:p>
    <w:p w14:paraId="39C5BF24" w14:textId="7323A4B3" w:rsidR="00F37855" w:rsidRPr="0027307A" w:rsidRDefault="00F37855" w:rsidP="00381BC7">
      <w:pPr>
        <w:spacing w:after="140" w:line="276" w:lineRule="auto"/>
        <w:jc w:val="both"/>
        <w:rPr>
          <w:rFonts w:ascii="Times New Roman" w:hAnsi="Times New Roman" w:cs="Times New Roman"/>
          <w:noProof/>
          <w:sz w:val="24"/>
          <w:szCs w:val="24"/>
        </w:rPr>
      </w:pPr>
      <w:r>
        <w:rPr>
          <w:rFonts w:ascii="Times New Roman" w:hAnsi="Times New Roman"/>
          <w:noProof/>
          <w:sz w:val="24"/>
        </w:rPr>
        <w:t>În ceea ce privește îngrășămintele pe bază de bioresurse de origine animală, Comisia va analiza blocajele din calea creării unor astfel de piețe-lider care ar putea fi cauzate de legislația UE. În contextul evaluării</w:t>
      </w:r>
      <w:r>
        <w:rPr>
          <w:rFonts w:ascii="Times New Roman" w:hAnsi="Times New Roman"/>
          <w:b/>
          <w:noProof/>
          <w:sz w:val="24"/>
        </w:rPr>
        <w:t xml:space="preserve"> Directivei-cadru privind deșeurile</w:t>
      </w:r>
      <w:r>
        <w:rPr>
          <w:rStyle w:val="FootnoteReference"/>
          <w:rFonts w:ascii="Times New Roman" w:hAnsi="Times New Roman" w:cs="Times New Roman"/>
          <w:noProof/>
          <w:sz w:val="24"/>
          <w:szCs w:val="24"/>
          <w:lang w:eastAsia="en-IE"/>
        </w:rPr>
        <w:footnoteReference w:id="24"/>
      </w:r>
      <w:r>
        <w:rPr>
          <w:rFonts w:ascii="Times New Roman" w:hAnsi="Times New Roman"/>
          <w:b/>
          <w:noProof/>
          <w:sz w:val="24"/>
        </w:rPr>
        <w:t>, Comisia va evalua măsurile de simplificare a gestionării subproduselor de origine animală și a altor subproduse, inclusiv a celor destinate utilizării într-o instalație de producere a biogazului sau de compostare, precum și a utilizării agricole a gunoiului de grajd degradat anaerob sau compostat, în special dacă acestea ar putea fi excluse din domeniul său de aplicare</w:t>
      </w:r>
      <w:r>
        <w:rPr>
          <w:rFonts w:ascii="Times New Roman" w:hAnsi="Times New Roman"/>
          <w:noProof/>
          <w:sz w:val="24"/>
        </w:rPr>
        <w:t>. Comisia va examina, de asemenea, modul în care dispozițiile Regulamentului privind subprodusele de origine animală ar putea fi îmbunătățite în continuare pentru a facilita comercializarea și utilizarea îngrășămintelor pe bază de bioresurse de origine animală.  De asemenea, Comisia își va continua activitatea privind dezvoltarea viitoare a Regulamentului (UE) 2019/1009 (Regulamentul UE privind produsele fertilizante) pentru a permite utilizarea unei game mai largi de materiale din bioresurse în produsele fertilizante UE, încurajând astfel inovarea și circularitatea produselor pentru piața unică.</w:t>
      </w:r>
    </w:p>
    <w:p w14:paraId="6A5C3D52" w14:textId="010C74E4" w:rsidR="000D2742" w:rsidRPr="0027307A" w:rsidRDefault="000F2307" w:rsidP="00381BC7">
      <w:pPr>
        <w:spacing w:after="140" w:line="276" w:lineRule="auto"/>
        <w:jc w:val="both"/>
        <w:rPr>
          <w:rFonts w:ascii="Times New Roman" w:hAnsi="Times New Roman" w:cs="Times New Roman"/>
          <w:noProof/>
          <w:sz w:val="24"/>
          <w:szCs w:val="24"/>
        </w:rPr>
      </w:pPr>
      <w:r>
        <w:rPr>
          <w:rFonts w:ascii="Times New Roman" w:hAnsi="Times New Roman"/>
          <w:noProof/>
          <w:sz w:val="24"/>
        </w:rPr>
        <w:t xml:space="preserve">Comisia ia măsuri pentru a promova adoptarea produselor cu emisii scăzute de dioxid de carbon. În acest context, </w:t>
      </w:r>
      <w:r>
        <w:rPr>
          <w:rFonts w:ascii="Times New Roman" w:hAnsi="Times New Roman"/>
          <w:b/>
          <w:noProof/>
          <w:sz w:val="24"/>
        </w:rPr>
        <w:t>Alianța pentru substanțele chimice critice evaluează opțiunile de politică pentru a crea piețe-lider pentru produsele cu emisii scăzute de dioxid de carbon, inclusiv pentru îngrășămintele azotoase</w:t>
      </w:r>
      <w:r>
        <w:rPr>
          <w:rFonts w:ascii="Times New Roman" w:hAnsi="Times New Roman"/>
          <w:noProof/>
          <w:sz w:val="24"/>
        </w:rPr>
        <w:t>, cu scopul de a consolida argumentele economice pentru investiții în producția cu emisii scăzute de dioxid de carbon. Comisia va lua în considerare recomandările alianței referitoare la măsurile de consolidare a cererii de produse cu emisii scăzute de dioxid de carbon, inclusiv de îngrășăminte.</w:t>
      </w:r>
    </w:p>
    <w:p w14:paraId="3D72CB3E" w14:textId="11D4ADC3" w:rsidR="00D16309" w:rsidRDefault="003F2781" w:rsidP="00381BC7">
      <w:pPr>
        <w:spacing w:after="140" w:line="276" w:lineRule="auto"/>
        <w:jc w:val="both"/>
        <w:rPr>
          <w:rFonts w:ascii="Times New Roman" w:hAnsi="Times New Roman" w:cs="Times New Roman"/>
          <w:noProof/>
          <w:sz w:val="24"/>
          <w:szCs w:val="24"/>
        </w:rPr>
      </w:pPr>
      <w:r>
        <w:rPr>
          <w:rFonts w:ascii="Times New Roman" w:hAnsi="Times New Roman"/>
          <w:noProof/>
          <w:sz w:val="24"/>
        </w:rPr>
        <w:t>De asemenea, Comisia va permite statelor membre să utilizeze, după caz, instrumente de ajutor de stat pentru a sprijini fermierii să utilizeze și să adopte îngrășăminte (organice) pe bază de bioresurse și cu emisii scăzute de dioxid de carbon, cum ar fi posibilitățile existente în temeiul Orientărilor privind ajutoarele de stat în sectoarele agricol și forestier și în zonele rurale</w:t>
      </w:r>
      <w:r>
        <w:rPr>
          <w:rStyle w:val="FootnoteReference"/>
          <w:rFonts w:ascii="Times New Roman" w:hAnsi="Times New Roman" w:cs="Times New Roman"/>
          <w:noProof/>
          <w:sz w:val="24"/>
          <w:szCs w:val="24"/>
          <w:lang w:eastAsia="en-IE"/>
        </w:rPr>
        <w:footnoteReference w:id="25"/>
      </w:r>
      <w:r>
        <w:rPr>
          <w:rFonts w:ascii="Times New Roman" w:hAnsi="Times New Roman"/>
          <w:noProof/>
          <w:sz w:val="24"/>
        </w:rPr>
        <w:t xml:space="preserve"> și al Regulamentului de exceptare pe categorii în sectorul agricol</w:t>
      </w:r>
      <w:r>
        <w:rPr>
          <w:rFonts w:ascii="Times New Roman" w:hAnsi="Times New Roman" w:cs="Times New Roman"/>
          <w:noProof/>
          <w:spacing w:val="-4"/>
          <w:sz w:val="24"/>
          <w:szCs w:val="24"/>
          <w:vertAlign w:val="superscript"/>
        </w:rPr>
        <w:footnoteReference w:id="26"/>
      </w:r>
      <w:r>
        <w:rPr>
          <w:rFonts w:ascii="Times New Roman" w:hAnsi="Times New Roman"/>
          <w:noProof/>
          <w:sz w:val="24"/>
        </w:rPr>
        <w:t>.</w:t>
      </w:r>
    </w:p>
    <w:p w14:paraId="67545726" w14:textId="5BDCB759" w:rsidR="00A32E19" w:rsidRPr="0027307A" w:rsidRDefault="00A32E19" w:rsidP="00381BC7">
      <w:pPr>
        <w:spacing w:after="140" w:line="276" w:lineRule="auto"/>
        <w:jc w:val="both"/>
        <w:rPr>
          <w:rFonts w:ascii="Times New Roman" w:hAnsi="Times New Roman" w:cs="Times New Roman"/>
          <w:noProof/>
          <w:sz w:val="24"/>
          <w:szCs w:val="24"/>
        </w:rPr>
      </w:pPr>
      <w:r>
        <w:rPr>
          <w:rFonts w:ascii="Times New Roman" w:hAnsi="Times New Roman"/>
          <w:noProof/>
          <w:sz w:val="24"/>
        </w:rPr>
        <w:t>Piața UE a produselor fertilizante</w:t>
      </w:r>
      <w:r>
        <w:rPr>
          <w:rFonts w:ascii="Times New Roman" w:hAnsi="Times New Roman"/>
          <w:noProof/>
          <w:color w:val="000000" w:themeColor="text1"/>
          <w:sz w:val="24"/>
        </w:rPr>
        <w:t xml:space="preserve"> coexistă cu regimurile naționale privind îngrășămintele. Regulamentul UE privind produsele fertilizante se bazează pe principiul armonizării opționale, oferind un stimulent pentru libera circulație, în întreaga UE, a produselor fertilizante cu marcaj CE care respectă criteriile stabilite în regulament.</w:t>
      </w:r>
      <w:r>
        <w:rPr>
          <w:rFonts w:ascii="Times New Roman" w:hAnsi="Times New Roman"/>
          <w:b/>
          <w:noProof/>
          <w:sz w:val="24"/>
        </w:rPr>
        <w:t xml:space="preserve"> </w:t>
      </w:r>
      <w:r>
        <w:rPr>
          <w:rFonts w:ascii="Times New Roman" w:hAnsi="Times New Roman"/>
          <w:noProof/>
          <w:sz w:val="24"/>
        </w:rPr>
        <w:t>Deși produsele conforme cu Regulamentul UE privind produsele fertilizante pot purta marcajul CE și pot circula liber pe piața unică, producătorii pot decide, de asemenea, să își comercializeze produsele fertilizante în temeiul normelor naționale. Având în vedere cadrul de lungă durată al UE pentru îngrășămintele anorganice,</w:t>
      </w:r>
      <w:r>
        <w:rPr>
          <w:noProof/>
        </w:rPr>
        <w:t xml:space="preserve"> </w:t>
      </w:r>
      <w:r>
        <w:rPr>
          <w:rFonts w:ascii="Times New Roman" w:hAnsi="Times New Roman"/>
          <w:noProof/>
          <w:sz w:val="24"/>
        </w:rPr>
        <w:t xml:space="preserve">ar trebui explorată armonizarea deplină a normelor privind îngrășămintele anorganice, pentru a beneficia pe deplin de piața unică și pentru a permite producătorilor să își introducă produsele pe piața mai multor state membre în cadrul unui regim unic, sporind astfel circulația acestor produse în întreaga Uniune. </w:t>
      </w:r>
      <w:r>
        <w:rPr>
          <w:rFonts w:ascii="Times New Roman" w:hAnsi="Times New Roman"/>
          <w:b/>
          <w:noProof/>
          <w:sz w:val="24"/>
        </w:rPr>
        <w:t xml:space="preserve">Comisia va evalua </w:t>
      </w:r>
      <w:r>
        <w:rPr>
          <w:rFonts w:ascii="Times New Roman" w:hAnsi="Times New Roman"/>
          <w:b/>
          <w:noProof/>
          <w:color w:val="000000" w:themeColor="text1"/>
          <w:sz w:val="24"/>
        </w:rPr>
        <w:t>fezabilitatea unei piețe unice pe deplin integrate pentru îngrășămintele anorganice</w:t>
      </w:r>
      <w:r>
        <w:rPr>
          <w:rFonts w:ascii="Times New Roman" w:hAnsi="Times New Roman"/>
          <w:noProof/>
          <w:color w:val="000000" w:themeColor="text1"/>
          <w:sz w:val="24"/>
        </w:rPr>
        <w:t xml:space="preserve">, eventual printr-o modificare a </w:t>
      </w:r>
      <w:r>
        <w:rPr>
          <w:rFonts w:ascii="Times New Roman" w:hAnsi="Times New Roman"/>
          <w:noProof/>
          <w:sz w:val="24"/>
        </w:rPr>
        <w:t>Regulamentului privind produsele fertilizante.</w:t>
      </w:r>
    </w:p>
    <w:p w14:paraId="781D46AE" w14:textId="75739D6C" w:rsidR="00DD1BF6" w:rsidRPr="00E235B7" w:rsidRDefault="00DD1BF6" w:rsidP="00DD1BF6">
      <w:pPr>
        <w:spacing w:line="278"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Pentru produsele care nu fac obiectul normelor armonizate, producătorii se bazează pe principiul recunoașterii reciproce pentru a le pune la dispoziție pe piețele altor state membre. Comisia evaluează Regulamentul (UE) 2019/515</w:t>
      </w:r>
      <w:r>
        <w:rPr>
          <w:rStyle w:val="FootnoteReference"/>
          <w:rFonts w:ascii="Times New Roman" w:hAnsi="Times New Roman" w:cs="Times New Roman"/>
          <w:noProof/>
          <w:color w:val="000000" w:themeColor="text1"/>
          <w:sz w:val="24"/>
          <w:szCs w:val="24"/>
          <w:lang w:val="en-US" w:eastAsia="en-IE"/>
        </w:rPr>
        <w:footnoteReference w:id="27"/>
      </w:r>
      <w:r>
        <w:rPr>
          <w:rFonts w:ascii="Times New Roman" w:hAnsi="Times New Roman"/>
          <w:noProof/>
          <w:color w:val="000000" w:themeColor="text1"/>
          <w:sz w:val="24"/>
        </w:rPr>
        <w:t xml:space="preserve"> privind recunoașterea reciprocă a mărfurilor comercializate în mod legal în alt stat membru, ceea ce include o evaluare a eficacității regulamentului în ceea ce privește consolidarea funcționării pieței interne pentru mărfurile nearmonizate și parțial armonizate, cum ar fi produsele fertilizante naționale. Pe baza constatărilor evaluării respective, Comisia va lua în considerare măsuri de monitorizare.</w:t>
      </w:r>
    </w:p>
    <w:p w14:paraId="47B55546" w14:textId="4B7F56DE" w:rsidR="00B46AE1" w:rsidRPr="0027307A" w:rsidRDefault="001809C6" w:rsidP="00381BC7">
      <w:pPr>
        <w:spacing w:after="140" w:line="276" w:lineRule="auto"/>
        <w:jc w:val="both"/>
        <w:rPr>
          <w:rFonts w:ascii="Times New Roman" w:hAnsi="Times New Roman" w:cs="Times New Roman"/>
          <w:noProof/>
          <w:sz w:val="24"/>
          <w:szCs w:val="24"/>
        </w:rPr>
      </w:pPr>
      <w:r>
        <w:rPr>
          <w:rFonts w:ascii="Times New Roman" w:hAnsi="Times New Roman"/>
          <w:b/>
          <w:noProof/>
          <w:sz w:val="24"/>
        </w:rPr>
        <w:t>În ceea ce privește îngrășămintele fosfatice</w:t>
      </w:r>
      <w:r>
        <w:rPr>
          <w:rFonts w:ascii="Times New Roman" w:hAnsi="Times New Roman"/>
          <w:noProof/>
          <w:sz w:val="24"/>
        </w:rPr>
        <w:t xml:space="preserve">, evaluarea de către Comisie a Regulamentului (UE) 2019/1009 va include o </w:t>
      </w:r>
      <w:r>
        <w:rPr>
          <w:rFonts w:ascii="Times New Roman" w:hAnsi="Times New Roman"/>
          <w:b/>
          <w:noProof/>
          <w:sz w:val="24"/>
        </w:rPr>
        <w:t>revizuire a valorilor-limită pentru cadmiu</w:t>
      </w:r>
      <w:r>
        <w:rPr>
          <w:rFonts w:ascii="Times New Roman" w:hAnsi="Times New Roman"/>
          <w:noProof/>
          <w:sz w:val="24"/>
        </w:rPr>
        <w:t xml:space="preserve"> stabilite în regulament. Revizuirea va analiza fezabilitatea reducerii acestor valori-limită la un nivel adecvat mai scăzut, ținând seama de tehnologiile disponibile și de dovezile științifice privind impactul asupra sănătății și mediului, precum și de disponibilitatea îngrășămintelor, de accesibilitatea prețurilor acestora și de securitatea aprovizionării. </w:t>
      </w:r>
    </w:p>
    <w:p w14:paraId="6E3FB093" w14:textId="311E159B" w:rsidR="00EE31AB" w:rsidRDefault="00EE31AB" w:rsidP="00381BC7">
      <w:pPr>
        <w:spacing w:line="276" w:lineRule="auto"/>
        <w:jc w:val="both"/>
        <w:rPr>
          <w:rFonts w:ascii="Times New Roman" w:hAnsi="Times New Roman" w:cs="Times New Roman"/>
          <w:noProof/>
          <w:sz w:val="24"/>
          <w:szCs w:val="24"/>
        </w:rPr>
      </w:pPr>
      <w:r>
        <w:rPr>
          <w:rFonts w:ascii="Times New Roman" w:hAnsi="Times New Roman"/>
          <w:noProof/>
          <w:sz w:val="24"/>
        </w:rPr>
        <w:t>Comisia va sprijini, de asemenea, continuarea activităților cu privire la</w:t>
      </w:r>
      <w:r>
        <w:rPr>
          <w:rFonts w:ascii="Times New Roman" w:hAnsi="Times New Roman"/>
          <w:b/>
          <w:noProof/>
          <w:sz w:val="24"/>
        </w:rPr>
        <w:t xml:space="preserve"> recuperarea fosforului și a azotului din fluxurile de deșeuri organice</w:t>
      </w:r>
      <w:r>
        <w:rPr>
          <w:rFonts w:ascii="Times New Roman" w:hAnsi="Times New Roman"/>
          <w:noProof/>
          <w:sz w:val="24"/>
        </w:rPr>
        <w:t xml:space="preserve">, inclusiv din apele uzate și nămolurile de origine industrială și urbană, biodeșeurile, digestatul și alte deșeuri. Comisia va evalua necesitatea de </w:t>
      </w:r>
      <w:r>
        <w:rPr>
          <w:rFonts w:ascii="Times New Roman" w:hAnsi="Times New Roman"/>
          <w:b/>
          <w:noProof/>
          <w:sz w:val="24"/>
        </w:rPr>
        <w:t>a stabili obiective de reciclare a nutrienților</w:t>
      </w:r>
      <w:r>
        <w:rPr>
          <w:rFonts w:ascii="Times New Roman" w:hAnsi="Times New Roman"/>
          <w:noProof/>
          <w:sz w:val="24"/>
        </w:rPr>
        <w:t>, având în același timp așteptări realiste cu privire la rezultatele care pot fi obținute.</w:t>
      </w:r>
    </w:p>
    <w:p w14:paraId="202C4F65" w14:textId="6A2FA902" w:rsidR="000E1BFB" w:rsidRPr="0027307A" w:rsidRDefault="00FC3617" w:rsidP="004739E9">
      <w:pPr>
        <w:keepNext/>
        <w:spacing w:after="140" w:line="276" w:lineRule="auto"/>
        <w:jc w:val="both"/>
        <w:rPr>
          <w:rFonts w:ascii="Times New Roman" w:hAnsi="Times New Roman" w:cs="Times New Roman"/>
          <w:b/>
          <w:bCs/>
          <w:noProof/>
          <w:sz w:val="24"/>
          <w:szCs w:val="24"/>
        </w:rPr>
      </w:pPr>
      <w:r>
        <w:rPr>
          <w:rFonts w:ascii="Times New Roman" w:hAnsi="Times New Roman"/>
          <w:b/>
          <w:noProof/>
          <w:sz w:val="24"/>
        </w:rPr>
        <w:t>4.2.3. Stabilirea prețului carbonului și sprijinul industrial</w:t>
      </w:r>
    </w:p>
    <w:p w14:paraId="3B702BDD" w14:textId="450367CC" w:rsidR="000211A0" w:rsidRDefault="0056093A" w:rsidP="004739E9">
      <w:pPr>
        <w:keepNext/>
        <w:spacing w:line="276" w:lineRule="auto"/>
        <w:jc w:val="both"/>
        <w:rPr>
          <w:rFonts w:ascii="Times New Roman" w:hAnsi="Times New Roman" w:cs="Times New Roman"/>
          <w:noProof/>
          <w:sz w:val="24"/>
          <w:szCs w:val="24"/>
        </w:rPr>
      </w:pPr>
      <w:r>
        <w:rPr>
          <w:rFonts w:ascii="Times New Roman" w:hAnsi="Times New Roman"/>
          <w:noProof/>
          <w:sz w:val="24"/>
        </w:rPr>
        <w:t>Schema UE de comercializare a certificatelor de emisii</w:t>
      </w:r>
      <w:r>
        <w:rPr>
          <w:rStyle w:val="FootnoteReference"/>
          <w:rFonts w:ascii="Times New Roman" w:hAnsi="Times New Roman" w:cs="Times New Roman"/>
          <w:noProof/>
          <w:sz w:val="24"/>
          <w:szCs w:val="24"/>
          <w:lang w:eastAsia="en-IE"/>
        </w:rPr>
        <w:footnoteReference w:id="28"/>
      </w:r>
      <w:r>
        <w:rPr>
          <w:rFonts w:ascii="Times New Roman" w:hAnsi="Times New Roman"/>
          <w:noProof/>
          <w:sz w:val="24"/>
        </w:rPr>
        <w:t xml:space="preserve"> a redus emisiile și a încurajat investițiile în decarbonizarea industrială. Pentru a completa sistemul, CBAM asigură faptul că industria UE nu este expusă riscului de relocare a emisiilor de dioxid de carbon. Este esențial să se mențină această abordare, deoarece ea a garantat că politica în domeniul climei și politica industrială merg mână în mână. Comisia va îmbunătăți în continuare mecanismul, inclusiv prin colaborarea cu Parlamentul European și cu Consiliul cu privire la propunerile sale de abordare a posibilelor riscuri de eludare a CBAM,</w:t>
      </w:r>
      <w:r>
        <w:rPr>
          <w:noProof/>
        </w:rPr>
        <w:t xml:space="preserve"> </w:t>
      </w:r>
      <w:r>
        <w:rPr>
          <w:rFonts w:ascii="Times New Roman" w:hAnsi="Times New Roman"/>
          <w:noProof/>
          <w:sz w:val="24"/>
        </w:rPr>
        <w:t>astfel încât să sprijine în mod eficace și sectorul îngrășămintelor din UE și, prin urmare, să reducă dependența de importuri a sectorului agricol al UE în ansamblu.</w:t>
      </w:r>
    </w:p>
    <w:p w14:paraId="1C4EBE79" w14:textId="45404AEE" w:rsidR="00D9548B" w:rsidRPr="00D16309" w:rsidRDefault="00D9548B" w:rsidP="00D9548B">
      <w:pPr>
        <w:spacing w:line="276" w:lineRule="auto"/>
        <w:jc w:val="both"/>
        <w:rPr>
          <w:rFonts w:ascii="Times New Roman" w:hAnsi="Times New Roman" w:cs="Times New Roman"/>
          <w:b/>
          <w:bCs/>
          <w:noProof/>
          <w:sz w:val="24"/>
          <w:szCs w:val="24"/>
        </w:rPr>
      </w:pPr>
      <w:r>
        <w:rPr>
          <w:rFonts w:ascii="Times New Roman" w:hAnsi="Times New Roman"/>
          <w:b/>
          <w:noProof/>
          <w:sz w:val="24"/>
        </w:rPr>
        <w:t>Includerea fermierilor din UE în argumentele economice pentru îngrășămintele produse pe plan intern, prin furnizarea de materii prime organice pentru creșterea producției de îngrășăminte (organice) pe bază de bioresurse, va reduce dependențele și vulnerabilitățile și va stimula cererea, sporind în același timp accesibilitatea prețurilor, disponibilitatea și previzibilitatea</w:t>
      </w:r>
      <w:r>
        <w:rPr>
          <w:rFonts w:ascii="Times New Roman" w:hAnsi="Times New Roman"/>
          <w:noProof/>
          <w:sz w:val="24"/>
        </w:rPr>
        <w:t>.</w:t>
      </w:r>
    </w:p>
    <w:p w14:paraId="68441B5E" w14:textId="6A79F07C" w:rsidR="005E0687" w:rsidRPr="0027307A" w:rsidRDefault="005E0687" w:rsidP="005E0687">
      <w:pPr>
        <w:spacing w:line="276" w:lineRule="auto"/>
        <w:jc w:val="both"/>
        <w:rPr>
          <w:rFonts w:ascii="Times New Roman" w:hAnsi="Times New Roman" w:cs="Times New Roman"/>
          <w:noProof/>
          <w:sz w:val="24"/>
          <w:szCs w:val="24"/>
        </w:rPr>
      </w:pPr>
      <w:r>
        <w:rPr>
          <w:rFonts w:ascii="Times New Roman" w:hAnsi="Times New Roman"/>
          <w:noProof/>
          <w:sz w:val="24"/>
        </w:rPr>
        <w:t>Până în iulie 2026, Comisia va adopta o propunere legislativă de revizuire a schemei UE de comercializare a certificatelor de emisii (ETS). În cadrul revizuirii ETS, Comisia va lua în considerare cele mai bune modalități posibile de a sprijini argumentele economice pentru decarbonizarea industrială în toate sectoarele ETS, ținând seama, de asemenea, de situația specifică a lanțului valoric al îngrășămintelor. Fără a aduce atingere revizuirii, vor fi evaluate opțiuni pentru a se asigura că orice flexibilitate suplimentară pentru industrie este condiționată de creșterea producției autohtone decarbonizate și, în plus, de sprijinirea producției de îngrășăminte (organice) pe bază de bioresurse și circulare, precum și de asigurarea disponibilității și accesibilității prețurilor îngrășămintelor autohtone în Europa. În acest context, vor fi luate în considerare provocările specifice și costurile suplimentare cu care se confruntă fermierii din regiunile ultraperiferice atunci când achiziționează îngrășăminte din UE continentală sau când le importă din țări terțe.</w:t>
      </w:r>
    </w:p>
    <w:p w14:paraId="17DAD9F7" w14:textId="14E4BE14" w:rsidR="005E0687" w:rsidRPr="0027307A" w:rsidRDefault="005E0687" w:rsidP="005E0687">
      <w:pPr>
        <w:spacing w:line="276" w:lineRule="auto"/>
        <w:jc w:val="both"/>
        <w:rPr>
          <w:rFonts w:ascii="Times New Roman" w:hAnsi="Times New Roman" w:cs="Times New Roman"/>
          <w:noProof/>
          <w:sz w:val="24"/>
          <w:szCs w:val="24"/>
        </w:rPr>
      </w:pPr>
      <w:r>
        <w:rPr>
          <w:rFonts w:ascii="Times New Roman" w:hAnsi="Times New Roman"/>
          <w:noProof/>
          <w:sz w:val="24"/>
        </w:rPr>
        <w:t xml:space="preserve">În plus, astfel cum s-a anunțat în comunicarea AccelerateEU, </w:t>
      </w:r>
      <w:r>
        <w:rPr>
          <w:rFonts w:ascii="Times New Roman" w:hAnsi="Times New Roman"/>
          <w:b/>
          <w:noProof/>
          <w:sz w:val="24"/>
        </w:rPr>
        <w:t>Comisia va sprijini statele membre care doresc să exploreze utilizarea veniturilor din EU ETS pentru măsuri specifice care mobilizează și accelerează investițiile, printre altele, în decarbonizarea industrială și în aplicațiile circulare din aval.</w:t>
      </w:r>
      <w:r>
        <w:rPr>
          <w:rFonts w:ascii="Times New Roman" w:hAnsi="Times New Roman"/>
          <w:noProof/>
          <w:sz w:val="24"/>
        </w:rPr>
        <w:t xml:space="preserve"> Aceasta ar putea include investiții care vizează decarbonizarea producției de îngrășăminte, precum și soluții circulare, cum ar fi o utilizare sporită a nutrienților reciclați. Comisia continuă să încurajeze statele membre să exploreze astfel de alocări de venituri ETS.</w:t>
      </w:r>
    </w:p>
    <w:p w14:paraId="599CE031" w14:textId="0DC54155" w:rsidR="007F18D1" w:rsidRPr="0027307A" w:rsidRDefault="00FC3617" w:rsidP="00381BC7">
      <w:pPr>
        <w:spacing w:line="276" w:lineRule="auto"/>
        <w:jc w:val="both"/>
        <w:rPr>
          <w:rFonts w:ascii="Times New Roman" w:hAnsi="Times New Roman" w:cs="Times New Roman"/>
          <w:b/>
          <w:bCs/>
          <w:noProof/>
          <w:sz w:val="24"/>
          <w:szCs w:val="24"/>
        </w:rPr>
      </w:pPr>
      <w:r>
        <w:rPr>
          <w:rFonts w:ascii="Times New Roman" w:hAnsi="Times New Roman"/>
          <w:b/>
          <w:noProof/>
          <w:sz w:val="24"/>
        </w:rPr>
        <w:t>4.2.4. Finanțare pentru cercetare, inovare și modernizare</w:t>
      </w:r>
    </w:p>
    <w:p w14:paraId="4AD5C78F" w14:textId="693C7C2D" w:rsidR="00F37855" w:rsidRPr="00CA1B9B" w:rsidRDefault="00F37855" w:rsidP="00381BC7">
      <w:pPr>
        <w:spacing w:line="276" w:lineRule="auto"/>
        <w:jc w:val="both"/>
        <w:rPr>
          <w:rFonts w:ascii="Times New Roman" w:hAnsi="Times New Roman" w:cs="Times New Roman"/>
          <w:noProof/>
          <w:sz w:val="24"/>
          <w:szCs w:val="24"/>
        </w:rPr>
      </w:pPr>
      <w:r>
        <w:rPr>
          <w:rFonts w:ascii="Times New Roman" w:hAnsi="Times New Roman"/>
          <w:b/>
          <w:noProof/>
          <w:sz w:val="24"/>
        </w:rPr>
        <w:t>Investițiile în inovare și în extinderea industrială a proceselor de producție de îngrășăminte decarbonizate sunt esențiale. Astfel de investiții ar trebui să fie în continuare eligibile pentru sprijin în cadrul Fondului pentru inovare</w:t>
      </w:r>
      <w:r>
        <w:rPr>
          <w:rFonts w:ascii="Times New Roman" w:hAnsi="Times New Roman" w:cs="Times New Roman"/>
          <w:b/>
          <w:bCs/>
          <w:iCs/>
          <w:noProof/>
          <w:sz w:val="24"/>
          <w:szCs w:val="24"/>
          <w:vertAlign w:val="superscript"/>
          <w:lang w:eastAsia="en-IE"/>
        </w:rPr>
        <w:footnoteReference w:id="29"/>
      </w:r>
      <w:r>
        <w:rPr>
          <w:rFonts w:ascii="Times New Roman" w:hAnsi="Times New Roman"/>
          <w:b/>
          <w:noProof/>
          <w:sz w:val="24"/>
        </w:rPr>
        <w:t xml:space="preserve"> și al Băncii Europene pentru Hidrogen și ar trebui, de asemenea, să fie eligibile pentru sprijin în cadrul Băncii de Decarbonizare Industrială propuse</w:t>
      </w:r>
      <w:r>
        <w:rPr>
          <w:rFonts w:ascii="Times New Roman" w:hAnsi="Times New Roman"/>
          <w:noProof/>
          <w:sz w:val="24"/>
        </w:rPr>
        <w:t>, în conformitate cu condițiile viitoarelor oportunități de finanțare. Cu toate acestea, proiectele privind îngrășămintele nu sunt suficient reprezentate în proiectele atribuite, în comparație cu alte sectoare mari consumatoare de energie. Comisia va continua să colaboreze cu industria îngrășămintelor, să furnizeze informații cu privire la oportunitățile de finanțare relevante, inclusiv pentru proiecte de decarbonizare de înaltă calitate, în vederea îmbunătățirii accesului sectorului la finanțare pentru proiectele de decarbonizare.</w:t>
      </w:r>
    </w:p>
    <w:p w14:paraId="6DF820CC" w14:textId="49C262DC" w:rsidR="00A17DA8" w:rsidRDefault="63B82E10" w:rsidP="00381BC7">
      <w:pPr>
        <w:spacing w:line="276" w:lineRule="auto"/>
        <w:jc w:val="both"/>
        <w:rPr>
          <w:rFonts w:ascii="Times New Roman" w:hAnsi="Times New Roman" w:cs="Times New Roman"/>
          <w:noProof/>
          <w:sz w:val="24"/>
          <w:szCs w:val="24"/>
        </w:rPr>
      </w:pPr>
      <w:r>
        <w:rPr>
          <w:rFonts w:ascii="Times New Roman" w:hAnsi="Times New Roman"/>
          <w:noProof/>
          <w:sz w:val="24"/>
        </w:rPr>
        <w:t>Comisia se va baza pe programele existente, inclusiv Orizont Europa, și pe întreprinderea comună pentru bioeconomia circulară în Europa</w:t>
      </w:r>
      <w:r>
        <w:rPr>
          <w:rFonts w:ascii="Times New Roman" w:hAnsi="Times New Roman" w:cs="Times New Roman"/>
          <w:noProof/>
          <w:sz w:val="24"/>
          <w:szCs w:val="24"/>
          <w:vertAlign w:val="superscript"/>
          <w:lang w:eastAsia="en-IE"/>
        </w:rPr>
        <w:footnoteReference w:id="30"/>
      </w:r>
      <w:r>
        <w:rPr>
          <w:rFonts w:ascii="Times New Roman" w:hAnsi="Times New Roman"/>
          <w:noProof/>
          <w:sz w:val="24"/>
        </w:rPr>
        <w:t>, explorând în același timp contribuția instrumentului de coordonare a competitivității (CCT)</w:t>
      </w:r>
      <w:r>
        <w:rPr>
          <w:rFonts w:ascii="Times New Roman" w:hAnsi="Times New Roman" w:cs="Times New Roman"/>
          <w:iCs/>
          <w:noProof/>
          <w:sz w:val="24"/>
          <w:szCs w:val="24"/>
          <w:vertAlign w:val="superscript"/>
        </w:rPr>
        <w:footnoteReference w:id="31"/>
      </w:r>
      <w:r>
        <w:rPr>
          <w:rFonts w:ascii="Times New Roman" w:hAnsi="Times New Roman"/>
          <w:noProof/>
          <w:sz w:val="24"/>
        </w:rPr>
        <w:t xml:space="preserve"> și a viitoarelor programe de finanțare propuse în următorul cadru financiar multianual. În cadrul întreprinderii comune pentru bioeconomia circulară în Europa, Comisia colaborează cu industria prin finanțarea unor proiecte emblematice pentru implementarea îngrășămintelor pe bază de bioresurse. În cadrul parteneriatului public-privat, Comisia înființează Grupul european pentru implementarea investițiilor în bioeconomie</w:t>
      </w:r>
      <w:r>
        <w:rPr>
          <w:rFonts w:ascii="Times New Roman" w:hAnsi="Times New Roman" w:cs="Times New Roman"/>
          <w:noProof/>
          <w:sz w:val="24"/>
          <w:szCs w:val="24"/>
          <w:vertAlign w:val="superscript"/>
          <w:lang w:eastAsia="en-IE"/>
        </w:rPr>
        <w:footnoteReference w:id="32"/>
      </w:r>
      <w:r>
        <w:rPr>
          <w:rFonts w:ascii="Times New Roman" w:hAnsi="Times New Roman"/>
          <w:noProof/>
          <w:sz w:val="24"/>
        </w:rPr>
        <w:t>, anunțat în Strategia din domeniul bioeconomiei, pentru a mobiliza investiții coordonate în vederea extinderii, de exemplu, a îngrășămintelor pe bază de bioresurse.</w:t>
      </w:r>
    </w:p>
    <w:p w14:paraId="56349E40" w14:textId="2AE1BC87" w:rsidR="00EB51AD" w:rsidRPr="0027307A" w:rsidRDefault="008B4B44" w:rsidP="00381BC7">
      <w:pPr>
        <w:spacing w:line="276" w:lineRule="auto"/>
        <w:jc w:val="both"/>
        <w:rPr>
          <w:rFonts w:ascii="Times New Roman" w:hAnsi="Times New Roman" w:cs="Times New Roman"/>
          <w:noProof/>
          <w:sz w:val="24"/>
          <w:szCs w:val="24"/>
        </w:rPr>
      </w:pPr>
      <w:r>
        <w:rPr>
          <w:rFonts w:ascii="Times New Roman" w:hAnsi="Times New Roman"/>
          <w:noProof/>
          <w:sz w:val="24"/>
        </w:rPr>
        <w:t xml:space="preserve">În contextul viitoarei revizuiri a ETS și al revizuirii pachetului privind uniunea energetică, Comisia va evalua posibilitatea de a mobiliza, începând din 2028, Fondul pentru inovare și cadrul mai larg de decarbonizare industrială pentru a sprijini proiecte cu o valoare adăugată europeană clară. </w:t>
      </w:r>
      <w:r>
        <w:rPr>
          <w:rFonts w:ascii="Times New Roman" w:hAnsi="Times New Roman"/>
          <w:b/>
          <w:noProof/>
          <w:sz w:val="24"/>
        </w:rPr>
        <w:t>Viitorul Fond european pentru competitivitate</w:t>
      </w:r>
      <w:r>
        <w:rPr>
          <w:rFonts w:ascii="Times New Roman" w:hAnsi="Times New Roman" w:cs="Times New Roman"/>
          <w:iCs/>
          <w:noProof/>
          <w:sz w:val="24"/>
          <w:szCs w:val="24"/>
          <w:vertAlign w:val="superscript"/>
          <w:lang w:eastAsia="en-IE"/>
        </w:rPr>
        <w:footnoteReference w:id="33"/>
      </w:r>
      <w:r>
        <w:rPr>
          <w:noProof/>
        </w:rPr>
        <w:t xml:space="preserve"> </w:t>
      </w:r>
      <w:r>
        <w:rPr>
          <w:rFonts w:ascii="Times New Roman" w:hAnsi="Times New Roman"/>
          <w:noProof/>
          <w:sz w:val="24"/>
        </w:rPr>
        <w:t>poate contribui, de asemenea, la acest obiectiv, în special prin componenta sa de decarbonizare.</w:t>
      </w:r>
      <w:r>
        <w:rPr>
          <w:rFonts w:ascii="Times New Roman" w:hAnsi="Times New Roman"/>
          <w:b/>
          <w:noProof/>
          <w:sz w:val="24"/>
        </w:rPr>
        <w:t xml:space="preserve"> </w:t>
      </w:r>
      <w:r>
        <w:rPr>
          <w:rFonts w:ascii="Times New Roman" w:hAnsi="Times New Roman"/>
          <w:noProof/>
          <w:sz w:val="24"/>
        </w:rPr>
        <w:t xml:space="preserve">Comisia lucrează la </w:t>
      </w:r>
      <w:r>
        <w:rPr>
          <w:rFonts w:ascii="Times New Roman" w:hAnsi="Times New Roman"/>
          <w:b/>
          <w:noProof/>
          <w:sz w:val="24"/>
        </w:rPr>
        <w:t>două posibile proiecte-pilot CCT</w:t>
      </w:r>
      <w:r>
        <w:rPr>
          <w:rFonts w:ascii="Times New Roman" w:hAnsi="Times New Roman"/>
          <w:noProof/>
          <w:sz w:val="24"/>
        </w:rPr>
        <w:t xml:space="preserve"> privind filiere mai moderne și cu emisii scăzute de dioxid de carbon pentru amoniac și îngrășămintele pe bază de bioresurse.</w:t>
      </w:r>
    </w:p>
    <w:p w14:paraId="2546FA63" w14:textId="7084204F" w:rsidR="007A5DEF" w:rsidRDefault="00294EB9" w:rsidP="008D2712">
      <w:pPr>
        <w:spacing w:after="140" w:line="276" w:lineRule="auto"/>
        <w:jc w:val="both"/>
        <w:rPr>
          <w:noProof/>
        </w:rPr>
      </w:pPr>
      <w:r>
        <w:rPr>
          <w:rFonts w:ascii="Times New Roman" w:hAnsi="Times New Roman"/>
          <w:noProof/>
          <w:sz w:val="24"/>
        </w:rPr>
        <w:t>Comisia este pregătită să sprijine statele membre să utilizeze, după caz, instrumentele de ajutor de stat, inclusiv Cadrul privind ajutoarele de stat în contextul Pactului pentru o industrie curată (CISAF)</w:t>
      </w:r>
      <w:r>
        <w:rPr>
          <w:rStyle w:val="FootnoteReference"/>
          <w:rFonts w:ascii="Times New Roman" w:hAnsi="Times New Roman" w:cs="Times New Roman"/>
          <w:noProof/>
          <w:sz w:val="24"/>
          <w:szCs w:val="24"/>
          <w:lang w:eastAsia="en-IE"/>
        </w:rPr>
        <w:footnoteReference w:id="34"/>
      </w:r>
      <w:r>
        <w:rPr>
          <w:rFonts w:ascii="Times New Roman" w:hAnsi="Times New Roman"/>
          <w:noProof/>
          <w:sz w:val="24"/>
        </w:rPr>
        <w:t>, proiectele importante de interes european comun (PIIEC), Orientările privind ajutoarele de stat pentru climă, protecția mediului și energie (OACME)</w:t>
      </w:r>
      <w:r>
        <w:rPr>
          <w:rStyle w:val="FootnoteReference"/>
          <w:rFonts w:ascii="Times New Roman" w:eastAsia="Times New Roman" w:hAnsi="Times New Roman" w:cs="Times New Roman"/>
          <w:noProof/>
          <w:sz w:val="24"/>
          <w:szCs w:val="24"/>
        </w:rPr>
        <w:footnoteReference w:id="35"/>
      </w:r>
      <w:r>
        <w:rPr>
          <w:rFonts w:ascii="Times New Roman" w:hAnsi="Times New Roman"/>
          <w:noProof/>
          <w:sz w:val="24"/>
        </w:rPr>
        <w:t>, Regulamentul general de exceptare pe categorii de ajutoare și cadrul pentru ajutoarele de stat pentru cercetare, dezvoltare și inovare</w:t>
      </w:r>
      <w:r>
        <w:rPr>
          <w:rStyle w:val="FootnoteReference"/>
          <w:rFonts w:ascii="Times New Roman" w:eastAsia="Times New Roman" w:hAnsi="Times New Roman" w:cs="Times New Roman"/>
          <w:noProof/>
          <w:sz w:val="24"/>
          <w:szCs w:val="24"/>
        </w:rPr>
        <w:footnoteReference w:id="36"/>
      </w:r>
      <w:r>
        <w:rPr>
          <w:rFonts w:ascii="Times New Roman" w:hAnsi="Times New Roman"/>
          <w:noProof/>
          <w:sz w:val="24"/>
        </w:rPr>
        <w:t>. Comisia monitorizează în permanență evoluțiile pieței pentru a se asigura că normele sale privind ajutoarele de stat sunt adecvate scopului, inclusiv în ceea ce privește crearea de piețe-lider pentru îngrășăminte (organice) pe bază de bioresurse și cu emisii scăzute de dioxid de carbon și transportul nutrienților.</w:t>
      </w:r>
    </w:p>
    <w:tbl>
      <w:tblPr>
        <w:tblStyle w:val="TableGrid"/>
        <w:tblW w:w="0" w:type="auto"/>
        <w:tblLook w:val="04A0" w:firstRow="1" w:lastRow="0" w:firstColumn="1" w:lastColumn="0" w:noHBand="0" w:noVBand="1"/>
      </w:tblPr>
      <w:tblGrid>
        <w:gridCol w:w="9016"/>
      </w:tblGrid>
      <w:tr w:rsidR="009F5EB4" w:rsidRPr="0079402E" w14:paraId="665F0764" w14:textId="77777777">
        <w:tc>
          <w:tcPr>
            <w:tcW w:w="9288" w:type="dxa"/>
            <w:tcBorders>
              <w:top w:val="single" w:sz="4" w:space="0" w:color="auto"/>
              <w:left w:val="single" w:sz="4" w:space="0" w:color="auto"/>
              <w:bottom w:val="single" w:sz="4" w:space="0" w:color="auto"/>
              <w:right w:val="single" w:sz="4" w:space="0" w:color="auto"/>
            </w:tcBorders>
          </w:tcPr>
          <w:p w14:paraId="2F007524" w14:textId="77777777" w:rsidR="009F5EB4" w:rsidRPr="00493E9D" w:rsidRDefault="009F5EB4">
            <w:pPr>
              <w:spacing w:line="276" w:lineRule="auto"/>
              <w:jc w:val="both"/>
              <w:rPr>
                <w:rFonts w:ascii="Times New Roman" w:hAnsi="Times New Roman" w:cs="Times New Roman"/>
                <w:b/>
                <w:bCs/>
                <w:noProof/>
                <w:sz w:val="24"/>
                <w:szCs w:val="24"/>
                <w:u w:val="single"/>
              </w:rPr>
            </w:pPr>
            <w:r>
              <w:rPr>
                <w:rFonts w:ascii="Times New Roman" w:hAnsi="Times New Roman"/>
                <w:b/>
                <w:noProof/>
                <w:sz w:val="24"/>
                <w:u w:val="single"/>
              </w:rPr>
              <w:t>PAC și politica de coeziune mobilizate pentru asigurarea disponibilității îngrășămintelor și a accesibilității prețurilor acestora</w:t>
            </w:r>
          </w:p>
          <w:p w14:paraId="3F9AC35D" w14:textId="77777777" w:rsidR="009F5EB4" w:rsidRPr="00493E9D" w:rsidRDefault="009F5EB4">
            <w:pPr>
              <w:spacing w:line="276" w:lineRule="auto"/>
              <w:jc w:val="both"/>
              <w:rPr>
                <w:rFonts w:ascii="Times New Roman" w:hAnsi="Times New Roman" w:cs="Times New Roman"/>
                <w:noProof/>
                <w:sz w:val="24"/>
                <w:szCs w:val="24"/>
              </w:rPr>
            </w:pPr>
          </w:p>
          <w:p w14:paraId="2F45A618" w14:textId="2EC81F33" w:rsidR="009F5EB4" w:rsidRPr="00493E9D" w:rsidRDefault="009F5EB4">
            <w:pPr>
              <w:spacing w:line="276" w:lineRule="auto"/>
              <w:jc w:val="both"/>
              <w:rPr>
                <w:rFonts w:ascii="Times New Roman" w:hAnsi="Times New Roman" w:cs="Times New Roman"/>
                <w:noProof/>
                <w:sz w:val="24"/>
                <w:szCs w:val="24"/>
              </w:rPr>
            </w:pPr>
            <w:r>
              <w:rPr>
                <w:rFonts w:ascii="Times New Roman" w:hAnsi="Times New Roman"/>
                <w:noProof/>
                <w:sz w:val="24"/>
              </w:rPr>
              <w:t xml:space="preserve">Fermierii din regiunile UE, inclusiv din regiunile îndepărtate și ultraperiferice, pot beneficia de </w:t>
            </w:r>
            <w:r>
              <w:rPr>
                <w:rFonts w:ascii="Times New Roman" w:hAnsi="Times New Roman"/>
                <w:b/>
                <w:noProof/>
                <w:sz w:val="24"/>
              </w:rPr>
              <w:t>acțiunile politicii de coeziune</w:t>
            </w:r>
            <w:r>
              <w:rPr>
                <w:rFonts w:ascii="Times New Roman" w:hAnsi="Times New Roman"/>
                <w:noProof/>
                <w:sz w:val="24"/>
              </w:rPr>
              <w:t xml:space="preserve"> care pot consolida lanțul valoric al îngrășămintelor în mai multe moduri, acordând atenție nevoilor teritoriale specifice, deoarece politica de coeziune poate sprijini:</w:t>
            </w:r>
          </w:p>
          <w:p w14:paraId="4CC844DA" w14:textId="77777777" w:rsidR="00CD3F82" w:rsidRPr="00493E9D" w:rsidRDefault="00CD3F82" w:rsidP="00493E9D">
            <w:pPr>
              <w:pStyle w:val="ListParagraph"/>
              <w:numPr>
                <w:ilvl w:val="0"/>
                <w:numId w:val="64"/>
              </w:numPr>
              <w:jc w:val="both"/>
              <w:rPr>
                <w:rFonts w:ascii="Times New Roman" w:hAnsi="Times New Roman" w:cs="Times New Roman"/>
                <w:noProof/>
                <w:sz w:val="24"/>
                <w:szCs w:val="24"/>
              </w:rPr>
            </w:pPr>
            <w:r>
              <w:rPr>
                <w:rFonts w:ascii="Times New Roman" w:hAnsi="Times New Roman"/>
                <w:noProof/>
                <w:sz w:val="24"/>
              </w:rPr>
              <w:t>dezvoltarea de instalații pentru colectarea și tratarea apelor uzate și pentru colectarea separată și tratarea biodeșeurilor municipale, inclusiv prin degradare anaerobă. Acest lucru poate intensifica puternic valorificarea nămolurilor și a biodeșeurilor și recuperarea nutrienților și poate spori autonomia strategică a producției europene de îngrășăminte;</w:t>
            </w:r>
          </w:p>
          <w:p w14:paraId="1E01C25C" w14:textId="4E61B3BB" w:rsidR="009F5EB4" w:rsidRPr="00493E9D" w:rsidRDefault="009F5EB4" w:rsidP="009F5EB4">
            <w:pPr>
              <w:pStyle w:val="ListParagraph"/>
              <w:numPr>
                <w:ilvl w:val="0"/>
                <w:numId w:val="64"/>
              </w:numPr>
              <w:spacing w:line="276" w:lineRule="auto"/>
              <w:jc w:val="both"/>
              <w:rPr>
                <w:rFonts w:ascii="Times New Roman" w:hAnsi="Times New Roman" w:cs="Times New Roman"/>
                <w:noProof/>
                <w:sz w:val="24"/>
                <w:szCs w:val="24"/>
              </w:rPr>
            </w:pPr>
            <w:r>
              <w:rPr>
                <w:rFonts w:ascii="Times New Roman" w:hAnsi="Times New Roman"/>
                <w:noProof/>
                <w:sz w:val="24"/>
              </w:rPr>
              <w:t xml:space="preserve"> implementarea de alternative la îngrășămintele convenționale, în special îngrășămintele organice și îngrășămintele pe bază de bioresurse, în special din tratarea și valorificarea nămolurilor de epurare și a biodeșeurilor municipale, din producția de biogaz și din recuperarea fosforului și a azotului;</w:t>
            </w:r>
          </w:p>
          <w:p w14:paraId="4489FC84" w14:textId="1538DC5C" w:rsidR="009F5EB4" w:rsidRPr="00493E9D" w:rsidRDefault="009F5EB4" w:rsidP="009F5EB4">
            <w:pPr>
              <w:pStyle w:val="ListParagraph"/>
              <w:numPr>
                <w:ilvl w:val="0"/>
                <w:numId w:val="64"/>
              </w:numPr>
              <w:spacing w:line="276" w:lineRule="auto"/>
              <w:jc w:val="both"/>
              <w:rPr>
                <w:rFonts w:ascii="Times New Roman" w:hAnsi="Times New Roman" w:cs="Times New Roman"/>
                <w:noProof/>
                <w:sz w:val="24"/>
                <w:szCs w:val="24"/>
              </w:rPr>
            </w:pPr>
            <w:r>
              <w:rPr>
                <w:rFonts w:ascii="Times New Roman" w:hAnsi="Times New Roman"/>
                <w:noProof/>
                <w:sz w:val="24"/>
              </w:rPr>
              <w:t xml:space="preserve"> creșterea și competitivitatea IMM-urilor din sectorul îngrășămintelor, inclusiv competențele și cercetarea și inovarea.</w:t>
            </w:r>
          </w:p>
          <w:p w14:paraId="03AA3B43" w14:textId="77777777" w:rsidR="009F5EB4" w:rsidRPr="00493E9D" w:rsidRDefault="009F5EB4">
            <w:pPr>
              <w:pStyle w:val="ListParagraph"/>
              <w:spacing w:line="276" w:lineRule="auto"/>
              <w:jc w:val="both"/>
              <w:rPr>
                <w:rFonts w:ascii="Times New Roman" w:hAnsi="Times New Roman" w:cs="Times New Roman"/>
                <w:noProof/>
                <w:sz w:val="24"/>
                <w:szCs w:val="24"/>
              </w:rPr>
            </w:pPr>
          </w:p>
          <w:p w14:paraId="34B03D4D" w14:textId="65E919E6" w:rsidR="009F5EB4" w:rsidRPr="00493E9D" w:rsidRDefault="009E0BA4">
            <w:pPr>
              <w:spacing w:line="276" w:lineRule="auto"/>
              <w:jc w:val="both"/>
              <w:rPr>
                <w:rFonts w:ascii="Times New Roman" w:hAnsi="Times New Roman" w:cs="Times New Roman"/>
                <w:noProof/>
                <w:sz w:val="24"/>
                <w:szCs w:val="24"/>
              </w:rPr>
            </w:pPr>
            <w:r>
              <w:rPr>
                <w:rFonts w:ascii="Times New Roman" w:hAnsi="Times New Roman"/>
                <w:noProof/>
                <w:sz w:val="24"/>
              </w:rPr>
              <w:t xml:space="preserve">Pe baza </w:t>
            </w:r>
            <w:r>
              <w:rPr>
                <w:rFonts w:ascii="Times New Roman" w:hAnsi="Times New Roman"/>
                <w:b/>
                <w:noProof/>
                <w:sz w:val="24"/>
              </w:rPr>
              <w:t>evaluării la jumătatea perioadei a politicii de coeziune</w:t>
            </w:r>
            <w:r>
              <w:rPr>
                <w:rFonts w:ascii="Times New Roman" w:hAnsi="Times New Roman"/>
                <w:noProof/>
                <w:sz w:val="24"/>
              </w:rPr>
              <w:t>, Comisia încurajează în mod activ statele membre să utilizeze aceste oportunități pentru a sprijini investițiile și măsurile legate de sectorul îngrășămintelor și de activitățile conexe, cu sprijinul platformelor de asistență tehnică și al rețelelor relevante</w:t>
            </w:r>
            <w:r>
              <w:rPr>
                <w:rStyle w:val="FootnoteReference"/>
                <w:rFonts w:ascii="Times New Roman" w:hAnsi="Times New Roman" w:cs="Times New Roman"/>
                <w:noProof/>
                <w:sz w:val="24"/>
                <w:szCs w:val="24"/>
              </w:rPr>
              <w:footnoteReference w:id="37"/>
            </w:r>
            <w:r>
              <w:rPr>
                <w:rFonts w:ascii="Times New Roman" w:hAnsi="Times New Roman"/>
                <w:noProof/>
                <w:sz w:val="24"/>
              </w:rPr>
              <w:t xml:space="preserve">. </w:t>
            </w:r>
          </w:p>
          <w:p w14:paraId="682C8325" w14:textId="77777777" w:rsidR="009F5EB4" w:rsidRPr="00493E9D" w:rsidRDefault="009F5EB4">
            <w:pPr>
              <w:spacing w:line="276" w:lineRule="auto"/>
              <w:jc w:val="both"/>
              <w:rPr>
                <w:rFonts w:ascii="Times New Roman" w:hAnsi="Times New Roman" w:cs="Times New Roman"/>
                <w:noProof/>
                <w:sz w:val="24"/>
                <w:szCs w:val="24"/>
              </w:rPr>
            </w:pPr>
          </w:p>
          <w:p w14:paraId="0EB009EC" w14:textId="77777777" w:rsidR="009F5EB4" w:rsidRPr="00493E9D" w:rsidRDefault="009F5EB4">
            <w:pPr>
              <w:spacing w:line="276" w:lineRule="auto"/>
              <w:jc w:val="both"/>
              <w:rPr>
                <w:rFonts w:ascii="Times New Roman" w:hAnsi="Times New Roman" w:cs="Times New Roman"/>
                <w:noProof/>
                <w:sz w:val="24"/>
                <w:szCs w:val="24"/>
              </w:rPr>
            </w:pPr>
            <w:r>
              <w:rPr>
                <w:rFonts w:ascii="Times New Roman" w:hAnsi="Times New Roman"/>
                <w:b/>
                <w:noProof/>
                <w:sz w:val="24"/>
              </w:rPr>
              <w:t>PAC</w:t>
            </w:r>
            <w:r>
              <w:rPr>
                <w:rFonts w:ascii="Times New Roman" w:hAnsi="Times New Roman"/>
                <w:noProof/>
                <w:sz w:val="24"/>
              </w:rPr>
              <w:t xml:space="preserve"> poate oferi ajutor fermierilor în multe moduri:</w:t>
            </w:r>
          </w:p>
          <w:p w14:paraId="1279504B" w14:textId="77777777" w:rsidR="009F5EB4" w:rsidRPr="00493E9D" w:rsidRDefault="009F5EB4" w:rsidP="009F5EB4">
            <w:pPr>
              <w:pStyle w:val="ListParagraph"/>
              <w:numPr>
                <w:ilvl w:val="0"/>
                <w:numId w:val="65"/>
              </w:numPr>
              <w:spacing w:line="276" w:lineRule="auto"/>
              <w:jc w:val="both"/>
              <w:rPr>
                <w:rFonts w:ascii="Times New Roman" w:hAnsi="Times New Roman" w:cs="Times New Roman"/>
                <w:noProof/>
                <w:sz w:val="24"/>
                <w:szCs w:val="24"/>
              </w:rPr>
            </w:pPr>
            <w:r>
              <w:rPr>
                <w:rFonts w:ascii="Times New Roman" w:hAnsi="Times New Roman"/>
                <w:noProof/>
                <w:sz w:val="24"/>
              </w:rPr>
              <w:t>scheme de sprijin pentru îmbunătățirea eficienței fertilizării și utilizarea fertilizării organice, acolo unde este posibil, ca substitut pentru îngrășămintele sintetice;</w:t>
            </w:r>
          </w:p>
          <w:p w14:paraId="530A1181" w14:textId="77777777" w:rsidR="009F5EB4" w:rsidRPr="00493E9D" w:rsidRDefault="009F5EB4" w:rsidP="009F5EB4">
            <w:pPr>
              <w:pStyle w:val="ListParagraph"/>
              <w:numPr>
                <w:ilvl w:val="0"/>
                <w:numId w:val="65"/>
              </w:numPr>
              <w:spacing w:line="276" w:lineRule="auto"/>
              <w:jc w:val="both"/>
              <w:rPr>
                <w:rFonts w:ascii="Times New Roman" w:hAnsi="Times New Roman" w:cs="Times New Roman"/>
                <w:noProof/>
                <w:sz w:val="24"/>
                <w:szCs w:val="24"/>
              </w:rPr>
            </w:pPr>
            <w:r>
              <w:rPr>
                <w:rFonts w:ascii="Times New Roman" w:hAnsi="Times New Roman"/>
                <w:noProof/>
                <w:sz w:val="24"/>
              </w:rPr>
              <w:t>investiții în materiale pentru agricultura de precizie sau pentru reciclarea nutrienților, cum ar fi digestoarele;</w:t>
            </w:r>
          </w:p>
          <w:p w14:paraId="444E6DE9" w14:textId="77777777" w:rsidR="009F5EB4" w:rsidRPr="00493E9D" w:rsidRDefault="009F5EB4" w:rsidP="009F5EB4">
            <w:pPr>
              <w:pStyle w:val="ListParagraph"/>
              <w:numPr>
                <w:ilvl w:val="0"/>
                <w:numId w:val="65"/>
              </w:numPr>
              <w:spacing w:line="276" w:lineRule="auto"/>
              <w:jc w:val="both"/>
              <w:rPr>
                <w:rFonts w:ascii="Times New Roman" w:hAnsi="Times New Roman" w:cs="Times New Roman"/>
                <w:noProof/>
                <w:sz w:val="24"/>
                <w:szCs w:val="24"/>
              </w:rPr>
            </w:pPr>
            <w:r>
              <w:rPr>
                <w:rFonts w:ascii="Times New Roman" w:hAnsi="Times New Roman"/>
                <w:noProof/>
                <w:sz w:val="24"/>
              </w:rPr>
              <w:t>servicii de consiliere pentru planurile de gestionare a nutrienților la nivel de fermă.</w:t>
            </w:r>
          </w:p>
          <w:p w14:paraId="0FDB5AA4" w14:textId="77777777" w:rsidR="009F5EB4" w:rsidRPr="00493E9D" w:rsidRDefault="009F5EB4">
            <w:pPr>
              <w:spacing w:line="276" w:lineRule="auto"/>
              <w:jc w:val="both"/>
              <w:rPr>
                <w:rFonts w:ascii="Times New Roman" w:hAnsi="Times New Roman" w:cs="Times New Roman"/>
                <w:noProof/>
                <w:sz w:val="24"/>
                <w:szCs w:val="24"/>
              </w:rPr>
            </w:pPr>
          </w:p>
          <w:p w14:paraId="6D30F4A1" w14:textId="778B9474" w:rsidR="009F5EB4" w:rsidRPr="00493E9D" w:rsidRDefault="009F5EB4">
            <w:pPr>
              <w:spacing w:line="276" w:lineRule="auto"/>
              <w:jc w:val="both"/>
              <w:rPr>
                <w:rFonts w:ascii="Times New Roman" w:hAnsi="Times New Roman" w:cs="Times New Roman"/>
                <w:noProof/>
                <w:sz w:val="24"/>
                <w:szCs w:val="24"/>
              </w:rPr>
            </w:pPr>
            <w:r>
              <w:rPr>
                <w:rFonts w:ascii="Times New Roman" w:hAnsi="Times New Roman"/>
                <w:b/>
                <w:noProof/>
                <w:sz w:val="24"/>
              </w:rPr>
              <w:t>Pachetul PAC</w:t>
            </w:r>
            <w:r>
              <w:rPr>
                <w:rFonts w:ascii="Times New Roman" w:hAnsi="Times New Roman"/>
                <w:noProof/>
                <w:sz w:val="24"/>
              </w:rPr>
              <w:t xml:space="preserve"> specific propus va stimula aceste posibilități și va sugera mijloace suplimentare de sprijinire a fermierilor, în special o nouă măsură de sprijin de lichiditate.</w:t>
            </w:r>
          </w:p>
          <w:p w14:paraId="0A25C764" w14:textId="77777777" w:rsidR="009F5EB4" w:rsidRPr="0052522A" w:rsidRDefault="009F5EB4">
            <w:pPr>
              <w:spacing w:line="276" w:lineRule="auto"/>
              <w:jc w:val="both"/>
              <w:rPr>
                <w:rFonts w:ascii="Times New Roman" w:hAnsi="Times New Roman" w:cs="Times New Roman"/>
                <w:noProof/>
              </w:rPr>
            </w:pPr>
          </w:p>
        </w:tc>
      </w:tr>
    </w:tbl>
    <w:p w14:paraId="0C38B2DE" w14:textId="136ED2F9" w:rsidR="003B6A68" w:rsidRPr="001C18F0" w:rsidRDefault="079F2362" w:rsidP="57738EFE">
      <w:pPr>
        <w:spacing w:line="276" w:lineRule="auto"/>
        <w:rPr>
          <w:rFonts w:ascii="Times New Roman Bold" w:eastAsiaTheme="minorEastAsia" w:hAnsi="Times New Roman Bold" w:cs="Times New Roman" w:hint="eastAsia"/>
          <w:b/>
          <w:bCs/>
          <w:smallCaps/>
          <w:noProof/>
          <w:kern w:val="0"/>
          <w:sz w:val="24"/>
          <w:szCs w:val="24"/>
          <w14:ligatures w14:val="none"/>
        </w:rPr>
      </w:pPr>
      <w:r>
        <w:rPr>
          <w:rFonts w:ascii="Times New Roman Bold" w:hAnsi="Times New Roman Bold"/>
          <w:b/>
          <w:smallCaps/>
          <w:noProof/>
          <w:sz w:val="24"/>
        </w:rPr>
        <w:t>Acțiuni de sprijinire a fermierilor</w:t>
      </w:r>
    </w:p>
    <w:p w14:paraId="67DB32DE" w14:textId="1DA057C0" w:rsidR="00567EB3" w:rsidRPr="00A82458" w:rsidRDefault="00FC3617" w:rsidP="00381BC7">
      <w:pPr>
        <w:spacing w:after="140" w:line="276" w:lineRule="auto"/>
        <w:contextualSpacing/>
        <w:jc w:val="both"/>
        <w:rPr>
          <w:rFonts w:ascii="Times New Roman" w:hAnsi="Times New Roman" w:cs="Times New Roman"/>
          <w:b/>
          <w:bCs/>
          <w:noProof/>
          <w:sz w:val="24"/>
          <w:szCs w:val="24"/>
        </w:rPr>
      </w:pPr>
      <w:r>
        <w:rPr>
          <w:rFonts w:ascii="Times New Roman" w:hAnsi="Times New Roman"/>
          <w:b/>
          <w:noProof/>
          <w:sz w:val="24"/>
        </w:rPr>
        <w:t>4.2.5. O mai bună gestionare a nutrienților</w:t>
      </w:r>
    </w:p>
    <w:p w14:paraId="022D4002" w14:textId="77777777" w:rsidR="00567EB3" w:rsidRPr="00A82458" w:rsidRDefault="00567EB3" w:rsidP="00381BC7">
      <w:pPr>
        <w:spacing w:after="140" w:line="276" w:lineRule="auto"/>
        <w:contextualSpacing/>
        <w:jc w:val="both"/>
        <w:rPr>
          <w:rFonts w:ascii="Times New Roman" w:hAnsi="Times New Roman" w:cs="Times New Roman"/>
          <w:b/>
          <w:bCs/>
          <w:noProof/>
          <w:sz w:val="24"/>
          <w:szCs w:val="24"/>
          <w:lang w:eastAsia="en-IE"/>
        </w:rPr>
      </w:pPr>
    </w:p>
    <w:p w14:paraId="04E2F819" w14:textId="07D75FC7" w:rsidR="008121DA" w:rsidRPr="0027307A" w:rsidRDefault="00C434D1" w:rsidP="00381BC7">
      <w:pPr>
        <w:spacing w:after="140" w:line="276" w:lineRule="auto"/>
        <w:contextualSpacing/>
        <w:jc w:val="both"/>
        <w:rPr>
          <w:rFonts w:ascii="Times New Roman" w:hAnsi="Times New Roman" w:cs="Times New Roman"/>
          <w:b/>
          <w:bCs/>
          <w:noProof/>
          <w:sz w:val="24"/>
          <w:szCs w:val="24"/>
        </w:rPr>
      </w:pPr>
      <w:r>
        <w:rPr>
          <w:rFonts w:ascii="Times New Roman" w:hAnsi="Times New Roman"/>
          <w:b/>
          <w:noProof/>
          <w:sz w:val="24"/>
        </w:rPr>
        <w:t>Pentru fermieri, disponibilitatea și  îngrășămintelor și accesibilitatea prețurilor acestora sunt esențiale. Tranziția necesită, de asemenea, o mai bună corelare între aprovizionarea cu nutrienți și nevoile de nutrienți</w:t>
      </w:r>
      <w:r>
        <w:rPr>
          <w:rFonts w:ascii="Times New Roman" w:hAnsi="Times New Roman"/>
          <w:noProof/>
          <w:sz w:val="24"/>
        </w:rPr>
        <w:t xml:space="preserve">, atât în cadrul UE, cât și la nivelul fermelor, printr-o utilizare mai eficientă a nutrienților în ferme. </w:t>
      </w:r>
      <w:r>
        <w:rPr>
          <w:rFonts w:ascii="Times New Roman" w:hAnsi="Times New Roman"/>
          <w:b/>
          <w:noProof/>
          <w:sz w:val="24"/>
        </w:rPr>
        <w:t>Prin urmare, Comisia va promova circulația nutrienților din regiunile cu excedente structurale către regiunile cu nevoi de nutrienți în cadrul pieței unice</w:t>
      </w:r>
      <w:r>
        <w:rPr>
          <w:rFonts w:ascii="Times New Roman" w:hAnsi="Times New Roman"/>
          <w:noProof/>
          <w:sz w:val="24"/>
        </w:rPr>
        <w:t>, ținând seama, în același timp, de constrângerile de mediu, și va invita statele membre să facă același lucru. Acest lucru se va reflecta în strategia privind creșterea animalelor, în conformitate cu viziunea pentru agricultură și sectorul alimentar</w:t>
      </w:r>
      <w:r>
        <w:rPr>
          <w:rFonts w:ascii="Times New Roman" w:hAnsi="Times New Roman" w:cs="Times New Roman"/>
          <w:iCs/>
          <w:noProof/>
          <w:sz w:val="24"/>
          <w:szCs w:val="24"/>
          <w:vertAlign w:val="superscript"/>
          <w:lang w:eastAsia="en-IE"/>
        </w:rPr>
        <w:footnoteReference w:id="38"/>
      </w:r>
      <w:r>
        <w:rPr>
          <w:rFonts w:ascii="Times New Roman" w:hAnsi="Times New Roman"/>
          <w:noProof/>
          <w:sz w:val="24"/>
        </w:rPr>
        <w:t>, ținând seama de capacitatea de prelucrare, de nevoile regionale de nutrienți și de diferitele acțiuni relevante din cadrul planului respectiv de promovare a transportului sau de reducere a blocajelor în materie de reglementare. Aceasta poate implica grupurile de experți, rețelele și platformele existente pentru a facilita corelarea dintre operatorii din regiunile cu excedent și cei din regiunile cu deficit.</w:t>
      </w:r>
    </w:p>
    <w:p w14:paraId="1679EA3C" w14:textId="77777777" w:rsidR="00512CCE" w:rsidRPr="0027307A" w:rsidRDefault="00512CCE" w:rsidP="00381BC7">
      <w:pPr>
        <w:spacing w:after="140" w:line="276" w:lineRule="auto"/>
        <w:ind w:left="360"/>
        <w:contextualSpacing/>
        <w:jc w:val="both"/>
        <w:rPr>
          <w:rFonts w:ascii="Times New Roman" w:hAnsi="Times New Roman" w:cs="Times New Roman"/>
          <w:noProof/>
          <w:sz w:val="24"/>
          <w:szCs w:val="24"/>
          <w:lang w:eastAsia="en-IE"/>
        </w:rPr>
      </w:pPr>
    </w:p>
    <w:p w14:paraId="667F76E0" w14:textId="1DBED38A" w:rsidR="00E37B45" w:rsidRPr="0027307A" w:rsidRDefault="00FC3617" w:rsidP="00381BC7">
      <w:pPr>
        <w:spacing w:after="140" w:line="276" w:lineRule="auto"/>
        <w:contextualSpacing/>
        <w:jc w:val="both"/>
        <w:rPr>
          <w:rFonts w:ascii="Times New Roman" w:hAnsi="Times New Roman" w:cs="Times New Roman"/>
          <w:b/>
          <w:bCs/>
          <w:noProof/>
          <w:sz w:val="24"/>
          <w:szCs w:val="24"/>
        </w:rPr>
      </w:pPr>
      <w:r>
        <w:rPr>
          <w:rFonts w:ascii="Times New Roman" w:hAnsi="Times New Roman"/>
          <w:b/>
          <w:noProof/>
          <w:sz w:val="24"/>
        </w:rPr>
        <w:t>4.2.6. Sprijin pentru practici agricole eficiente din punctul de vedere al nutrienților</w:t>
      </w:r>
    </w:p>
    <w:p w14:paraId="562D0665" w14:textId="77777777" w:rsidR="004C6E3C" w:rsidRPr="0027307A" w:rsidRDefault="004C6E3C" w:rsidP="00381BC7">
      <w:pPr>
        <w:spacing w:after="140" w:line="276" w:lineRule="auto"/>
        <w:contextualSpacing/>
        <w:jc w:val="both"/>
        <w:rPr>
          <w:rFonts w:ascii="Times New Roman" w:hAnsi="Times New Roman" w:cs="Times New Roman"/>
          <w:noProof/>
          <w:sz w:val="24"/>
          <w:szCs w:val="24"/>
          <w:lang w:eastAsia="en-IE"/>
        </w:rPr>
      </w:pPr>
    </w:p>
    <w:p w14:paraId="7E64B006" w14:textId="163AC40B" w:rsidR="004C6E3C" w:rsidRPr="0027307A" w:rsidRDefault="007A7B38" w:rsidP="00381BC7">
      <w:pPr>
        <w:spacing w:after="140" w:line="276" w:lineRule="auto"/>
        <w:contextualSpacing/>
        <w:jc w:val="both"/>
        <w:rPr>
          <w:rFonts w:ascii="Times New Roman" w:hAnsi="Times New Roman" w:cs="Times New Roman"/>
          <w:noProof/>
          <w:sz w:val="24"/>
          <w:szCs w:val="24"/>
        </w:rPr>
      </w:pPr>
      <w:r>
        <w:rPr>
          <w:rFonts w:ascii="Times New Roman" w:hAnsi="Times New Roman"/>
          <w:b/>
          <w:noProof/>
          <w:sz w:val="24"/>
        </w:rPr>
        <w:t>Practicile agricole eficiente din punctul de vedere al nutrienților, care sporesc eficiența utilizării nutrienților și reziliența fermelor, trebuie consolidate și implementate la scară mai largă</w:t>
      </w:r>
      <w:r>
        <w:rPr>
          <w:rFonts w:ascii="Times New Roman" w:hAnsi="Times New Roman"/>
          <w:noProof/>
          <w:sz w:val="24"/>
        </w:rPr>
        <w:t>. Aceasta include fertilizarea eficientă, fertilizarea de precizie, inclusiv utilizarea instrumentelor digitale, a datelor satelitare și a dronelor, planificarea gestionării nutrienților, inovarea agronomică și soluțiile bazate pe natură, inclusiv agricultura ecologică și practicile agroecologice.</w:t>
      </w:r>
    </w:p>
    <w:p w14:paraId="477BC7E8" w14:textId="77777777" w:rsidR="003259CA" w:rsidRPr="0027307A" w:rsidRDefault="003259CA" w:rsidP="00381BC7">
      <w:pPr>
        <w:spacing w:after="140" w:line="276" w:lineRule="auto"/>
        <w:contextualSpacing/>
        <w:jc w:val="both"/>
        <w:rPr>
          <w:rFonts w:ascii="Times New Roman" w:hAnsi="Times New Roman" w:cs="Times New Roman"/>
          <w:noProof/>
          <w:sz w:val="24"/>
          <w:szCs w:val="24"/>
          <w:lang w:eastAsia="en-IE"/>
        </w:rPr>
      </w:pPr>
    </w:p>
    <w:p w14:paraId="7265A687" w14:textId="58367179" w:rsidR="004C6E3C" w:rsidRPr="0027307A" w:rsidRDefault="00BF16A8" w:rsidP="00381BC7">
      <w:pPr>
        <w:spacing w:after="140" w:line="276" w:lineRule="auto"/>
        <w:contextualSpacing/>
        <w:jc w:val="both"/>
        <w:rPr>
          <w:rFonts w:ascii="Times New Roman" w:hAnsi="Times New Roman" w:cs="Times New Roman"/>
          <w:noProof/>
          <w:sz w:val="24"/>
          <w:szCs w:val="24"/>
        </w:rPr>
      </w:pPr>
      <w:r>
        <w:rPr>
          <w:rFonts w:ascii="Times New Roman" w:hAnsi="Times New Roman"/>
          <w:noProof/>
          <w:sz w:val="24"/>
        </w:rPr>
        <w:t>La nivel de fermă, actuala PAC sprijină deja investițiile în agricultura de precizie și îmbunătățirea gestionării nutrienților. Aceste eforturi ar trebui continuate în cadrul viitoarei PAC</w:t>
      </w:r>
      <w:r>
        <w:rPr>
          <w:rStyle w:val="FootnoteReference"/>
          <w:rFonts w:ascii="Times New Roman" w:hAnsi="Times New Roman" w:cs="Times New Roman"/>
          <w:noProof/>
          <w:sz w:val="24"/>
          <w:szCs w:val="24"/>
          <w:lang w:eastAsia="en-IE"/>
        </w:rPr>
        <w:footnoteReference w:id="39"/>
      </w:r>
      <w:r>
        <w:rPr>
          <w:rFonts w:ascii="Times New Roman" w:hAnsi="Times New Roman"/>
          <w:noProof/>
          <w:sz w:val="24"/>
        </w:rPr>
        <w:t>, ca parte a planurilor de parteneriate naționale și regionale</w:t>
      </w:r>
      <w:r>
        <w:rPr>
          <w:rStyle w:val="FootnoteReference"/>
          <w:rFonts w:ascii="Times New Roman" w:eastAsia="Aptos" w:hAnsi="Times New Roman" w:cs="Times New Roman"/>
          <w:noProof/>
          <w:sz w:val="24"/>
          <w:szCs w:val="24"/>
        </w:rPr>
        <w:footnoteReference w:id="40"/>
      </w:r>
      <w:r>
        <w:rPr>
          <w:rFonts w:ascii="Times New Roman" w:hAnsi="Times New Roman"/>
          <w:noProof/>
          <w:sz w:val="24"/>
        </w:rPr>
        <w:t>. Programul Orizont Europa</w:t>
      </w:r>
      <w:r>
        <w:rPr>
          <w:rStyle w:val="FootnoteReference"/>
          <w:rFonts w:ascii="Times New Roman" w:eastAsia="Aptos" w:hAnsi="Times New Roman" w:cs="Times New Roman"/>
          <w:iCs/>
          <w:noProof/>
          <w:sz w:val="24"/>
          <w:szCs w:val="24"/>
        </w:rPr>
        <w:footnoteReference w:id="41"/>
      </w:r>
      <w:r>
        <w:rPr>
          <w:rFonts w:ascii="Times New Roman" w:hAnsi="Times New Roman"/>
          <w:noProof/>
          <w:sz w:val="24"/>
        </w:rPr>
        <w:t>, misiunea „Un pact al solului pentru Europa” și rețeaua sa de laboratoare vii, precum și viitorul FEC vor sprijini, de asemenea, acțiunile în materie de competitivitate, cercetare și inovare în domeniul agriculturii. Elaborarea de instrumente și cadre, cum ar fi Busola pentru sustenabilitatea în cadrul fermelor</w:t>
      </w:r>
      <w:r>
        <w:rPr>
          <w:rFonts w:ascii="Times New Roman" w:eastAsia="Times New Roman" w:hAnsi="Times New Roman" w:cs="Times New Roman"/>
          <w:noProof/>
          <w:sz w:val="24"/>
          <w:szCs w:val="24"/>
          <w:vertAlign w:val="superscript"/>
        </w:rPr>
        <w:footnoteReference w:id="42"/>
      </w:r>
      <w:r>
        <w:rPr>
          <w:rFonts w:ascii="Times New Roman" w:hAnsi="Times New Roman"/>
          <w:noProof/>
          <w:sz w:val="24"/>
        </w:rPr>
        <w:t xml:space="preserve"> sau setul de instrumente de asistență pentru nutrienți</w:t>
      </w:r>
      <w:r>
        <w:rPr>
          <w:rFonts w:ascii="Times New Roman" w:eastAsia="Aptos" w:hAnsi="Times New Roman" w:cs="Times New Roman"/>
          <w:noProof/>
          <w:sz w:val="24"/>
          <w:szCs w:val="24"/>
          <w:vertAlign w:val="superscript"/>
        </w:rPr>
        <w:footnoteReference w:id="43"/>
      </w:r>
      <w:r>
        <w:rPr>
          <w:rFonts w:ascii="Times New Roman" w:hAnsi="Times New Roman"/>
          <w:noProof/>
          <w:sz w:val="24"/>
        </w:rPr>
        <w:t>, va oferi fermierilor referințe utile pentru a spori eficiența utilizării nutrienților și pentru a reduce pierderile de nutrienți.</w:t>
      </w:r>
    </w:p>
    <w:p w14:paraId="2648530C" w14:textId="77777777" w:rsidR="004C6E3C" w:rsidRPr="0027307A" w:rsidRDefault="004C6E3C" w:rsidP="00381BC7">
      <w:pPr>
        <w:spacing w:after="140" w:line="276" w:lineRule="auto"/>
        <w:contextualSpacing/>
        <w:jc w:val="both"/>
        <w:rPr>
          <w:rFonts w:ascii="Times New Roman" w:hAnsi="Times New Roman" w:cs="Times New Roman"/>
          <w:noProof/>
          <w:sz w:val="24"/>
          <w:szCs w:val="24"/>
          <w:lang w:eastAsia="en-IE"/>
        </w:rPr>
      </w:pPr>
    </w:p>
    <w:p w14:paraId="4BF78672" w14:textId="44F29632" w:rsidR="00F77498" w:rsidRPr="0027307A" w:rsidRDefault="00BB6D85" w:rsidP="00381BC7">
      <w:pPr>
        <w:spacing w:after="140" w:line="276" w:lineRule="auto"/>
        <w:contextualSpacing/>
        <w:jc w:val="both"/>
        <w:rPr>
          <w:rFonts w:ascii="Times New Roman" w:hAnsi="Times New Roman" w:cs="Times New Roman"/>
          <w:noProof/>
          <w:sz w:val="24"/>
          <w:szCs w:val="24"/>
        </w:rPr>
      </w:pPr>
      <w:r>
        <w:rPr>
          <w:rFonts w:ascii="Times New Roman" w:hAnsi="Times New Roman"/>
          <w:noProof/>
          <w:sz w:val="24"/>
        </w:rPr>
        <w:t xml:space="preserve">Pentru a-i ajuta pe fermieri să utilizeze nutrienții într-un mod mai sustenabil și mai eficient din punctul de vedere al costurilor, Comisia invită statele membre să își extindă </w:t>
      </w:r>
      <w:r>
        <w:rPr>
          <w:rFonts w:ascii="Times New Roman" w:hAnsi="Times New Roman"/>
          <w:b/>
          <w:noProof/>
          <w:sz w:val="24"/>
        </w:rPr>
        <w:t>serviciile de consiliere agricolă</w:t>
      </w:r>
      <w:r>
        <w:rPr>
          <w:rFonts w:ascii="Times New Roman" w:hAnsi="Times New Roman"/>
          <w:noProof/>
          <w:sz w:val="24"/>
        </w:rPr>
        <w:t xml:space="preserve"> pentru a acoperi gestionarea sustenabilă a nutrienților și să includă implementarea pe scară largă a sistemelor de gestionare și monitorizare a nutrienților în cadrul fermelor, cum ar fi instrumentul pentru sustenabilitatea fermelor în ceea ce privește utilizarea nutrienților (FaST).</w:t>
      </w:r>
    </w:p>
    <w:p w14:paraId="1E60A0A3" w14:textId="77777777" w:rsidR="00557857" w:rsidRPr="0027307A" w:rsidRDefault="00557857" w:rsidP="00381BC7">
      <w:pPr>
        <w:spacing w:after="140" w:line="276" w:lineRule="auto"/>
        <w:contextualSpacing/>
        <w:jc w:val="both"/>
        <w:rPr>
          <w:rFonts w:ascii="Times New Roman" w:hAnsi="Times New Roman" w:cs="Times New Roman"/>
          <w:noProof/>
          <w:sz w:val="24"/>
          <w:szCs w:val="24"/>
          <w:lang w:eastAsia="en-IE"/>
        </w:rPr>
      </w:pPr>
    </w:p>
    <w:p w14:paraId="12425D99" w14:textId="0FA3DC19" w:rsidR="00C2164C" w:rsidRPr="008A1656" w:rsidRDefault="00337033" w:rsidP="57738EFE">
      <w:pPr>
        <w:spacing w:after="140" w:line="276" w:lineRule="auto"/>
        <w:contextualSpacing/>
        <w:jc w:val="both"/>
        <w:rPr>
          <w:rFonts w:ascii="Times New Roman" w:eastAsia="Times New Roman" w:hAnsi="Times New Roman" w:cs="Times New Roman"/>
          <w:noProof/>
          <w:sz w:val="24"/>
          <w:szCs w:val="24"/>
        </w:rPr>
      </w:pPr>
      <w:r>
        <w:rPr>
          <w:rFonts w:ascii="Times New Roman" w:hAnsi="Times New Roman"/>
          <w:noProof/>
          <w:sz w:val="24"/>
        </w:rPr>
        <w:t>Comisia va emite recomandări naționale privind PAC (precum și alte documente relevante) pentru a sprijini statele membre în pregătirea viitoarelor lor planuri de parteneriate naționale și regionale pentru perioada 2028-2034, astfel cum a propus Comisia. Aceste recomandări pot viza sprijinul pentru îmbunătățirea eficienței nutrienților și pentru practicile agricole care conservă și îmbunătățesc fertilitatea naturală a solului și reduc dependența de îngrășămintele minerale, cum ar fi agricultura ecologică, rotația și diversificarea culturilor, culturile fixatoare de azot, stratul vegetal al solului etc. Sprijinul acordat va urmări să promoveze aceste practici, contribuind în același timp la accesibilitatea prețurilor alimentelor pentru consumatori.</w:t>
      </w:r>
    </w:p>
    <w:p w14:paraId="5EDAE12C" w14:textId="77777777" w:rsidR="00A13FF4" w:rsidRPr="008A1656" w:rsidRDefault="00A13FF4" w:rsidP="57738EFE">
      <w:pPr>
        <w:spacing w:after="140" w:line="276" w:lineRule="auto"/>
        <w:contextualSpacing/>
        <w:jc w:val="both"/>
        <w:rPr>
          <w:rFonts w:ascii="Times New Roman" w:eastAsia="Times New Roman" w:hAnsi="Times New Roman" w:cs="Times New Roman"/>
          <w:noProof/>
          <w:sz w:val="24"/>
          <w:szCs w:val="24"/>
        </w:rPr>
      </w:pPr>
    </w:p>
    <w:p w14:paraId="009E4010" w14:textId="641DA4EE" w:rsidR="00A13FF4" w:rsidRPr="0027307A" w:rsidRDefault="00A13FF4" w:rsidP="00A13FF4">
      <w:pPr>
        <w:spacing w:after="140" w:line="276" w:lineRule="auto"/>
        <w:contextualSpacing/>
        <w:jc w:val="both"/>
        <w:rPr>
          <w:rFonts w:ascii="Times New Roman" w:hAnsi="Times New Roman" w:cs="Times New Roman"/>
          <w:noProof/>
          <w:sz w:val="24"/>
          <w:szCs w:val="24"/>
        </w:rPr>
      </w:pPr>
      <w:r>
        <w:rPr>
          <w:rFonts w:ascii="Times New Roman" w:hAnsi="Times New Roman"/>
          <w:b/>
          <w:noProof/>
          <w:sz w:val="24"/>
        </w:rPr>
        <w:t>Comisia va sprijini statele membre în elaborarea măsurilor PAC relevante privind o mai bună gestionare a nutrienților în cadrul viitoarei PAC, astfel cum s-a propus.</w:t>
      </w:r>
      <w:r>
        <w:rPr>
          <w:rFonts w:ascii="Times New Roman" w:hAnsi="Times New Roman"/>
          <w:noProof/>
          <w:sz w:val="24"/>
        </w:rPr>
        <w:t xml:space="preserve"> De exemplu, statele membre ar putea concepe o </w:t>
      </w:r>
      <w:r>
        <w:rPr>
          <w:rFonts w:ascii="Times New Roman" w:hAnsi="Times New Roman"/>
          <w:b/>
          <w:noProof/>
          <w:sz w:val="24"/>
        </w:rPr>
        <w:t>schemă</w:t>
      </w:r>
      <w:r>
        <w:rPr>
          <w:rFonts w:ascii="Times New Roman" w:hAnsi="Times New Roman"/>
          <w:noProof/>
          <w:sz w:val="24"/>
        </w:rPr>
        <w:t xml:space="preserve"> specifică </w:t>
      </w:r>
      <w:r>
        <w:rPr>
          <w:rFonts w:ascii="Times New Roman" w:hAnsi="Times New Roman"/>
          <w:b/>
          <w:noProof/>
          <w:sz w:val="24"/>
        </w:rPr>
        <w:t>de tranziție</w:t>
      </w:r>
      <w:r>
        <w:rPr>
          <w:rFonts w:ascii="Times New Roman" w:hAnsi="Times New Roman"/>
          <w:noProof/>
          <w:sz w:val="24"/>
        </w:rPr>
        <w:t xml:space="preserve"> către eficiență, axată pe nutrienți, ca parte a acțiunilor climatice și de agromediu. Această schemă de tranziție ar putea include, de exemplu: (i) realizarea bilanțurilor nutrienților; (ii) obiective privind surplusul de azot și/sau înlocuirea îngrășămintelor sintetice; (iii) formarea; (iv) modificarea culturilor/diversificarea culturilor și (v) investiții în senzori și utilaje pentru agricultura de precizie.</w:t>
      </w:r>
    </w:p>
    <w:p w14:paraId="0E442B2C" w14:textId="77777777" w:rsidR="00A13FF4" w:rsidRPr="0027307A" w:rsidRDefault="00A13FF4" w:rsidP="57738EFE">
      <w:pPr>
        <w:spacing w:after="140" w:line="276" w:lineRule="auto"/>
        <w:contextualSpacing/>
        <w:jc w:val="both"/>
        <w:rPr>
          <w:rFonts w:ascii="Times New Roman" w:eastAsia="Times New Roman" w:hAnsi="Times New Roman" w:cs="Times New Roman"/>
          <w:noProof/>
          <w:sz w:val="24"/>
          <w:szCs w:val="24"/>
        </w:rPr>
      </w:pPr>
    </w:p>
    <w:p w14:paraId="1B2A7752" w14:textId="218EDCC6" w:rsidR="00C2164C" w:rsidRPr="0027307A" w:rsidRDefault="6B1CD8C5" w:rsidP="00381BC7">
      <w:pPr>
        <w:spacing w:after="140" w:line="276" w:lineRule="auto"/>
        <w:jc w:val="both"/>
        <w:rPr>
          <w:rFonts w:ascii="Times New Roman" w:hAnsi="Times New Roman" w:cs="Times New Roman"/>
          <w:noProof/>
          <w:sz w:val="24"/>
          <w:szCs w:val="24"/>
        </w:rPr>
      </w:pPr>
      <w:r>
        <w:rPr>
          <w:rFonts w:ascii="Times New Roman" w:hAnsi="Times New Roman"/>
          <w:b/>
          <w:noProof/>
          <w:sz w:val="24"/>
        </w:rPr>
        <w:t>Comisia va promova, de asemenea, cultivarea de culturi fixatoare de azot</w:t>
      </w:r>
      <w:r>
        <w:rPr>
          <w:rFonts w:ascii="Times New Roman" w:hAnsi="Times New Roman"/>
          <w:noProof/>
          <w:sz w:val="24"/>
        </w:rPr>
        <w:t xml:space="preserve"> ca parte a viitorului plan privind proteinele anunțat în viziunea pentru agricultură și sectorul alimentar.</w:t>
      </w:r>
    </w:p>
    <w:p w14:paraId="291C89D3" w14:textId="3CD21CAE" w:rsidR="00343072" w:rsidRPr="0027307A" w:rsidRDefault="00FC3617" w:rsidP="00381BC7">
      <w:pPr>
        <w:spacing w:after="140" w:line="276" w:lineRule="auto"/>
        <w:contextualSpacing/>
        <w:jc w:val="both"/>
        <w:rPr>
          <w:rFonts w:ascii="Times New Roman" w:hAnsi="Times New Roman" w:cs="Times New Roman"/>
          <w:b/>
          <w:bCs/>
          <w:noProof/>
          <w:sz w:val="24"/>
          <w:szCs w:val="24"/>
        </w:rPr>
      </w:pPr>
      <w:r>
        <w:rPr>
          <w:rFonts w:ascii="Times New Roman" w:hAnsi="Times New Roman"/>
          <w:b/>
          <w:noProof/>
          <w:sz w:val="24"/>
        </w:rPr>
        <w:t>4.2.7. Facilitatori de reglementare și oportunități de venit complementare</w:t>
      </w:r>
    </w:p>
    <w:p w14:paraId="21E9D099" w14:textId="77777777" w:rsidR="00E331FE" w:rsidRPr="0027307A" w:rsidRDefault="00E331FE" w:rsidP="00381BC7">
      <w:pPr>
        <w:spacing w:after="140" w:line="276" w:lineRule="auto"/>
        <w:contextualSpacing/>
        <w:jc w:val="both"/>
        <w:rPr>
          <w:rFonts w:ascii="Times New Roman" w:hAnsi="Times New Roman" w:cs="Times New Roman"/>
          <w:noProof/>
          <w:sz w:val="24"/>
          <w:szCs w:val="24"/>
          <w:lang w:eastAsia="en-IE"/>
        </w:rPr>
      </w:pPr>
    </w:p>
    <w:p w14:paraId="5E751862" w14:textId="00C58C90" w:rsidR="009C3A21" w:rsidRPr="0027307A" w:rsidRDefault="37088019" w:rsidP="57738EFE">
      <w:pPr>
        <w:spacing w:after="140" w:line="276" w:lineRule="auto"/>
        <w:contextualSpacing/>
        <w:jc w:val="both"/>
        <w:rPr>
          <w:rFonts w:ascii="Times New Roman" w:hAnsi="Times New Roman" w:cs="Times New Roman"/>
          <w:noProof/>
          <w:sz w:val="24"/>
          <w:szCs w:val="24"/>
        </w:rPr>
      </w:pPr>
      <w:r>
        <w:rPr>
          <w:rFonts w:ascii="Times New Roman" w:hAnsi="Times New Roman"/>
          <w:noProof/>
          <w:sz w:val="24"/>
        </w:rPr>
        <w:t>Materialele pe bază de azot recuperat din gunoiul de grajd (</w:t>
      </w:r>
      <w:r>
        <w:rPr>
          <w:rFonts w:ascii="Times New Roman" w:hAnsi="Times New Roman"/>
          <w:i/>
          <w:noProof/>
          <w:sz w:val="24"/>
        </w:rPr>
        <w:t>REcovered Nitrogen from manURE</w:t>
      </w:r>
      <w:r>
        <w:rPr>
          <w:rFonts w:ascii="Times New Roman" w:hAnsi="Times New Roman"/>
          <w:noProof/>
          <w:sz w:val="24"/>
        </w:rPr>
        <w:t xml:space="preserve"> – RENURE) permit fermierilor din zonele vulnerabile la nitrați să înlocuiască mai multe îngrășăminte minerale fără a submina protecția apei, datorită modificării recente a Directivei UE privind nitrații</w:t>
      </w:r>
      <w:r>
        <w:rPr>
          <w:rStyle w:val="FootnoteReference"/>
          <w:rFonts w:ascii="Times New Roman" w:hAnsi="Times New Roman" w:cs="Times New Roman"/>
          <w:noProof/>
          <w:sz w:val="24"/>
          <w:szCs w:val="24"/>
          <w:lang w:eastAsia="en-IE"/>
        </w:rPr>
        <w:footnoteReference w:id="44"/>
      </w:r>
      <w:r>
        <w:rPr>
          <w:rFonts w:ascii="Times New Roman" w:hAnsi="Times New Roman"/>
          <w:noProof/>
          <w:sz w:val="24"/>
        </w:rPr>
        <w:t>. Statele membre pot integra deja această nouă opțiune în programele lor de acțiune referitoare la Directiva privind nitrații.</w:t>
      </w:r>
    </w:p>
    <w:p w14:paraId="75816819" w14:textId="77777777" w:rsidR="009C3A21" w:rsidRPr="0027307A" w:rsidRDefault="009C3A21" w:rsidP="57738EFE">
      <w:pPr>
        <w:spacing w:after="140" w:line="276" w:lineRule="auto"/>
        <w:contextualSpacing/>
        <w:jc w:val="both"/>
        <w:rPr>
          <w:rFonts w:ascii="Times New Roman" w:hAnsi="Times New Roman" w:cs="Times New Roman"/>
          <w:noProof/>
          <w:sz w:val="24"/>
          <w:szCs w:val="24"/>
          <w:lang w:eastAsia="en-IE"/>
        </w:rPr>
      </w:pPr>
    </w:p>
    <w:p w14:paraId="084BD5C1" w14:textId="7A73DB31" w:rsidR="000E2DD8" w:rsidRPr="0027307A" w:rsidRDefault="00294DD5" w:rsidP="004752CE">
      <w:pPr>
        <w:spacing w:after="140" w:line="276" w:lineRule="auto"/>
        <w:contextualSpacing/>
        <w:jc w:val="both"/>
        <w:rPr>
          <w:rFonts w:ascii="Times New Roman" w:hAnsi="Times New Roman" w:cs="Times New Roman"/>
          <w:noProof/>
          <w:sz w:val="24"/>
          <w:szCs w:val="24"/>
        </w:rPr>
      </w:pPr>
      <w:r>
        <w:rPr>
          <w:rFonts w:ascii="Times New Roman" w:hAnsi="Times New Roman"/>
          <w:b/>
          <w:noProof/>
          <w:sz w:val="24"/>
        </w:rPr>
        <w:t>Comisia lucrează la extinderea acestei posibilități la digestate</w:t>
      </w:r>
      <w:r>
        <w:rPr>
          <w:rFonts w:ascii="Times New Roman" w:hAnsi="Times New Roman"/>
          <w:noProof/>
          <w:sz w:val="24"/>
        </w:rPr>
        <w:t xml:space="preserve">, având în vedere eficiența lor mai mare decât cea a gunoiului de grajd brut, cum ar fi anumite tipuri de digestate lichide, în cazul cărora potențialul de a îndeplini criteriile de calitate este promițător, prin extinderea actului legislativ privind RENURE, cu garanții de mediu adecvate. Lucrările pregătitoare în această direcție sunt deja în curs, cu scopul de a oferi soluții pe teren până la următorul sezon de vegetație. </w:t>
      </w:r>
    </w:p>
    <w:p w14:paraId="4AAB2E5C" w14:textId="6131A4C2" w:rsidR="004752CE" w:rsidRPr="0027307A" w:rsidRDefault="004752CE" w:rsidP="57738EFE">
      <w:pPr>
        <w:spacing w:after="140" w:line="276" w:lineRule="auto"/>
        <w:contextualSpacing/>
        <w:jc w:val="both"/>
        <w:rPr>
          <w:rFonts w:ascii="Times New Roman" w:hAnsi="Times New Roman" w:cs="Times New Roman"/>
          <w:noProof/>
          <w:sz w:val="24"/>
          <w:szCs w:val="24"/>
          <w:lang w:eastAsia="en-IE"/>
        </w:rPr>
      </w:pPr>
    </w:p>
    <w:p w14:paraId="1C57C2A2" w14:textId="677F9A0F" w:rsidR="009B5B2A" w:rsidRDefault="05711D47" w:rsidP="7D7A2CEB">
      <w:pPr>
        <w:spacing w:after="140" w:line="276" w:lineRule="auto"/>
        <w:contextualSpacing/>
        <w:jc w:val="both"/>
        <w:rPr>
          <w:rFonts w:ascii="Times New Roman" w:hAnsi="Times New Roman" w:cs="Times New Roman"/>
          <w:noProof/>
          <w:sz w:val="24"/>
          <w:szCs w:val="24"/>
        </w:rPr>
      </w:pPr>
      <w:r>
        <w:rPr>
          <w:rFonts w:ascii="Times New Roman" w:hAnsi="Times New Roman"/>
          <w:noProof/>
          <w:sz w:val="24"/>
        </w:rPr>
        <w:t xml:space="preserve">De asemenea, Comisia va publica în curând evaluarea Directivei privind nitrații, care analizează identificarea celor mai bune practici eficace și a potențialului de simplificare. Comisia va continua evaluarea respectivă prin clarificarea modului de punere în aplicare a normelor care afectează viabilitatea fermelor, cum ar fi </w:t>
      </w:r>
      <w:r>
        <w:rPr>
          <w:rFonts w:ascii="Times New Roman" w:hAnsi="Times New Roman"/>
          <w:b/>
          <w:noProof/>
          <w:sz w:val="24"/>
        </w:rPr>
        <w:t>agricultura calendaristică, ținerea evidențelor și planificarea fertilizării pentru fermele mici</w:t>
      </w:r>
      <w:r>
        <w:rPr>
          <w:rFonts w:ascii="Times New Roman" w:hAnsi="Times New Roman"/>
          <w:noProof/>
          <w:sz w:val="24"/>
        </w:rPr>
        <w:t xml:space="preserve">, pentru a ajuta statele membre să pună în aplicare directiva într-un mod mai proporțional și în conformitate cu condițiile climatice. </w:t>
      </w:r>
    </w:p>
    <w:p w14:paraId="4B3E55AC" w14:textId="77777777" w:rsidR="00573727" w:rsidRDefault="00573727" w:rsidP="7D7A2CEB">
      <w:pPr>
        <w:spacing w:after="140" w:line="276" w:lineRule="auto"/>
        <w:contextualSpacing/>
        <w:jc w:val="both"/>
        <w:rPr>
          <w:rFonts w:ascii="Times New Roman" w:hAnsi="Times New Roman" w:cs="Times New Roman"/>
          <w:noProof/>
          <w:sz w:val="24"/>
          <w:szCs w:val="24"/>
          <w:lang w:eastAsia="en-IE"/>
        </w:rPr>
      </w:pPr>
    </w:p>
    <w:p w14:paraId="79EF7EF3" w14:textId="0EB3ED64" w:rsidR="009B5B2A" w:rsidRDefault="00023D86" w:rsidP="57738EFE">
      <w:pPr>
        <w:spacing w:after="140" w:line="276" w:lineRule="auto"/>
        <w:contextualSpacing/>
        <w:jc w:val="both"/>
        <w:rPr>
          <w:rFonts w:ascii="Times New Roman" w:hAnsi="Times New Roman" w:cs="Times New Roman"/>
          <w:noProof/>
          <w:sz w:val="24"/>
          <w:szCs w:val="24"/>
        </w:rPr>
      </w:pPr>
      <w:r>
        <w:rPr>
          <w:rFonts w:ascii="Times New Roman" w:hAnsi="Times New Roman"/>
          <w:noProof/>
          <w:sz w:val="24"/>
        </w:rPr>
        <w:t xml:space="preserve">În plus, Comisia își va publica raportul cvadrienal privind punerea în aplicare a Directivei privind nitrații. </w:t>
      </w:r>
    </w:p>
    <w:p w14:paraId="3729DCC8" w14:textId="77777777" w:rsidR="009B5B2A" w:rsidRDefault="009B5B2A" w:rsidP="57738EFE">
      <w:pPr>
        <w:spacing w:after="140" w:line="276" w:lineRule="auto"/>
        <w:contextualSpacing/>
        <w:jc w:val="both"/>
        <w:rPr>
          <w:rFonts w:ascii="Times New Roman" w:hAnsi="Times New Roman" w:cs="Times New Roman"/>
          <w:noProof/>
          <w:sz w:val="24"/>
          <w:szCs w:val="24"/>
          <w:lang w:eastAsia="en-IE"/>
        </w:rPr>
      </w:pPr>
    </w:p>
    <w:p w14:paraId="632E4448" w14:textId="5A5A7CE8" w:rsidR="00582C97" w:rsidRPr="0027307A" w:rsidRDefault="0098727F" w:rsidP="57738EFE">
      <w:pPr>
        <w:spacing w:after="140" w:line="276" w:lineRule="auto"/>
        <w:contextualSpacing/>
        <w:jc w:val="both"/>
        <w:rPr>
          <w:rFonts w:ascii="Times New Roman" w:hAnsi="Times New Roman" w:cs="Times New Roman"/>
          <w:noProof/>
          <w:sz w:val="24"/>
          <w:szCs w:val="24"/>
        </w:rPr>
      </w:pPr>
      <w:r>
        <w:rPr>
          <w:rFonts w:ascii="Times New Roman" w:hAnsi="Times New Roman"/>
          <w:noProof/>
          <w:sz w:val="24"/>
        </w:rPr>
        <w:t>În plus, ca parte a strategiei UE pentru reziliența în domeniul apei, un set de instrumente de asistență va ajuta în curând statele membre să adopte o abordare coerentă și eficientă a gestionării nutrienților, ținând seama de toate intrările și ieșirile de nutrienți la nivelul bazinelor hidrografice.</w:t>
      </w:r>
    </w:p>
    <w:p w14:paraId="5D5ADDA4" w14:textId="77777777" w:rsidR="00F12594" w:rsidRPr="0027307A" w:rsidRDefault="00F12594" w:rsidP="00381BC7">
      <w:pPr>
        <w:spacing w:after="140" w:line="276" w:lineRule="auto"/>
        <w:contextualSpacing/>
        <w:jc w:val="both"/>
        <w:rPr>
          <w:rStyle w:val="normaltextrun"/>
          <w:rFonts w:ascii="Times New Roman" w:eastAsiaTheme="majorEastAsia" w:hAnsi="Times New Roman" w:cs="Times New Roman"/>
          <w:b/>
          <w:bCs/>
          <w:noProof/>
          <w:sz w:val="24"/>
          <w:szCs w:val="24"/>
        </w:rPr>
      </w:pPr>
    </w:p>
    <w:p w14:paraId="08685510" w14:textId="2B08B631" w:rsidR="005C2355" w:rsidRDefault="242E767A" w:rsidP="57738EFE">
      <w:pPr>
        <w:spacing w:after="140" w:line="276" w:lineRule="auto"/>
        <w:contextualSpacing/>
        <w:jc w:val="both"/>
        <w:rPr>
          <w:rStyle w:val="normaltextrun"/>
          <w:rFonts w:ascii="Times New Roman" w:eastAsiaTheme="majorEastAsia" w:hAnsi="Times New Roman" w:cs="Times New Roman"/>
          <w:noProof/>
          <w:sz w:val="24"/>
          <w:szCs w:val="24"/>
        </w:rPr>
      </w:pPr>
      <w:r>
        <w:rPr>
          <w:rStyle w:val="normaltextrun"/>
          <w:rFonts w:ascii="Times New Roman" w:hAnsi="Times New Roman"/>
          <w:b/>
          <w:noProof/>
          <w:sz w:val="24"/>
        </w:rPr>
        <w:t>Practicile agricole</w:t>
      </w:r>
      <w:r>
        <w:rPr>
          <w:rFonts w:ascii="Times New Roman" w:hAnsi="Times New Roman"/>
          <w:b/>
          <w:noProof/>
          <w:sz w:val="24"/>
        </w:rPr>
        <w:t xml:space="preserve"> care sporesc conținutul de materie organică din sol și reduc emisiile din sol sunt benefice pentru fertilitatea solului pe termen lung și contribuie la reducerea utilizării îngrășămintelor</w:t>
      </w:r>
      <w:r>
        <w:rPr>
          <w:rStyle w:val="normaltextrun"/>
          <w:rFonts w:ascii="Times New Roman" w:hAnsi="Times New Roman"/>
          <w:b/>
          <w:noProof/>
          <w:sz w:val="24"/>
        </w:rPr>
        <w:t>.</w:t>
      </w:r>
      <w:r>
        <w:rPr>
          <w:rStyle w:val="normaltextrun"/>
          <w:rFonts w:ascii="Times New Roman" w:hAnsi="Times New Roman"/>
          <w:noProof/>
          <w:sz w:val="24"/>
        </w:rPr>
        <w:t xml:space="preserve"> Prin stabilirea unor criterii de calitate ale UE și a unor procese de monitorizare și raportare, </w:t>
      </w:r>
      <w:hyperlink r:id="rId19">
        <w:r>
          <w:rPr>
            <w:rStyle w:val="normaltextrun"/>
            <w:rFonts w:ascii="Times New Roman" w:hAnsi="Times New Roman"/>
            <w:b/>
            <w:noProof/>
            <w:sz w:val="24"/>
          </w:rPr>
          <w:t>Regulamentul privind absorbțiile de carbon și agricultura carbonului (CRCF)</w:t>
        </w:r>
        <w:r>
          <w:rPr>
            <w:rStyle w:val="FootnoteReference"/>
            <w:rFonts w:ascii="Times New Roman" w:hAnsi="Times New Roman" w:cs="Times New Roman"/>
            <w:noProof/>
            <w:sz w:val="24"/>
            <w:szCs w:val="24"/>
          </w:rPr>
          <w:footnoteReference w:id="45"/>
        </w:r>
      </w:hyperlink>
      <w:r>
        <w:rPr>
          <w:rStyle w:val="normaltextrun"/>
          <w:rFonts w:ascii="Times New Roman" w:hAnsi="Times New Roman"/>
          <w:b/>
          <w:noProof/>
          <w:sz w:val="24"/>
        </w:rPr>
        <w:t xml:space="preserve"> </w:t>
      </w:r>
      <w:r>
        <w:rPr>
          <w:rStyle w:val="normaltextrun"/>
          <w:rFonts w:ascii="Times New Roman" w:hAnsi="Times New Roman"/>
          <w:noProof/>
          <w:sz w:val="24"/>
        </w:rPr>
        <w:t>urmărește să faciliteze investițiile voluntare în agricultura carbonului și să ofere fermierilor venituri suplimentare. În prezent, Comisia pregătește metodologii de certificare pentru eliminarea dioxidului de carbon și reducerea emisiilor din sol în agricultură și agrosilvicultură.</w:t>
      </w:r>
    </w:p>
    <w:p w14:paraId="5498D77F" w14:textId="77777777" w:rsidR="00E33A44" w:rsidRPr="0027307A" w:rsidRDefault="00E33A44" w:rsidP="57738EFE">
      <w:pPr>
        <w:spacing w:after="140" w:line="276" w:lineRule="auto"/>
        <w:contextualSpacing/>
        <w:jc w:val="both"/>
        <w:rPr>
          <w:rStyle w:val="normaltextrun"/>
          <w:rFonts w:ascii="Times New Roman" w:eastAsiaTheme="majorEastAsia" w:hAnsi="Times New Roman" w:cs="Times New Roman"/>
          <w:noProof/>
          <w:sz w:val="24"/>
          <w:szCs w:val="24"/>
        </w:rPr>
      </w:pPr>
    </w:p>
    <w:p w14:paraId="18DC5FCC" w14:textId="170F0468" w:rsidR="61B98316" w:rsidRDefault="61B98316" w:rsidP="3639F8CD">
      <w:pPr>
        <w:spacing w:after="140" w:line="276" w:lineRule="auto"/>
        <w:contextualSpacing/>
        <w:jc w:val="both"/>
        <w:rPr>
          <w:rStyle w:val="normaltextrun"/>
          <w:rFonts w:ascii="Times New Roman" w:eastAsiaTheme="majorEastAsia" w:hAnsi="Times New Roman" w:cs="Times New Roman"/>
          <w:noProof/>
          <w:sz w:val="24"/>
          <w:szCs w:val="24"/>
        </w:rPr>
      </w:pPr>
      <w:r>
        <w:rPr>
          <w:rStyle w:val="normaltextrun"/>
          <w:rFonts w:ascii="Times New Roman" w:hAnsi="Times New Roman"/>
          <w:noProof/>
          <w:sz w:val="24"/>
        </w:rPr>
        <w:t xml:space="preserve">Comisia va analiza </w:t>
      </w:r>
      <w:r>
        <w:rPr>
          <w:rStyle w:val="normaltextrun"/>
          <w:rFonts w:ascii="Times New Roman" w:hAnsi="Times New Roman"/>
          <w:b/>
          <w:noProof/>
          <w:sz w:val="24"/>
        </w:rPr>
        <w:t>modalitățile de asigurare a unei convergențe mai strânse între cadrul CRCF și planul privind îngrășămintele, prin crearea unor filiere care să permită veniturilor din ETS și agriculturii carbonului să recompenseze utilizarea mai eficientă a îngrășămintelor de către fermieri</w:t>
      </w:r>
      <w:r>
        <w:rPr>
          <w:rStyle w:val="normaltextrun"/>
          <w:rFonts w:ascii="Times New Roman" w:hAnsi="Times New Roman"/>
          <w:noProof/>
          <w:sz w:val="24"/>
        </w:rPr>
        <w:t>, inclusiv a nutrienților reciclați și a îngrășămintelor cu emisii scăzute de dioxid de carbon. Acest lucru ar crea un model de afaceri pentru agricultura carbonului, cu perspective de piață stabile și solide pentru creditele de carbon din agricultură, care ar putea genera o cerere structurală și pe termen lung pe piață și ar reprezenta un flux suplimentar semnificativ de venituri pentru fermieri.</w:t>
      </w:r>
    </w:p>
    <w:p w14:paraId="3B40202C" w14:textId="77777777" w:rsidR="005C2355" w:rsidRPr="0027307A" w:rsidRDefault="005C2355" w:rsidP="00381BC7">
      <w:pPr>
        <w:spacing w:after="140" w:line="276" w:lineRule="auto"/>
        <w:ind w:left="360"/>
        <w:contextualSpacing/>
        <w:jc w:val="both"/>
        <w:rPr>
          <w:rStyle w:val="normaltextrun"/>
          <w:rFonts w:ascii="Times New Roman" w:eastAsiaTheme="majorEastAsia" w:hAnsi="Times New Roman" w:cs="Times New Roman"/>
          <w:noProof/>
          <w:sz w:val="24"/>
          <w:szCs w:val="24"/>
        </w:rPr>
      </w:pPr>
    </w:p>
    <w:p w14:paraId="2EA70BFB" w14:textId="4DD7F894" w:rsidR="0022240C" w:rsidRPr="00A82458" w:rsidRDefault="00805269" w:rsidP="00381BC7">
      <w:pPr>
        <w:spacing w:after="140" w:line="276" w:lineRule="auto"/>
        <w:contextualSpacing/>
        <w:jc w:val="both"/>
        <w:rPr>
          <w:rStyle w:val="normaltextrun"/>
          <w:rFonts w:ascii="Times New Roman" w:eastAsiaTheme="majorEastAsia" w:hAnsi="Times New Roman" w:cs="Times New Roman"/>
          <w:noProof/>
          <w:sz w:val="24"/>
          <w:szCs w:val="24"/>
        </w:rPr>
      </w:pPr>
      <w:r>
        <w:rPr>
          <w:rStyle w:val="normaltextrun"/>
          <w:rFonts w:ascii="Times New Roman" w:hAnsi="Times New Roman"/>
          <w:noProof/>
          <w:sz w:val="24"/>
        </w:rPr>
        <w:t xml:space="preserve">Pentru a accelera extinderea, Comisia va avea în vedere </w:t>
      </w:r>
      <w:r>
        <w:rPr>
          <w:rStyle w:val="normaltextrun"/>
          <w:rFonts w:ascii="Times New Roman" w:hAnsi="Times New Roman"/>
          <w:b/>
          <w:noProof/>
          <w:sz w:val="24"/>
        </w:rPr>
        <w:t>lansarea unei cereri de propuneri la nivelul UE pentru proiecte CRCF care să recompenseze fermierii pentru o utilizare mai eficientă a îngrășămintelor și să compenseze costurile suplimentare ale îngrășămintelor (organice) pe bază de bioresurse și cu emisii scăzute de dioxid de carbon</w:t>
      </w:r>
      <w:r>
        <w:rPr>
          <w:rStyle w:val="normaltextrun"/>
          <w:rFonts w:ascii="Times New Roman" w:hAnsi="Times New Roman"/>
          <w:noProof/>
          <w:sz w:val="24"/>
        </w:rPr>
        <w:t>.</w:t>
      </w:r>
      <w:r>
        <w:rPr>
          <w:noProof/>
        </w:rPr>
        <w:t xml:space="preserve"> </w:t>
      </w:r>
      <w:r>
        <w:rPr>
          <w:rStyle w:val="normaltextrun"/>
          <w:rFonts w:ascii="Times New Roman" w:hAnsi="Times New Roman"/>
          <w:noProof/>
          <w:sz w:val="24"/>
        </w:rPr>
        <w:t xml:space="preserve">Pentru a consolida o abordare bazată pe parteneriatul public-privat și pentru a atrage investițiile întreprinderilor private în proiecte CRCF, ar putea fi avut în vedere un sprijin suplimentar din partea statelor membre sau o contribuție din partea viitorului FEC. </w:t>
      </w:r>
      <w:r>
        <w:rPr>
          <w:noProof/>
        </w:rPr>
        <w:t xml:space="preserve"> </w:t>
      </w:r>
      <w:r>
        <w:rPr>
          <w:rStyle w:val="normaltextrun"/>
          <w:rFonts w:ascii="Times New Roman" w:hAnsi="Times New Roman"/>
          <w:noProof/>
          <w:sz w:val="24"/>
        </w:rPr>
        <w:t xml:space="preserve">Pentru a spori atractivitatea CRCF, viitoarea </w:t>
      </w:r>
      <w:r>
        <w:rPr>
          <w:rStyle w:val="normaltextrun"/>
          <w:rFonts w:ascii="Times New Roman" w:hAnsi="Times New Roman"/>
          <w:b/>
          <w:noProof/>
          <w:sz w:val="24"/>
        </w:rPr>
        <w:t>revizuire a metodologiei CRCF</w:t>
      </w:r>
      <w:r>
        <w:rPr>
          <w:rStyle w:val="normaltextrun"/>
          <w:rFonts w:ascii="Times New Roman" w:hAnsi="Times New Roman"/>
          <w:noProof/>
          <w:sz w:val="24"/>
        </w:rPr>
        <w:t xml:space="preserve"> ar trebui să ajusteze domeniul de aplicare și adiționalitatea pentru a permite în mod eficace pieței creditelor de carbon să favorizeze o mai bună gestionare a nutrienților și utilizarea la scară mai largă a îngrășămintelor (organice) pe bază de bioresurse și cu emisii scăzute de dioxid de carbon. </w:t>
      </w:r>
    </w:p>
    <w:p w14:paraId="37955F18" w14:textId="77777777" w:rsidR="00567EB3" w:rsidRPr="00A82458" w:rsidRDefault="00567EB3" w:rsidP="00381BC7">
      <w:pPr>
        <w:spacing w:line="276" w:lineRule="auto"/>
        <w:jc w:val="both"/>
        <w:rPr>
          <w:rFonts w:ascii="Times New Roman" w:hAnsi="Times New Roman" w:cs="Times New Roman"/>
          <w:b/>
          <w:bCs/>
          <w:noProof/>
          <w:sz w:val="24"/>
          <w:szCs w:val="24"/>
          <w:lang w:eastAsia="en-IE"/>
        </w:rPr>
      </w:pPr>
    </w:p>
    <w:p w14:paraId="1FFFD4A0" w14:textId="28FFEB0C" w:rsidR="00C434D1" w:rsidRPr="0027307A" w:rsidRDefault="00C434D1" w:rsidP="00381BC7">
      <w:pPr>
        <w:spacing w:line="276" w:lineRule="auto"/>
        <w:jc w:val="both"/>
        <w:rPr>
          <w:rFonts w:ascii="Times New Roman" w:hAnsi="Times New Roman" w:cs="Times New Roman"/>
          <w:b/>
          <w:bCs/>
          <w:noProof/>
          <w:sz w:val="24"/>
          <w:szCs w:val="24"/>
        </w:rPr>
      </w:pPr>
      <w:r>
        <w:rPr>
          <w:rFonts w:ascii="Times New Roman" w:hAnsi="Times New Roman"/>
          <w:b/>
          <w:noProof/>
          <w:sz w:val="24"/>
        </w:rPr>
        <w:t>ACȚIUNI DE SPRIJINIRE A PREVIZIBILITĂȚII</w:t>
      </w:r>
    </w:p>
    <w:p w14:paraId="48987576" w14:textId="66C36949" w:rsidR="00A110A8" w:rsidRPr="0027307A" w:rsidRDefault="00FC3617" w:rsidP="00381BC7">
      <w:pPr>
        <w:spacing w:line="276" w:lineRule="auto"/>
        <w:jc w:val="both"/>
        <w:rPr>
          <w:rFonts w:ascii="Times New Roman" w:hAnsi="Times New Roman" w:cs="Times New Roman"/>
          <w:b/>
          <w:bCs/>
          <w:noProof/>
          <w:sz w:val="24"/>
          <w:szCs w:val="24"/>
        </w:rPr>
      </w:pPr>
      <w:r>
        <w:rPr>
          <w:rFonts w:ascii="Times New Roman" w:hAnsi="Times New Roman"/>
          <w:b/>
          <w:noProof/>
          <w:sz w:val="24"/>
        </w:rPr>
        <w:t>4.3. Consolidarea transparenței, a dialogului și a dovezilor privind politicile de-a lungul lanțului de aprovizionare cu îngrășăminte</w:t>
      </w:r>
    </w:p>
    <w:p w14:paraId="7C9BE881" w14:textId="17E4FCAA" w:rsidR="00A37CA4" w:rsidRPr="0027307A" w:rsidRDefault="6B1CD8C5" w:rsidP="00381BC7">
      <w:pPr>
        <w:spacing w:line="276" w:lineRule="auto"/>
        <w:jc w:val="both"/>
        <w:rPr>
          <w:rFonts w:ascii="Times New Roman" w:hAnsi="Times New Roman" w:cs="Times New Roman"/>
          <w:noProof/>
          <w:sz w:val="24"/>
          <w:szCs w:val="24"/>
        </w:rPr>
      </w:pPr>
      <w:r>
        <w:rPr>
          <w:rFonts w:ascii="Times New Roman" w:hAnsi="Times New Roman"/>
          <w:b/>
          <w:noProof/>
          <w:sz w:val="24"/>
        </w:rPr>
        <w:t>O piață funcțională a îngrășămintelor necesită o mai bună informare, o mai bună cunoaștere a pieței și un dialog structurat între factorii de decizie și părțile interesate de-a lungul lanțului valoric</w:t>
      </w:r>
      <w:r>
        <w:rPr>
          <w:rFonts w:ascii="Times New Roman" w:hAnsi="Times New Roman"/>
          <w:noProof/>
          <w:sz w:val="24"/>
        </w:rPr>
        <w:t>. Șocurile succesive de pe piața îngrășămintelor au demonstrat valoarea datelor actualizate privind prețurile, transportul de marfă, costurile energiei, importurile, întreruperile producției, stocurile și utilizarea capacității. Acestea au subliniat, de asemenea, necesitatea unor dovezi mai clare cu privire la modul în care costurile – alături de politicile UE care le afectează – sunt transferate fermierilor. Creșterea transparenței pieței, în conformitate cu normele în materie de concurență, intensificarea dialogului cu părțile interesate și dezvoltarea de instrumente analitice pot favoriza atât răspunsul imediat, cât și o mai bună elaborare a politicilor pe termen lung.</w:t>
      </w:r>
    </w:p>
    <w:p w14:paraId="5A9819BD" w14:textId="4B333C8A" w:rsidR="00E16035" w:rsidRPr="0027307A" w:rsidRDefault="005D47CF" w:rsidP="00381BC7">
      <w:pPr>
        <w:spacing w:after="140" w:line="276" w:lineRule="auto"/>
        <w:jc w:val="both"/>
        <w:rPr>
          <w:rFonts w:ascii="Times New Roman" w:hAnsi="Times New Roman" w:cs="Times New Roman"/>
          <w:noProof/>
          <w:sz w:val="24"/>
          <w:szCs w:val="24"/>
        </w:rPr>
      </w:pPr>
      <w:r>
        <w:rPr>
          <w:rFonts w:ascii="Times New Roman" w:hAnsi="Times New Roman"/>
          <w:noProof/>
          <w:sz w:val="24"/>
        </w:rPr>
        <w:t xml:space="preserve">Din aceste motive, la 13 aprilie 2026, Comisia a organizat un dialog la nivel înalt privind îngrășămintele, care a reunit industria îngrășămintelor, fermierii și alte părți interesate relevante din cadrul lanțului. Astfel de </w:t>
      </w:r>
      <w:r>
        <w:rPr>
          <w:rFonts w:ascii="Times New Roman" w:hAnsi="Times New Roman"/>
          <w:b/>
          <w:noProof/>
          <w:sz w:val="24"/>
        </w:rPr>
        <w:t>dialoguri în materie de politici</w:t>
      </w:r>
      <w:r>
        <w:rPr>
          <w:rFonts w:ascii="Times New Roman" w:hAnsi="Times New Roman"/>
          <w:noProof/>
          <w:sz w:val="24"/>
        </w:rPr>
        <w:t>, extinse la statele membre, vor continua să fie organizate în sprijinul parteneriatului pentru a discuta constrângerile financiare și de reglementare care afectează aprovizionarea, producția, comercializarea și utilizarea îngrășămintelor, cu un accent deosebit pe produsele fertilizante pe bază de bioresurse și reciclate, pe îngrășămintele cu emisii scăzute de dioxid de carbon și pe barierele care îngrădesc deciziile fermierilor de utilizare a acestor îngrășăminte.</w:t>
      </w:r>
    </w:p>
    <w:p w14:paraId="64E88387" w14:textId="6214E77D" w:rsidR="00D52DB7" w:rsidRPr="0027307A" w:rsidRDefault="357D68DC" w:rsidP="00381BC7">
      <w:pPr>
        <w:spacing w:after="140" w:line="276" w:lineRule="auto"/>
        <w:jc w:val="both"/>
        <w:rPr>
          <w:rFonts w:ascii="Times New Roman" w:hAnsi="Times New Roman" w:cs="Times New Roman"/>
          <w:noProof/>
          <w:sz w:val="24"/>
          <w:szCs w:val="24"/>
        </w:rPr>
      </w:pPr>
      <w:bookmarkStart w:id="6" w:name="_Hlk229504107"/>
      <w:r>
        <w:rPr>
          <w:rFonts w:ascii="Times New Roman" w:hAnsi="Times New Roman"/>
          <w:b/>
          <w:noProof/>
          <w:sz w:val="24"/>
        </w:rPr>
        <w:t xml:space="preserve">De asemenea, Comisia va </w:t>
      </w:r>
      <w:bookmarkStart w:id="7" w:name="_Hlk226995188"/>
      <w:r>
        <w:rPr>
          <w:rFonts w:ascii="Times New Roman" w:hAnsi="Times New Roman"/>
          <w:b/>
          <w:noProof/>
          <w:sz w:val="24"/>
        </w:rPr>
        <w:t xml:space="preserve">depune eforturi pentru a spori transparența pieței îngrășămintelor și capacitatea de avertizare timpurie. </w:t>
      </w:r>
      <w:r>
        <w:rPr>
          <w:rFonts w:ascii="Times New Roman" w:hAnsi="Times New Roman"/>
          <w:noProof/>
          <w:sz w:val="24"/>
        </w:rPr>
        <w:t xml:space="preserve">Aceasta va include </w:t>
      </w:r>
      <w:bookmarkEnd w:id="7"/>
      <w:r>
        <w:rPr>
          <w:rFonts w:ascii="Times New Roman" w:hAnsi="Times New Roman"/>
          <w:noProof/>
          <w:sz w:val="24"/>
        </w:rPr>
        <w:t xml:space="preserve">eforturi pentru a se asigura că sunt disponibile, pentru principalele produse fertilizante, informații actualizate și fiabile pentru fiecare stat membru cu privire la volumele de producție și capacitatea de producție, prețurile de vânzare și stocurile, în vederea îmbunătățirii funcționării pieței interne, respectând totodată pe deplin normele UE în materie de concurență, confidențialitatea comercială și necesitatea de a reduce la minimum sarcina administrativă atât pentru întreprinderi, cât și pentru autoritățile publice. În special, în cazul în care informațiile colectate prin alte mijloace rămân insuficiente, Comisia va propune </w:t>
      </w:r>
      <w:r>
        <w:rPr>
          <w:rFonts w:ascii="Times New Roman" w:hAnsi="Times New Roman"/>
          <w:b/>
          <w:noProof/>
          <w:sz w:val="24"/>
        </w:rPr>
        <w:t>includerea în Regulamentul privind produsele fertilizante sau în orice alt act adecvat a unui cadru proporțional pentru colectarea sistematică a informațiilor privind piața</w:t>
      </w:r>
      <w:r>
        <w:rPr>
          <w:rFonts w:ascii="Times New Roman" w:hAnsi="Times New Roman"/>
          <w:noProof/>
          <w:sz w:val="24"/>
        </w:rPr>
        <w:t>. O mai mare transparență a pieței, eventual prin indici de referință ai prețurilor independenți, va oferi o bază mai solidă pentru piețele la termen și pentru alte instrumente de acoperire a riscurilor, ajutând părțile interesate din întregul lanț de aprovizionare cu îngrășăminte să gestioneze expunerea la volatilitatea prețurilor.</w:t>
      </w:r>
    </w:p>
    <w:p w14:paraId="09680344" w14:textId="65E1987D" w:rsidR="002A5496" w:rsidRPr="0027307A" w:rsidRDefault="005072B6" w:rsidP="00381BC7">
      <w:pPr>
        <w:spacing w:after="140" w:line="276" w:lineRule="auto"/>
        <w:jc w:val="both"/>
        <w:rPr>
          <w:rFonts w:ascii="Times New Roman" w:hAnsi="Times New Roman" w:cs="Times New Roman"/>
          <w:noProof/>
          <w:sz w:val="24"/>
          <w:szCs w:val="24"/>
        </w:rPr>
      </w:pPr>
      <w:r>
        <w:rPr>
          <w:rFonts w:ascii="Times New Roman" w:hAnsi="Times New Roman"/>
          <w:b/>
          <w:noProof/>
          <w:sz w:val="24"/>
        </w:rPr>
        <w:t>Observatorul pieței îngrășămintelor va servi drept platformă principală pentru cunoașterea pieței, schimbul de date privind prețurile și colectarea de dovezi</w:t>
      </w:r>
      <w:r>
        <w:rPr>
          <w:rFonts w:ascii="Times New Roman" w:hAnsi="Times New Roman"/>
          <w:noProof/>
          <w:sz w:val="24"/>
        </w:rPr>
        <w:t>. Rolul său va fi consolidat prin îmbunătățirea colectării de date privind funcționarea pieței, prețurile și stocurile. Acesta va contribui la acțiunile de pregătire, la punerea în aplicare și la monitorizarea în cadrul prezentului plan de acțiune.</w:t>
      </w:r>
    </w:p>
    <w:p w14:paraId="38CE7501" w14:textId="1E94C1E8" w:rsidR="00E16035" w:rsidRPr="0027307A" w:rsidRDefault="00570159" w:rsidP="00381BC7">
      <w:pPr>
        <w:spacing w:after="140" w:line="276" w:lineRule="auto"/>
        <w:jc w:val="both"/>
        <w:rPr>
          <w:rFonts w:ascii="Times New Roman" w:hAnsi="Times New Roman" w:cs="Times New Roman"/>
          <w:noProof/>
          <w:sz w:val="24"/>
          <w:szCs w:val="24"/>
        </w:rPr>
      </w:pPr>
      <w:r>
        <w:rPr>
          <w:rFonts w:ascii="Times New Roman" w:hAnsi="Times New Roman"/>
          <w:b/>
          <w:noProof/>
          <w:sz w:val="24"/>
        </w:rPr>
        <w:t>Comisia va continua să monitorizeze concurența pe piața îngrășămintelor din UE</w:t>
      </w:r>
      <w:r>
        <w:rPr>
          <w:rFonts w:ascii="Times New Roman" w:hAnsi="Times New Roman"/>
          <w:noProof/>
          <w:sz w:val="24"/>
        </w:rPr>
        <w:t xml:space="preserve"> și să aplice instrumentele prevăzute de legislația în domeniul concurenței, după caz. Comisia va rămâne vigilentă în privința oricărui indiciu privind existența unor acorduri sau practici anticoncurențiale în sectorul îngrășămintelor</w:t>
      </w:r>
      <w:bookmarkEnd w:id="6"/>
      <w:r>
        <w:rPr>
          <w:rFonts w:ascii="Times New Roman" w:hAnsi="Times New Roman"/>
          <w:noProof/>
          <w:sz w:val="24"/>
        </w:rPr>
        <w:t>.</w:t>
      </w:r>
    </w:p>
    <w:p w14:paraId="431931A7" w14:textId="6448090C" w:rsidR="00E16035" w:rsidRPr="0027307A" w:rsidRDefault="000354EC" w:rsidP="00381BC7">
      <w:pPr>
        <w:spacing w:after="140" w:line="276" w:lineRule="auto"/>
        <w:jc w:val="both"/>
        <w:rPr>
          <w:rFonts w:ascii="Times New Roman" w:hAnsi="Times New Roman" w:cs="Times New Roman"/>
          <w:noProof/>
          <w:sz w:val="24"/>
          <w:szCs w:val="24"/>
        </w:rPr>
      </w:pPr>
      <w:r>
        <w:rPr>
          <w:rFonts w:ascii="Times New Roman" w:hAnsi="Times New Roman"/>
          <w:noProof/>
          <w:sz w:val="24"/>
        </w:rPr>
        <w:t xml:space="preserve">De asemenea, este necesară o bază de dovezi mai solidă cu privire la impactul cadrului de reglementare privind îngrășămintele asupra fermierilor. Prin urmare, Comisia va efectua o evaluare aprofundată a </w:t>
      </w:r>
      <w:r>
        <w:rPr>
          <w:rFonts w:ascii="Times New Roman" w:hAnsi="Times New Roman"/>
          <w:b/>
          <w:noProof/>
          <w:sz w:val="24"/>
        </w:rPr>
        <w:t>modului în care costurile legate de CBAM și ETS sunt transferate în prețurile îngrășămintelor</w:t>
      </w:r>
      <w:r>
        <w:rPr>
          <w:rFonts w:ascii="Times New Roman" w:hAnsi="Times New Roman"/>
          <w:noProof/>
          <w:sz w:val="24"/>
        </w:rPr>
        <w:t xml:space="preserve"> plătite de fermieri și, în cele din urmă, în prețurile alimentelor. Aceasta va îmbunătăți baza de dovezi privind evoluția prețurilor la nivel de fermă în sens mai larg.</w:t>
      </w:r>
    </w:p>
    <w:p w14:paraId="02D2A4FE" w14:textId="02B56E7B" w:rsidR="008B6E3B" w:rsidRPr="0027307A" w:rsidRDefault="00D810CA" w:rsidP="00381BC7">
      <w:pPr>
        <w:spacing w:after="140" w:line="276" w:lineRule="auto"/>
        <w:contextualSpacing/>
        <w:jc w:val="both"/>
        <w:rPr>
          <w:rFonts w:ascii="Times New Roman" w:hAnsi="Times New Roman" w:cs="Times New Roman"/>
          <w:b/>
          <w:bCs/>
          <w:noProof/>
          <w:sz w:val="24"/>
          <w:szCs w:val="24"/>
        </w:rPr>
      </w:pPr>
      <w:r>
        <w:rPr>
          <w:rFonts w:ascii="Times New Roman" w:hAnsi="Times New Roman"/>
          <w:noProof/>
          <w:sz w:val="24"/>
        </w:rPr>
        <w:t xml:space="preserve">La nivel mondial, UE va continua să se implice în cadre de cooperare internațională, cum ar fi </w:t>
      </w:r>
      <w:r>
        <w:rPr>
          <w:rFonts w:ascii="Times New Roman" w:hAnsi="Times New Roman"/>
          <w:b/>
          <w:noProof/>
          <w:sz w:val="24"/>
        </w:rPr>
        <w:t>sistemul de informații privind piața agricolă (AMIS)</w:t>
      </w:r>
      <w:r>
        <w:rPr>
          <w:rFonts w:ascii="Times New Roman" w:hAnsi="Times New Roman"/>
          <w:noProof/>
          <w:sz w:val="24"/>
        </w:rPr>
        <w:t>, care promovează transparența pieței și coordonarea pe piețele agroalimentare mondiale. Comisia își menține angajamentul de a furniza secretariatului AMIS toate datele și sprijinul necesare pentru monitorizarea piețelor îngrășămintelor.</w:t>
      </w:r>
    </w:p>
    <w:p w14:paraId="313EC9D6" w14:textId="77777777" w:rsidR="007D34F8" w:rsidRPr="0027307A" w:rsidRDefault="007D34F8" w:rsidP="00381BC7">
      <w:pPr>
        <w:spacing w:after="140" w:line="276" w:lineRule="auto"/>
        <w:contextualSpacing/>
        <w:jc w:val="both"/>
        <w:rPr>
          <w:rFonts w:ascii="Times New Roman" w:hAnsi="Times New Roman" w:cs="Times New Roman"/>
          <w:b/>
          <w:bCs/>
          <w:noProof/>
          <w:sz w:val="24"/>
          <w:szCs w:val="24"/>
          <w:lang w:eastAsia="en-IE"/>
        </w:rPr>
      </w:pPr>
    </w:p>
    <w:p w14:paraId="2B31AA37" w14:textId="2F9E6482" w:rsidR="00284B79" w:rsidRPr="0027307A" w:rsidRDefault="002A7726" w:rsidP="00381BC7">
      <w:pPr>
        <w:spacing w:after="140" w:line="276" w:lineRule="auto"/>
        <w:contextualSpacing/>
        <w:jc w:val="both"/>
        <w:rPr>
          <w:rFonts w:ascii="Times New Roman" w:hAnsi="Times New Roman" w:cs="Times New Roman"/>
          <w:noProof/>
          <w:sz w:val="24"/>
          <w:szCs w:val="24"/>
        </w:rPr>
      </w:pPr>
      <w:r>
        <w:rPr>
          <w:rFonts w:ascii="Times New Roman" w:hAnsi="Times New Roman"/>
          <w:b/>
          <w:noProof/>
          <w:sz w:val="24"/>
        </w:rPr>
        <w:t>Concluzie</w:t>
      </w:r>
    </w:p>
    <w:p w14:paraId="0B4127DF" w14:textId="28D76E39" w:rsidR="4BD58E56" w:rsidRPr="0027307A" w:rsidRDefault="4BD58E56" w:rsidP="00381BC7">
      <w:pPr>
        <w:spacing w:after="140" w:line="276" w:lineRule="auto"/>
        <w:contextualSpacing/>
        <w:jc w:val="both"/>
        <w:rPr>
          <w:rFonts w:ascii="Times New Roman" w:hAnsi="Times New Roman" w:cs="Times New Roman"/>
          <w:b/>
          <w:bCs/>
          <w:noProof/>
          <w:sz w:val="24"/>
          <w:szCs w:val="24"/>
          <w:lang w:eastAsia="en-IE"/>
        </w:rPr>
      </w:pPr>
    </w:p>
    <w:p w14:paraId="2018FCCA" w14:textId="7D11AB60" w:rsidR="00205373" w:rsidRPr="0027307A" w:rsidRDefault="28ED253B" w:rsidP="00381BC7">
      <w:pPr>
        <w:spacing w:after="140" w:line="276" w:lineRule="auto"/>
        <w:contextualSpacing/>
        <w:jc w:val="both"/>
        <w:rPr>
          <w:rFonts w:ascii="Times New Roman" w:eastAsia="Times New Roman" w:hAnsi="Times New Roman" w:cs="Times New Roman"/>
          <w:noProof/>
          <w:sz w:val="24"/>
          <w:szCs w:val="24"/>
        </w:rPr>
      </w:pPr>
      <w:r>
        <w:rPr>
          <w:rFonts w:ascii="Times New Roman" w:hAnsi="Times New Roman"/>
          <w:noProof/>
          <w:sz w:val="24"/>
        </w:rPr>
        <w:t>Prezenta comunicare prezintă o listă a acțiunilor cu impact menite să abordeze actuala creștere a prețurilor îngrășămintelor și să asigure aprovizionarea pentru anii următori. Comunicarea are drept scop sprijinirea fermierilor și a securității alimentare pe termen scurt și stabilește acțiuni pe termen mediu pentru a accelera apariția unei piețe pentru îngrășăminte biologice autohtone decarbonizate și la prețuri accesibile și pentru a asigura capacitatea de producție internă. Acest lucru se realizează prin utilizarea unei game variate de instrumente: de reglementare, financiare, de stimulare a pieței și de stabilire a prețului carbonului. Scopul este de a consolida lanțul valoric al îngrășămintelor și gestionarea nutrienților, permițând producătorilor europeni de produse fertilizante și fermierilor europeni să colaboreze pe baza unui parteneriat pentru a obține o mai mare reziliență, o mai mare previzibilitate și, în cele din urmă, mai multă valoare creată în Europa.</w:t>
      </w:r>
    </w:p>
    <w:p w14:paraId="644294E2" w14:textId="77777777" w:rsidR="008B3358" w:rsidRPr="0027307A" w:rsidRDefault="008B3358" w:rsidP="00381BC7">
      <w:pPr>
        <w:spacing w:after="140" w:line="276" w:lineRule="auto"/>
        <w:contextualSpacing/>
        <w:jc w:val="both"/>
        <w:rPr>
          <w:rFonts w:ascii="Times New Roman" w:eastAsia="Times New Roman" w:hAnsi="Times New Roman" w:cs="Times New Roman"/>
          <w:noProof/>
          <w:sz w:val="24"/>
          <w:szCs w:val="24"/>
        </w:rPr>
      </w:pPr>
    </w:p>
    <w:p w14:paraId="7F96629A" w14:textId="08E014BC" w:rsidR="00205373" w:rsidRPr="0027307A" w:rsidRDefault="28ED253B" w:rsidP="00381BC7">
      <w:pPr>
        <w:spacing w:after="0" w:line="276" w:lineRule="auto"/>
        <w:contextualSpacing/>
        <w:jc w:val="both"/>
        <w:rPr>
          <w:rFonts w:ascii="Times New Roman" w:eastAsia="Times New Roman" w:hAnsi="Times New Roman" w:cs="Times New Roman"/>
          <w:noProof/>
          <w:sz w:val="24"/>
          <w:szCs w:val="24"/>
        </w:rPr>
      </w:pPr>
      <w:r>
        <w:rPr>
          <w:rFonts w:ascii="Times New Roman" w:hAnsi="Times New Roman"/>
          <w:noProof/>
          <w:sz w:val="24"/>
        </w:rPr>
        <w:t>Măsurile stabilite în prezenta comunicare vor fi continuate după cum se indică în calendar, iar Comisia se va baza pe Parlament și Consiliu, pe statele membre, pe părțile interesate din industrie și agricultură pentru a le pune în practică. Comisia se va prevala de Observatorul pieței îngrășămintelor, de dialogul continuu și de procesele analitice și sectoriale relevante pentru a sprijini punerea în aplicare, pregătirea, colectarea de dovezi și monitorizarea.</w:t>
      </w:r>
    </w:p>
    <w:p w14:paraId="76A71F3F" w14:textId="77777777" w:rsidR="008B3358" w:rsidRPr="0027307A" w:rsidRDefault="008B3358" w:rsidP="00381BC7">
      <w:pPr>
        <w:spacing w:after="0" w:line="276" w:lineRule="auto"/>
        <w:contextualSpacing/>
        <w:jc w:val="both"/>
        <w:rPr>
          <w:rFonts w:ascii="Times New Roman" w:eastAsia="Times New Roman" w:hAnsi="Times New Roman" w:cs="Times New Roman"/>
          <w:noProof/>
          <w:sz w:val="24"/>
          <w:szCs w:val="24"/>
        </w:rPr>
      </w:pPr>
    </w:p>
    <w:p w14:paraId="274449E5" w14:textId="7CD8D6FE" w:rsidR="00A20565" w:rsidRPr="0027307A" w:rsidRDefault="28ED253B" w:rsidP="00A5349D">
      <w:pPr>
        <w:jc w:val="both"/>
        <w:rPr>
          <w:rFonts w:ascii="Times New Roman" w:hAnsi="Times New Roman" w:cs="Times New Roman"/>
          <w:noProof/>
          <w:sz w:val="24"/>
          <w:szCs w:val="24"/>
        </w:rPr>
      </w:pPr>
      <w:r>
        <w:rPr>
          <w:rFonts w:ascii="Times New Roman" w:hAnsi="Times New Roman"/>
          <w:noProof/>
          <w:sz w:val="24"/>
        </w:rPr>
        <w:t>Punerea în aplicare a acestui plan de acțiune va face ca UE să fie mai bine pregătită pentru șocurile viitoare și îi va consolida poziția pentru a contribui la sistemele agroalimentare mondiale.</w:t>
      </w:r>
    </w:p>
    <w:sectPr w:rsidR="00A20565" w:rsidRPr="0027307A" w:rsidSect="00204876">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EE6675" w14:textId="77777777" w:rsidR="00BE4363" w:rsidRPr="0027307A" w:rsidRDefault="00BE4363" w:rsidP="00A110A8">
      <w:pPr>
        <w:spacing w:after="0" w:line="240" w:lineRule="auto"/>
      </w:pPr>
      <w:r>
        <w:separator/>
      </w:r>
    </w:p>
  </w:endnote>
  <w:endnote w:type="continuationSeparator" w:id="0">
    <w:p w14:paraId="202E3A7E" w14:textId="77777777" w:rsidR="00BE4363" w:rsidRPr="0027307A" w:rsidRDefault="00BE4363" w:rsidP="00A110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881A85" w14:textId="761C7150" w:rsidR="00187699" w:rsidRPr="00187699" w:rsidRDefault="00187699" w:rsidP="00187699">
    <w:pPr>
      <w:pStyle w:val="FooterCoverPage"/>
      <w:rPr>
        <w:rFonts w:ascii="Arial" w:hAnsi="Arial" w:cs="Arial"/>
        <w:b/>
        <w:sz w:val="48"/>
      </w:rPr>
    </w:pPr>
    <w:r w:rsidRPr="00187699">
      <w:rPr>
        <w:rFonts w:ascii="Arial" w:hAnsi="Arial" w:cs="Arial"/>
        <w:b/>
        <w:sz w:val="48"/>
      </w:rPr>
      <w:t>RO</w:t>
    </w:r>
    <w:r w:rsidRPr="00187699">
      <w:rPr>
        <w:rFonts w:ascii="Arial" w:hAnsi="Arial" w:cs="Arial"/>
        <w:b/>
        <w:sz w:val="48"/>
      </w:rPr>
      <w:tab/>
    </w:r>
    <w:r w:rsidRPr="00187699">
      <w:rPr>
        <w:rFonts w:ascii="Arial" w:hAnsi="Arial" w:cs="Arial"/>
        <w:b/>
        <w:sz w:val="48"/>
      </w:rPr>
      <w:tab/>
    </w:r>
    <w:r w:rsidRPr="00187699">
      <w:tab/>
    </w:r>
    <w:r w:rsidRPr="00187699">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DEBE11" w14:textId="0F02BBC5" w:rsidR="00187699" w:rsidRPr="00187699" w:rsidRDefault="00187699" w:rsidP="00187699">
    <w:pPr>
      <w:pStyle w:val="FooterCoverPage"/>
      <w:rPr>
        <w:rFonts w:ascii="Arial" w:hAnsi="Arial" w:cs="Arial"/>
        <w:b/>
        <w:sz w:val="48"/>
      </w:rPr>
    </w:pPr>
    <w:r w:rsidRPr="00187699">
      <w:rPr>
        <w:rFonts w:ascii="Arial" w:hAnsi="Arial" w:cs="Arial"/>
        <w:b/>
        <w:sz w:val="48"/>
      </w:rPr>
      <w:t>RO</w:t>
    </w:r>
    <w:r w:rsidRPr="00187699">
      <w:rPr>
        <w:rFonts w:ascii="Arial" w:hAnsi="Arial" w:cs="Arial"/>
        <w:b/>
        <w:sz w:val="48"/>
      </w:rPr>
      <w:tab/>
    </w:r>
    <w:r w:rsidRPr="00187699">
      <w:rPr>
        <w:rFonts w:ascii="Arial" w:hAnsi="Arial" w:cs="Arial"/>
        <w:b/>
        <w:sz w:val="48"/>
      </w:rPr>
      <w:tab/>
    </w:r>
    <w:r w:rsidRPr="00187699">
      <w:tab/>
    </w:r>
    <w:r w:rsidRPr="0018769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73135" w14:textId="77777777" w:rsidR="00187699" w:rsidRPr="00187699" w:rsidRDefault="00187699" w:rsidP="0018769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5B522" w14:textId="77777777" w:rsidR="001A5991" w:rsidRPr="0027307A" w:rsidRDefault="001A599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5508427"/>
      <w:docPartObj>
        <w:docPartGallery w:val="Page Numbers (Bottom of Page)"/>
        <w:docPartUnique/>
      </w:docPartObj>
    </w:sdtPr>
    <w:sdtEndPr/>
    <w:sdtContent>
      <w:p w14:paraId="7E6EED9C" w14:textId="6F272D4F" w:rsidR="00273BBA" w:rsidRPr="0027307A" w:rsidRDefault="00273BBA">
        <w:pPr>
          <w:pStyle w:val="Footer"/>
          <w:jc w:val="center"/>
        </w:pPr>
        <w:r>
          <w:fldChar w:fldCharType="begin"/>
        </w:r>
        <w:r>
          <w:instrText xml:space="preserve"> PAGE   \* MERGEFORMAT </w:instrText>
        </w:r>
        <w:r>
          <w:fldChar w:fldCharType="separate"/>
        </w:r>
        <w:r w:rsidR="00187699">
          <w:rPr>
            <w:noProof/>
          </w:rPr>
          <w:t>1</w:t>
        </w:r>
        <w:r>
          <w:fldChar w:fldCharType="end"/>
        </w:r>
      </w:p>
    </w:sdtContent>
  </w:sdt>
  <w:p w14:paraId="009E8604" w14:textId="77777777" w:rsidR="00273BBA" w:rsidRPr="0027307A" w:rsidRDefault="00273BB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B7856" w14:textId="77777777" w:rsidR="00C172DD" w:rsidRPr="0027307A" w:rsidRDefault="00C172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0149DA" w14:textId="77777777" w:rsidR="00BE4363" w:rsidRPr="0027307A" w:rsidRDefault="00BE4363" w:rsidP="00A110A8">
      <w:pPr>
        <w:spacing w:after="0" w:line="240" w:lineRule="auto"/>
      </w:pPr>
      <w:r>
        <w:separator/>
      </w:r>
    </w:p>
  </w:footnote>
  <w:footnote w:type="continuationSeparator" w:id="0">
    <w:p w14:paraId="41D1C3B0" w14:textId="77777777" w:rsidR="00BE4363" w:rsidRPr="0027307A" w:rsidRDefault="00BE4363" w:rsidP="00A110A8">
      <w:pPr>
        <w:spacing w:after="0" w:line="240" w:lineRule="auto"/>
      </w:pPr>
      <w:r>
        <w:continuationSeparator/>
      </w:r>
    </w:p>
  </w:footnote>
  <w:footnote w:id="1">
    <w:p w14:paraId="65EACDA0" w14:textId="126F9E4C" w:rsidR="004E34E9" w:rsidRPr="00617A04" w:rsidRDefault="004E34E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color w:val="333333"/>
        </w:rPr>
        <w:t>Comunicarea Comisiei intitulată „Asigurarea disponibilității și accesibilității prețurilor îngrășămintelor”, COM(2022) 590 final/2 din 9 noiembrie 2022,</w:t>
      </w:r>
      <w:hyperlink r:id="rId1" w:history="1">
        <w:r>
          <w:rPr>
            <w:rFonts w:ascii="Times New Roman" w:hAnsi="Times New Roman"/>
          </w:rPr>
          <w:t xml:space="preserve"> </w:t>
        </w:r>
        <w:r>
          <w:rPr>
            <w:rFonts w:ascii="Times New Roman" w:hAnsi="Times New Roman"/>
            <w:color w:val="0000FF"/>
            <w:u w:val="single"/>
          </w:rPr>
          <w:t>EUR-Lex - 52022DC0590(01) - RO - EUR-Lex</w:t>
        </w:r>
      </w:hyperlink>
      <w:r>
        <w:rPr>
          <w:rFonts w:ascii="Times New Roman" w:hAnsi="Times New Roman"/>
        </w:rPr>
        <w:t>.</w:t>
      </w:r>
    </w:p>
  </w:footnote>
  <w:footnote w:id="2">
    <w:p w14:paraId="22864706" w14:textId="4824ED72" w:rsidR="005B203E" w:rsidRPr="00617A04" w:rsidRDefault="005B203E" w:rsidP="1F5BB1AF">
      <w:pPr>
        <w:pStyle w:val="title-bold"/>
        <w:shd w:val="clear" w:color="auto" w:fill="FFFFFF" w:themeFill="background1"/>
        <w:spacing w:before="0" w:beforeAutospacing="0" w:after="0" w:afterAutospacing="0"/>
        <w:jc w:val="both"/>
        <w:rPr>
          <w:sz w:val="20"/>
          <w:szCs w:val="20"/>
        </w:rPr>
      </w:pPr>
      <w:r>
        <w:rPr>
          <w:rStyle w:val="FootnoteReference"/>
          <w:sz w:val="20"/>
          <w:szCs w:val="20"/>
        </w:rPr>
        <w:footnoteRef/>
      </w:r>
      <w:r>
        <w:rPr>
          <w:sz w:val="20"/>
        </w:rPr>
        <w:t xml:space="preserve"> </w:t>
      </w:r>
      <w:r>
        <w:rPr>
          <w:color w:val="333333"/>
          <w:sz w:val="20"/>
        </w:rPr>
        <w:t xml:space="preserve">Planul de acțiune RESourceEU – Accelerarea strategiei noastre privind materiile prime critice pentru a ne adapta la o nouă realitate, COM/2025/945 final din 3 decembrie 2025, </w:t>
      </w:r>
      <w:hyperlink r:id="rId2">
        <w:r>
          <w:rPr>
            <w:rStyle w:val="Hyperlink"/>
            <w:sz w:val="20"/>
          </w:rPr>
          <w:t>EUR-Lex - 52025DC0945 - RO - EUR-Lex</w:t>
        </w:r>
      </w:hyperlink>
      <w:r>
        <w:rPr>
          <w:sz w:val="20"/>
        </w:rPr>
        <w:t>.</w:t>
      </w:r>
    </w:p>
  </w:footnote>
  <w:footnote w:id="3">
    <w:p w14:paraId="31ADA44E" w14:textId="2743D2E4" w:rsidR="00B51685" w:rsidRPr="00617A04" w:rsidRDefault="00B51685" w:rsidP="00B5168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Între 25 % și 30 % din consumul UE de îngrășăminte azotoase, aproximativ 35-45 % din consumul UE de potasă și aproximativ 70 % din consumul UE de îngrășăminte fosfatice provin din importuri; sursă: comunicarea Comisiei intitulată „Asigurarea disponibilității și accesibilității prețurilor îngrășămintelor”.</w:t>
      </w:r>
    </w:p>
  </w:footnote>
  <w:footnote w:id="4">
    <w:p w14:paraId="029653DB" w14:textId="77777777" w:rsidR="00584187" w:rsidRPr="001C18F0" w:rsidRDefault="00584187" w:rsidP="00584187">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 w:history="1">
        <w:r>
          <w:rPr>
            <w:rStyle w:val="Hyperlink"/>
            <w:rFonts w:ascii="Times New Roman" w:hAnsi="Times New Roman"/>
          </w:rPr>
          <w:t>https://energy.ec.europa.eu/publications/accelerateeu-energy-union-affordable-and-secure-energy-through-accelerated-action_en</w:t>
        </w:r>
      </w:hyperlink>
      <w:r>
        <w:rPr>
          <w:rFonts w:ascii="Times New Roman" w:hAnsi="Times New Roman"/>
        </w:rPr>
        <w:t>.</w:t>
      </w:r>
    </w:p>
  </w:footnote>
  <w:footnote w:id="5">
    <w:p w14:paraId="2CAAB6C7" w14:textId="6FFE4E11" w:rsidR="00BE5916" w:rsidRPr="0055011B" w:rsidRDefault="00BE591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Reprezentând în 2024 și 2025 puțin peste 7 % din costurile factorilor de producție pentru sectorul agricol al UE, după o valoare record de aproape 9 % în 2022; Date Eurostat privind conturile economice pentru agricultură (CEA).</w:t>
      </w:r>
    </w:p>
  </w:footnote>
  <w:footnote w:id="6">
    <w:p w14:paraId="3EC1F559" w14:textId="4FD26D43" w:rsidR="006F3492" w:rsidRPr="0055011B" w:rsidRDefault="006F349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Potrivit Rețelei de date privind durabilitatea agricolă (RDDA), îngrășămintele au reprezentat 24 % din costurile factorilor de producție intermediari și 16 % din totalul factorilor de producție în 2023 pentru fermierii care produc culturi arabile.</w:t>
      </w:r>
    </w:p>
  </w:footnote>
  <w:footnote w:id="7">
    <w:p w14:paraId="5745D339" w14:textId="11BF9B6A" w:rsidR="0055011B" w:rsidRPr="001930F7" w:rsidRDefault="0055011B">
      <w:pPr>
        <w:pStyle w:val="FootnoteText"/>
      </w:pPr>
      <w:r>
        <w:rPr>
          <w:rStyle w:val="FootnoteReference"/>
          <w:rFonts w:ascii="Times New Roman" w:hAnsi="Times New Roman" w:cs="Times New Roman"/>
        </w:rPr>
        <w:footnoteRef/>
      </w:r>
      <w:r>
        <w:rPr>
          <w:rFonts w:ascii="Times New Roman" w:hAnsi="Times New Roman"/>
        </w:rPr>
        <w:t xml:space="preserve"> Fixarea azotului este responsabilă pentru aproximativ 1,5 % din emisiile de CO₂ din UE (aproximativ 50-60 Mt CO₂/an).</w:t>
      </w:r>
    </w:p>
  </w:footnote>
  <w:footnote w:id="8">
    <w:p w14:paraId="089ECED2" w14:textId="00C52390" w:rsidR="004D0818" w:rsidRPr="001C18F0" w:rsidRDefault="004D0818" w:rsidP="00D16309">
      <w:pPr>
        <w:rPr>
          <w:rFonts w:ascii="Times New Roman" w:hAnsi="Times New Roman" w:cs="Times New Roman"/>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4" w:history="1">
        <w:r>
          <w:rPr>
            <w:rStyle w:val="Hyperlink"/>
            <w:rFonts w:ascii="Times New Roman" w:hAnsi="Times New Roman"/>
            <w:sz w:val="20"/>
          </w:rPr>
          <w:t>Mecanismul de ajustare a carbonului la frontieră – Impozitare și uniune vamală</w:t>
        </w:r>
      </w:hyperlink>
      <w:r>
        <w:rPr>
          <w:rFonts w:ascii="Times New Roman" w:hAnsi="Times New Roman"/>
          <w:sz w:val="20"/>
        </w:rPr>
        <w:t>; punerea în aplicare a CBAM în perioada sa definitivă a început în 2026. Mecanismul va fi analizat într-un raport în 2027.</w:t>
      </w:r>
    </w:p>
  </w:footnote>
  <w:footnote w:id="9">
    <w:p w14:paraId="05629924" w14:textId="4602211C" w:rsidR="003722C9" w:rsidRPr="00B765C1" w:rsidRDefault="003722C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 w:history="1">
        <w:r>
          <w:rPr>
            <w:rStyle w:val="Hyperlink"/>
            <w:rFonts w:ascii="Times New Roman" w:hAnsi="Times New Roman"/>
          </w:rPr>
          <w:t>https://www.fao.org/newsroom/detail/fao-chief-economist-warns-of-severe-global-food-security-risks-from-disruption-to-strait-of-hormuz-trade-corridor/en</w:t>
        </w:r>
      </w:hyperlink>
      <w:r>
        <w:rPr>
          <w:rFonts w:ascii="Times New Roman" w:hAnsi="Times New Roman"/>
        </w:rPr>
        <w:t>.</w:t>
      </w:r>
    </w:p>
  </w:footnote>
  <w:footnote w:id="10">
    <w:p w14:paraId="1DD0D6B4" w14:textId="5FA3CA36" w:rsidR="00D646BF" w:rsidRPr="00B349B4" w:rsidRDefault="00D646BF">
      <w:pPr>
        <w:pStyle w:val="FootnoteText"/>
      </w:pPr>
      <w:r>
        <w:rPr>
          <w:rStyle w:val="FootnoteReference"/>
          <w:rFonts w:ascii="Times New Roman" w:hAnsi="Times New Roman" w:cs="Times New Roman"/>
        </w:rPr>
        <w:footnoteRef/>
      </w:r>
      <w:r>
        <w:rPr>
          <w:rFonts w:ascii="Times New Roman" w:hAnsi="Times New Roman"/>
        </w:rPr>
        <w:t xml:space="preserve"> Regulamentul (UE) 2019/1009</w:t>
      </w:r>
      <w:r>
        <w:t>.</w:t>
      </w:r>
    </w:p>
  </w:footnote>
  <w:footnote w:id="11">
    <w:p w14:paraId="34642C6C" w14:textId="227C9957" w:rsidR="00260844" w:rsidRPr="001C18F0" w:rsidRDefault="0026084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6" w:history="1">
        <w:r>
          <w:rPr>
            <w:rFonts w:ascii="Times New Roman" w:hAnsi="Times New Roman"/>
            <w:color w:val="0000FF"/>
            <w:u w:val="single"/>
          </w:rPr>
          <w:t>Îngrășăminte – Agricultură și dezvoltare rurală – Comisia Europeană</w:t>
        </w:r>
      </w:hyperlink>
      <w:r>
        <w:rPr>
          <w:rFonts w:ascii="Times New Roman" w:hAnsi="Times New Roman"/>
        </w:rPr>
        <w:t>.</w:t>
      </w:r>
    </w:p>
  </w:footnote>
  <w:footnote w:id="12">
    <w:p w14:paraId="0AE864E3" w14:textId="21135F59" w:rsidR="0085117D" w:rsidRPr="001C18F0" w:rsidRDefault="0085117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7" w:history="1">
        <w:r>
          <w:rPr>
            <w:rStyle w:val="Hyperlink"/>
            <w:rFonts w:ascii="Times New Roman" w:hAnsi="Times New Roman"/>
          </w:rPr>
          <w:t>https://ec.europa.eu/commission/presscorner/detail/ro/ip_26_894</w:t>
        </w:r>
      </w:hyperlink>
      <w:r>
        <w:rPr>
          <w:rFonts w:ascii="Times New Roman" w:hAnsi="Times New Roman"/>
        </w:rPr>
        <w:t>.</w:t>
      </w:r>
    </w:p>
  </w:footnote>
  <w:footnote w:id="13">
    <w:p w14:paraId="3784856C" w14:textId="7F3D8A68" w:rsidR="00731EEE" w:rsidRPr="001C18F0" w:rsidRDefault="00731EEE" w:rsidP="00731EE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8" w:history="1">
        <w:r>
          <w:rPr>
            <w:rStyle w:val="Hyperlink"/>
            <w:rFonts w:ascii="Times New Roman" w:hAnsi="Times New Roman"/>
          </w:rPr>
          <w:t>Rețeaua PAC a UE</w:t>
        </w:r>
      </w:hyperlink>
      <w:r>
        <w:rPr>
          <w:rFonts w:ascii="Times New Roman" w:hAnsi="Times New Roman"/>
        </w:rPr>
        <w:t>.</w:t>
      </w:r>
    </w:p>
  </w:footnote>
  <w:footnote w:id="14">
    <w:p w14:paraId="594AD80A" w14:textId="53055C59" w:rsidR="006D19C7" w:rsidRPr="00617A04" w:rsidRDefault="006D19C7" w:rsidP="006D19C7">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Comunicarea Comisiei intitulată „AccelerateEU – Uniunea energetică – Energie la prețuri accesibile și sigură prin acțiuni accelerate”, COM(2026) 370 final.</w:t>
      </w:r>
    </w:p>
  </w:footnote>
  <w:footnote w:id="15">
    <w:p w14:paraId="50082F42" w14:textId="79C5D4A1" w:rsidR="00D251A1" w:rsidRPr="00D251A1" w:rsidRDefault="00D251A1">
      <w:pPr>
        <w:pStyle w:val="FootnoteText"/>
      </w:pPr>
      <w:r>
        <w:rPr>
          <w:rStyle w:val="FootnoteReference"/>
        </w:rPr>
        <w:footnoteRef/>
      </w:r>
      <w:r>
        <w:rPr>
          <w:u w:val="single"/>
        </w:rPr>
        <w:t xml:space="preserve"> </w:t>
      </w:r>
      <w:hyperlink r:id="rId9" w:history="1">
        <w:r>
          <w:rPr>
            <w:rStyle w:val="Hyperlink"/>
            <w:rFonts w:ascii="Times New Roman" w:hAnsi="Times New Roman"/>
          </w:rPr>
          <w:t>Registrul documentelor Comisiei – COM(2026)99</w:t>
        </w:r>
      </w:hyperlink>
      <w:r>
        <w:rPr>
          <w:rFonts w:ascii="Times New Roman" w:hAnsi="Times New Roman"/>
        </w:rPr>
        <w:t>.</w:t>
      </w:r>
    </w:p>
  </w:footnote>
  <w:footnote w:id="16">
    <w:p w14:paraId="535D63F2" w14:textId="37C7517B" w:rsidR="00197F24" w:rsidRPr="001C18F0" w:rsidRDefault="00197F24" w:rsidP="00197F24">
      <w:pPr>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Regulamentul (UE) 2024/2747 al Parlamentului European și al Consiliului din 9 octombrie 2024 de instituire a unui cadru de măsuri privind situațiile de urgență pe piața internă și reziliența pieței interne și de modificare a Regulamentului (CE) nr. 2679/98 al Consiliului (Regulamentul privind situațiile de urgență și reziliența pieței interne) (Text cu relevanță pentru SEE), </w:t>
      </w:r>
      <w:hyperlink r:id="rId10" w:history="1">
        <w:r>
          <w:rPr>
            <w:rStyle w:val="Hyperlink"/>
            <w:rFonts w:ascii="Times New Roman" w:hAnsi="Times New Roman"/>
            <w:sz w:val="20"/>
          </w:rPr>
          <w:t>Regulamentul - UE - 2024/2747 - RO - EUR-Lex</w:t>
        </w:r>
      </w:hyperlink>
      <w:r>
        <w:rPr>
          <w:rFonts w:ascii="Times New Roman" w:hAnsi="Times New Roman"/>
          <w:sz w:val="20"/>
        </w:rPr>
        <w:t>, aplicabil de la 29 mai 2026.</w:t>
      </w:r>
    </w:p>
  </w:footnote>
  <w:footnote w:id="17">
    <w:p w14:paraId="2D7C1F7C" w14:textId="748DA6C2" w:rsidR="00863E86" w:rsidRPr="001C18F0" w:rsidRDefault="00863E86" w:rsidP="00863E8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1" w:history="1">
        <w:r>
          <w:rPr>
            <w:rStyle w:val="Hyperlink"/>
            <w:rFonts w:ascii="Times New Roman" w:hAnsi="Times New Roman"/>
          </w:rPr>
          <w:t>Registrul documentelor Comisiei – COM(2026)99</w:t>
        </w:r>
      </w:hyperlink>
      <w:r>
        <w:rPr>
          <w:rFonts w:ascii="Times New Roman" w:hAnsi="Times New Roman"/>
        </w:rPr>
        <w:t>.</w:t>
      </w:r>
    </w:p>
  </w:footnote>
  <w:footnote w:id="18">
    <w:p w14:paraId="459790A0" w14:textId="77777777" w:rsidR="00DF2B4B" w:rsidRPr="00617A04" w:rsidRDefault="00DF2B4B" w:rsidP="00DF2B4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2" w:history="1">
        <w:r>
          <w:rPr>
            <w:rStyle w:val="Hyperlink"/>
            <w:rFonts w:ascii="Times New Roman" w:hAnsi="Times New Roman"/>
          </w:rPr>
          <w:t>Regulamentul de punere în aplicare (UE) 2025/2620 al Comisiei</w:t>
        </w:r>
      </w:hyperlink>
      <w:r>
        <w:rPr>
          <w:rFonts w:ascii="Times New Roman" w:hAnsi="Times New Roman"/>
        </w:rPr>
        <w:t xml:space="preserve">. Pentru anul 2026, prețurile trimestriale sunt publicate pe </w:t>
      </w:r>
      <w:hyperlink r:id="rId13" w:history="1">
        <w:r>
          <w:rPr>
            <w:rStyle w:val="Hyperlink"/>
            <w:rFonts w:ascii="Times New Roman" w:hAnsi="Times New Roman"/>
          </w:rPr>
          <w:t>portalul web CBAM</w:t>
        </w:r>
      </w:hyperlink>
      <w:r>
        <w:rPr>
          <w:rFonts w:ascii="Times New Roman" w:hAnsi="Times New Roman"/>
        </w:rPr>
        <w:t>.</w:t>
      </w:r>
    </w:p>
  </w:footnote>
  <w:footnote w:id="19">
    <w:p w14:paraId="50E43A1A" w14:textId="322F58D9" w:rsidR="00105431" w:rsidRPr="00105431" w:rsidRDefault="00105431">
      <w:pPr>
        <w:pStyle w:val="FootnoteText"/>
      </w:pPr>
      <w:r>
        <w:rPr>
          <w:rStyle w:val="FootnoteReference"/>
        </w:rPr>
        <w:footnoteRef/>
      </w:r>
      <w:r>
        <w:t xml:space="preserve"> </w:t>
      </w:r>
      <w:hyperlink r:id="rId14" w:history="1">
        <w:r>
          <w:rPr>
            <w:rFonts w:ascii="Times New Roman" w:hAnsi="Times New Roman"/>
            <w:color w:val="0000FF"/>
            <w:u w:val="single"/>
          </w:rPr>
          <w:t>Strategia „Global Gateway” – Comisia Europeană</w:t>
        </w:r>
      </w:hyperlink>
      <w:r>
        <w:t>.</w:t>
      </w:r>
    </w:p>
  </w:footnote>
  <w:footnote w:id="20">
    <w:p w14:paraId="3B47266D" w14:textId="5D705625" w:rsidR="00105431" w:rsidRPr="006359C8" w:rsidRDefault="00105431">
      <w:pPr>
        <w:pStyle w:val="FootnoteText"/>
      </w:pPr>
      <w:r>
        <w:rPr>
          <w:rStyle w:val="FootnoteReference"/>
        </w:rPr>
        <w:footnoteRef/>
      </w:r>
      <w:r>
        <w:t xml:space="preserve"> </w:t>
      </w:r>
      <w:hyperlink r:id="rId15" w:anchor="what-is-team-europe" w:history="1">
        <w:r>
          <w:rPr>
            <w:rFonts w:ascii="Times New Roman" w:hAnsi="Times New Roman"/>
            <w:color w:val="0000FF"/>
            <w:u w:val="single"/>
          </w:rPr>
          <w:t>Echipa Europa: inițiative – Parteneriate internaționale – Comisia Europeană</w:t>
        </w:r>
      </w:hyperlink>
      <w:r>
        <w:t>.</w:t>
      </w:r>
    </w:p>
  </w:footnote>
  <w:footnote w:id="21">
    <w:p w14:paraId="68B1BC3B" w14:textId="0CE66E50" w:rsidR="007622CC" w:rsidRPr="001C18F0" w:rsidRDefault="007622C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6" w:history="1">
        <w:r>
          <w:rPr>
            <w:rFonts w:ascii="Times New Roman" w:hAnsi="Times New Roman"/>
            <w:color w:val="0000FF"/>
            <w:u w:val="single"/>
          </w:rPr>
          <w:t>Constituirea de stocuri – Protecție Civilă și Operațiuni Umanitare Europene</w:t>
        </w:r>
      </w:hyperlink>
      <w:r>
        <w:rPr>
          <w:rFonts w:ascii="Times New Roman" w:hAnsi="Times New Roman"/>
        </w:rPr>
        <w:t>.</w:t>
      </w:r>
    </w:p>
  </w:footnote>
  <w:footnote w:id="22">
    <w:p w14:paraId="24C65CC1" w14:textId="7CBE3C11" w:rsidR="00A7591F" w:rsidRPr="001C18F0" w:rsidRDefault="00A7591F" w:rsidP="00A7591F">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Un cadru strategic pentru o bioeconomie a UE competitivă și durabilă, COM(2025) 960 final, </w:t>
      </w:r>
      <w:hyperlink r:id="rId17" w:history="1">
        <w:r>
          <w:rPr>
            <w:rFonts w:ascii="Times New Roman" w:hAnsi="Times New Roman"/>
            <w:color w:val="0000FF"/>
            <w:u w:val="single"/>
          </w:rPr>
          <w:t>EUR-Lex - 52025DC0960 - RO - EUR-Lex</w:t>
        </w:r>
      </w:hyperlink>
      <w:r>
        <w:rPr>
          <w:rFonts w:ascii="Times New Roman" w:hAnsi="Times New Roman"/>
        </w:rPr>
        <w:t>.</w:t>
      </w:r>
    </w:p>
  </w:footnote>
  <w:footnote w:id="23">
    <w:p w14:paraId="1B4118B0" w14:textId="2913542F" w:rsidR="00EB51AD" w:rsidRPr="001C18F0" w:rsidRDefault="00EB51AD" w:rsidP="00EB51A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Directiva (UE) 2024/3019 a Parlamentului European și a Consiliului din 27 noiembrie 2024 privind epurarea apelor uzate urbane (reformare) (Text cu relevanță pentru SEE), </w:t>
      </w:r>
      <w:hyperlink r:id="rId18" w:history="1">
        <w:r>
          <w:rPr>
            <w:rStyle w:val="Hyperlink"/>
            <w:rFonts w:ascii="Times New Roman" w:hAnsi="Times New Roman"/>
          </w:rPr>
          <w:t>Directiva - UE - 2024/3019 - RO - EUR-Lex</w:t>
        </w:r>
      </w:hyperlink>
      <w:r>
        <w:rPr>
          <w:rFonts w:ascii="Times New Roman" w:hAnsi="Times New Roman"/>
        </w:rPr>
        <w:t>.</w:t>
      </w:r>
    </w:p>
  </w:footnote>
  <w:footnote w:id="24">
    <w:p w14:paraId="53C60D9C" w14:textId="65915A3A" w:rsidR="004051E2" w:rsidRPr="003700C8" w:rsidRDefault="004051E2" w:rsidP="004051E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u w:val="single"/>
        </w:rPr>
        <w:t xml:space="preserve">Directiva 2008/98/CE a Parlamentului European și a Consiliului din 19 noiembrie 2008 privind deșeurile și de abrogare a anumitor directive (Text cu relevanță pentru SEE), </w:t>
      </w:r>
      <w:hyperlink r:id="rId19" w:tgtFrame="_blank" w:history="1">
        <w:r>
          <w:rPr>
            <w:rStyle w:val="Hyperlink"/>
            <w:rFonts w:ascii="Times New Roman" w:hAnsi="Times New Roman"/>
          </w:rPr>
          <w:t>EUR-Lex - 02008L0098-20251016 - RO - EUR-Lex</w:t>
        </w:r>
      </w:hyperlink>
      <w:r>
        <w:rPr>
          <w:rFonts w:ascii="Times New Roman" w:hAnsi="Times New Roman"/>
          <w:u w:val="single"/>
        </w:rPr>
        <w:t>.</w:t>
      </w:r>
    </w:p>
  </w:footnote>
  <w:footnote w:id="25">
    <w:p w14:paraId="4C6E77E5" w14:textId="143F4408" w:rsidR="003F2781" w:rsidRPr="00C37A07" w:rsidRDefault="003F2781" w:rsidP="003F2781">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Comunicare a Comisiei intitulată „Orientările Uniunii Europene privind ajutoarele de stat în sectoarele agricol și forestier și în zonele rurale” (JO C 485, 21.12.2022, p. 1, </w:t>
      </w:r>
      <w:hyperlink r:id="rId20" w:history="1">
        <w:r>
          <w:rPr>
            <w:rStyle w:val="Hyperlink"/>
            <w:rFonts w:ascii="Times New Roman" w:hAnsi="Times New Roman"/>
            <w:sz w:val="18"/>
          </w:rPr>
          <w:t>EUR-Lex - 02022XC1221(01)-20240305 - RO - EUR-Lex</w:t>
        </w:r>
      </w:hyperlink>
      <w:r>
        <w:rPr>
          <w:rFonts w:ascii="Times New Roman" w:hAnsi="Times New Roman"/>
          <w:sz w:val="18"/>
        </w:rPr>
        <w:t xml:space="preserve">). </w:t>
      </w:r>
    </w:p>
  </w:footnote>
  <w:footnote w:id="26">
    <w:p w14:paraId="44FA753E" w14:textId="77777777" w:rsidR="003F2781" w:rsidRPr="00C37A07" w:rsidRDefault="003F2781" w:rsidP="003F2781">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Style w:val="FootnoteReference"/>
          <w:rFonts w:ascii="Times New Roman" w:hAnsi="Times New Roman"/>
          <w:sz w:val="18"/>
        </w:rPr>
        <w:t xml:space="preserve"> </w:t>
      </w:r>
      <w:r>
        <w:rPr>
          <w:rStyle w:val="FootnoteReference"/>
          <w:rFonts w:ascii="Times New Roman" w:hAnsi="Times New Roman"/>
          <w:sz w:val="18"/>
          <w:vertAlign w:val="baseline"/>
        </w:rPr>
        <w:t>Regulamentul (UE) 2022/2472 al Comisiei din 14 decembrie 2022 de declarare a anumitor categorii de ajutoare în sectoarele agricol și forestier și în zonele rurale ca fiind compatibile cu piața internă, în aplicarea articolelor 107 și 108 din Tratatul privind funcționarea Uniunii Europene (JO L 327, 21.12.2022, p. 1</w:t>
      </w:r>
      <w:r>
        <w:rPr>
          <w:rFonts w:ascii="Times New Roman" w:hAnsi="Times New Roman"/>
          <w:sz w:val="18"/>
        </w:rPr>
        <w:t xml:space="preserve">, </w:t>
      </w:r>
      <w:r>
        <w:rPr>
          <w:rStyle w:val="FootnoteReference"/>
          <w:rFonts w:ascii="Times New Roman" w:hAnsi="Times New Roman"/>
          <w:sz w:val="18"/>
          <w:vertAlign w:val="baseline"/>
        </w:rPr>
        <w:t>ELI: </w:t>
      </w:r>
      <w:hyperlink r:id="rId21" w:tooltip="Oferă acces la acest document prin identificatorul său uniform de resurse ELI." w:history="1">
        <w:r>
          <w:rPr>
            <w:rStyle w:val="FootnoteReference"/>
            <w:rFonts w:ascii="Times New Roman" w:hAnsi="Times New Roman"/>
            <w:sz w:val="18"/>
            <w:vertAlign w:val="baseline"/>
          </w:rPr>
          <w:t>http://data.europa.eu/eli/reg/2022/2472/oj</w:t>
        </w:r>
      </w:hyperlink>
      <w:r>
        <w:rPr>
          <w:rStyle w:val="FootnoteReference"/>
          <w:rFonts w:ascii="Times New Roman" w:hAnsi="Times New Roman"/>
          <w:sz w:val="18"/>
          <w:vertAlign w:val="baseline"/>
        </w:rPr>
        <w:t>).</w:t>
      </w:r>
    </w:p>
  </w:footnote>
  <w:footnote w:id="27">
    <w:p w14:paraId="0C842EE3" w14:textId="77777777" w:rsidR="004C2CFE" w:rsidRDefault="00AB71C1" w:rsidP="004C2CFE">
      <w:pPr>
        <w:pStyle w:val="FootnoteText"/>
        <w:jc w:val="both"/>
        <w:rPr>
          <w:rFonts w:ascii="Times New Roman" w:hAnsi="Times New Roman" w:cs="Times New Roman"/>
          <w:sz w:val="18"/>
          <w:szCs w:val="18"/>
        </w:rPr>
      </w:pPr>
      <w:r>
        <w:rPr>
          <w:rStyle w:val="FootnoteReference"/>
        </w:rPr>
        <w:footnoteRef/>
      </w:r>
      <w:r>
        <w:t xml:space="preserve"> </w:t>
      </w:r>
      <w:r>
        <w:rPr>
          <w:rFonts w:ascii="Times New Roman" w:hAnsi="Times New Roman"/>
          <w:sz w:val="18"/>
        </w:rPr>
        <w:t>Regulamentul (UE) 2019/515 al Parlamentului European și al Consiliului din 19 martie 2019 privind recunoașterea reciprocă a mărfurilor comercializate în mod legal în alt stat membru și de abrogare a Regulamentului (CE) nr. 764/2008 (Text cu relevanță pentru SEE)</w:t>
      </w:r>
      <w:r>
        <w:t>.</w:t>
      </w:r>
    </w:p>
    <w:p w14:paraId="6F6B35F6" w14:textId="46078026" w:rsidR="00AB71C1" w:rsidRPr="007C6454" w:rsidRDefault="00AB71C1">
      <w:pPr>
        <w:pStyle w:val="FootnoteText"/>
      </w:pPr>
    </w:p>
  </w:footnote>
  <w:footnote w:id="28">
    <w:p w14:paraId="208FD3A2" w14:textId="566BB06D" w:rsidR="005870A2" w:rsidRPr="00850FDC" w:rsidRDefault="005870A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2" w:history="1">
        <w:r>
          <w:rPr>
            <w:rFonts w:ascii="Times New Roman" w:hAnsi="Times New Roman"/>
            <w:color w:val="0000FF"/>
            <w:u w:val="single"/>
          </w:rPr>
          <w:t>Schema UE de comercializare a certificatelor de emisii (EU ETS) – Politici climatice – Comisia Europeană</w:t>
        </w:r>
      </w:hyperlink>
      <w:r>
        <w:rPr>
          <w:rFonts w:ascii="Times New Roman" w:hAnsi="Times New Roman"/>
        </w:rPr>
        <w:t>.</w:t>
      </w:r>
    </w:p>
  </w:footnote>
  <w:footnote w:id="29">
    <w:p w14:paraId="16414533" w14:textId="78C6B3F9" w:rsidR="00F37855" w:rsidRPr="00044AB1" w:rsidRDefault="00F37855" w:rsidP="00F3785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3" w:history="1">
        <w:r>
          <w:rPr>
            <w:rStyle w:val="Hyperlink"/>
            <w:rFonts w:ascii="Times New Roman" w:hAnsi="Times New Roman"/>
          </w:rPr>
          <w:t>Fondul pentru inovare – Politici climatice – Comisia Europeană</w:t>
        </w:r>
      </w:hyperlink>
      <w:r>
        <w:rPr>
          <w:rFonts w:ascii="Times New Roman" w:hAnsi="Times New Roman"/>
        </w:rPr>
        <w:t>.</w:t>
      </w:r>
    </w:p>
  </w:footnote>
  <w:footnote w:id="30">
    <w:p w14:paraId="76265474" w14:textId="4AA711F5" w:rsidR="00F13754" w:rsidRPr="001C18F0" w:rsidRDefault="00F13754" w:rsidP="00F13754">
      <w:pPr>
        <w:pStyle w:val="FootnoteText"/>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w:t>
      </w:r>
      <w:hyperlink r:id="rId24">
        <w:r>
          <w:rPr>
            <w:rStyle w:val="Hyperlink"/>
            <w:rFonts w:ascii="Times New Roman" w:hAnsi="Times New Roman"/>
          </w:rPr>
          <w:t>Pagina principală |</w:t>
        </w:r>
      </w:hyperlink>
      <w:hyperlink r:id="rId25">
        <w:r>
          <w:rPr>
            <w:rStyle w:val="Hyperlink"/>
            <w:rFonts w:ascii="Times New Roman" w:hAnsi="Times New Roman"/>
          </w:rPr>
          <w:t xml:space="preserve"> Întreprinderea comună pentru bioeconomia circulară în Europa (CBE JU)</w:t>
        </w:r>
      </w:hyperlink>
      <w:r>
        <w:rPr>
          <w:rFonts w:ascii="Times New Roman" w:hAnsi="Times New Roman"/>
        </w:rPr>
        <w:t>.</w:t>
      </w:r>
    </w:p>
  </w:footnote>
  <w:footnote w:id="31">
    <w:p w14:paraId="35054904" w14:textId="79F348F8" w:rsidR="001923A6" w:rsidRPr="001C18F0" w:rsidRDefault="001923A6" w:rsidP="001923A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6" w:history="1">
        <w:r>
          <w:rPr>
            <w:rStyle w:val="Hyperlink"/>
            <w:rFonts w:ascii="Times New Roman" w:hAnsi="Times New Roman"/>
          </w:rPr>
          <w:t>Busola pentru competitivitate – Comisia Europeană</w:t>
        </w:r>
      </w:hyperlink>
      <w:r>
        <w:rPr>
          <w:rFonts w:ascii="Times New Roman" w:hAnsi="Times New Roman"/>
        </w:rPr>
        <w:t>.</w:t>
      </w:r>
    </w:p>
  </w:footnote>
  <w:footnote w:id="32">
    <w:p w14:paraId="1A4F2CC3" w14:textId="5F4DD85B" w:rsidR="00887713" w:rsidRDefault="00887713" w:rsidP="00887713">
      <w:pPr>
        <w:pStyle w:val="FootnoteText"/>
      </w:pPr>
      <w:r>
        <w:rPr>
          <w:rFonts w:ascii="Times New Roman" w:hAnsi="Times New Roman" w:cs="Times New Roman"/>
          <w:vertAlign w:val="superscript"/>
        </w:rPr>
        <w:footnoteRef/>
      </w:r>
      <w:r>
        <w:rPr>
          <w:rFonts w:ascii="Times New Roman" w:hAnsi="Times New Roman"/>
          <w:vertAlign w:val="superscript"/>
        </w:rPr>
        <w:t xml:space="preserve"> </w:t>
      </w:r>
      <w:hyperlink r:id="rId27" w:history="1">
        <w:r>
          <w:rPr>
            <w:rStyle w:val="Hyperlink"/>
            <w:rFonts w:ascii="Times New Roman" w:hAnsi="Times New Roman"/>
          </w:rPr>
          <w:t>European Bioeconomy Investment Deployment Group:</w:t>
        </w:r>
      </w:hyperlink>
      <w:hyperlink r:id="rId28" w:history="1">
        <w:r>
          <w:rPr>
            <w:rStyle w:val="Hyperlink"/>
            <w:rFonts w:ascii="Times New Roman" w:hAnsi="Times New Roman"/>
          </w:rPr>
          <w:t xml:space="preserve"> building the financial backbone of Europe’s bio-based future |</w:t>
        </w:r>
      </w:hyperlink>
      <w:hyperlink r:id="rId29" w:history="1">
        <w:r>
          <w:rPr>
            <w:rStyle w:val="Hyperlink"/>
            <w:rFonts w:ascii="Times New Roman" w:hAnsi="Times New Roman"/>
          </w:rPr>
          <w:t xml:space="preserve"> Circular Bio-based Europe Joint Undertaking (CBE JU)</w:t>
        </w:r>
      </w:hyperlink>
      <w:r>
        <w:rPr>
          <w:rFonts w:ascii="Times New Roman" w:hAnsi="Times New Roman"/>
        </w:rPr>
        <w:t>.</w:t>
      </w:r>
    </w:p>
  </w:footnote>
  <w:footnote w:id="33">
    <w:p w14:paraId="1F5B2E1F" w14:textId="77777777" w:rsidR="00634963" w:rsidRPr="003627D3" w:rsidRDefault="00634963" w:rsidP="0063496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0" w:history="1">
        <w:r>
          <w:rPr>
            <w:rStyle w:val="Hyperlink"/>
            <w:rFonts w:ascii="Times New Roman" w:hAnsi="Times New Roman"/>
          </w:rPr>
          <w:t>Growth – European Competitiveness Fund:</w:t>
        </w:r>
      </w:hyperlink>
      <w:hyperlink r:id="rId31" w:history="1">
        <w:r>
          <w:rPr>
            <w:rStyle w:val="Hyperlink"/>
            <w:rFonts w:ascii="Times New Roman" w:hAnsi="Times New Roman"/>
          </w:rPr>
          <w:t xml:space="preserve"> helping Europe invest smarter, compete stronger and respond faster to geopolitical challenges</w:t>
        </w:r>
      </w:hyperlink>
      <w:r>
        <w:rPr>
          <w:rFonts w:ascii="Times New Roman" w:hAnsi="Times New Roman"/>
        </w:rPr>
        <w:t>.</w:t>
      </w:r>
    </w:p>
  </w:footnote>
  <w:footnote w:id="34">
    <w:p w14:paraId="691D8D9A" w14:textId="0543597E" w:rsidR="00294EB9" w:rsidRPr="001C18F0" w:rsidRDefault="00294EB9" w:rsidP="00294EB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Comunicarea Comisiei intitulată „Cadrul pentru măsuri de ajutor de stat de sprijinire a Pactului pentru o industrie curată (Cadrul privind ajutoarele de stat în contextul Pactului pentru o industrie curată)”, C/2025/3602.</w:t>
      </w:r>
    </w:p>
  </w:footnote>
  <w:footnote w:id="35">
    <w:p w14:paraId="2DCE4163" w14:textId="1851B472" w:rsidR="00294EB9" w:rsidRPr="001C18F0" w:rsidRDefault="00294EB9" w:rsidP="00294EB9">
      <w:pPr>
        <w:pStyle w:val="title-bold"/>
        <w:shd w:val="clear" w:color="auto" w:fill="FFFFFF"/>
        <w:spacing w:before="0" w:beforeAutospacing="0" w:after="75" w:afterAutospacing="0"/>
        <w:rPr>
          <w:sz w:val="20"/>
          <w:szCs w:val="20"/>
        </w:rPr>
      </w:pPr>
      <w:r>
        <w:rPr>
          <w:rStyle w:val="FootnoteReference"/>
          <w:sz w:val="20"/>
          <w:szCs w:val="20"/>
        </w:rPr>
        <w:footnoteRef/>
      </w:r>
      <w:r>
        <w:rPr>
          <w:sz w:val="20"/>
        </w:rPr>
        <w:t xml:space="preserve"> </w:t>
      </w:r>
      <w:r>
        <w:rPr>
          <w:color w:val="333333"/>
          <w:sz w:val="20"/>
        </w:rPr>
        <w:t xml:space="preserve">Comunicarea Comisiei intitulată „Orientările din 2022 privind ajutoarele de stat pentru climă, protecția mediului și energie”, C/2022/481, </w:t>
      </w:r>
      <w:hyperlink r:id="rId32" w:history="1">
        <w:r>
          <w:rPr>
            <w:color w:val="0000FF"/>
            <w:sz w:val="20"/>
            <w:u w:val="single"/>
          </w:rPr>
          <w:t>EUR-Lex - 52022XC0218(03) - RO - EUR-Lex</w:t>
        </w:r>
      </w:hyperlink>
      <w:r>
        <w:rPr>
          <w:sz w:val="20"/>
        </w:rPr>
        <w:t>.</w:t>
      </w:r>
    </w:p>
  </w:footnote>
  <w:footnote w:id="36">
    <w:p w14:paraId="5CAF30C7" w14:textId="15C0E3C1" w:rsidR="00294EB9" w:rsidRPr="00617A04" w:rsidRDefault="00294EB9" w:rsidP="00294EB9">
      <w:pPr>
        <w:pStyle w:val="title-bold"/>
        <w:shd w:val="clear" w:color="auto" w:fill="FFFFFF"/>
        <w:spacing w:before="0" w:beforeAutospacing="0" w:after="75" w:afterAutospacing="0"/>
        <w:rPr>
          <w:sz w:val="20"/>
          <w:szCs w:val="20"/>
        </w:rPr>
      </w:pPr>
      <w:r>
        <w:rPr>
          <w:rStyle w:val="FootnoteReference"/>
          <w:sz w:val="20"/>
          <w:szCs w:val="20"/>
        </w:rPr>
        <w:footnoteRef/>
      </w:r>
      <w:r>
        <w:rPr>
          <w:sz w:val="20"/>
        </w:rPr>
        <w:t xml:space="preserve"> </w:t>
      </w:r>
      <w:r>
        <w:rPr>
          <w:color w:val="333333"/>
          <w:sz w:val="20"/>
        </w:rPr>
        <w:t xml:space="preserve">Comunicare a Comisiei intitulată „Cadrul pentru ajutoarele de stat pentru cercetare, dezvoltare și inovare”, 2022/C 414/01, C/2022/7388, </w:t>
      </w:r>
      <w:hyperlink r:id="rId33" w:history="1">
        <w:r>
          <w:rPr>
            <w:color w:val="0000FF"/>
            <w:sz w:val="20"/>
            <w:u w:val="single"/>
          </w:rPr>
          <w:t>EUR-Lex - 52022XC1028(03) - RO - EUR-Lex</w:t>
        </w:r>
      </w:hyperlink>
      <w:r>
        <w:rPr>
          <w:sz w:val="20"/>
        </w:rPr>
        <w:t>.</w:t>
      </w:r>
    </w:p>
  </w:footnote>
  <w:footnote w:id="37">
    <w:p w14:paraId="66AB6CC7" w14:textId="57019F6B" w:rsidR="009F5EB4" w:rsidRPr="00D31DD3" w:rsidRDefault="009F5EB4" w:rsidP="009F5EB4">
      <w:pPr>
        <w:pStyle w:val="FootnoteText"/>
      </w:pPr>
      <w:r>
        <w:rPr>
          <w:rStyle w:val="FootnoteReference"/>
        </w:rPr>
        <w:footnoteRef/>
      </w:r>
      <w:r>
        <w:t xml:space="preserve"> </w:t>
      </w:r>
      <w:r>
        <w:rPr>
          <w:rFonts w:ascii="Times New Roman" w:hAnsi="Times New Roman"/>
        </w:rPr>
        <w:t>Cum ar fi Comunitatea de bune practici „Coeziune pentru tranziții” (C4T) sau Rețeaua europeană a autorităților de mediu și de management (ENEA-MA)</w:t>
      </w:r>
      <w:r>
        <w:t>.</w:t>
      </w:r>
    </w:p>
  </w:footnote>
  <w:footnote w:id="38">
    <w:p w14:paraId="1835AE2A" w14:textId="71E83739" w:rsidR="00CE6F59" w:rsidRPr="001C18F0" w:rsidRDefault="00CE6F59" w:rsidP="00E77116">
      <w:pPr>
        <w:pStyle w:val="title-bold"/>
        <w:shd w:val="clear" w:color="auto" w:fill="FFFFFF"/>
        <w:spacing w:before="0" w:beforeAutospacing="0" w:after="75" w:afterAutospacing="0"/>
        <w:rPr>
          <w:sz w:val="20"/>
          <w:szCs w:val="20"/>
        </w:rPr>
      </w:pPr>
      <w:r>
        <w:rPr>
          <w:rStyle w:val="FootnoteReference"/>
          <w:sz w:val="20"/>
          <w:szCs w:val="20"/>
        </w:rPr>
        <w:footnoteRef/>
      </w:r>
      <w:r>
        <w:rPr>
          <w:sz w:val="20"/>
        </w:rPr>
        <w:t xml:space="preserve"> </w:t>
      </w:r>
      <w:r>
        <w:rPr>
          <w:color w:val="333333"/>
          <w:sz w:val="20"/>
        </w:rPr>
        <w:t xml:space="preserve">Viziunea pentru agricultură și sectorul alimentar Împreună pentru construirea unui sector agricol și alimentar al UE atractiv pentru generațiile viitoare, COM(2025) 75 final din 19 februarie 2025, </w:t>
      </w:r>
      <w:hyperlink r:id="rId34" w:history="1">
        <w:r>
          <w:rPr>
            <w:rStyle w:val="Hyperlink"/>
            <w:sz w:val="20"/>
          </w:rPr>
          <w:t>EUR-Lex - 52025DC0075 - RO - EUR-Lex</w:t>
        </w:r>
      </w:hyperlink>
      <w:r>
        <w:rPr>
          <w:sz w:val="20"/>
        </w:rPr>
        <w:t>.</w:t>
      </w:r>
    </w:p>
  </w:footnote>
  <w:footnote w:id="39">
    <w:p w14:paraId="0AB68C04" w14:textId="01AEF2EA" w:rsidR="00D07BEE" w:rsidRPr="001C18F0" w:rsidRDefault="00D07BEE" w:rsidP="00D07BE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Propunere de Regulament al Parlamentului European și al Consiliului de stabilire a condițiilor pentru punerea în aplicare a sprijinului Uniunii pentru politica agricolă comună pentru perioada 2028-2034, COM(2025) 560 final, EUR-Lex - 52025PC0560 - RO.</w:t>
      </w:r>
    </w:p>
  </w:footnote>
  <w:footnote w:id="40">
    <w:p w14:paraId="3D525961" w14:textId="2FA9A56B" w:rsidR="00E77116" w:rsidRPr="001C18F0" w:rsidRDefault="00E7711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5" w:history="1">
        <w:r>
          <w:rPr>
            <w:rFonts w:ascii="Times New Roman" w:hAnsi="Times New Roman"/>
            <w:color w:val="0000FF"/>
            <w:u w:val="single"/>
          </w:rPr>
          <w:t>Un fond european pentru coeziune economică, socială și teritorială, agricultură și zonele rurale, pescuit și afaceri maritime, prosperitate și securitate – Comisia Europeană</w:t>
        </w:r>
      </w:hyperlink>
      <w:r>
        <w:rPr>
          <w:rFonts w:ascii="Times New Roman" w:hAnsi="Times New Roman"/>
        </w:rPr>
        <w:t>.</w:t>
      </w:r>
    </w:p>
  </w:footnote>
  <w:footnote w:id="41">
    <w:p w14:paraId="3376FA3E" w14:textId="36F66D45" w:rsidR="00245C95" w:rsidRPr="00617A04" w:rsidRDefault="00245C9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6" w:history="1">
        <w:r>
          <w:rPr>
            <w:rStyle w:val="Hyperlink"/>
            <w:rFonts w:ascii="Times New Roman" w:hAnsi="Times New Roman"/>
          </w:rPr>
          <w:t>Orizont Europa – programul Uniunii de finanțare pentru cercetare și inovare</w:t>
        </w:r>
      </w:hyperlink>
      <w:r>
        <w:rPr>
          <w:rFonts w:ascii="Times New Roman" w:hAnsi="Times New Roman"/>
        </w:rPr>
        <w:t>.</w:t>
      </w:r>
    </w:p>
  </w:footnote>
  <w:footnote w:id="42">
    <w:p w14:paraId="5E0F1586" w14:textId="744DB31F" w:rsidR="00BF16A8" w:rsidRPr="001C18F0" w:rsidRDefault="00BF16A8" w:rsidP="00BF16A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Scopul Busolei pentru sustenabilitate în cadrul fermelor, astfel cum a fost anunțată în viziunea pentru agricultură și sectorul alimentar, este de a reduce complexitatea conformării, permițând fermierilor care aleg să participe să monitorizeze și să înregistreze date privind sustenabilitatea o singură dată și facilitând schimbul de date cu organismele publice și cu întreprinderile private. Aceasta ar contribui, de asemenea, la procesul decizional privind adoptarea de acțiuni în domeniul mediului și al climei menite să îmbunătățească performanța la nivel de fermă.</w:t>
      </w:r>
    </w:p>
  </w:footnote>
  <w:footnote w:id="43">
    <w:p w14:paraId="03B9AB8C" w14:textId="0C2DCA40" w:rsidR="00BF16A8" w:rsidRPr="001C18F0" w:rsidRDefault="00BF16A8" w:rsidP="00BF16A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Strategia sa pentru reziliența în domeniul apei, Comisia a anunțat că va lansa, în perioada 2026-2027, un set de instrumente de asistență pentru ca statele membre să sprijine acțiunile de reducere a poluării cu nutrienți, inclusiv prin modelare îmbunătățită, hărți interactive și schimburi de bune practici.</w:t>
      </w:r>
    </w:p>
  </w:footnote>
  <w:footnote w:id="44">
    <w:p w14:paraId="35AE2EBB" w14:textId="2742BA0D" w:rsidR="009F4669" w:rsidRPr="00083DF3" w:rsidRDefault="009F4669">
      <w:pPr>
        <w:pStyle w:val="FootnoteText"/>
        <w:rPr>
          <w:rFonts w:ascii="Times New Roman" w:hAnsi="Times New Roman" w:cs="Times New Roman"/>
        </w:rPr>
      </w:pPr>
      <w:r>
        <w:rPr>
          <w:rStyle w:val="FootnoteReference"/>
        </w:rPr>
        <w:footnoteRef/>
      </w:r>
      <w:r>
        <w:t xml:space="preserve"> </w:t>
      </w:r>
      <w:r>
        <w:rPr>
          <w:rFonts w:ascii="Times New Roman" w:hAnsi="Times New Roman"/>
          <w:color w:val="333333"/>
        </w:rPr>
        <w:t xml:space="preserve">Directiva Consiliului 91/676/CEE din 12 decembrie 1991 privind protecția apelor împotriva poluării cu nitrați proveniți din surse agricole </w:t>
      </w:r>
      <w:hyperlink r:id="rId37" w:history="1">
        <w:r>
          <w:rPr>
            <w:rFonts w:ascii="Times New Roman" w:hAnsi="Times New Roman"/>
            <w:color w:val="0000FF"/>
            <w:u w:val="single"/>
          </w:rPr>
          <w:t>Directiva - 91/676 - RO - EUR-Lex</w:t>
        </w:r>
      </w:hyperlink>
      <w:r>
        <w:rPr>
          <w:u w:val="single"/>
        </w:rPr>
        <w:t>.</w:t>
      </w:r>
    </w:p>
  </w:footnote>
  <w:footnote w:id="45">
    <w:p w14:paraId="62F0DB01" w14:textId="23A9F5AE" w:rsidR="005C2355" w:rsidRPr="001C18F0" w:rsidRDefault="005C235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(UE) 2024/3012</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48F870" w14:textId="77777777" w:rsidR="00187699" w:rsidRPr="00187699" w:rsidRDefault="00187699" w:rsidP="0018769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5D6EE7" w14:textId="77777777" w:rsidR="00187699" w:rsidRPr="00187699" w:rsidRDefault="00187699" w:rsidP="0018769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9C10C" w14:textId="77777777" w:rsidR="00187699" w:rsidRPr="00187699" w:rsidRDefault="00187699" w:rsidP="0018769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3E2B3" w14:textId="77777777" w:rsidR="00BF4E1F" w:rsidRPr="0027307A" w:rsidRDefault="00BF4E1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142D64" w14:textId="77777777" w:rsidR="00955F75" w:rsidRPr="0027307A" w:rsidRDefault="00955F7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359489" w14:textId="77777777" w:rsidR="00CE3000" w:rsidRPr="0027307A" w:rsidRDefault="00CE30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524C6"/>
    <w:multiLevelType w:val="hybridMultilevel"/>
    <w:tmpl w:val="FFFFFFFF"/>
    <w:lvl w:ilvl="0" w:tplc="AE2A1B5E">
      <w:start w:val="1"/>
      <w:numFmt w:val="bullet"/>
      <w:lvlText w:val=""/>
      <w:lvlJc w:val="left"/>
      <w:pPr>
        <w:ind w:left="720" w:hanging="360"/>
      </w:pPr>
      <w:rPr>
        <w:rFonts w:ascii="Symbol" w:hAnsi="Symbol" w:hint="default"/>
      </w:rPr>
    </w:lvl>
    <w:lvl w:ilvl="1" w:tplc="387AFBF4">
      <w:start w:val="1"/>
      <w:numFmt w:val="bullet"/>
      <w:lvlText w:val="o"/>
      <w:lvlJc w:val="left"/>
      <w:pPr>
        <w:ind w:left="1440" w:hanging="360"/>
      </w:pPr>
      <w:rPr>
        <w:rFonts w:ascii="Courier New" w:hAnsi="Courier New" w:hint="default"/>
      </w:rPr>
    </w:lvl>
    <w:lvl w:ilvl="2" w:tplc="6498AC6E">
      <w:start w:val="1"/>
      <w:numFmt w:val="bullet"/>
      <w:lvlText w:val=""/>
      <w:lvlJc w:val="left"/>
      <w:pPr>
        <w:ind w:left="2160" w:hanging="360"/>
      </w:pPr>
      <w:rPr>
        <w:rFonts w:ascii="Wingdings" w:hAnsi="Wingdings" w:hint="default"/>
      </w:rPr>
    </w:lvl>
    <w:lvl w:ilvl="3" w:tplc="6AB8A64E">
      <w:start w:val="1"/>
      <w:numFmt w:val="bullet"/>
      <w:lvlText w:val=""/>
      <w:lvlJc w:val="left"/>
      <w:pPr>
        <w:ind w:left="2880" w:hanging="360"/>
      </w:pPr>
      <w:rPr>
        <w:rFonts w:ascii="Symbol" w:hAnsi="Symbol" w:hint="default"/>
      </w:rPr>
    </w:lvl>
    <w:lvl w:ilvl="4" w:tplc="855EFD5E">
      <w:start w:val="1"/>
      <w:numFmt w:val="bullet"/>
      <w:lvlText w:val="o"/>
      <w:lvlJc w:val="left"/>
      <w:pPr>
        <w:ind w:left="3600" w:hanging="360"/>
      </w:pPr>
      <w:rPr>
        <w:rFonts w:ascii="Courier New" w:hAnsi="Courier New" w:hint="default"/>
      </w:rPr>
    </w:lvl>
    <w:lvl w:ilvl="5" w:tplc="BABC7604">
      <w:start w:val="1"/>
      <w:numFmt w:val="bullet"/>
      <w:lvlText w:val=""/>
      <w:lvlJc w:val="left"/>
      <w:pPr>
        <w:ind w:left="4320" w:hanging="360"/>
      </w:pPr>
      <w:rPr>
        <w:rFonts w:ascii="Wingdings" w:hAnsi="Wingdings" w:hint="default"/>
      </w:rPr>
    </w:lvl>
    <w:lvl w:ilvl="6" w:tplc="F7B45A3A">
      <w:start w:val="1"/>
      <w:numFmt w:val="bullet"/>
      <w:lvlText w:val=""/>
      <w:lvlJc w:val="left"/>
      <w:pPr>
        <w:ind w:left="5040" w:hanging="360"/>
      </w:pPr>
      <w:rPr>
        <w:rFonts w:ascii="Symbol" w:hAnsi="Symbol" w:hint="default"/>
      </w:rPr>
    </w:lvl>
    <w:lvl w:ilvl="7" w:tplc="D6C01D08">
      <w:start w:val="1"/>
      <w:numFmt w:val="bullet"/>
      <w:lvlText w:val="o"/>
      <w:lvlJc w:val="left"/>
      <w:pPr>
        <w:ind w:left="5760" w:hanging="360"/>
      </w:pPr>
      <w:rPr>
        <w:rFonts w:ascii="Courier New" w:hAnsi="Courier New" w:hint="default"/>
      </w:rPr>
    </w:lvl>
    <w:lvl w:ilvl="8" w:tplc="3230E0D2">
      <w:start w:val="1"/>
      <w:numFmt w:val="bullet"/>
      <w:lvlText w:val=""/>
      <w:lvlJc w:val="left"/>
      <w:pPr>
        <w:ind w:left="6480" w:hanging="360"/>
      </w:pPr>
      <w:rPr>
        <w:rFonts w:ascii="Wingdings" w:hAnsi="Wingdings" w:hint="default"/>
      </w:rPr>
    </w:lvl>
  </w:abstractNum>
  <w:abstractNum w:abstractNumId="1" w15:restartNumberingAfterBreak="0">
    <w:nsid w:val="01EF53DB"/>
    <w:multiLevelType w:val="hybridMultilevel"/>
    <w:tmpl w:val="D640048A"/>
    <w:lvl w:ilvl="0" w:tplc="18090001">
      <w:start w:val="1"/>
      <w:numFmt w:val="bullet"/>
      <w:lvlText w:val=""/>
      <w:lvlJc w:val="left"/>
      <w:pPr>
        <w:ind w:left="786"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750FEE1"/>
    <w:multiLevelType w:val="hybridMultilevel"/>
    <w:tmpl w:val="FFFFFFFF"/>
    <w:lvl w:ilvl="0" w:tplc="2F1CD564">
      <w:start w:val="1"/>
      <w:numFmt w:val="bullet"/>
      <w:lvlText w:val=""/>
      <w:lvlJc w:val="left"/>
      <w:pPr>
        <w:ind w:left="720" w:hanging="360"/>
      </w:pPr>
      <w:rPr>
        <w:rFonts w:ascii="Symbol" w:hAnsi="Symbol" w:hint="default"/>
      </w:rPr>
    </w:lvl>
    <w:lvl w:ilvl="1" w:tplc="038C638E">
      <w:start w:val="1"/>
      <w:numFmt w:val="bullet"/>
      <w:lvlText w:val="o"/>
      <w:lvlJc w:val="left"/>
      <w:pPr>
        <w:ind w:left="1440" w:hanging="360"/>
      </w:pPr>
      <w:rPr>
        <w:rFonts w:ascii="Courier New" w:hAnsi="Courier New" w:hint="default"/>
      </w:rPr>
    </w:lvl>
    <w:lvl w:ilvl="2" w:tplc="C01EC782">
      <w:start w:val="1"/>
      <w:numFmt w:val="bullet"/>
      <w:lvlText w:val=""/>
      <w:lvlJc w:val="left"/>
      <w:pPr>
        <w:ind w:left="2160" w:hanging="360"/>
      </w:pPr>
      <w:rPr>
        <w:rFonts w:ascii="Wingdings" w:hAnsi="Wingdings" w:hint="default"/>
      </w:rPr>
    </w:lvl>
    <w:lvl w:ilvl="3" w:tplc="3E720288">
      <w:start w:val="1"/>
      <w:numFmt w:val="bullet"/>
      <w:lvlText w:val=""/>
      <w:lvlJc w:val="left"/>
      <w:pPr>
        <w:ind w:left="2880" w:hanging="360"/>
      </w:pPr>
      <w:rPr>
        <w:rFonts w:ascii="Symbol" w:hAnsi="Symbol" w:hint="default"/>
      </w:rPr>
    </w:lvl>
    <w:lvl w:ilvl="4" w:tplc="8DDEF5C0">
      <w:start w:val="1"/>
      <w:numFmt w:val="bullet"/>
      <w:lvlText w:val="o"/>
      <w:lvlJc w:val="left"/>
      <w:pPr>
        <w:ind w:left="3600" w:hanging="360"/>
      </w:pPr>
      <w:rPr>
        <w:rFonts w:ascii="Courier New" w:hAnsi="Courier New" w:hint="default"/>
      </w:rPr>
    </w:lvl>
    <w:lvl w:ilvl="5" w:tplc="59EE6400">
      <w:start w:val="1"/>
      <w:numFmt w:val="bullet"/>
      <w:lvlText w:val=""/>
      <w:lvlJc w:val="left"/>
      <w:pPr>
        <w:ind w:left="4320" w:hanging="360"/>
      </w:pPr>
      <w:rPr>
        <w:rFonts w:ascii="Wingdings" w:hAnsi="Wingdings" w:hint="default"/>
      </w:rPr>
    </w:lvl>
    <w:lvl w:ilvl="6" w:tplc="C8421A2E">
      <w:start w:val="1"/>
      <w:numFmt w:val="bullet"/>
      <w:lvlText w:val=""/>
      <w:lvlJc w:val="left"/>
      <w:pPr>
        <w:ind w:left="5040" w:hanging="360"/>
      </w:pPr>
      <w:rPr>
        <w:rFonts w:ascii="Symbol" w:hAnsi="Symbol" w:hint="default"/>
      </w:rPr>
    </w:lvl>
    <w:lvl w:ilvl="7" w:tplc="B23048FE">
      <w:start w:val="1"/>
      <w:numFmt w:val="bullet"/>
      <w:lvlText w:val="o"/>
      <w:lvlJc w:val="left"/>
      <w:pPr>
        <w:ind w:left="5760" w:hanging="360"/>
      </w:pPr>
      <w:rPr>
        <w:rFonts w:ascii="Courier New" w:hAnsi="Courier New" w:hint="default"/>
      </w:rPr>
    </w:lvl>
    <w:lvl w:ilvl="8" w:tplc="ADF4DE7A">
      <w:start w:val="1"/>
      <w:numFmt w:val="bullet"/>
      <w:lvlText w:val=""/>
      <w:lvlJc w:val="left"/>
      <w:pPr>
        <w:ind w:left="6480" w:hanging="360"/>
      </w:pPr>
      <w:rPr>
        <w:rFonts w:ascii="Wingdings" w:hAnsi="Wingdings" w:hint="default"/>
      </w:rPr>
    </w:lvl>
  </w:abstractNum>
  <w:abstractNum w:abstractNumId="3" w15:restartNumberingAfterBreak="0">
    <w:nsid w:val="077965A6"/>
    <w:multiLevelType w:val="hybridMultilevel"/>
    <w:tmpl w:val="E12843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81DC906"/>
    <w:multiLevelType w:val="hybridMultilevel"/>
    <w:tmpl w:val="FFFFFFFF"/>
    <w:lvl w:ilvl="0" w:tplc="8356E6B0">
      <w:start w:val="1"/>
      <w:numFmt w:val="bullet"/>
      <w:lvlText w:val=""/>
      <w:lvlJc w:val="left"/>
      <w:pPr>
        <w:ind w:left="720" w:hanging="360"/>
      </w:pPr>
      <w:rPr>
        <w:rFonts w:ascii="Symbol" w:hAnsi="Symbol" w:hint="default"/>
      </w:rPr>
    </w:lvl>
    <w:lvl w:ilvl="1" w:tplc="A1F00ABE">
      <w:start w:val="1"/>
      <w:numFmt w:val="bullet"/>
      <w:lvlText w:val="o"/>
      <w:lvlJc w:val="left"/>
      <w:pPr>
        <w:ind w:left="1440" w:hanging="360"/>
      </w:pPr>
      <w:rPr>
        <w:rFonts w:ascii="Courier New" w:hAnsi="Courier New" w:hint="default"/>
      </w:rPr>
    </w:lvl>
    <w:lvl w:ilvl="2" w:tplc="5CF242BE">
      <w:start w:val="1"/>
      <w:numFmt w:val="bullet"/>
      <w:lvlText w:val=""/>
      <w:lvlJc w:val="left"/>
      <w:pPr>
        <w:ind w:left="2160" w:hanging="360"/>
      </w:pPr>
      <w:rPr>
        <w:rFonts w:ascii="Wingdings" w:hAnsi="Wingdings" w:hint="default"/>
      </w:rPr>
    </w:lvl>
    <w:lvl w:ilvl="3" w:tplc="E06E7448">
      <w:start w:val="1"/>
      <w:numFmt w:val="bullet"/>
      <w:lvlText w:val=""/>
      <w:lvlJc w:val="left"/>
      <w:pPr>
        <w:ind w:left="2880" w:hanging="360"/>
      </w:pPr>
      <w:rPr>
        <w:rFonts w:ascii="Symbol" w:hAnsi="Symbol" w:hint="default"/>
      </w:rPr>
    </w:lvl>
    <w:lvl w:ilvl="4" w:tplc="475AD2FC">
      <w:start w:val="1"/>
      <w:numFmt w:val="bullet"/>
      <w:lvlText w:val="o"/>
      <w:lvlJc w:val="left"/>
      <w:pPr>
        <w:ind w:left="3600" w:hanging="360"/>
      </w:pPr>
      <w:rPr>
        <w:rFonts w:ascii="Courier New" w:hAnsi="Courier New" w:hint="default"/>
      </w:rPr>
    </w:lvl>
    <w:lvl w:ilvl="5" w:tplc="B8AC3C56">
      <w:start w:val="1"/>
      <w:numFmt w:val="bullet"/>
      <w:lvlText w:val=""/>
      <w:lvlJc w:val="left"/>
      <w:pPr>
        <w:ind w:left="4320" w:hanging="360"/>
      </w:pPr>
      <w:rPr>
        <w:rFonts w:ascii="Wingdings" w:hAnsi="Wingdings" w:hint="default"/>
      </w:rPr>
    </w:lvl>
    <w:lvl w:ilvl="6" w:tplc="FFD05EC6">
      <w:start w:val="1"/>
      <w:numFmt w:val="bullet"/>
      <w:lvlText w:val=""/>
      <w:lvlJc w:val="left"/>
      <w:pPr>
        <w:ind w:left="5040" w:hanging="360"/>
      </w:pPr>
      <w:rPr>
        <w:rFonts w:ascii="Symbol" w:hAnsi="Symbol" w:hint="default"/>
      </w:rPr>
    </w:lvl>
    <w:lvl w:ilvl="7" w:tplc="27C4DE92">
      <w:start w:val="1"/>
      <w:numFmt w:val="bullet"/>
      <w:lvlText w:val="o"/>
      <w:lvlJc w:val="left"/>
      <w:pPr>
        <w:ind w:left="5760" w:hanging="360"/>
      </w:pPr>
      <w:rPr>
        <w:rFonts w:ascii="Courier New" w:hAnsi="Courier New" w:hint="default"/>
      </w:rPr>
    </w:lvl>
    <w:lvl w:ilvl="8" w:tplc="052EF45A">
      <w:start w:val="1"/>
      <w:numFmt w:val="bullet"/>
      <w:lvlText w:val=""/>
      <w:lvlJc w:val="left"/>
      <w:pPr>
        <w:ind w:left="6480" w:hanging="360"/>
      </w:pPr>
      <w:rPr>
        <w:rFonts w:ascii="Wingdings" w:hAnsi="Wingdings" w:hint="default"/>
      </w:rPr>
    </w:lvl>
  </w:abstractNum>
  <w:abstractNum w:abstractNumId="5" w15:restartNumberingAfterBreak="0">
    <w:nsid w:val="0A175227"/>
    <w:multiLevelType w:val="hybridMultilevel"/>
    <w:tmpl w:val="D7FA0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2F2687"/>
    <w:multiLevelType w:val="hybridMultilevel"/>
    <w:tmpl w:val="FFFFFFFF"/>
    <w:lvl w:ilvl="0" w:tplc="1CC4E858">
      <w:start w:val="1"/>
      <w:numFmt w:val="bullet"/>
      <w:lvlText w:val=""/>
      <w:lvlJc w:val="left"/>
      <w:pPr>
        <w:ind w:left="720" w:hanging="360"/>
      </w:pPr>
      <w:rPr>
        <w:rFonts w:ascii="Symbol" w:hAnsi="Symbol" w:hint="default"/>
      </w:rPr>
    </w:lvl>
    <w:lvl w:ilvl="1" w:tplc="3CBA2346">
      <w:start w:val="1"/>
      <w:numFmt w:val="bullet"/>
      <w:lvlText w:val="o"/>
      <w:lvlJc w:val="left"/>
      <w:pPr>
        <w:ind w:left="1440" w:hanging="360"/>
      </w:pPr>
      <w:rPr>
        <w:rFonts w:ascii="Courier New" w:hAnsi="Courier New" w:hint="default"/>
      </w:rPr>
    </w:lvl>
    <w:lvl w:ilvl="2" w:tplc="846EE714">
      <w:start w:val="1"/>
      <w:numFmt w:val="bullet"/>
      <w:lvlText w:val=""/>
      <w:lvlJc w:val="left"/>
      <w:pPr>
        <w:ind w:left="2160" w:hanging="360"/>
      </w:pPr>
      <w:rPr>
        <w:rFonts w:ascii="Wingdings" w:hAnsi="Wingdings" w:hint="default"/>
      </w:rPr>
    </w:lvl>
    <w:lvl w:ilvl="3" w:tplc="74D0BDAC">
      <w:start w:val="1"/>
      <w:numFmt w:val="bullet"/>
      <w:lvlText w:val=""/>
      <w:lvlJc w:val="left"/>
      <w:pPr>
        <w:ind w:left="2880" w:hanging="360"/>
      </w:pPr>
      <w:rPr>
        <w:rFonts w:ascii="Symbol" w:hAnsi="Symbol" w:hint="default"/>
      </w:rPr>
    </w:lvl>
    <w:lvl w:ilvl="4" w:tplc="14660CC6">
      <w:start w:val="1"/>
      <w:numFmt w:val="bullet"/>
      <w:lvlText w:val="o"/>
      <w:lvlJc w:val="left"/>
      <w:pPr>
        <w:ind w:left="3600" w:hanging="360"/>
      </w:pPr>
      <w:rPr>
        <w:rFonts w:ascii="Courier New" w:hAnsi="Courier New" w:hint="default"/>
      </w:rPr>
    </w:lvl>
    <w:lvl w:ilvl="5" w:tplc="6950983E">
      <w:start w:val="1"/>
      <w:numFmt w:val="bullet"/>
      <w:lvlText w:val=""/>
      <w:lvlJc w:val="left"/>
      <w:pPr>
        <w:ind w:left="4320" w:hanging="360"/>
      </w:pPr>
      <w:rPr>
        <w:rFonts w:ascii="Wingdings" w:hAnsi="Wingdings" w:hint="default"/>
      </w:rPr>
    </w:lvl>
    <w:lvl w:ilvl="6" w:tplc="07D24A18">
      <w:start w:val="1"/>
      <w:numFmt w:val="bullet"/>
      <w:lvlText w:val=""/>
      <w:lvlJc w:val="left"/>
      <w:pPr>
        <w:ind w:left="5040" w:hanging="360"/>
      </w:pPr>
      <w:rPr>
        <w:rFonts w:ascii="Symbol" w:hAnsi="Symbol" w:hint="default"/>
      </w:rPr>
    </w:lvl>
    <w:lvl w:ilvl="7" w:tplc="D326FB44">
      <w:start w:val="1"/>
      <w:numFmt w:val="bullet"/>
      <w:lvlText w:val="o"/>
      <w:lvlJc w:val="left"/>
      <w:pPr>
        <w:ind w:left="5760" w:hanging="360"/>
      </w:pPr>
      <w:rPr>
        <w:rFonts w:ascii="Courier New" w:hAnsi="Courier New" w:hint="default"/>
      </w:rPr>
    </w:lvl>
    <w:lvl w:ilvl="8" w:tplc="0AEEC95E">
      <w:start w:val="1"/>
      <w:numFmt w:val="bullet"/>
      <w:lvlText w:val=""/>
      <w:lvlJc w:val="left"/>
      <w:pPr>
        <w:ind w:left="6480" w:hanging="360"/>
      </w:pPr>
      <w:rPr>
        <w:rFonts w:ascii="Wingdings" w:hAnsi="Wingdings" w:hint="default"/>
      </w:rPr>
    </w:lvl>
  </w:abstractNum>
  <w:abstractNum w:abstractNumId="7" w15:restartNumberingAfterBreak="0">
    <w:nsid w:val="109B3806"/>
    <w:multiLevelType w:val="hybridMultilevel"/>
    <w:tmpl w:val="7A8829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0F96175"/>
    <w:multiLevelType w:val="hybridMultilevel"/>
    <w:tmpl w:val="1C7C420E"/>
    <w:lvl w:ilvl="0" w:tplc="608680AE">
      <w:start w:val="1"/>
      <w:numFmt w:val="decimal"/>
      <w:lvlText w:val="%1."/>
      <w:lvlJc w:val="left"/>
      <w:pPr>
        <w:ind w:left="720" w:hanging="360"/>
      </w:pPr>
      <w:rPr>
        <w:i w:val="0"/>
        <w:i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6B739AF"/>
    <w:multiLevelType w:val="hybridMultilevel"/>
    <w:tmpl w:val="FFFFFFFF"/>
    <w:lvl w:ilvl="0" w:tplc="F2101562">
      <w:start w:val="1"/>
      <w:numFmt w:val="bullet"/>
      <w:lvlText w:val=""/>
      <w:lvlJc w:val="left"/>
      <w:pPr>
        <w:ind w:left="720" w:hanging="360"/>
      </w:pPr>
      <w:rPr>
        <w:rFonts w:ascii="Symbol" w:hAnsi="Symbol" w:hint="default"/>
      </w:rPr>
    </w:lvl>
    <w:lvl w:ilvl="1" w:tplc="ABDC97BE">
      <w:start w:val="1"/>
      <w:numFmt w:val="bullet"/>
      <w:lvlText w:val="o"/>
      <w:lvlJc w:val="left"/>
      <w:pPr>
        <w:ind w:left="1440" w:hanging="360"/>
      </w:pPr>
      <w:rPr>
        <w:rFonts w:ascii="Courier New" w:hAnsi="Courier New" w:hint="default"/>
      </w:rPr>
    </w:lvl>
    <w:lvl w:ilvl="2" w:tplc="B8040A3C">
      <w:start w:val="1"/>
      <w:numFmt w:val="bullet"/>
      <w:lvlText w:val=""/>
      <w:lvlJc w:val="left"/>
      <w:pPr>
        <w:ind w:left="2160" w:hanging="360"/>
      </w:pPr>
      <w:rPr>
        <w:rFonts w:ascii="Wingdings" w:hAnsi="Wingdings" w:hint="default"/>
      </w:rPr>
    </w:lvl>
    <w:lvl w:ilvl="3" w:tplc="E122669C">
      <w:start w:val="1"/>
      <w:numFmt w:val="bullet"/>
      <w:lvlText w:val=""/>
      <w:lvlJc w:val="left"/>
      <w:pPr>
        <w:ind w:left="2880" w:hanging="360"/>
      </w:pPr>
      <w:rPr>
        <w:rFonts w:ascii="Symbol" w:hAnsi="Symbol" w:hint="default"/>
      </w:rPr>
    </w:lvl>
    <w:lvl w:ilvl="4" w:tplc="D1566BCE">
      <w:start w:val="1"/>
      <w:numFmt w:val="bullet"/>
      <w:lvlText w:val="o"/>
      <w:lvlJc w:val="left"/>
      <w:pPr>
        <w:ind w:left="3600" w:hanging="360"/>
      </w:pPr>
      <w:rPr>
        <w:rFonts w:ascii="Courier New" w:hAnsi="Courier New" w:hint="default"/>
      </w:rPr>
    </w:lvl>
    <w:lvl w:ilvl="5" w:tplc="2DB61D1A">
      <w:start w:val="1"/>
      <w:numFmt w:val="bullet"/>
      <w:lvlText w:val=""/>
      <w:lvlJc w:val="left"/>
      <w:pPr>
        <w:ind w:left="4320" w:hanging="360"/>
      </w:pPr>
      <w:rPr>
        <w:rFonts w:ascii="Wingdings" w:hAnsi="Wingdings" w:hint="default"/>
      </w:rPr>
    </w:lvl>
    <w:lvl w:ilvl="6" w:tplc="CBB2260A">
      <w:start w:val="1"/>
      <w:numFmt w:val="bullet"/>
      <w:lvlText w:val=""/>
      <w:lvlJc w:val="left"/>
      <w:pPr>
        <w:ind w:left="5040" w:hanging="360"/>
      </w:pPr>
      <w:rPr>
        <w:rFonts w:ascii="Symbol" w:hAnsi="Symbol" w:hint="default"/>
      </w:rPr>
    </w:lvl>
    <w:lvl w:ilvl="7" w:tplc="B77EF284">
      <w:start w:val="1"/>
      <w:numFmt w:val="bullet"/>
      <w:lvlText w:val="o"/>
      <w:lvlJc w:val="left"/>
      <w:pPr>
        <w:ind w:left="5760" w:hanging="360"/>
      </w:pPr>
      <w:rPr>
        <w:rFonts w:ascii="Courier New" w:hAnsi="Courier New" w:hint="default"/>
      </w:rPr>
    </w:lvl>
    <w:lvl w:ilvl="8" w:tplc="5A8AD1E6">
      <w:start w:val="1"/>
      <w:numFmt w:val="bullet"/>
      <w:lvlText w:val=""/>
      <w:lvlJc w:val="left"/>
      <w:pPr>
        <w:ind w:left="6480" w:hanging="360"/>
      </w:pPr>
      <w:rPr>
        <w:rFonts w:ascii="Wingdings" w:hAnsi="Wingdings" w:hint="default"/>
      </w:rPr>
    </w:lvl>
  </w:abstractNum>
  <w:abstractNum w:abstractNumId="10" w15:restartNumberingAfterBreak="0">
    <w:nsid w:val="1DA82CF0"/>
    <w:multiLevelType w:val="hybridMultilevel"/>
    <w:tmpl w:val="FFFFFFFF"/>
    <w:lvl w:ilvl="0" w:tplc="83861DD2">
      <w:start w:val="1"/>
      <w:numFmt w:val="bullet"/>
      <w:lvlText w:val=""/>
      <w:lvlJc w:val="left"/>
      <w:pPr>
        <w:ind w:left="720" w:hanging="360"/>
      </w:pPr>
      <w:rPr>
        <w:rFonts w:ascii="Symbol" w:hAnsi="Symbol" w:hint="default"/>
      </w:rPr>
    </w:lvl>
    <w:lvl w:ilvl="1" w:tplc="662AB886">
      <w:start w:val="1"/>
      <w:numFmt w:val="bullet"/>
      <w:lvlText w:val="o"/>
      <w:lvlJc w:val="left"/>
      <w:pPr>
        <w:ind w:left="1440" w:hanging="360"/>
      </w:pPr>
      <w:rPr>
        <w:rFonts w:ascii="Courier New" w:hAnsi="Courier New" w:hint="default"/>
      </w:rPr>
    </w:lvl>
    <w:lvl w:ilvl="2" w:tplc="71A2B5A8">
      <w:start w:val="1"/>
      <w:numFmt w:val="bullet"/>
      <w:lvlText w:val=""/>
      <w:lvlJc w:val="left"/>
      <w:pPr>
        <w:ind w:left="2160" w:hanging="360"/>
      </w:pPr>
      <w:rPr>
        <w:rFonts w:ascii="Wingdings" w:hAnsi="Wingdings" w:hint="default"/>
      </w:rPr>
    </w:lvl>
    <w:lvl w:ilvl="3" w:tplc="6046D04C">
      <w:start w:val="1"/>
      <w:numFmt w:val="bullet"/>
      <w:lvlText w:val=""/>
      <w:lvlJc w:val="left"/>
      <w:pPr>
        <w:ind w:left="2880" w:hanging="360"/>
      </w:pPr>
      <w:rPr>
        <w:rFonts w:ascii="Symbol" w:hAnsi="Symbol" w:hint="default"/>
      </w:rPr>
    </w:lvl>
    <w:lvl w:ilvl="4" w:tplc="6F708B88">
      <w:start w:val="1"/>
      <w:numFmt w:val="bullet"/>
      <w:lvlText w:val="o"/>
      <w:lvlJc w:val="left"/>
      <w:pPr>
        <w:ind w:left="3600" w:hanging="360"/>
      </w:pPr>
      <w:rPr>
        <w:rFonts w:ascii="Courier New" w:hAnsi="Courier New" w:hint="default"/>
      </w:rPr>
    </w:lvl>
    <w:lvl w:ilvl="5" w:tplc="5DE8E400">
      <w:start w:val="1"/>
      <w:numFmt w:val="bullet"/>
      <w:lvlText w:val=""/>
      <w:lvlJc w:val="left"/>
      <w:pPr>
        <w:ind w:left="4320" w:hanging="360"/>
      </w:pPr>
      <w:rPr>
        <w:rFonts w:ascii="Wingdings" w:hAnsi="Wingdings" w:hint="default"/>
      </w:rPr>
    </w:lvl>
    <w:lvl w:ilvl="6" w:tplc="9A8A3C82">
      <w:start w:val="1"/>
      <w:numFmt w:val="bullet"/>
      <w:lvlText w:val=""/>
      <w:lvlJc w:val="left"/>
      <w:pPr>
        <w:ind w:left="5040" w:hanging="360"/>
      </w:pPr>
      <w:rPr>
        <w:rFonts w:ascii="Symbol" w:hAnsi="Symbol" w:hint="default"/>
      </w:rPr>
    </w:lvl>
    <w:lvl w:ilvl="7" w:tplc="B5D062E8">
      <w:start w:val="1"/>
      <w:numFmt w:val="bullet"/>
      <w:lvlText w:val="o"/>
      <w:lvlJc w:val="left"/>
      <w:pPr>
        <w:ind w:left="5760" w:hanging="360"/>
      </w:pPr>
      <w:rPr>
        <w:rFonts w:ascii="Courier New" w:hAnsi="Courier New" w:hint="default"/>
      </w:rPr>
    </w:lvl>
    <w:lvl w:ilvl="8" w:tplc="FBACAC72">
      <w:start w:val="1"/>
      <w:numFmt w:val="bullet"/>
      <w:lvlText w:val=""/>
      <w:lvlJc w:val="left"/>
      <w:pPr>
        <w:ind w:left="6480" w:hanging="360"/>
      </w:pPr>
      <w:rPr>
        <w:rFonts w:ascii="Wingdings" w:hAnsi="Wingdings" w:hint="default"/>
      </w:rPr>
    </w:lvl>
  </w:abstractNum>
  <w:abstractNum w:abstractNumId="11" w15:restartNumberingAfterBreak="0">
    <w:nsid w:val="1FFE08BE"/>
    <w:multiLevelType w:val="hybridMultilevel"/>
    <w:tmpl w:val="F02C5F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0F10489"/>
    <w:multiLevelType w:val="hybridMultilevel"/>
    <w:tmpl w:val="7B80842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4963FC5"/>
    <w:multiLevelType w:val="hybridMultilevel"/>
    <w:tmpl w:val="D2BE3B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5B67052"/>
    <w:multiLevelType w:val="multilevel"/>
    <w:tmpl w:val="928EF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8DFC03B"/>
    <w:multiLevelType w:val="hybridMultilevel"/>
    <w:tmpl w:val="FFFFFFFF"/>
    <w:lvl w:ilvl="0" w:tplc="6C2440C0">
      <w:start w:val="1"/>
      <w:numFmt w:val="bullet"/>
      <w:lvlText w:val=""/>
      <w:lvlJc w:val="left"/>
      <w:pPr>
        <w:ind w:left="720" w:hanging="360"/>
      </w:pPr>
      <w:rPr>
        <w:rFonts w:ascii="Symbol" w:hAnsi="Symbol" w:hint="default"/>
      </w:rPr>
    </w:lvl>
    <w:lvl w:ilvl="1" w:tplc="7438E280">
      <w:start w:val="1"/>
      <w:numFmt w:val="bullet"/>
      <w:lvlText w:val="o"/>
      <w:lvlJc w:val="left"/>
      <w:pPr>
        <w:ind w:left="1440" w:hanging="360"/>
      </w:pPr>
      <w:rPr>
        <w:rFonts w:ascii="Courier New" w:hAnsi="Courier New" w:hint="default"/>
      </w:rPr>
    </w:lvl>
    <w:lvl w:ilvl="2" w:tplc="0E1A3E4E">
      <w:start w:val="1"/>
      <w:numFmt w:val="bullet"/>
      <w:lvlText w:val=""/>
      <w:lvlJc w:val="left"/>
      <w:pPr>
        <w:ind w:left="2160" w:hanging="360"/>
      </w:pPr>
      <w:rPr>
        <w:rFonts w:ascii="Wingdings" w:hAnsi="Wingdings" w:hint="default"/>
      </w:rPr>
    </w:lvl>
    <w:lvl w:ilvl="3" w:tplc="C24437A0">
      <w:start w:val="1"/>
      <w:numFmt w:val="bullet"/>
      <w:lvlText w:val=""/>
      <w:lvlJc w:val="left"/>
      <w:pPr>
        <w:ind w:left="2880" w:hanging="360"/>
      </w:pPr>
      <w:rPr>
        <w:rFonts w:ascii="Symbol" w:hAnsi="Symbol" w:hint="default"/>
      </w:rPr>
    </w:lvl>
    <w:lvl w:ilvl="4" w:tplc="519ADE72">
      <w:start w:val="1"/>
      <w:numFmt w:val="bullet"/>
      <w:lvlText w:val="o"/>
      <w:lvlJc w:val="left"/>
      <w:pPr>
        <w:ind w:left="3600" w:hanging="360"/>
      </w:pPr>
      <w:rPr>
        <w:rFonts w:ascii="Courier New" w:hAnsi="Courier New" w:hint="default"/>
      </w:rPr>
    </w:lvl>
    <w:lvl w:ilvl="5" w:tplc="3F30A462">
      <w:start w:val="1"/>
      <w:numFmt w:val="bullet"/>
      <w:lvlText w:val=""/>
      <w:lvlJc w:val="left"/>
      <w:pPr>
        <w:ind w:left="4320" w:hanging="360"/>
      </w:pPr>
      <w:rPr>
        <w:rFonts w:ascii="Wingdings" w:hAnsi="Wingdings" w:hint="default"/>
      </w:rPr>
    </w:lvl>
    <w:lvl w:ilvl="6" w:tplc="BC9655BE">
      <w:start w:val="1"/>
      <w:numFmt w:val="bullet"/>
      <w:lvlText w:val=""/>
      <w:lvlJc w:val="left"/>
      <w:pPr>
        <w:ind w:left="5040" w:hanging="360"/>
      </w:pPr>
      <w:rPr>
        <w:rFonts w:ascii="Symbol" w:hAnsi="Symbol" w:hint="default"/>
      </w:rPr>
    </w:lvl>
    <w:lvl w:ilvl="7" w:tplc="DBCCBD14">
      <w:start w:val="1"/>
      <w:numFmt w:val="bullet"/>
      <w:lvlText w:val="o"/>
      <w:lvlJc w:val="left"/>
      <w:pPr>
        <w:ind w:left="5760" w:hanging="360"/>
      </w:pPr>
      <w:rPr>
        <w:rFonts w:ascii="Courier New" w:hAnsi="Courier New" w:hint="default"/>
      </w:rPr>
    </w:lvl>
    <w:lvl w:ilvl="8" w:tplc="6136D10C">
      <w:start w:val="1"/>
      <w:numFmt w:val="bullet"/>
      <w:lvlText w:val=""/>
      <w:lvlJc w:val="left"/>
      <w:pPr>
        <w:ind w:left="6480" w:hanging="360"/>
      </w:pPr>
      <w:rPr>
        <w:rFonts w:ascii="Wingdings" w:hAnsi="Wingdings" w:hint="default"/>
      </w:rPr>
    </w:lvl>
  </w:abstractNum>
  <w:abstractNum w:abstractNumId="16" w15:restartNumberingAfterBreak="0">
    <w:nsid w:val="2940B104"/>
    <w:multiLevelType w:val="hybridMultilevel"/>
    <w:tmpl w:val="FFFFFFFF"/>
    <w:lvl w:ilvl="0" w:tplc="B596D454">
      <w:start w:val="1"/>
      <w:numFmt w:val="bullet"/>
      <w:lvlText w:val=""/>
      <w:lvlJc w:val="left"/>
      <w:pPr>
        <w:ind w:left="720" w:hanging="360"/>
      </w:pPr>
      <w:rPr>
        <w:rFonts w:ascii="Symbol" w:hAnsi="Symbol" w:hint="default"/>
      </w:rPr>
    </w:lvl>
    <w:lvl w:ilvl="1" w:tplc="4F2A8B9A">
      <w:start w:val="1"/>
      <w:numFmt w:val="bullet"/>
      <w:lvlText w:val="o"/>
      <w:lvlJc w:val="left"/>
      <w:pPr>
        <w:ind w:left="1440" w:hanging="360"/>
      </w:pPr>
      <w:rPr>
        <w:rFonts w:ascii="Courier New" w:hAnsi="Courier New" w:hint="default"/>
      </w:rPr>
    </w:lvl>
    <w:lvl w:ilvl="2" w:tplc="1DACC09C">
      <w:start w:val="1"/>
      <w:numFmt w:val="bullet"/>
      <w:lvlText w:val=""/>
      <w:lvlJc w:val="left"/>
      <w:pPr>
        <w:ind w:left="2160" w:hanging="360"/>
      </w:pPr>
      <w:rPr>
        <w:rFonts w:ascii="Wingdings" w:hAnsi="Wingdings" w:hint="default"/>
      </w:rPr>
    </w:lvl>
    <w:lvl w:ilvl="3" w:tplc="B1328276">
      <w:start w:val="1"/>
      <w:numFmt w:val="bullet"/>
      <w:lvlText w:val=""/>
      <w:lvlJc w:val="left"/>
      <w:pPr>
        <w:ind w:left="2880" w:hanging="360"/>
      </w:pPr>
      <w:rPr>
        <w:rFonts w:ascii="Symbol" w:hAnsi="Symbol" w:hint="default"/>
      </w:rPr>
    </w:lvl>
    <w:lvl w:ilvl="4" w:tplc="51BCF0DC">
      <w:start w:val="1"/>
      <w:numFmt w:val="bullet"/>
      <w:lvlText w:val="o"/>
      <w:lvlJc w:val="left"/>
      <w:pPr>
        <w:ind w:left="3600" w:hanging="360"/>
      </w:pPr>
      <w:rPr>
        <w:rFonts w:ascii="Courier New" w:hAnsi="Courier New" w:hint="default"/>
      </w:rPr>
    </w:lvl>
    <w:lvl w:ilvl="5" w:tplc="E1C6224C">
      <w:start w:val="1"/>
      <w:numFmt w:val="bullet"/>
      <w:lvlText w:val=""/>
      <w:lvlJc w:val="left"/>
      <w:pPr>
        <w:ind w:left="4320" w:hanging="360"/>
      </w:pPr>
      <w:rPr>
        <w:rFonts w:ascii="Wingdings" w:hAnsi="Wingdings" w:hint="default"/>
      </w:rPr>
    </w:lvl>
    <w:lvl w:ilvl="6" w:tplc="21C84AB4">
      <w:start w:val="1"/>
      <w:numFmt w:val="bullet"/>
      <w:lvlText w:val=""/>
      <w:lvlJc w:val="left"/>
      <w:pPr>
        <w:ind w:left="5040" w:hanging="360"/>
      </w:pPr>
      <w:rPr>
        <w:rFonts w:ascii="Symbol" w:hAnsi="Symbol" w:hint="default"/>
      </w:rPr>
    </w:lvl>
    <w:lvl w:ilvl="7" w:tplc="6F42B6CE">
      <w:start w:val="1"/>
      <w:numFmt w:val="bullet"/>
      <w:lvlText w:val="o"/>
      <w:lvlJc w:val="left"/>
      <w:pPr>
        <w:ind w:left="5760" w:hanging="360"/>
      </w:pPr>
      <w:rPr>
        <w:rFonts w:ascii="Courier New" w:hAnsi="Courier New" w:hint="default"/>
      </w:rPr>
    </w:lvl>
    <w:lvl w:ilvl="8" w:tplc="70F60694">
      <w:start w:val="1"/>
      <w:numFmt w:val="bullet"/>
      <w:lvlText w:val=""/>
      <w:lvlJc w:val="left"/>
      <w:pPr>
        <w:ind w:left="6480" w:hanging="360"/>
      </w:pPr>
      <w:rPr>
        <w:rFonts w:ascii="Wingdings" w:hAnsi="Wingdings" w:hint="default"/>
      </w:rPr>
    </w:lvl>
  </w:abstractNum>
  <w:abstractNum w:abstractNumId="17" w15:restartNumberingAfterBreak="0">
    <w:nsid w:val="2AB20FC1"/>
    <w:multiLevelType w:val="hybridMultilevel"/>
    <w:tmpl w:val="FFFFFFFF"/>
    <w:lvl w:ilvl="0" w:tplc="E1109CC4">
      <w:start w:val="1"/>
      <w:numFmt w:val="bullet"/>
      <w:lvlText w:val=""/>
      <w:lvlJc w:val="left"/>
      <w:pPr>
        <w:ind w:left="720" w:hanging="360"/>
      </w:pPr>
      <w:rPr>
        <w:rFonts w:ascii="Symbol" w:hAnsi="Symbol" w:hint="default"/>
      </w:rPr>
    </w:lvl>
    <w:lvl w:ilvl="1" w:tplc="8DD2471E">
      <w:start w:val="1"/>
      <w:numFmt w:val="bullet"/>
      <w:lvlText w:val="o"/>
      <w:lvlJc w:val="left"/>
      <w:pPr>
        <w:ind w:left="1440" w:hanging="360"/>
      </w:pPr>
      <w:rPr>
        <w:rFonts w:ascii="Courier New" w:hAnsi="Courier New" w:hint="default"/>
      </w:rPr>
    </w:lvl>
    <w:lvl w:ilvl="2" w:tplc="AB0EC64E">
      <w:start w:val="1"/>
      <w:numFmt w:val="bullet"/>
      <w:lvlText w:val=""/>
      <w:lvlJc w:val="left"/>
      <w:pPr>
        <w:ind w:left="2160" w:hanging="360"/>
      </w:pPr>
      <w:rPr>
        <w:rFonts w:ascii="Wingdings" w:hAnsi="Wingdings" w:hint="default"/>
      </w:rPr>
    </w:lvl>
    <w:lvl w:ilvl="3" w:tplc="1B0CF002">
      <w:start w:val="1"/>
      <w:numFmt w:val="bullet"/>
      <w:lvlText w:val=""/>
      <w:lvlJc w:val="left"/>
      <w:pPr>
        <w:ind w:left="2880" w:hanging="360"/>
      </w:pPr>
      <w:rPr>
        <w:rFonts w:ascii="Symbol" w:hAnsi="Symbol" w:hint="default"/>
      </w:rPr>
    </w:lvl>
    <w:lvl w:ilvl="4" w:tplc="1CB21F3A">
      <w:start w:val="1"/>
      <w:numFmt w:val="bullet"/>
      <w:lvlText w:val="o"/>
      <w:lvlJc w:val="left"/>
      <w:pPr>
        <w:ind w:left="3600" w:hanging="360"/>
      </w:pPr>
      <w:rPr>
        <w:rFonts w:ascii="Courier New" w:hAnsi="Courier New" w:hint="default"/>
      </w:rPr>
    </w:lvl>
    <w:lvl w:ilvl="5" w:tplc="79346260">
      <w:start w:val="1"/>
      <w:numFmt w:val="bullet"/>
      <w:lvlText w:val=""/>
      <w:lvlJc w:val="left"/>
      <w:pPr>
        <w:ind w:left="4320" w:hanging="360"/>
      </w:pPr>
      <w:rPr>
        <w:rFonts w:ascii="Wingdings" w:hAnsi="Wingdings" w:hint="default"/>
      </w:rPr>
    </w:lvl>
    <w:lvl w:ilvl="6" w:tplc="769010B4">
      <w:start w:val="1"/>
      <w:numFmt w:val="bullet"/>
      <w:lvlText w:val=""/>
      <w:lvlJc w:val="left"/>
      <w:pPr>
        <w:ind w:left="5040" w:hanging="360"/>
      </w:pPr>
      <w:rPr>
        <w:rFonts w:ascii="Symbol" w:hAnsi="Symbol" w:hint="default"/>
      </w:rPr>
    </w:lvl>
    <w:lvl w:ilvl="7" w:tplc="16FE6C78">
      <w:start w:val="1"/>
      <w:numFmt w:val="bullet"/>
      <w:lvlText w:val="o"/>
      <w:lvlJc w:val="left"/>
      <w:pPr>
        <w:ind w:left="5760" w:hanging="360"/>
      </w:pPr>
      <w:rPr>
        <w:rFonts w:ascii="Courier New" w:hAnsi="Courier New" w:hint="default"/>
      </w:rPr>
    </w:lvl>
    <w:lvl w:ilvl="8" w:tplc="D0CEF76C">
      <w:start w:val="1"/>
      <w:numFmt w:val="bullet"/>
      <w:lvlText w:val=""/>
      <w:lvlJc w:val="left"/>
      <w:pPr>
        <w:ind w:left="6480" w:hanging="360"/>
      </w:pPr>
      <w:rPr>
        <w:rFonts w:ascii="Wingdings" w:hAnsi="Wingdings" w:hint="default"/>
      </w:rPr>
    </w:lvl>
  </w:abstractNum>
  <w:abstractNum w:abstractNumId="18" w15:restartNumberingAfterBreak="0">
    <w:nsid w:val="2E6A4356"/>
    <w:multiLevelType w:val="hybridMultilevel"/>
    <w:tmpl w:val="A7AAB4C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F2D0716"/>
    <w:multiLevelType w:val="hybridMultilevel"/>
    <w:tmpl w:val="33F0FC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2F4287B8"/>
    <w:multiLevelType w:val="hybridMultilevel"/>
    <w:tmpl w:val="FFFFFFFF"/>
    <w:lvl w:ilvl="0" w:tplc="95C414B0">
      <w:start w:val="1"/>
      <w:numFmt w:val="bullet"/>
      <w:lvlText w:val=""/>
      <w:lvlJc w:val="left"/>
      <w:pPr>
        <w:ind w:left="720" w:hanging="360"/>
      </w:pPr>
      <w:rPr>
        <w:rFonts w:ascii="Symbol" w:hAnsi="Symbol" w:hint="default"/>
      </w:rPr>
    </w:lvl>
    <w:lvl w:ilvl="1" w:tplc="27B0F058">
      <w:start w:val="1"/>
      <w:numFmt w:val="bullet"/>
      <w:lvlText w:val="o"/>
      <w:lvlJc w:val="left"/>
      <w:pPr>
        <w:ind w:left="1440" w:hanging="360"/>
      </w:pPr>
      <w:rPr>
        <w:rFonts w:ascii="Courier New" w:hAnsi="Courier New" w:hint="default"/>
      </w:rPr>
    </w:lvl>
    <w:lvl w:ilvl="2" w:tplc="E342EF08">
      <w:start w:val="1"/>
      <w:numFmt w:val="bullet"/>
      <w:lvlText w:val=""/>
      <w:lvlJc w:val="left"/>
      <w:pPr>
        <w:ind w:left="2160" w:hanging="360"/>
      </w:pPr>
      <w:rPr>
        <w:rFonts w:ascii="Wingdings" w:hAnsi="Wingdings" w:hint="default"/>
      </w:rPr>
    </w:lvl>
    <w:lvl w:ilvl="3" w:tplc="B230689A">
      <w:start w:val="1"/>
      <w:numFmt w:val="bullet"/>
      <w:lvlText w:val=""/>
      <w:lvlJc w:val="left"/>
      <w:pPr>
        <w:ind w:left="2880" w:hanging="360"/>
      </w:pPr>
      <w:rPr>
        <w:rFonts w:ascii="Symbol" w:hAnsi="Symbol" w:hint="default"/>
      </w:rPr>
    </w:lvl>
    <w:lvl w:ilvl="4" w:tplc="608EC5A0">
      <w:start w:val="1"/>
      <w:numFmt w:val="bullet"/>
      <w:lvlText w:val="o"/>
      <w:lvlJc w:val="left"/>
      <w:pPr>
        <w:ind w:left="3600" w:hanging="360"/>
      </w:pPr>
      <w:rPr>
        <w:rFonts w:ascii="Courier New" w:hAnsi="Courier New" w:hint="default"/>
      </w:rPr>
    </w:lvl>
    <w:lvl w:ilvl="5" w:tplc="2A8A413E">
      <w:start w:val="1"/>
      <w:numFmt w:val="bullet"/>
      <w:lvlText w:val=""/>
      <w:lvlJc w:val="left"/>
      <w:pPr>
        <w:ind w:left="4320" w:hanging="360"/>
      </w:pPr>
      <w:rPr>
        <w:rFonts w:ascii="Wingdings" w:hAnsi="Wingdings" w:hint="default"/>
      </w:rPr>
    </w:lvl>
    <w:lvl w:ilvl="6" w:tplc="67883704">
      <w:start w:val="1"/>
      <w:numFmt w:val="bullet"/>
      <w:lvlText w:val=""/>
      <w:lvlJc w:val="left"/>
      <w:pPr>
        <w:ind w:left="5040" w:hanging="360"/>
      </w:pPr>
      <w:rPr>
        <w:rFonts w:ascii="Symbol" w:hAnsi="Symbol" w:hint="default"/>
      </w:rPr>
    </w:lvl>
    <w:lvl w:ilvl="7" w:tplc="FBB85EEC">
      <w:start w:val="1"/>
      <w:numFmt w:val="bullet"/>
      <w:lvlText w:val="o"/>
      <w:lvlJc w:val="left"/>
      <w:pPr>
        <w:ind w:left="5760" w:hanging="360"/>
      </w:pPr>
      <w:rPr>
        <w:rFonts w:ascii="Courier New" w:hAnsi="Courier New" w:hint="default"/>
      </w:rPr>
    </w:lvl>
    <w:lvl w:ilvl="8" w:tplc="DEDE8EE4">
      <w:start w:val="1"/>
      <w:numFmt w:val="bullet"/>
      <w:lvlText w:val=""/>
      <w:lvlJc w:val="left"/>
      <w:pPr>
        <w:ind w:left="6480" w:hanging="360"/>
      </w:pPr>
      <w:rPr>
        <w:rFonts w:ascii="Wingdings" w:hAnsi="Wingdings" w:hint="default"/>
      </w:rPr>
    </w:lvl>
  </w:abstractNum>
  <w:abstractNum w:abstractNumId="21" w15:restartNumberingAfterBreak="0">
    <w:nsid w:val="2F451661"/>
    <w:multiLevelType w:val="hybridMultilevel"/>
    <w:tmpl w:val="48A8C5D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55C3D41"/>
    <w:multiLevelType w:val="hybridMultilevel"/>
    <w:tmpl w:val="07EEA4BA"/>
    <w:lvl w:ilvl="0" w:tplc="1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5D17F4A"/>
    <w:multiLevelType w:val="hybridMultilevel"/>
    <w:tmpl w:val="FFFFFFFF"/>
    <w:lvl w:ilvl="0" w:tplc="8C04F234">
      <w:start w:val="1"/>
      <w:numFmt w:val="bullet"/>
      <w:lvlText w:val=""/>
      <w:lvlJc w:val="left"/>
      <w:pPr>
        <w:ind w:left="720" w:hanging="360"/>
      </w:pPr>
      <w:rPr>
        <w:rFonts w:ascii="Symbol" w:hAnsi="Symbol" w:hint="default"/>
      </w:rPr>
    </w:lvl>
    <w:lvl w:ilvl="1" w:tplc="39F02F18">
      <w:start w:val="1"/>
      <w:numFmt w:val="bullet"/>
      <w:lvlText w:val="o"/>
      <w:lvlJc w:val="left"/>
      <w:pPr>
        <w:ind w:left="1440" w:hanging="360"/>
      </w:pPr>
      <w:rPr>
        <w:rFonts w:ascii="Courier New" w:hAnsi="Courier New" w:hint="default"/>
      </w:rPr>
    </w:lvl>
    <w:lvl w:ilvl="2" w:tplc="F15E2634">
      <w:start w:val="1"/>
      <w:numFmt w:val="bullet"/>
      <w:lvlText w:val=""/>
      <w:lvlJc w:val="left"/>
      <w:pPr>
        <w:ind w:left="2160" w:hanging="360"/>
      </w:pPr>
      <w:rPr>
        <w:rFonts w:ascii="Wingdings" w:hAnsi="Wingdings" w:hint="default"/>
      </w:rPr>
    </w:lvl>
    <w:lvl w:ilvl="3" w:tplc="0A863732">
      <w:start w:val="1"/>
      <w:numFmt w:val="bullet"/>
      <w:lvlText w:val=""/>
      <w:lvlJc w:val="left"/>
      <w:pPr>
        <w:ind w:left="2880" w:hanging="360"/>
      </w:pPr>
      <w:rPr>
        <w:rFonts w:ascii="Symbol" w:hAnsi="Symbol" w:hint="default"/>
      </w:rPr>
    </w:lvl>
    <w:lvl w:ilvl="4" w:tplc="0400CEA2">
      <w:start w:val="1"/>
      <w:numFmt w:val="bullet"/>
      <w:lvlText w:val="o"/>
      <w:lvlJc w:val="left"/>
      <w:pPr>
        <w:ind w:left="3600" w:hanging="360"/>
      </w:pPr>
      <w:rPr>
        <w:rFonts w:ascii="Courier New" w:hAnsi="Courier New" w:hint="default"/>
      </w:rPr>
    </w:lvl>
    <w:lvl w:ilvl="5" w:tplc="D1346C16">
      <w:start w:val="1"/>
      <w:numFmt w:val="bullet"/>
      <w:lvlText w:val=""/>
      <w:lvlJc w:val="left"/>
      <w:pPr>
        <w:ind w:left="4320" w:hanging="360"/>
      </w:pPr>
      <w:rPr>
        <w:rFonts w:ascii="Wingdings" w:hAnsi="Wingdings" w:hint="default"/>
      </w:rPr>
    </w:lvl>
    <w:lvl w:ilvl="6" w:tplc="E6E445AA">
      <w:start w:val="1"/>
      <w:numFmt w:val="bullet"/>
      <w:lvlText w:val=""/>
      <w:lvlJc w:val="left"/>
      <w:pPr>
        <w:ind w:left="5040" w:hanging="360"/>
      </w:pPr>
      <w:rPr>
        <w:rFonts w:ascii="Symbol" w:hAnsi="Symbol" w:hint="default"/>
      </w:rPr>
    </w:lvl>
    <w:lvl w:ilvl="7" w:tplc="1840A3D2">
      <w:start w:val="1"/>
      <w:numFmt w:val="bullet"/>
      <w:lvlText w:val="o"/>
      <w:lvlJc w:val="left"/>
      <w:pPr>
        <w:ind w:left="5760" w:hanging="360"/>
      </w:pPr>
      <w:rPr>
        <w:rFonts w:ascii="Courier New" w:hAnsi="Courier New" w:hint="default"/>
      </w:rPr>
    </w:lvl>
    <w:lvl w:ilvl="8" w:tplc="40F8F06E">
      <w:start w:val="1"/>
      <w:numFmt w:val="bullet"/>
      <w:lvlText w:val=""/>
      <w:lvlJc w:val="left"/>
      <w:pPr>
        <w:ind w:left="6480" w:hanging="360"/>
      </w:pPr>
      <w:rPr>
        <w:rFonts w:ascii="Wingdings" w:hAnsi="Wingdings" w:hint="default"/>
      </w:rPr>
    </w:lvl>
  </w:abstractNum>
  <w:abstractNum w:abstractNumId="24" w15:restartNumberingAfterBreak="0">
    <w:nsid w:val="393A2E5B"/>
    <w:multiLevelType w:val="hybridMultilevel"/>
    <w:tmpl w:val="2310A0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CFE064B"/>
    <w:multiLevelType w:val="hybridMultilevel"/>
    <w:tmpl w:val="FFFFFFFF"/>
    <w:lvl w:ilvl="0" w:tplc="C304F5A6">
      <w:start w:val="1"/>
      <w:numFmt w:val="bullet"/>
      <w:lvlText w:val=""/>
      <w:lvlJc w:val="left"/>
      <w:pPr>
        <w:ind w:left="720" w:hanging="360"/>
      </w:pPr>
      <w:rPr>
        <w:rFonts w:ascii="Symbol" w:hAnsi="Symbol" w:hint="default"/>
      </w:rPr>
    </w:lvl>
    <w:lvl w:ilvl="1" w:tplc="687CE4A4">
      <w:start w:val="1"/>
      <w:numFmt w:val="bullet"/>
      <w:lvlText w:val="o"/>
      <w:lvlJc w:val="left"/>
      <w:pPr>
        <w:ind w:left="1440" w:hanging="360"/>
      </w:pPr>
      <w:rPr>
        <w:rFonts w:ascii="Courier New" w:hAnsi="Courier New" w:hint="default"/>
      </w:rPr>
    </w:lvl>
    <w:lvl w:ilvl="2" w:tplc="FF807EE6">
      <w:start w:val="1"/>
      <w:numFmt w:val="bullet"/>
      <w:lvlText w:val=""/>
      <w:lvlJc w:val="left"/>
      <w:pPr>
        <w:ind w:left="2160" w:hanging="360"/>
      </w:pPr>
      <w:rPr>
        <w:rFonts w:ascii="Wingdings" w:hAnsi="Wingdings" w:hint="default"/>
      </w:rPr>
    </w:lvl>
    <w:lvl w:ilvl="3" w:tplc="DC8CA76E">
      <w:start w:val="1"/>
      <w:numFmt w:val="bullet"/>
      <w:lvlText w:val=""/>
      <w:lvlJc w:val="left"/>
      <w:pPr>
        <w:ind w:left="2880" w:hanging="360"/>
      </w:pPr>
      <w:rPr>
        <w:rFonts w:ascii="Symbol" w:hAnsi="Symbol" w:hint="default"/>
      </w:rPr>
    </w:lvl>
    <w:lvl w:ilvl="4" w:tplc="BF9EB810">
      <w:start w:val="1"/>
      <w:numFmt w:val="bullet"/>
      <w:lvlText w:val="o"/>
      <w:lvlJc w:val="left"/>
      <w:pPr>
        <w:ind w:left="3600" w:hanging="360"/>
      </w:pPr>
      <w:rPr>
        <w:rFonts w:ascii="Courier New" w:hAnsi="Courier New" w:hint="default"/>
      </w:rPr>
    </w:lvl>
    <w:lvl w:ilvl="5" w:tplc="CA62CC02">
      <w:start w:val="1"/>
      <w:numFmt w:val="bullet"/>
      <w:lvlText w:val=""/>
      <w:lvlJc w:val="left"/>
      <w:pPr>
        <w:ind w:left="4320" w:hanging="360"/>
      </w:pPr>
      <w:rPr>
        <w:rFonts w:ascii="Wingdings" w:hAnsi="Wingdings" w:hint="default"/>
      </w:rPr>
    </w:lvl>
    <w:lvl w:ilvl="6" w:tplc="174C450A">
      <w:start w:val="1"/>
      <w:numFmt w:val="bullet"/>
      <w:lvlText w:val=""/>
      <w:lvlJc w:val="left"/>
      <w:pPr>
        <w:ind w:left="5040" w:hanging="360"/>
      </w:pPr>
      <w:rPr>
        <w:rFonts w:ascii="Symbol" w:hAnsi="Symbol" w:hint="default"/>
      </w:rPr>
    </w:lvl>
    <w:lvl w:ilvl="7" w:tplc="103AFC44">
      <w:start w:val="1"/>
      <w:numFmt w:val="bullet"/>
      <w:lvlText w:val="o"/>
      <w:lvlJc w:val="left"/>
      <w:pPr>
        <w:ind w:left="5760" w:hanging="360"/>
      </w:pPr>
      <w:rPr>
        <w:rFonts w:ascii="Courier New" w:hAnsi="Courier New" w:hint="default"/>
      </w:rPr>
    </w:lvl>
    <w:lvl w:ilvl="8" w:tplc="5BF2CF98">
      <w:start w:val="1"/>
      <w:numFmt w:val="bullet"/>
      <w:lvlText w:val=""/>
      <w:lvlJc w:val="left"/>
      <w:pPr>
        <w:ind w:left="6480" w:hanging="360"/>
      </w:pPr>
      <w:rPr>
        <w:rFonts w:ascii="Wingdings" w:hAnsi="Wingdings" w:hint="default"/>
      </w:rPr>
    </w:lvl>
  </w:abstractNum>
  <w:abstractNum w:abstractNumId="26" w15:restartNumberingAfterBreak="0">
    <w:nsid w:val="3FAA230B"/>
    <w:multiLevelType w:val="hybridMultilevel"/>
    <w:tmpl w:val="2076BB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1F0451B"/>
    <w:multiLevelType w:val="hybridMultilevel"/>
    <w:tmpl w:val="D2BE3B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2DBC8BF"/>
    <w:multiLevelType w:val="hybridMultilevel"/>
    <w:tmpl w:val="FFFFFFFF"/>
    <w:lvl w:ilvl="0" w:tplc="8B1E890C">
      <w:start w:val="1"/>
      <w:numFmt w:val="bullet"/>
      <w:lvlText w:val=""/>
      <w:lvlJc w:val="left"/>
      <w:pPr>
        <w:ind w:left="720" w:hanging="360"/>
      </w:pPr>
      <w:rPr>
        <w:rFonts w:ascii="Symbol" w:hAnsi="Symbol" w:hint="default"/>
      </w:rPr>
    </w:lvl>
    <w:lvl w:ilvl="1" w:tplc="3866080A">
      <w:start w:val="1"/>
      <w:numFmt w:val="bullet"/>
      <w:lvlText w:val="o"/>
      <w:lvlJc w:val="left"/>
      <w:pPr>
        <w:ind w:left="1440" w:hanging="360"/>
      </w:pPr>
      <w:rPr>
        <w:rFonts w:ascii="Courier New" w:hAnsi="Courier New" w:hint="default"/>
      </w:rPr>
    </w:lvl>
    <w:lvl w:ilvl="2" w:tplc="E2C4FC92">
      <w:start w:val="1"/>
      <w:numFmt w:val="bullet"/>
      <w:lvlText w:val=""/>
      <w:lvlJc w:val="left"/>
      <w:pPr>
        <w:ind w:left="2160" w:hanging="360"/>
      </w:pPr>
      <w:rPr>
        <w:rFonts w:ascii="Wingdings" w:hAnsi="Wingdings" w:hint="default"/>
      </w:rPr>
    </w:lvl>
    <w:lvl w:ilvl="3" w:tplc="F7E84444">
      <w:start w:val="1"/>
      <w:numFmt w:val="bullet"/>
      <w:lvlText w:val=""/>
      <w:lvlJc w:val="left"/>
      <w:pPr>
        <w:ind w:left="2880" w:hanging="360"/>
      </w:pPr>
      <w:rPr>
        <w:rFonts w:ascii="Symbol" w:hAnsi="Symbol" w:hint="default"/>
      </w:rPr>
    </w:lvl>
    <w:lvl w:ilvl="4" w:tplc="6F2A3342">
      <w:start w:val="1"/>
      <w:numFmt w:val="bullet"/>
      <w:lvlText w:val="o"/>
      <w:lvlJc w:val="left"/>
      <w:pPr>
        <w:ind w:left="3600" w:hanging="360"/>
      </w:pPr>
      <w:rPr>
        <w:rFonts w:ascii="Courier New" w:hAnsi="Courier New" w:hint="default"/>
      </w:rPr>
    </w:lvl>
    <w:lvl w:ilvl="5" w:tplc="E876B0AE">
      <w:start w:val="1"/>
      <w:numFmt w:val="bullet"/>
      <w:lvlText w:val=""/>
      <w:lvlJc w:val="left"/>
      <w:pPr>
        <w:ind w:left="4320" w:hanging="360"/>
      </w:pPr>
      <w:rPr>
        <w:rFonts w:ascii="Wingdings" w:hAnsi="Wingdings" w:hint="default"/>
      </w:rPr>
    </w:lvl>
    <w:lvl w:ilvl="6" w:tplc="715EA002">
      <w:start w:val="1"/>
      <w:numFmt w:val="bullet"/>
      <w:lvlText w:val=""/>
      <w:lvlJc w:val="left"/>
      <w:pPr>
        <w:ind w:left="5040" w:hanging="360"/>
      </w:pPr>
      <w:rPr>
        <w:rFonts w:ascii="Symbol" w:hAnsi="Symbol" w:hint="default"/>
      </w:rPr>
    </w:lvl>
    <w:lvl w:ilvl="7" w:tplc="EFE6D9FC">
      <w:start w:val="1"/>
      <w:numFmt w:val="bullet"/>
      <w:lvlText w:val="o"/>
      <w:lvlJc w:val="left"/>
      <w:pPr>
        <w:ind w:left="5760" w:hanging="360"/>
      </w:pPr>
      <w:rPr>
        <w:rFonts w:ascii="Courier New" w:hAnsi="Courier New" w:hint="default"/>
      </w:rPr>
    </w:lvl>
    <w:lvl w:ilvl="8" w:tplc="3AC86906">
      <w:start w:val="1"/>
      <w:numFmt w:val="bullet"/>
      <w:lvlText w:val=""/>
      <w:lvlJc w:val="left"/>
      <w:pPr>
        <w:ind w:left="6480" w:hanging="360"/>
      </w:pPr>
      <w:rPr>
        <w:rFonts w:ascii="Wingdings" w:hAnsi="Wingdings" w:hint="default"/>
      </w:rPr>
    </w:lvl>
  </w:abstractNum>
  <w:abstractNum w:abstractNumId="29" w15:restartNumberingAfterBreak="0">
    <w:nsid w:val="42FFFE67"/>
    <w:multiLevelType w:val="hybridMultilevel"/>
    <w:tmpl w:val="FFFFFFFF"/>
    <w:lvl w:ilvl="0" w:tplc="E8EEACD4">
      <w:start w:val="1"/>
      <w:numFmt w:val="bullet"/>
      <w:lvlText w:val=""/>
      <w:lvlJc w:val="left"/>
      <w:pPr>
        <w:ind w:left="720" w:hanging="360"/>
      </w:pPr>
      <w:rPr>
        <w:rFonts w:ascii="Symbol" w:hAnsi="Symbol" w:hint="default"/>
      </w:rPr>
    </w:lvl>
    <w:lvl w:ilvl="1" w:tplc="D938C06A">
      <w:start w:val="1"/>
      <w:numFmt w:val="bullet"/>
      <w:lvlText w:val="o"/>
      <w:lvlJc w:val="left"/>
      <w:pPr>
        <w:ind w:left="1440" w:hanging="360"/>
      </w:pPr>
      <w:rPr>
        <w:rFonts w:ascii="Courier New" w:hAnsi="Courier New" w:hint="default"/>
      </w:rPr>
    </w:lvl>
    <w:lvl w:ilvl="2" w:tplc="5C6AE8E6">
      <w:start w:val="1"/>
      <w:numFmt w:val="bullet"/>
      <w:lvlText w:val=""/>
      <w:lvlJc w:val="left"/>
      <w:pPr>
        <w:ind w:left="2160" w:hanging="360"/>
      </w:pPr>
      <w:rPr>
        <w:rFonts w:ascii="Wingdings" w:hAnsi="Wingdings" w:hint="default"/>
      </w:rPr>
    </w:lvl>
    <w:lvl w:ilvl="3" w:tplc="4942D904">
      <w:start w:val="1"/>
      <w:numFmt w:val="bullet"/>
      <w:lvlText w:val=""/>
      <w:lvlJc w:val="left"/>
      <w:pPr>
        <w:ind w:left="2880" w:hanging="360"/>
      </w:pPr>
      <w:rPr>
        <w:rFonts w:ascii="Symbol" w:hAnsi="Symbol" w:hint="default"/>
      </w:rPr>
    </w:lvl>
    <w:lvl w:ilvl="4" w:tplc="FF5E7C4C">
      <w:start w:val="1"/>
      <w:numFmt w:val="bullet"/>
      <w:lvlText w:val="o"/>
      <w:lvlJc w:val="left"/>
      <w:pPr>
        <w:ind w:left="3600" w:hanging="360"/>
      </w:pPr>
      <w:rPr>
        <w:rFonts w:ascii="Courier New" w:hAnsi="Courier New" w:hint="default"/>
      </w:rPr>
    </w:lvl>
    <w:lvl w:ilvl="5" w:tplc="0CECFD04">
      <w:start w:val="1"/>
      <w:numFmt w:val="bullet"/>
      <w:lvlText w:val=""/>
      <w:lvlJc w:val="left"/>
      <w:pPr>
        <w:ind w:left="4320" w:hanging="360"/>
      </w:pPr>
      <w:rPr>
        <w:rFonts w:ascii="Wingdings" w:hAnsi="Wingdings" w:hint="default"/>
      </w:rPr>
    </w:lvl>
    <w:lvl w:ilvl="6" w:tplc="3A5EAFD6">
      <w:start w:val="1"/>
      <w:numFmt w:val="bullet"/>
      <w:lvlText w:val=""/>
      <w:lvlJc w:val="left"/>
      <w:pPr>
        <w:ind w:left="5040" w:hanging="360"/>
      </w:pPr>
      <w:rPr>
        <w:rFonts w:ascii="Symbol" w:hAnsi="Symbol" w:hint="default"/>
      </w:rPr>
    </w:lvl>
    <w:lvl w:ilvl="7" w:tplc="1F1825A6">
      <w:start w:val="1"/>
      <w:numFmt w:val="bullet"/>
      <w:lvlText w:val="o"/>
      <w:lvlJc w:val="left"/>
      <w:pPr>
        <w:ind w:left="5760" w:hanging="360"/>
      </w:pPr>
      <w:rPr>
        <w:rFonts w:ascii="Courier New" w:hAnsi="Courier New" w:hint="default"/>
      </w:rPr>
    </w:lvl>
    <w:lvl w:ilvl="8" w:tplc="9A5413DA">
      <w:start w:val="1"/>
      <w:numFmt w:val="bullet"/>
      <w:lvlText w:val=""/>
      <w:lvlJc w:val="left"/>
      <w:pPr>
        <w:ind w:left="6480" w:hanging="360"/>
      </w:pPr>
      <w:rPr>
        <w:rFonts w:ascii="Wingdings" w:hAnsi="Wingdings" w:hint="default"/>
      </w:rPr>
    </w:lvl>
  </w:abstractNum>
  <w:abstractNum w:abstractNumId="30" w15:restartNumberingAfterBreak="0">
    <w:nsid w:val="43531556"/>
    <w:multiLevelType w:val="multilevel"/>
    <w:tmpl w:val="41EA1C58"/>
    <w:lvl w:ilvl="0">
      <w:start w:val="1"/>
      <w:numFmt w:val="decimal"/>
      <w:lvlText w:val="%1."/>
      <w:lvlJc w:val="left"/>
      <w:pPr>
        <w:ind w:left="720" w:hanging="360"/>
      </w:pPr>
      <w:rPr>
        <w:rFonts w:hint="default"/>
      </w:rPr>
    </w:lvl>
    <w:lvl w:ilvl="1">
      <w:start w:val="4"/>
      <w:numFmt w:val="decimal"/>
      <w:isLgl/>
      <w:lvlText w:val="%1.%2"/>
      <w:lvlJc w:val="left"/>
      <w:pPr>
        <w:ind w:left="730" w:hanging="370"/>
      </w:pPr>
      <w:rPr>
        <w:rFonts w:hint="default"/>
        <w:lang w:val="en-G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4AA9D1E1"/>
    <w:multiLevelType w:val="hybridMultilevel"/>
    <w:tmpl w:val="FFFFFFFF"/>
    <w:lvl w:ilvl="0" w:tplc="BE3A6662">
      <w:start w:val="1"/>
      <w:numFmt w:val="bullet"/>
      <w:lvlText w:val=""/>
      <w:lvlJc w:val="left"/>
      <w:pPr>
        <w:ind w:left="720" w:hanging="360"/>
      </w:pPr>
      <w:rPr>
        <w:rFonts w:ascii="Symbol" w:hAnsi="Symbol" w:hint="default"/>
      </w:rPr>
    </w:lvl>
    <w:lvl w:ilvl="1" w:tplc="5C6CFCA8">
      <w:start w:val="1"/>
      <w:numFmt w:val="bullet"/>
      <w:lvlText w:val="o"/>
      <w:lvlJc w:val="left"/>
      <w:pPr>
        <w:ind w:left="1440" w:hanging="360"/>
      </w:pPr>
      <w:rPr>
        <w:rFonts w:ascii="Courier New" w:hAnsi="Courier New" w:hint="default"/>
      </w:rPr>
    </w:lvl>
    <w:lvl w:ilvl="2" w:tplc="6D7CB0F8">
      <w:start w:val="1"/>
      <w:numFmt w:val="bullet"/>
      <w:lvlText w:val=""/>
      <w:lvlJc w:val="left"/>
      <w:pPr>
        <w:ind w:left="2160" w:hanging="360"/>
      </w:pPr>
      <w:rPr>
        <w:rFonts w:ascii="Wingdings" w:hAnsi="Wingdings" w:hint="default"/>
      </w:rPr>
    </w:lvl>
    <w:lvl w:ilvl="3" w:tplc="B8BC8AE2">
      <w:start w:val="1"/>
      <w:numFmt w:val="bullet"/>
      <w:lvlText w:val=""/>
      <w:lvlJc w:val="left"/>
      <w:pPr>
        <w:ind w:left="2880" w:hanging="360"/>
      </w:pPr>
      <w:rPr>
        <w:rFonts w:ascii="Symbol" w:hAnsi="Symbol" w:hint="default"/>
      </w:rPr>
    </w:lvl>
    <w:lvl w:ilvl="4" w:tplc="A05ECDBC">
      <w:start w:val="1"/>
      <w:numFmt w:val="bullet"/>
      <w:lvlText w:val="o"/>
      <w:lvlJc w:val="left"/>
      <w:pPr>
        <w:ind w:left="3600" w:hanging="360"/>
      </w:pPr>
      <w:rPr>
        <w:rFonts w:ascii="Courier New" w:hAnsi="Courier New" w:hint="default"/>
      </w:rPr>
    </w:lvl>
    <w:lvl w:ilvl="5" w:tplc="613A54B6">
      <w:start w:val="1"/>
      <w:numFmt w:val="bullet"/>
      <w:lvlText w:val=""/>
      <w:lvlJc w:val="left"/>
      <w:pPr>
        <w:ind w:left="4320" w:hanging="360"/>
      </w:pPr>
      <w:rPr>
        <w:rFonts w:ascii="Wingdings" w:hAnsi="Wingdings" w:hint="default"/>
      </w:rPr>
    </w:lvl>
    <w:lvl w:ilvl="6" w:tplc="412201FC">
      <w:start w:val="1"/>
      <w:numFmt w:val="bullet"/>
      <w:lvlText w:val=""/>
      <w:lvlJc w:val="left"/>
      <w:pPr>
        <w:ind w:left="5040" w:hanging="360"/>
      </w:pPr>
      <w:rPr>
        <w:rFonts w:ascii="Symbol" w:hAnsi="Symbol" w:hint="default"/>
      </w:rPr>
    </w:lvl>
    <w:lvl w:ilvl="7" w:tplc="64E89CC0">
      <w:start w:val="1"/>
      <w:numFmt w:val="bullet"/>
      <w:lvlText w:val="o"/>
      <w:lvlJc w:val="left"/>
      <w:pPr>
        <w:ind w:left="5760" w:hanging="360"/>
      </w:pPr>
      <w:rPr>
        <w:rFonts w:ascii="Courier New" w:hAnsi="Courier New" w:hint="default"/>
      </w:rPr>
    </w:lvl>
    <w:lvl w:ilvl="8" w:tplc="F7203C7E">
      <w:start w:val="1"/>
      <w:numFmt w:val="bullet"/>
      <w:lvlText w:val=""/>
      <w:lvlJc w:val="left"/>
      <w:pPr>
        <w:ind w:left="6480" w:hanging="360"/>
      </w:pPr>
      <w:rPr>
        <w:rFonts w:ascii="Wingdings" w:hAnsi="Wingdings" w:hint="default"/>
      </w:rPr>
    </w:lvl>
  </w:abstractNum>
  <w:abstractNum w:abstractNumId="32" w15:restartNumberingAfterBreak="0">
    <w:nsid w:val="4BFC16D7"/>
    <w:multiLevelType w:val="hybridMultilevel"/>
    <w:tmpl w:val="FFFFFFFF"/>
    <w:lvl w:ilvl="0" w:tplc="B49E82D6">
      <w:start w:val="1"/>
      <w:numFmt w:val="bullet"/>
      <w:lvlText w:val=""/>
      <w:lvlJc w:val="left"/>
      <w:pPr>
        <w:ind w:left="720" w:hanging="360"/>
      </w:pPr>
      <w:rPr>
        <w:rFonts w:ascii="Symbol" w:hAnsi="Symbol" w:hint="default"/>
      </w:rPr>
    </w:lvl>
    <w:lvl w:ilvl="1" w:tplc="B8007486">
      <w:start w:val="1"/>
      <w:numFmt w:val="bullet"/>
      <w:lvlText w:val="o"/>
      <w:lvlJc w:val="left"/>
      <w:pPr>
        <w:ind w:left="1440" w:hanging="360"/>
      </w:pPr>
      <w:rPr>
        <w:rFonts w:ascii="Courier New" w:hAnsi="Courier New" w:hint="default"/>
      </w:rPr>
    </w:lvl>
    <w:lvl w:ilvl="2" w:tplc="A530B5C4">
      <w:start w:val="1"/>
      <w:numFmt w:val="bullet"/>
      <w:lvlText w:val=""/>
      <w:lvlJc w:val="left"/>
      <w:pPr>
        <w:ind w:left="2160" w:hanging="360"/>
      </w:pPr>
      <w:rPr>
        <w:rFonts w:ascii="Wingdings" w:hAnsi="Wingdings" w:hint="default"/>
      </w:rPr>
    </w:lvl>
    <w:lvl w:ilvl="3" w:tplc="C4545D7E">
      <w:start w:val="1"/>
      <w:numFmt w:val="bullet"/>
      <w:lvlText w:val=""/>
      <w:lvlJc w:val="left"/>
      <w:pPr>
        <w:ind w:left="2880" w:hanging="360"/>
      </w:pPr>
      <w:rPr>
        <w:rFonts w:ascii="Symbol" w:hAnsi="Symbol" w:hint="default"/>
      </w:rPr>
    </w:lvl>
    <w:lvl w:ilvl="4" w:tplc="20AA834C">
      <w:start w:val="1"/>
      <w:numFmt w:val="bullet"/>
      <w:lvlText w:val="o"/>
      <w:lvlJc w:val="left"/>
      <w:pPr>
        <w:ind w:left="3600" w:hanging="360"/>
      </w:pPr>
      <w:rPr>
        <w:rFonts w:ascii="Courier New" w:hAnsi="Courier New" w:hint="default"/>
      </w:rPr>
    </w:lvl>
    <w:lvl w:ilvl="5" w:tplc="79E49A16">
      <w:start w:val="1"/>
      <w:numFmt w:val="bullet"/>
      <w:lvlText w:val=""/>
      <w:lvlJc w:val="left"/>
      <w:pPr>
        <w:ind w:left="4320" w:hanging="360"/>
      </w:pPr>
      <w:rPr>
        <w:rFonts w:ascii="Wingdings" w:hAnsi="Wingdings" w:hint="default"/>
      </w:rPr>
    </w:lvl>
    <w:lvl w:ilvl="6" w:tplc="A85EC5B0">
      <w:start w:val="1"/>
      <w:numFmt w:val="bullet"/>
      <w:lvlText w:val=""/>
      <w:lvlJc w:val="left"/>
      <w:pPr>
        <w:ind w:left="5040" w:hanging="360"/>
      </w:pPr>
      <w:rPr>
        <w:rFonts w:ascii="Symbol" w:hAnsi="Symbol" w:hint="default"/>
      </w:rPr>
    </w:lvl>
    <w:lvl w:ilvl="7" w:tplc="81480410">
      <w:start w:val="1"/>
      <w:numFmt w:val="bullet"/>
      <w:lvlText w:val="o"/>
      <w:lvlJc w:val="left"/>
      <w:pPr>
        <w:ind w:left="5760" w:hanging="360"/>
      </w:pPr>
      <w:rPr>
        <w:rFonts w:ascii="Courier New" w:hAnsi="Courier New" w:hint="default"/>
      </w:rPr>
    </w:lvl>
    <w:lvl w:ilvl="8" w:tplc="247AA618">
      <w:start w:val="1"/>
      <w:numFmt w:val="bullet"/>
      <w:lvlText w:val=""/>
      <w:lvlJc w:val="left"/>
      <w:pPr>
        <w:ind w:left="6480" w:hanging="360"/>
      </w:pPr>
      <w:rPr>
        <w:rFonts w:ascii="Wingdings" w:hAnsi="Wingdings" w:hint="default"/>
      </w:rPr>
    </w:lvl>
  </w:abstractNum>
  <w:abstractNum w:abstractNumId="33" w15:restartNumberingAfterBreak="0">
    <w:nsid w:val="4CBE649B"/>
    <w:multiLevelType w:val="multilevel"/>
    <w:tmpl w:val="C5A60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E973A73"/>
    <w:multiLevelType w:val="hybridMultilevel"/>
    <w:tmpl w:val="23A84CF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4EA3188A"/>
    <w:multiLevelType w:val="hybridMultilevel"/>
    <w:tmpl w:val="FFFFFFFF"/>
    <w:lvl w:ilvl="0" w:tplc="BB7E7DC0">
      <w:start w:val="1"/>
      <w:numFmt w:val="bullet"/>
      <w:lvlText w:val=""/>
      <w:lvlJc w:val="left"/>
      <w:pPr>
        <w:ind w:left="720" w:hanging="360"/>
      </w:pPr>
      <w:rPr>
        <w:rFonts w:ascii="Symbol" w:hAnsi="Symbol" w:hint="default"/>
      </w:rPr>
    </w:lvl>
    <w:lvl w:ilvl="1" w:tplc="C4F45746">
      <w:start w:val="1"/>
      <w:numFmt w:val="bullet"/>
      <w:lvlText w:val="o"/>
      <w:lvlJc w:val="left"/>
      <w:pPr>
        <w:ind w:left="1440" w:hanging="360"/>
      </w:pPr>
      <w:rPr>
        <w:rFonts w:ascii="Courier New" w:hAnsi="Courier New" w:hint="default"/>
      </w:rPr>
    </w:lvl>
    <w:lvl w:ilvl="2" w:tplc="A9A81E64">
      <w:start w:val="1"/>
      <w:numFmt w:val="bullet"/>
      <w:lvlText w:val=""/>
      <w:lvlJc w:val="left"/>
      <w:pPr>
        <w:ind w:left="2160" w:hanging="360"/>
      </w:pPr>
      <w:rPr>
        <w:rFonts w:ascii="Wingdings" w:hAnsi="Wingdings" w:hint="default"/>
      </w:rPr>
    </w:lvl>
    <w:lvl w:ilvl="3" w:tplc="41B416EA">
      <w:start w:val="1"/>
      <w:numFmt w:val="bullet"/>
      <w:lvlText w:val=""/>
      <w:lvlJc w:val="left"/>
      <w:pPr>
        <w:ind w:left="2880" w:hanging="360"/>
      </w:pPr>
      <w:rPr>
        <w:rFonts w:ascii="Symbol" w:hAnsi="Symbol" w:hint="default"/>
      </w:rPr>
    </w:lvl>
    <w:lvl w:ilvl="4" w:tplc="4F1C7F7E">
      <w:start w:val="1"/>
      <w:numFmt w:val="bullet"/>
      <w:lvlText w:val="o"/>
      <w:lvlJc w:val="left"/>
      <w:pPr>
        <w:ind w:left="3600" w:hanging="360"/>
      </w:pPr>
      <w:rPr>
        <w:rFonts w:ascii="Courier New" w:hAnsi="Courier New" w:hint="default"/>
      </w:rPr>
    </w:lvl>
    <w:lvl w:ilvl="5" w:tplc="AAD2E580">
      <w:start w:val="1"/>
      <w:numFmt w:val="bullet"/>
      <w:lvlText w:val=""/>
      <w:lvlJc w:val="left"/>
      <w:pPr>
        <w:ind w:left="4320" w:hanging="360"/>
      </w:pPr>
      <w:rPr>
        <w:rFonts w:ascii="Wingdings" w:hAnsi="Wingdings" w:hint="default"/>
      </w:rPr>
    </w:lvl>
    <w:lvl w:ilvl="6" w:tplc="FA9615FC">
      <w:start w:val="1"/>
      <w:numFmt w:val="bullet"/>
      <w:lvlText w:val=""/>
      <w:lvlJc w:val="left"/>
      <w:pPr>
        <w:ind w:left="5040" w:hanging="360"/>
      </w:pPr>
      <w:rPr>
        <w:rFonts w:ascii="Symbol" w:hAnsi="Symbol" w:hint="default"/>
      </w:rPr>
    </w:lvl>
    <w:lvl w:ilvl="7" w:tplc="E40AF01A">
      <w:start w:val="1"/>
      <w:numFmt w:val="bullet"/>
      <w:lvlText w:val="o"/>
      <w:lvlJc w:val="left"/>
      <w:pPr>
        <w:ind w:left="5760" w:hanging="360"/>
      </w:pPr>
      <w:rPr>
        <w:rFonts w:ascii="Courier New" w:hAnsi="Courier New" w:hint="default"/>
      </w:rPr>
    </w:lvl>
    <w:lvl w:ilvl="8" w:tplc="D6668210">
      <w:start w:val="1"/>
      <w:numFmt w:val="bullet"/>
      <w:lvlText w:val=""/>
      <w:lvlJc w:val="left"/>
      <w:pPr>
        <w:ind w:left="6480" w:hanging="360"/>
      </w:pPr>
      <w:rPr>
        <w:rFonts w:ascii="Wingdings" w:hAnsi="Wingdings" w:hint="default"/>
      </w:rPr>
    </w:lvl>
  </w:abstractNum>
  <w:abstractNum w:abstractNumId="36" w15:restartNumberingAfterBreak="0">
    <w:nsid w:val="5042E075"/>
    <w:multiLevelType w:val="hybridMultilevel"/>
    <w:tmpl w:val="FFFFFFFF"/>
    <w:lvl w:ilvl="0" w:tplc="5B80BCAC">
      <w:start w:val="1"/>
      <w:numFmt w:val="bullet"/>
      <w:lvlText w:val=""/>
      <w:lvlJc w:val="left"/>
      <w:pPr>
        <w:ind w:left="720" w:hanging="360"/>
      </w:pPr>
      <w:rPr>
        <w:rFonts w:ascii="Symbol" w:hAnsi="Symbol" w:hint="default"/>
      </w:rPr>
    </w:lvl>
    <w:lvl w:ilvl="1" w:tplc="8312C798">
      <w:start w:val="1"/>
      <w:numFmt w:val="bullet"/>
      <w:lvlText w:val="o"/>
      <w:lvlJc w:val="left"/>
      <w:pPr>
        <w:ind w:left="1440" w:hanging="360"/>
      </w:pPr>
      <w:rPr>
        <w:rFonts w:ascii="Courier New" w:hAnsi="Courier New" w:hint="default"/>
      </w:rPr>
    </w:lvl>
    <w:lvl w:ilvl="2" w:tplc="A3DC9F74">
      <w:start w:val="1"/>
      <w:numFmt w:val="bullet"/>
      <w:lvlText w:val=""/>
      <w:lvlJc w:val="left"/>
      <w:pPr>
        <w:ind w:left="2160" w:hanging="360"/>
      </w:pPr>
      <w:rPr>
        <w:rFonts w:ascii="Wingdings" w:hAnsi="Wingdings" w:hint="default"/>
      </w:rPr>
    </w:lvl>
    <w:lvl w:ilvl="3" w:tplc="D302A2A0">
      <w:start w:val="1"/>
      <w:numFmt w:val="bullet"/>
      <w:lvlText w:val=""/>
      <w:lvlJc w:val="left"/>
      <w:pPr>
        <w:ind w:left="2880" w:hanging="360"/>
      </w:pPr>
      <w:rPr>
        <w:rFonts w:ascii="Symbol" w:hAnsi="Symbol" w:hint="default"/>
      </w:rPr>
    </w:lvl>
    <w:lvl w:ilvl="4" w:tplc="4E4AE580">
      <w:start w:val="1"/>
      <w:numFmt w:val="bullet"/>
      <w:lvlText w:val="o"/>
      <w:lvlJc w:val="left"/>
      <w:pPr>
        <w:ind w:left="3600" w:hanging="360"/>
      </w:pPr>
      <w:rPr>
        <w:rFonts w:ascii="Courier New" w:hAnsi="Courier New" w:hint="default"/>
      </w:rPr>
    </w:lvl>
    <w:lvl w:ilvl="5" w:tplc="08505740">
      <w:start w:val="1"/>
      <w:numFmt w:val="bullet"/>
      <w:lvlText w:val=""/>
      <w:lvlJc w:val="left"/>
      <w:pPr>
        <w:ind w:left="4320" w:hanging="360"/>
      </w:pPr>
      <w:rPr>
        <w:rFonts w:ascii="Wingdings" w:hAnsi="Wingdings" w:hint="default"/>
      </w:rPr>
    </w:lvl>
    <w:lvl w:ilvl="6" w:tplc="8C94731A">
      <w:start w:val="1"/>
      <w:numFmt w:val="bullet"/>
      <w:lvlText w:val=""/>
      <w:lvlJc w:val="left"/>
      <w:pPr>
        <w:ind w:left="5040" w:hanging="360"/>
      </w:pPr>
      <w:rPr>
        <w:rFonts w:ascii="Symbol" w:hAnsi="Symbol" w:hint="default"/>
      </w:rPr>
    </w:lvl>
    <w:lvl w:ilvl="7" w:tplc="3A6235D0">
      <w:start w:val="1"/>
      <w:numFmt w:val="bullet"/>
      <w:lvlText w:val="o"/>
      <w:lvlJc w:val="left"/>
      <w:pPr>
        <w:ind w:left="5760" w:hanging="360"/>
      </w:pPr>
      <w:rPr>
        <w:rFonts w:ascii="Courier New" w:hAnsi="Courier New" w:hint="default"/>
      </w:rPr>
    </w:lvl>
    <w:lvl w:ilvl="8" w:tplc="DA4C4E04">
      <w:start w:val="1"/>
      <w:numFmt w:val="bullet"/>
      <w:lvlText w:val=""/>
      <w:lvlJc w:val="left"/>
      <w:pPr>
        <w:ind w:left="6480" w:hanging="360"/>
      </w:pPr>
      <w:rPr>
        <w:rFonts w:ascii="Wingdings" w:hAnsi="Wingdings" w:hint="default"/>
      </w:rPr>
    </w:lvl>
  </w:abstractNum>
  <w:abstractNum w:abstractNumId="37" w15:restartNumberingAfterBreak="0">
    <w:nsid w:val="521835BB"/>
    <w:multiLevelType w:val="hybridMultilevel"/>
    <w:tmpl w:val="FFFFFFFF"/>
    <w:lvl w:ilvl="0" w:tplc="02B417F0">
      <w:start w:val="1"/>
      <w:numFmt w:val="bullet"/>
      <w:lvlText w:val=""/>
      <w:lvlJc w:val="left"/>
      <w:pPr>
        <w:ind w:left="720" w:hanging="360"/>
      </w:pPr>
      <w:rPr>
        <w:rFonts w:ascii="Symbol" w:hAnsi="Symbol" w:hint="default"/>
      </w:rPr>
    </w:lvl>
    <w:lvl w:ilvl="1" w:tplc="C3A05C72">
      <w:start w:val="1"/>
      <w:numFmt w:val="bullet"/>
      <w:lvlText w:val="o"/>
      <w:lvlJc w:val="left"/>
      <w:pPr>
        <w:ind w:left="1440" w:hanging="360"/>
      </w:pPr>
      <w:rPr>
        <w:rFonts w:ascii="Courier New" w:hAnsi="Courier New" w:hint="default"/>
      </w:rPr>
    </w:lvl>
    <w:lvl w:ilvl="2" w:tplc="F55E9A1A">
      <w:start w:val="1"/>
      <w:numFmt w:val="bullet"/>
      <w:lvlText w:val=""/>
      <w:lvlJc w:val="left"/>
      <w:pPr>
        <w:ind w:left="2160" w:hanging="360"/>
      </w:pPr>
      <w:rPr>
        <w:rFonts w:ascii="Wingdings" w:hAnsi="Wingdings" w:hint="default"/>
      </w:rPr>
    </w:lvl>
    <w:lvl w:ilvl="3" w:tplc="84C4C7D8">
      <w:start w:val="1"/>
      <w:numFmt w:val="bullet"/>
      <w:lvlText w:val=""/>
      <w:lvlJc w:val="left"/>
      <w:pPr>
        <w:ind w:left="2880" w:hanging="360"/>
      </w:pPr>
      <w:rPr>
        <w:rFonts w:ascii="Symbol" w:hAnsi="Symbol" w:hint="default"/>
      </w:rPr>
    </w:lvl>
    <w:lvl w:ilvl="4" w:tplc="53FA22B0">
      <w:start w:val="1"/>
      <w:numFmt w:val="bullet"/>
      <w:lvlText w:val="o"/>
      <w:lvlJc w:val="left"/>
      <w:pPr>
        <w:ind w:left="3600" w:hanging="360"/>
      </w:pPr>
      <w:rPr>
        <w:rFonts w:ascii="Courier New" w:hAnsi="Courier New" w:hint="default"/>
      </w:rPr>
    </w:lvl>
    <w:lvl w:ilvl="5" w:tplc="040C7A86">
      <w:start w:val="1"/>
      <w:numFmt w:val="bullet"/>
      <w:lvlText w:val=""/>
      <w:lvlJc w:val="left"/>
      <w:pPr>
        <w:ind w:left="4320" w:hanging="360"/>
      </w:pPr>
      <w:rPr>
        <w:rFonts w:ascii="Wingdings" w:hAnsi="Wingdings" w:hint="default"/>
      </w:rPr>
    </w:lvl>
    <w:lvl w:ilvl="6" w:tplc="D61EBA60">
      <w:start w:val="1"/>
      <w:numFmt w:val="bullet"/>
      <w:lvlText w:val=""/>
      <w:lvlJc w:val="left"/>
      <w:pPr>
        <w:ind w:left="5040" w:hanging="360"/>
      </w:pPr>
      <w:rPr>
        <w:rFonts w:ascii="Symbol" w:hAnsi="Symbol" w:hint="default"/>
      </w:rPr>
    </w:lvl>
    <w:lvl w:ilvl="7" w:tplc="8C343B90">
      <w:start w:val="1"/>
      <w:numFmt w:val="bullet"/>
      <w:lvlText w:val="o"/>
      <w:lvlJc w:val="left"/>
      <w:pPr>
        <w:ind w:left="5760" w:hanging="360"/>
      </w:pPr>
      <w:rPr>
        <w:rFonts w:ascii="Courier New" w:hAnsi="Courier New" w:hint="default"/>
      </w:rPr>
    </w:lvl>
    <w:lvl w:ilvl="8" w:tplc="5DC02486">
      <w:start w:val="1"/>
      <w:numFmt w:val="bullet"/>
      <w:lvlText w:val=""/>
      <w:lvlJc w:val="left"/>
      <w:pPr>
        <w:ind w:left="6480" w:hanging="360"/>
      </w:pPr>
      <w:rPr>
        <w:rFonts w:ascii="Wingdings" w:hAnsi="Wingdings" w:hint="default"/>
      </w:rPr>
    </w:lvl>
  </w:abstractNum>
  <w:abstractNum w:abstractNumId="38" w15:restartNumberingAfterBreak="0">
    <w:nsid w:val="5237949A"/>
    <w:multiLevelType w:val="hybridMultilevel"/>
    <w:tmpl w:val="FFFFFFFF"/>
    <w:lvl w:ilvl="0" w:tplc="CDAA9DAA">
      <w:start w:val="1"/>
      <w:numFmt w:val="bullet"/>
      <w:lvlText w:val=""/>
      <w:lvlJc w:val="left"/>
      <w:pPr>
        <w:ind w:left="720" w:hanging="360"/>
      </w:pPr>
      <w:rPr>
        <w:rFonts w:ascii="Symbol" w:hAnsi="Symbol" w:hint="default"/>
      </w:rPr>
    </w:lvl>
    <w:lvl w:ilvl="1" w:tplc="10D0808C">
      <w:start w:val="1"/>
      <w:numFmt w:val="bullet"/>
      <w:lvlText w:val="o"/>
      <w:lvlJc w:val="left"/>
      <w:pPr>
        <w:ind w:left="1440" w:hanging="360"/>
      </w:pPr>
      <w:rPr>
        <w:rFonts w:ascii="Courier New" w:hAnsi="Courier New" w:hint="default"/>
      </w:rPr>
    </w:lvl>
    <w:lvl w:ilvl="2" w:tplc="FA74BD76">
      <w:start w:val="1"/>
      <w:numFmt w:val="bullet"/>
      <w:lvlText w:val=""/>
      <w:lvlJc w:val="left"/>
      <w:pPr>
        <w:ind w:left="2160" w:hanging="360"/>
      </w:pPr>
      <w:rPr>
        <w:rFonts w:ascii="Wingdings" w:hAnsi="Wingdings" w:hint="default"/>
      </w:rPr>
    </w:lvl>
    <w:lvl w:ilvl="3" w:tplc="FB80E7C2">
      <w:start w:val="1"/>
      <w:numFmt w:val="bullet"/>
      <w:lvlText w:val=""/>
      <w:lvlJc w:val="left"/>
      <w:pPr>
        <w:ind w:left="2880" w:hanging="360"/>
      </w:pPr>
      <w:rPr>
        <w:rFonts w:ascii="Symbol" w:hAnsi="Symbol" w:hint="default"/>
      </w:rPr>
    </w:lvl>
    <w:lvl w:ilvl="4" w:tplc="81784D26">
      <w:start w:val="1"/>
      <w:numFmt w:val="bullet"/>
      <w:lvlText w:val="o"/>
      <w:lvlJc w:val="left"/>
      <w:pPr>
        <w:ind w:left="3600" w:hanging="360"/>
      </w:pPr>
      <w:rPr>
        <w:rFonts w:ascii="Courier New" w:hAnsi="Courier New" w:hint="default"/>
      </w:rPr>
    </w:lvl>
    <w:lvl w:ilvl="5" w:tplc="09F2C562">
      <w:start w:val="1"/>
      <w:numFmt w:val="bullet"/>
      <w:lvlText w:val=""/>
      <w:lvlJc w:val="left"/>
      <w:pPr>
        <w:ind w:left="4320" w:hanging="360"/>
      </w:pPr>
      <w:rPr>
        <w:rFonts w:ascii="Wingdings" w:hAnsi="Wingdings" w:hint="default"/>
      </w:rPr>
    </w:lvl>
    <w:lvl w:ilvl="6" w:tplc="E542A656">
      <w:start w:val="1"/>
      <w:numFmt w:val="bullet"/>
      <w:lvlText w:val=""/>
      <w:lvlJc w:val="left"/>
      <w:pPr>
        <w:ind w:left="5040" w:hanging="360"/>
      </w:pPr>
      <w:rPr>
        <w:rFonts w:ascii="Symbol" w:hAnsi="Symbol" w:hint="default"/>
      </w:rPr>
    </w:lvl>
    <w:lvl w:ilvl="7" w:tplc="D0D64260">
      <w:start w:val="1"/>
      <w:numFmt w:val="bullet"/>
      <w:lvlText w:val="o"/>
      <w:lvlJc w:val="left"/>
      <w:pPr>
        <w:ind w:left="5760" w:hanging="360"/>
      </w:pPr>
      <w:rPr>
        <w:rFonts w:ascii="Courier New" w:hAnsi="Courier New" w:hint="default"/>
      </w:rPr>
    </w:lvl>
    <w:lvl w:ilvl="8" w:tplc="E77AE922">
      <w:start w:val="1"/>
      <w:numFmt w:val="bullet"/>
      <w:lvlText w:val=""/>
      <w:lvlJc w:val="left"/>
      <w:pPr>
        <w:ind w:left="6480" w:hanging="360"/>
      </w:pPr>
      <w:rPr>
        <w:rFonts w:ascii="Wingdings" w:hAnsi="Wingdings" w:hint="default"/>
      </w:rPr>
    </w:lvl>
  </w:abstractNum>
  <w:abstractNum w:abstractNumId="39" w15:restartNumberingAfterBreak="0">
    <w:nsid w:val="5260040D"/>
    <w:multiLevelType w:val="hybridMultilevel"/>
    <w:tmpl w:val="FFFFFFFF"/>
    <w:lvl w:ilvl="0" w:tplc="9148F69A">
      <w:start w:val="1"/>
      <w:numFmt w:val="bullet"/>
      <w:lvlText w:val=""/>
      <w:lvlJc w:val="left"/>
      <w:pPr>
        <w:ind w:left="720" w:hanging="360"/>
      </w:pPr>
      <w:rPr>
        <w:rFonts w:ascii="Symbol" w:hAnsi="Symbol" w:hint="default"/>
      </w:rPr>
    </w:lvl>
    <w:lvl w:ilvl="1" w:tplc="F7867D24">
      <w:start w:val="1"/>
      <w:numFmt w:val="bullet"/>
      <w:lvlText w:val="o"/>
      <w:lvlJc w:val="left"/>
      <w:pPr>
        <w:ind w:left="1440" w:hanging="360"/>
      </w:pPr>
      <w:rPr>
        <w:rFonts w:ascii="Courier New" w:hAnsi="Courier New" w:hint="default"/>
      </w:rPr>
    </w:lvl>
    <w:lvl w:ilvl="2" w:tplc="4784E348">
      <w:start w:val="1"/>
      <w:numFmt w:val="bullet"/>
      <w:lvlText w:val=""/>
      <w:lvlJc w:val="left"/>
      <w:pPr>
        <w:ind w:left="2160" w:hanging="360"/>
      </w:pPr>
      <w:rPr>
        <w:rFonts w:ascii="Wingdings" w:hAnsi="Wingdings" w:hint="default"/>
      </w:rPr>
    </w:lvl>
    <w:lvl w:ilvl="3" w:tplc="D0F2813A">
      <w:start w:val="1"/>
      <w:numFmt w:val="bullet"/>
      <w:lvlText w:val=""/>
      <w:lvlJc w:val="left"/>
      <w:pPr>
        <w:ind w:left="2880" w:hanging="360"/>
      </w:pPr>
      <w:rPr>
        <w:rFonts w:ascii="Symbol" w:hAnsi="Symbol" w:hint="default"/>
      </w:rPr>
    </w:lvl>
    <w:lvl w:ilvl="4" w:tplc="FE1AB5B6">
      <w:start w:val="1"/>
      <w:numFmt w:val="bullet"/>
      <w:lvlText w:val="o"/>
      <w:lvlJc w:val="left"/>
      <w:pPr>
        <w:ind w:left="3600" w:hanging="360"/>
      </w:pPr>
      <w:rPr>
        <w:rFonts w:ascii="Courier New" w:hAnsi="Courier New" w:hint="default"/>
      </w:rPr>
    </w:lvl>
    <w:lvl w:ilvl="5" w:tplc="7D9ADAB8">
      <w:start w:val="1"/>
      <w:numFmt w:val="bullet"/>
      <w:lvlText w:val=""/>
      <w:lvlJc w:val="left"/>
      <w:pPr>
        <w:ind w:left="4320" w:hanging="360"/>
      </w:pPr>
      <w:rPr>
        <w:rFonts w:ascii="Wingdings" w:hAnsi="Wingdings" w:hint="default"/>
      </w:rPr>
    </w:lvl>
    <w:lvl w:ilvl="6" w:tplc="847E3542">
      <w:start w:val="1"/>
      <w:numFmt w:val="bullet"/>
      <w:lvlText w:val=""/>
      <w:lvlJc w:val="left"/>
      <w:pPr>
        <w:ind w:left="5040" w:hanging="360"/>
      </w:pPr>
      <w:rPr>
        <w:rFonts w:ascii="Symbol" w:hAnsi="Symbol" w:hint="default"/>
      </w:rPr>
    </w:lvl>
    <w:lvl w:ilvl="7" w:tplc="85EE956A">
      <w:start w:val="1"/>
      <w:numFmt w:val="bullet"/>
      <w:lvlText w:val="o"/>
      <w:lvlJc w:val="left"/>
      <w:pPr>
        <w:ind w:left="5760" w:hanging="360"/>
      </w:pPr>
      <w:rPr>
        <w:rFonts w:ascii="Courier New" w:hAnsi="Courier New" w:hint="default"/>
      </w:rPr>
    </w:lvl>
    <w:lvl w:ilvl="8" w:tplc="92646FCA">
      <w:start w:val="1"/>
      <w:numFmt w:val="bullet"/>
      <w:lvlText w:val=""/>
      <w:lvlJc w:val="left"/>
      <w:pPr>
        <w:ind w:left="6480" w:hanging="360"/>
      </w:pPr>
      <w:rPr>
        <w:rFonts w:ascii="Wingdings" w:hAnsi="Wingdings" w:hint="default"/>
      </w:rPr>
    </w:lvl>
  </w:abstractNum>
  <w:abstractNum w:abstractNumId="40" w15:restartNumberingAfterBreak="0">
    <w:nsid w:val="546A292F"/>
    <w:multiLevelType w:val="hybridMultilevel"/>
    <w:tmpl w:val="FFFFFFFF"/>
    <w:lvl w:ilvl="0" w:tplc="C3AC2E8E">
      <w:start w:val="1"/>
      <w:numFmt w:val="bullet"/>
      <w:lvlText w:val=""/>
      <w:lvlJc w:val="left"/>
      <w:pPr>
        <w:ind w:left="720" w:hanging="360"/>
      </w:pPr>
      <w:rPr>
        <w:rFonts w:ascii="Symbol" w:hAnsi="Symbol" w:hint="default"/>
      </w:rPr>
    </w:lvl>
    <w:lvl w:ilvl="1" w:tplc="8C24D7BA">
      <w:start w:val="1"/>
      <w:numFmt w:val="bullet"/>
      <w:lvlText w:val="o"/>
      <w:lvlJc w:val="left"/>
      <w:pPr>
        <w:ind w:left="1440" w:hanging="360"/>
      </w:pPr>
      <w:rPr>
        <w:rFonts w:ascii="Courier New" w:hAnsi="Courier New" w:hint="default"/>
      </w:rPr>
    </w:lvl>
    <w:lvl w:ilvl="2" w:tplc="7B3C2C92">
      <w:start w:val="1"/>
      <w:numFmt w:val="bullet"/>
      <w:lvlText w:val=""/>
      <w:lvlJc w:val="left"/>
      <w:pPr>
        <w:ind w:left="2160" w:hanging="360"/>
      </w:pPr>
      <w:rPr>
        <w:rFonts w:ascii="Wingdings" w:hAnsi="Wingdings" w:hint="default"/>
      </w:rPr>
    </w:lvl>
    <w:lvl w:ilvl="3" w:tplc="6430140E">
      <w:start w:val="1"/>
      <w:numFmt w:val="bullet"/>
      <w:lvlText w:val=""/>
      <w:lvlJc w:val="left"/>
      <w:pPr>
        <w:ind w:left="2880" w:hanging="360"/>
      </w:pPr>
      <w:rPr>
        <w:rFonts w:ascii="Symbol" w:hAnsi="Symbol" w:hint="default"/>
      </w:rPr>
    </w:lvl>
    <w:lvl w:ilvl="4" w:tplc="A7FE33F4">
      <w:start w:val="1"/>
      <w:numFmt w:val="bullet"/>
      <w:lvlText w:val="o"/>
      <w:lvlJc w:val="left"/>
      <w:pPr>
        <w:ind w:left="3600" w:hanging="360"/>
      </w:pPr>
      <w:rPr>
        <w:rFonts w:ascii="Courier New" w:hAnsi="Courier New" w:hint="default"/>
      </w:rPr>
    </w:lvl>
    <w:lvl w:ilvl="5" w:tplc="80BABE9E">
      <w:start w:val="1"/>
      <w:numFmt w:val="bullet"/>
      <w:lvlText w:val=""/>
      <w:lvlJc w:val="left"/>
      <w:pPr>
        <w:ind w:left="4320" w:hanging="360"/>
      </w:pPr>
      <w:rPr>
        <w:rFonts w:ascii="Wingdings" w:hAnsi="Wingdings" w:hint="default"/>
      </w:rPr>
    </w:lvl>
    <w:lvl w:ilvl="6" w:tplc="5A5E41F0">
      <w:start w:val="1"/>
      <w:numFmt w:val="bullet"/>
      <w:lvlText w:val=""/>
      <w:lvlJc w:val="left"/>
      <w:pPr>
        <w:ind w:left="5040" w:hanging="360"/>
      </w:pPr>
      <w:rPr>
        <w:rFonts w:ascii="Symbol" w:hAnsi="Symbol" w:hint="default"/>
      </w:rPr>
    </w:lvl>
    <w:lvl w:ilvl="7" w:tplc="17D6BD4E">
      <w:start w:val="1"/>
      <w:numFmt w:val="bullet"/>
      <w:lvlText w:val="o"/>
      <w:lvlJc w:val="left"/>
      <w:pPr>
        <w:ind w:left="5760" w:hanging="360"/>
      </w:pPr>
      <w:rPr>
        <w:rFonts w:ascii="Courier New" w:hAnsi="Courier New" w:hint="default"/>
      </w:rPr>
    </w:lvl>
    <w:lvl w:ilvl="8" w:tplc="D57A464E">
      <w:start w:val="1"/>
      <w:numFmt w:val="bullet"/>
      <w:lvlText w:val=""/>
      <w:lvlJc w:val="left"/>
      <w:pPr>
        <w:ind w:left="6480" w:hanging="360"/>
      </w:pPr>
      <w:rPr>
        <w:rFonts w:ascii="Wingdings" w:hAnsi="Wingdings" w:hint="default"/>
      </w:rPr>
    </w:lvl>
  </w:abstractNum>
  <w:abstractNum w:abstractNumId="41" w15:restartNumberingAfterBreak="0">
    <w:nsid w:val="551DD107"/>
    <w:multiLevelType w:val="hybridMultilevel"/>
    <w:tmpl w:val="FFFFFFFF"/>
    <w:lvl w:ilvl="0" w:tplc="E4540000">
      <w:start w:val="1"/>
      <w:numFmt w:val="bullet"/>
      <w:lvlText w:val=""/>
      <w:lvlJc w:val="left"/>
      <w:pPr>
        <w:ind w:left="720" w:hanging="360"/>
      </w:pPr>
      <w:rPr>
        <w:rFonts w:ascii="Symbol" w:hAnsi="Symbol" w:hint="default"/>
      </w:rPr>
    </w:lvl>
    <w:lvl w:ilvl="1" w:tplc="5A2A59B2">
      <w:start w:val="1"/>
      <w:numFmt w:val="bullet"/>
      <w:lvlText w:val="o"/>
      <w:lvlJc w:val="left"/>
      <w:pPr>
        <w:ind w:left="1440" w:hanging="360"/>
      </w:pPr>
      <w:rPr>
        <w:rFonts w:ascii="Courier New" w:hAnsi="Courier New" w:hint="default"/>
      </w:rPr>
    </w:lvl>
    <w:lvl w:ilvl="2" w:tplc="88C6BDE4">
      <w:start w:val="1"/>
      <w:numFmt w:val="bullet"/>
      <w:lvlText w:val=""/>
      <w:lvlJc w:val="left"/>
      <w:pPr>
        <w:ind w:left="2160" w:hanging="360"/>
      </w:pPr>
      <w:rPr>
        <w:rFonts w:ascii="Wingdings" w:hAnsi="Wingdings" w:hint="default"/>
      </w:rPr>
    </w:lvl>
    <w:lvl w:ilvl="3" w:tplc="762E2268">
      <w:start w:val="1"/>
      <w:numFmt w:val="bullet"/>
      <w:lvlText w:val=""/>
      <w:lvlJc w:val="left"/>
      <w:pPr>
        <w:ind w:left="2880" w:hanging="360"/>
      </w:pPr>
      <w:rPr>
        <w:rFonts w:ascii="Symbol" w:hAnsi="Symbol" w:hint="default"/>
      </w:rPr>
    </w:lvl>
    <w:lvl w:ilvl="4" w:tplc="3BD493EE">
      <w:start w:val="1"/>
      <w:numFmt w:val="bullet"/>
      <w:lvlText w:val="o"/>
      <w:lvlJc w:val="left"/>
      <w:pPr>
        <w:ind w:left="3600" w:hanging="360"/>
      </w:pPr>
      <w:rPr>
        <w:rFonts w:ascii="Courier New" w:hAnsi="Courier New" w:hint="default"/>
      </w:rPr>
    </w:lvl>
    <w:lvl w:ilvl="5" w:tplc="9C0C262A">
      <w:start w:val="1"/>
      <w:numFmt w:val="bullet"/>
      <w:lvlText w:val=""/>
      <w:lvlJc w:val="left"/>
      <w:pPr>
        <w:ind w:left="4320" w:hanging="360"/>
      </w:pPr>
      <w:rPr>
        <w:rFonts w:ascii="Wingdings" w:hAnsi="Wingdings" w:hint="default"/>
      </w:rPr>
    </w:lvl>
    <w:lvl w:ilvl="6" w:tplc="763A1E68">
      <w:start w:val="1"/>
      <w:numFmt w:val="bullet"/>
      <w:lvlText w:val=""/>
      <w:lvlJc w:val="left"/>
      <w:pPr>
        <w:ind w:left="5040" w:hanging="360"/>
      </w:pPr>
      <w:rPr>
        <w:rFonts w:ascii="Symbol" w:hAnsi="Symbol" w:hint="default"/>
      </w:rPr>
    </w:lvl>
    <w:lvl w:ilvl="7" w:tplc="00CE3328">
      <w:start w:val="1"/>
      <w:numFmt w:val="bullet"/>
      <w:lvlText w:val="o"/>
      <w:lvlJc w:val="left"/>
      <w:pPr>
        <w:ind w:left="5760" w:hanging="360"/>
      </w:pPr>
      <w:rPr>
        <w:rFonts w:ascii="Courier New" w:hAnsi="Courier New" w:hint="default"/>
      </w:rPr>
    </w:lvl>
    <w:lvl w:ilvl="8" w:tplc="02DAC090">
      <w:start w:val="1"/>
      <w:numFmt w:val="bullet"/>
      <w:lvlText w:val=""/>
      <w:lvlJc w:val="left"/>
      <w:pPr>
        <w:ind w:left="6480" w:hanging="360"/>
      </w:pPr>
      <w:rPr>
        <w:rFonts w:ascii="Wingdings" w:hAnsi="Wingdings" w:hint="default"/>
      </w:rPr>
    </w:lvl>
  </w:abstractNum>
  <w:abstractNum w:abstractNumId="42" w15:restartNumberingAfterBreak="0">
    <w:nsid w:val="55666184"/>
    <w:multiLevelType w:val="hybridMultilevel"/>
    <w:tmpl w:val="B6D242A8"/>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56B702D1"/>
    <w:multiLevelType w:val="hybridMultilevel"/>
    <w:tmpl w:val="7DC0C6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56EA333D"/>
    <w:multiLevelType w:val="hybridMultilevel"/>
    <w:tmpl w:val="FFFFFFFF"/>
    <w:lvl w:ilvl="0" w:tplc="FB860824">
      <w:start w:val="1"/>
      <w:numFmt w:val="bullet"/>
      <w:lvlText w:val=""/>
      <w:lvlJc w:val="left"/>
      <w:pPr>
        <w:ind w:left="720" w:hanging="360"/>
      </w:pPr>
      <w:rPr>
        <w:rFonts w:ascii="Symbol" w:hAnsi="Symbol" w:hint="default"/>
      </w:rPr>
    </w:lvl>
    <w:lvl w:ilvl="1" w:tplc="C1568348">
      <w:start w:val="1"/>
      <w:numFmt w:val="bullet"/>
      <w:lvlText w:val="o"/>
      <w:lvlJc w:val="left"/>
      <w:pPr>
        <w:ind w:left="1440" w:hanging="360"/>
      </w:pPr>
      <w:rPr>
        <w:rFonts w:ascii="Courier New" w:hAnsi="Courier New" w:hint="default"/>
      </w:rPr>
    </w:lvl>
    <w:lvl w:ilvl="2" w:tplc="D97CF812">
      <w:start w:val="1"/>
      <w:numFmt w:val="bullet"/>
      <w:lvlText w:val=""/>
      <w:lvlJc w:val="left"/>
      <w:pPr>
        <w:ind w:left="2160" w:hanging="360"/>
      </w:pPr>
      <w:rPr>
        <w:rFonts w:ascii="Wingdings" w:hAnsi="Wingdings" w:hint="default"/>
      </w:rPr>
    </w:lvl>
    <w:lvl w:ilvl="3" w:tplc="56C408F0">
      <w:start w:val="1"/>
      <w:numFmt w:val="bullet"/>
      <w:lvlText w:val=""/>
      <w:lvlJc w:val="left"/>
      <w:pPr>
        <w:ind w:left="2880" w:hanging="360"/>
      </w:pPr>
      <w:rPr>
        <w:rFonts w:ascii="Symbol" w:hAnsi="Symbol" w:hint="default"/>
      </w:rPr>
    </w:lvl>
    <w:lvl w:ilvl="4" w:tplc="3E4671C2">
      <w:start w:val="1"/>
      <w:numFmt w:val="bullet"/>
      <w:lvlText w:val="o"/>
      <w:lvlJc w:val="left"/>
      <w:pPr>
        <w:ind w:left="3600" w:hanging="360"/>
      </w:pPr>
      <w:rPr>
        <w:rFonts w:ascii="Courier New" w:hAnsi="Courier New" w:hint="default"/>
      </w:rPr>
    </w:lvl>
    <w:lvl w:ilvl="5" w:tplc="C1183526">
      <w:start w:val="1"/>
      <w:numFmt w:val="bullet"/>
      <w:lvlText w:val=""/>
      <w:lvlJc w:val="left"/>
      <w:pPr>
        <w:ind w:left="4320" w:hanging="360"/>
      </w:pPr>
      <w:rPr>
        <w:rFonts w:ascii="Wingdings" w:hAnsi="Wingdings" w:hint="default"/>
      </w:rPr>
    </w:lvl>
    <w:lvl w:ilvl="6" w:tplc="844003C8">
      <w:start w:val="1"/>
      <w:numFmt w:val="bullet"/>
      <w:lvlText w:val=""/>
      <w:lvlJc w:val="left"/>
      <w:pPr>
        <w:ind w:left="5040" w:hanging="360"/>
      </w:pPr>
      <w:rPr>
        <w:rFonts w:ascii="Symbol" w:hAnsi="Symbol" w:hint="default"/>
      </w:rPr>
    </w:lvl>
    <w:lvl w:ilvl="7" w:tplc="8B468B96">
      <w:start w:val="1"/>
      <w:numFmt w:val="bullet"/>
      <w:lvlText w:val="o"/>
      <w:lvlJc w:val="left"/>
      <w:pPr>
        <w:ind w:left="5760" w:hanging="360"/>
      </w:pPr>
      <w:rPr>
        <w:rFonts w:ascii="Courier New" w:hAnsi="Courier New" w:hint="default"/>
      </w:rPr>
    </w:lvl>
    <w:lvl w:ilvl="8" w:tplc="5BF2DC32">
      <w:start w:val="1"/>
      <w:numFmt w:val="bullet"/>
      <w:lvlText w:val=""/>
      <w:lvlJc w:val="left"/>
      <w:pPr>
        <w:ind w:left="6480" w:hanging="360"/>
      </w:pPr>
      <w:rPr>
        <w:rFonts w:ascii="Wingdings" w:hAnsi="Wingdings" w:hint="default"/>
      </w:rPr>
    </w:lvl>
  </w:abstractNum>
  <w:abstractNum w:abstractNumId="45" w15:restartNumberingAfterBreak="0">
    <w:nsid w:val="5C2495EC"/>
    <w:multiLevelType w:val="hybridMultilevel"/>
    <w:tmpl w:val="FFFFFFFF"/>
    <w:lvl w:ilvl="0" w:tplc="C49289C2">
      <w:start w:val="1"/>
      <w:numFmt w:val="bullet"/>
      <w:lvlText w:val=""/>
      <w:lvlJc w:val="left"/>
      <w:pPr>
        <w:ind w:left="720" w:hanging="360"/>
      </w:pPr>
      <w:rPr>
        <w:rFonts w:ascii="Symbol" w:hAnsi="Symbol" w:hint="default"/>
      </w:rPr>
    </w:lvl>
    <w:lvl w:ilvl="1" w:tplc="5F28EB6E">
      <w:start w:val="1"/>
      <w:numFmt w:val="bullet"/>
      <w:lvlText w:val="o"/>
      <w:lvlJc w:val="left"/>
      <w:pPr>
        <w:ind w:left="1440" w:hanging="360"/>
      </w:pPr>
      <w:rPr>
        <w:rFonts w:ascii="Courier New" w:hAnsi="Courier New" w:hint="default"/>
      </w:rPr>
    </w:lvl>
    <w:lvl w:ilvl="2" w:tplc="5C34BF58">
      <w:start w:val="1"/>
      <w:numFmt w:val="bullet"/>
      <w:lvlText w:val=""/>
      <w:lvlJc w:val="left"/>
      <w:pPr>
        <w:ind w:left="2160" w:hanging="360"/>
      </w:pPr>
      <w:rPr>
        <w:rFonts w:ascii="Wingdings" w:hAnsi="Wingdings" w:hint="default"/>
      </w:rPr>
    </w:lvl>
    <w:lvl w:ilvl="3" w:tplc="29F4E2BA">
      <w:start w:val="1"/>
      <w:numFmt w:val="bullet"/>
      <w:lvlText w:val=""/>
      <w:lvlJc w:val="left"/>
      <w:pPr>
        <w:ind w:left="2880" w:hanging="360"/>
      </w:pPr>
      <w:rPr>
        <w:rFonts w:ascii="Symbol" w:hAnsi="Symbol" w:hint="default"/>
      </w:rPr>
    </w:lvl>
    <w:lvl w:ilvl="4" w:tplc="773E1782">
      <w:start w:val="1"/>
      <w:numFmt w:val="bullet"/>
      <w:lvlText w:val="o"/>
      <w:lvlJc w:val="left"/>
      <w:pPr>
        <w:ind w:left="3600" w:hanging="360"/>
      </w:pPr>
      <w:rPr>
        <w:rFonts w:ascii="Courier New" w:hAnsi="Courier New" w:hint="default"/>
      </w:rPr>
    </w:lvl>
    <w:lvl w:ilvl="5" w:tplc="5F0244E2">
      <w:start w:val="1"/>
      <w:numFmt w:val="bullet"/>
      <w:lvlText w:val=""/>
      <w:lvlJc w:val="left"/>
      <w:pPr>
        <w:ind w:left="4320" w:hanging="360"/>
      </w:pPr>
      <w:rPr>
        <w:rFonts w:ascii="Wingdings" w:hAnsi="Wingdings" w:hint="default"/>
      </w:rPr>
    </w:lvl>
    <w:lvl w:ilvl="6" w:tplc="1D6E5C9E">
      <w:start w:val="1"/>
      <w:numFmt w:val="bullet"/>
      <w:lvlText w:val=""/>
      <w:lvlJc w:val="left"/>
      <w:pPr>
        <w:ind w:left="5040" w:hanging="360"/>
      </w:pPr>
      <w:rPr>
        <w:rFonts w:ascii="Symbol" w:hAnsi="Symbol" w:hint="default"/>
      </w:rPr>
    </w:lvl>
    <w:lvl w:ilvl="7" w:tplc="90B618A0">
      <w:start w:val="1"/>
      <w:numFmt w:val="bullet"/>
      <w:lvlText w:val="o"/>
      <w:lvlJc w:val="left"/>
      <w:pPr>
        <w:ind w:left="5760" w:hanging="360"/>
      </w:pPr>
      <w:rPr>
        <w:rFonts w:ascii="Courier New" w:hAnsi="Courier New" w:hint="default"/>
      </w:rPr>
    </w:lvl>
    <w:lvl w:ilvl="8" w:tplc="1906805E">
      <w:start w:val="1"/>
      <w:numFmt w:val="bullet"/>
      <w:lvlText w:val=""/>
      <w:lvlJc w:val="left"/>
      <w:pPr>
        <w:ind w:left="6480" w:hanging="360"/>
      </w:pPr>
      <w:rPr>
        <w:rFonts w:ascii="Wingdings" w:hAnsi="Wingdings" w:hint="default"/>
      </w:rPr>
    </w:lvl>
  </w:abstractNum>
  <w:abstractNum w:abstractNumId="46" w15:restartNumberingAfterBreak="0">
    <w:nsid w:val="5DB5335A"/>
    <w:multiLevelType w:val="hybridMultilevel"/>
    <w:tmpl w:val="8CF286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5663CC5"/>
    <w:multiLevelType w:val="hybridMultilevel"/>
    <w:tmpl w:val="89168998"/>
    <w:lvl w:ilvl="0" w:tplc="F2322D3C">
      <w:start w:val="1"/>
      <w:numFmt w:val="decimal"/>
      <w:lvlText w:val="(%1)"/>
      <w:lvlJc w:val="left"/>
      <w:pPr>
        <w:ind w:left="720" w:hanging="360"/>
      </w:pPr>
      <w:rPr>
        <w:rFonts w:ascii="Times New Roman" w:hAnsi="Times New Roman" w:cs="Times New Roman" w:hint="default"/>
        <w:b w:val="0"/>
        <w:bCs w:val="0"/>
        <w:sz w:val="24"/>
        <w:szCs w:val="24"/>
      </w:rPr>
    </w:lvl>
    <w:lvl w:ilvl="1" w:tplc="BF941196">
      <w:start w:val="1"/>
      <w:numFmt w:val="lowerLetter"/>
      <w:lvlText w:val="%2."/>
      <w:lvlJc w:val="left"/>
      <w:pPr>
        <w:ind w:left="1440" w:hanging="360"/>
      </w:pPr>
      <w:rPr>
        <w:b w:val="0"/>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56C3C77"/>
    <w:multiLevelType w:val="hybridMultilevel"/>
    <w:tmpl w:val="FFFFFFFF"/>
    <w:lvl w:ilvl="0" w:tplc="78BEB690">
      <w:start w:val="1"/>
      <w:numFmt w:val="bullet"/>
      <w:lvlText w:val=""/>
      <w:lvlJc w:val="left"/>
      <w:pPr>
        <w:ind w:left="720" w:hanging="360"/>
      </w:pPr>
      <w:rPr>
        <w:rFonts w:ascii="Symbol" w:hAnsi="Symbol" w:hint="default"/>
      </w:rPr>
    </w:lvl>
    <w:lvl w:ilvl="1" w:tplc="5AAC13E0">
      <w:start w:val="1"/>
      <w:numFmt w:val="bullet"/>
      <w:lvlText w:val="o"/>
      <w:lvlJc w:val="left"/>
      <w:pPr>
        <w:ind w:left="1440" w:hanging="360"/>
      </w:pPr>
      <w:rPr>
        <w:rFonts w:ascii="Courier New" w:hAnsi="Courier New" w:hint="default"/>
      </w:rPr>
    </w:lvl>
    <w:lvl w:ilvl="2" w:tplc="E08C0A56">
      <w:start w:val="1"/>
      <w:numFmt w:val="bullet"/>
      <w:lvlText w:val=""/>
      <w:lvlJc w:val="left"/>
      <w:pPr>
        <w:ind w:left="2160" w:hanging="360"/>
      </w:pPr>
      <w:rPr>
        <w:rFonts w:ascii="Wingdings" w:hAnsi="Wingdings" w:hint="default"/>
      </w:rPr>
    </w:lvl>
    <w:lvl w:ilvl="3" w:tplc="F3386160">
      <w:start w:val="1"/>
      <w:numFmt w:val="bullet"/>
      <w:lvlText w:val=""/>
      <w:lvlJc w:val="left"/>
      <w:pPr>
        <w:ind w:left="2880" w:hanging="360"/>
      </w:pPr>
      <w:rPr>
        <w:rFonts w:ascii="Symbol" w:hAnsi="Symbol" w:hint="default"/>
      </w:rPr>
    </w:lvl>
    <w:lvl w:ilvl="4" w:tplc="1C4877B6">
      <w:start w:val="1"/>
      <w:numFmt w:val="bullet"/>
      <w:lvlText w:val="o"/>
      <w:lvlJc w:val="left"/>
      <w:pPr>
        <w:ind w:left="3600" w:hanging="360"/>
      </w:pPr>
      <w:rPr>
        <w:rFonts w:ascii="Courier New" w:hAnsi="Courier New" w:hint="default"/>
      </w:rPr>
    </w:lvl>
    <w:lvl w:ilvl="5" w:tplc="EBA82D2E">
      <w:start w:val="1"/>
      <w:numFmt w:val="bullet"/>
      <w:lvlText w:val=""/>
      <w:lvlJc w:val="left"/>
      <w:pPr>
        <w:ind w:left="4320" w:hanging="360"/>
      </w:pPr>
      <w:rPr>
        <w:rFonts w:ascii="Wingdings" w:hAnsi="Wingdings" w:hint="default"/>
      </w:rPr>
    </w:lvl>
    <w:lvl w:ilvl="6" w:tplc="C636B258">
      <w:start w:val="1"/>
      <w:numFmt w:val="bullet"/>
      <w:lvlText w:val=""/>
      <w:lvlJc w:val="left"/>
      <w:pPr>
        <w:ind w:left="5040" w:hanging="360"/>
      </w:pPr>
      <w:rPr>
        <w:rFonts w:ascii="Symbol" w:hAnsi="Symbol" w:hint="default"/>
      </w:rPr>
    </w:lvl>
    <w:lvl w:ilvl="7" w:tplc="794CD084">
      <w:start w:val="1"/>
      <w:numFmt w:val="bullet"/>
      <w:lvlText w:val="o"/>
      <w:lvlJc w:val="left"/>
      <w:pPr>
        <w:ind w:left="5760" w:hanging="360"/>
      </w:pPr>
      <w:rPr>
        <w:rFonts w:ascii="Courier New" w:hAnsi="Courier New" w:hint="default"/>
      </w:rPr>
    </w:lvl>
    <w:lvl w:ilvl="8" w:tplc="D70CA690">
      <w:start w:val="1"/>
      <w:numFmt w:val="bullet"/>
      <w:lvlText w:val=""/>
      <w:lvlJc w:val="left"/>
      <w:pPr>
        <w:ind w:left="6480" w:hanging="360"/>
      </w:pPr>
      <w:rPr>
        <w:rFonts w:ascii="Wingdings" w:hAnsi="Wingdings" w:hint="default"/>
      </w:rPr>
    </w:lvl>
  </w:abstractNum>
  <w:abstractNum w:abstractNumId="49" w15:restartNumberingAfterBreak="0">
    <w:nsid w:val="658D4995"/>
    <w:multiLevelType w:val="hybridMultilevel"/>
    <w:tmpl w:val="FFFFFFFF"/>
    <w:lvl w:ilvl="0" w:tplc="13EA4832">
      <w:start w:val="1"/>
      <w:numFmt w:val="bullet"/>
      <w:lvlText w:val=""/>
      <w:lvlJc w:val="left"/>
      <w:pPr>
        <w:ind w:left="720" w:hanging="360"/>
      </w:pPr>
      <w:rPr>
        <w:rFonts w:ascii="Symbol" w:hAnsi="Symbol" w:hint="default"/>
      </w:rPr>
    </w:lvl>
    <w:lvl w:ilvl="1" w:tplc="0EDC6A7C">
      <w:start w:val="1"/>
      <w:numFmt w:val="bullet"/>
      <w:lvlText w:val="o"/>
      <w:lvlJc w:val="left"/>
      <w:pPr>
        <w:ind w:left="1440" w:hanging="360"/>
      </w:pPr>
      <w:rPr>
        <w:rFonts w:ascii="Courier New" w:hAnsi="Courier New" w:hint="default"/>
      </w:rPr>
    </w:lvl>
    <w:lvl w:ilvl="2" w:tplc="6FD231F2">
      <w:start w:val="1"/>
      <w:numFmt w:val="bullet"/>
      <w:lvlText w:val=""/>
      <w:lvlJc w:val="left"/>
      <w:pPr>
        <w:ind w:left="2160" w:hanging="360"/>
      </w:pPr>
      <w:rPr>
        <w:rFonts w:ascii="Wingdings" w:hAnsi="Wingdings" w:hint="default"/>
      </w:rPr>
    </w:lvl>
    <w:lvl w:ilvl="3" w:tplc="71764FB8">
      <w:start w:val="1"/>
      <w:numFmt w:val="bullet"/>
      <w:lvlText w:val=""/>
      <w:lvlJc w:val="left"/>
      <w:pPr>
        <w:ind w:left="2880" w:hanging="360"/>
      </w:pPr>
      <w:rPr>
        <w:rFonts w:ascii="Symbol" w:hAnsi="Symbol" w:hint="default"/>
      </w:rPr>
    </w:lvl>
    <w:lvl w:ilvl="4" w:tplc="C29ECD0E">
      <w:start w:val="1"/>
      <w:numFmt w:val="bullet"/>
      <w:lvlText w:val="o"/>
      <w:lvlJc w:val="left"/>
      <w:pPr>
        <w:ind w:left="3600" w:hanging="360"/>
      </w:pPr>
      <w:rPr>
        <w:rFonts w:ascii="Courier New" w:hAnsi="Courier New" w:hint="default"/>
      </w:rPr>
    </w:lvl>
    <w:lvl w:ilvl="5" w:tplc="280E2B20">
      <w:start w:val="1"/>
      <w:numFmt w:val="bullet"/>
      <w:lvlText w:val=""/>
      <w:lvlJc w:val="left"/>
      <w:pPr>
        <w:ind w:left="4320" w:hanging="360"/>
      </w:pPr>
      <w:rPr>
        <w:rFonts w:ascii="Wingdings" w:hAnsi="Wingdings" w:hint="default"/>
      </w:rPr>
    </w:lvl>
    <w:lvl w:ilvl="6" w:tplc="B6AC5FAA">
      <w:start w:val="1"/>
      <w:numFmt w:val="bullet"/>
      <w:lvlText w:val=""/>
      <w:lvlJc w:val="left"/>
      <w:pPr>
        <w:ind w:left="5040" w:hanging="360"/>
      </w:pPr>
      <w:rPr>
        <w:rFonts w:ascii="Symbol" w:hAnsi="Symbol" w:hint="default"/>
      </w:rPr>
    </w:lvl>
    <w:lvl w:ilvl="7" w:tplc="6B7A942A">
      <w:start w:val="1"/>
      <w:numFmt w:val="bullet"/>
      <w:lvlText w:val="o"/>
      <w:lvlJc w:val="left"/>
      <w:pPr>
        <w:ind w:left="5760" w:hanging="360"/>
      </w:pPr>
      <w:rPr>
        <w:rFonts w:ascii="Courier New" w:hAnsi="Courier New" w:hint="default"/>
      </w:rPr>
    </w:lvl>
    <w:lvl w:ilvl="8" w:tplc="860C2244">
      <w:start w:val="1"/>
      <w:numFmt w:val="bullet"/>
      <w:lvlText w:val=""/>
      <w:lvlJc w:val="left"/>
      <w:pPr>
        <w:ind w:left="6480" w:hanging="360"/>
      </w:pPr>
      <w:rPr>
        <w:rFonts w:ascii="Wingdings" w:hAnsi="Wingdings" w:hint="default"/>
      </w:rPr>
    </w:lvl>
  </w:abstractNum>
  <w:abstractNum w:abstractNumId="50" w15:restartNumberingAfterBreak="0">
    <w:nsid w:val="676995DD"/>
    <w:multiLevelType w:val="hybridMultilevel"/>
    <w:tmpl w:val="FFFFFFFF"/>
    <w:lvl w:ilvl="0" w:tplc="B936CCCA">
      <w:start w:val="1"/>
      <w:numFmt w:val="bullet"/>
      <w:lvlText w:val=""/>
      <w:lvlJc w:val="left"/>
      <w:pPr>
        <w:ind w:left="720" w:hanging="360"/>
      </w:pPr>
      <w:rPr>
        <w:rFonts w:ascii="Symbol" w:hAnsi="Symbol" w:hint="default"/>
      </w:rPr>
    </w:lvl>
    <w:lvl w:ilvl="1" w:tplc="0BAAF8B4">
      <w:start w:val="1"/>
      <w:numFmt w:val="bullet"/>
      <w:lvlText w:val="o"/>
      <w:lvlJc w:val="left"/>
      <w:pPr>
        <w:ind w:left="1440" w:hanging="360"/>
      </w:pPr>
      <w:rPr>
        <w:rFonts w:ascii="Courier New" w:hAnsi="Courier New" w:hint="default"/>
      </w:rPr>
    </w:lvl>
    <w:lvl w:ilvl="2" w:tplc="DB3047AC">
      <w:start w:val="1"/>
      <w:numFmt w:val="bullet"/>
      <w:lvlText w:val=""/>
      <w:lvlJc w:val="left"/>
      <w:pPr>
        <w:ind w:left="2160" w:hanging="360"/>
      </w:pPr>
      <w:rPr>
        <w:rFonts w:ascii="Wingdings" w:hAnsi="Wingdings" w:hint="default"/>
      </w:rPr>
    </w:lvl>
    <w:lvl w:ilvl="3" w:tplc="08888E24">
      <w:start w:val="1"/>
      <w:numFmt w:val="bullet"/>
      <w:lvlText w:val=""/>
      <w:lvlJc w:val="left"/>
      <w:pPr>
        <w:ind w:left="2880" w:hanging="360"/>
      </w:pPr>
      <w:rPr>
        <w:rFonts w:ascii="Symbol" w:hAnsi="Symbol" w:hint="default"/>
      </w:rPr>
    </w:lvl>
    <w:lvl w:ilvl="4" w:tplc="846205F6">
      <w:start w:val="1"/>
      <w:numFmt w:val="bullet"/>
      <w:lvlText w:val="o"/>
      <w:lvlJc w:val="left"/>
      <w:pPr>
        <w:ind w:left="3600" w:hanging="360"/>
      </w:pPr>
      <w:rPr>
        <w:rFonts w:ascii="Courier New" w:hAnsi="Courier New" w:hint="default"/>
      </w:rPr>
    </w:lvl>
    <w:lvl w:ilvl="5" w:tplc="0C2410A4">
      <w:start w:val="1"/>
      <w:numFmt w:val="bullet"/>
      <w:lvlText w:val=""/>
      <w:lvlJc w:val="left"/>
      <w:pPr>
        <w:ind w:left="4320" w:hanging="360"/>
      </w:pPr>
      <w:rPr>
        <w:rFonts w:ascii="Wingdings" w:hAnsi="Wingdings" w:hint="default"/>
      </w:rPr>
    </w:lvl>
    <w:lvl w:ilvl="6" w:tplc="E1784A4A">
      <w:start w:val="1"/>
      <w:numFmt w:val="bullet"/>
      <w:lvlText w:val=""/>
      <w:lvlJc w:val="left"/>
      <w:pPr>
        <w:ind w:left="5040" w:hanging="360"/>
      </w:pPr>
      <w:rPr>
        <w:rFonts w:ascii="Symbol" w:hAnsi="Symbol" w:hint="default"/>
      </w:rPr>
    </w:lvl>
    <w:lvl w:ilvl="7" w:tplc="73CCE198">
      <w:start w:val="1"/>
      <w:numFmt w:val="bullet"/>
      <w:lvlText w:val="o"/>
      <w:lvlJc w:val="left"/>
      <w:pPr>
        <w:ind w:left="5760" w:hanging="360"/>
      </w:pPr>
      <w:rPr>
        <w:rFonts w:ascii="Courier New" w:hAnsi="Courier New" w:hint="default"/>
      </w:rPr>
    </w:lvl>
    <w:lvl w:ilvl="8" w:tplc="02A60930">
      <w:start w:val="1"/>
      <w:numFmt w:val="bullet"/>
      <w:lvlText w:val=""/>
      <w:lvlJc w:val="left"/>
      <w:pPr>
        <w:ind w:left="6480" w:hanging="360"/>
      </w:pPr>
      <w:rPr>
        <w:rFonts w:ascii="Wingdings" w:hAnsi="Wingdings" w:hint="default"/>
      </w:rPr>
    </w:lvl>
  </w:abstractNum>
  <w:abstractNum w:abstractNumId="51" w15:restartNumberingAfterBreak="0">
    <w:nsid w:val="691B86E2"/>
    <w:multiLevelType w:val="hybridMultilevel"/>
    <w:tmpl w:val="FFFFFFFF"/>
    <w:lvl w:ilvl="0" w:tplc="816CAFC8">
      <w:start w:val="1"/>
      <w:numFmt w:val="bullet"/>
      <w:lvlText w:val=""/>
      <w:lvlJc w:val="left"/>
      <w:pPr>
        <w:ind w:left="720" w:hanging="360"/>
      </w:pPr>
      <w:rPr>
        <w:rFonts w:ascii="Symbol" w:hAnsi="Symbol" w:hint="default"/>
      </w:rPr>
    </w:lvl>
    <w:lvl w:ilvl="1" w:tplc="01A2E9DE">
      <w:start w:val="1"/>
      <w:numFmt w:val="bullet"/>
      <w:lvlText w:val="o"/>
      <w:lvlJc w:val="left"/>
      <w:pPr>
        <w:ind w:left="1440" w:hanging="360"/>
      </w:pPr>
      <w:rPr>
        <w:rFonts w:ascii="Courier New" w:hAnsi="Courier New" w:hint="default"/>
      </w:rPr>
    </w:lvl>
    <w:lvl w:ilvl="2" w:tplc="9DB82C36">
      <w:start w:val="1"/>
      <w:numFmt w:val="bullet"/>
      <w:lvlText w:val=""/>
      <w:lvlJc w:val="left"/>
      <w:pPr>
        <w:ind w:left="2160" w:hanging="360"/>
      </w:pPr>
      <w:rPr>
        <w:rFonts w:ascii="Wingdings" w:hAnsi="Wingdings" w:hint="default"/>
      </w:rPr>
    </w:lvl>
    <w:lvl w:ilvl="3" w:tplc="74348570">
      <w:start w:val="1"/>
      <w:numFmt w:val="bullet"/>
      <w:lvlText w:val=""/>
      <w:lvlJc w:val="left"/>
      <w:pPr>
        <w:ind w:left="2880" w:hanging="360"/>
      </w:pPr>
      <w:rPr>
        <w:rFonts w:ascii="Symbol" w:hAnsi="Symbol" w:hint="default"/>
      </w:rPr>
    </w:lvl>
    <w:lvl w:ilvl="4" w:tplc="916EBCF6">
      <w:start w:val="1"/>
      <w:numFmt w:val="bullet"/>
      <w:lvlText w:val="o"/>
      <w:lvlJc w:val="left"/>
      <w:pPr>
        <w:ind w:left="3600" w:hanging="360"/>
      </w:pPr>
      <w:rPr>
        <w:rFonts w:ascii="Courier New" w:hAnsi="Courier New" w:hint="default"/>
      </w:rPr>
    </w:lvl>
    <w:lvl w:ilvl="5" w:tplc="9DD43B88">
      <w:start w:val="1"/>
      <w:numFmt w:val="bullet"/>
      <w:lvlText w:val=""/>
      <w:lvlJc w:val="left"/>
      <w:pPr>
        <w:ind w:left="4320" w:hanging="360"/>
      </w:pPr>
      <w:rPr>
        <w:rFonts w:ascii="Wingdings" w:hAnsi="Wingdings" w:hint="default"/>
      </w:rPr>
    </w:lvl>
    <w:lvl w:ilvl="6" w:tplc="211A4130">
      <w:start w:val="1"/>
      <w:numFmt w:val="bullet"/>
      <w:lvlText w:val=""/>
      <w:lvlJc w:val="left"/>
      <w:pPr>
        <w:ind w:left="5040" w:hanging="360"/>
      </w:pPr>
      <w:rPr>
        <w:rFonts w:ascii="Symbol" w:hAnsi="Symbol" w:hint="default"/>
      </w:rPr>
    </w:lvl>
    <w:lvl w:ilvl="7" w:tplc="53FA1CAA">
      <w:start w:val="1"/>
      <w:numFmt w:val="bullet"/>
      <w:lvlText w:val="o"/>
      <w:lvlJc w:val="left"/>
      <w:pPr>
        <w:ind w:left="5760" w:hanging="360"/>
      </w:pPr>
      <w:rPr>
        <w:rFonts w:ascii="Courier New" w:hAnsi="Courier New" w:hint="default"/>
      </w:rPr>
    </w:lvl>
    <w:lvl w:ilvl="8" w:tplc="FCEC9C9E">
      <w:start w:val="1"/>
      <w:numFmt w:val="bullet"/>
      <w:lvlText w:val=""/>
      <w:lvlJc w:val="left"/>
      <w:pPr>
        <w:ind w:left="6480" w:hanging="360"/>
      </w:pPr>
      <w:rPr>
        <w:rFonts w:ascii="Wingdings" w:hAnsi="Wingdings" w:hint="default"/>
      </w:rPr>
    </w:lvl>
  </w:abstractNum>
  <w:abstractNum w:abstractNumId="52" w15:restartNumberingAfterBreak="0">
    <w:nsid w:val="6972A04A"/>
    <w:multiLevelType w:val="hybridMultilevel"/>
    <w:tmpl w:val="FFFFFFFF"/>
    <w:lvl w:ilvl="0" w:tplc="26E0C28A">
      <w:start w:val="1"/>
      <w:numFmt w:val="bullet"/>
      <w:lvlText w:val=""/>
      <w:lvlJc w:val="left"/>
      <w:pPr>
        <w:ind w:left="720" w:hanging="360"/>
      </w:pPr>
      <w:rPr>
        <w:rFonts w:ascii="Symbol" w:hAnsi="Symbol" w:hint="default"/>
      </w:rPr>
    </w:lvl>
    <w:lvl w:ilvl="1" w:tplc="AABC6F44">
      <w:start w:val="1"/>
      <w:numFmt w:val="bullet"/>
      <w:lvlText w:val="o"/>
      <w:lvlJc w:val="left"/>
      <w:pPr>
        <w:ind w:left="1440" w:hanging="360"/>
      </w:pPr>
      <w:rPr>
        <w:rFonts w:ascii="Courier New" w:hAnsi="Courier New" w:hint="default"/>
      </w:rPr>
    </w:lvl>
    <w:lvl w:ilvl="2" w:tplc="F1FE4744">
      <w:start w:val="1"/>
      <w:numFmt w:val="bullet"/>
      <w:lvlText w:val=""/>
      <w:lvlJc w:val="left"/>
      <w:pPr>
        <w:ind w:left="2160" w:hanging="360"/>
      </w:pPr>
      <w:rPr>
        <w:rFonts w:ascii="Wingdings" w:hAnsi="Wingdings" w:hint="default"/>
      </w:rPr>
    </w:lvl>
    <w:lvl w:ilvl="3" w:tplc="89D42734">
      <w:start w:val="1"/>
      <w:numFmt w:val="bullet"/>
      <w:lvlText w:val=""/>
      <w:lvlJc w:val="left"/>
      <w:pPr>
        <w:ind w:left="2880" w:hanging="360"/>
      </w:pPr>
      <w:rPr>
        <w:rFonts w:ascii="Symbol" w:hAnsi="Symbol" w:hint="default"/>
      </w:rPr>
    </w:lvl>
    <w:lvl w:ilvl="4" w:tplc="52B43B60">
      <w:start w:val="1"/>
      <w:numFmt w:val="bullet"/>
      <w:lvlText w:val="o"/>
      <w:lvlJc w:val="left"/>
      <w:pPr>
        <w:ind w:left="3600" w:hanging="360"/>
      </w:pPr>
      <w:rPr>
        <w:rFonts w:ascii="Courier New" w:hAnsi="Courier New" w:hint="default"/>
      </w:rPr>
    </w:lvl>
    <w:lvl w:ilvl="5" w:tplc="34029AE6">
      <w:start w:val="1"/>
      <w:numFmt w:val="bullet"/>
      <w:lvlText w:val=""/>
      <w:lvlJc w:val="left"/>
      <w:pPr>
        <w:ind w:left="4320" w:hanging="360"/>
      </w:pPr>
      <w:rPr>
        <w:rFonts w:ascii="Wingdings" w:hAnsi="Wingdings" w:hint="default"/>
      </w:rPr>
    </w:lvl>
    <w:lvl w:ilvl="6" w:tplc="FE26BC16">
      <w:start w:val="1"/>
      <w:numFmt w:val="bullet"/>
      <w:lvlText w:val=""/>
      <w:lvlJc w:val="left"/>
      <w:pPr>
        <w:ind w:left="5040" w:hanging="360"/>
      </w:pPr>
      <w:rPr>
        <w:rFonts w:ascii="Symbol" w:hAnsi="Symbol" w:hint="default"/>
      </w:rPr>
    </w:lvl>
    <w:lvl w:ilvl="7" w:tplc="07B644D0">
      <w:start w:val="1"/>
      <w:numFmt w:val="bullet"/>
      <w:lvlText w:val="o"/>
      <w:lvlJc w:val="left"/>
      <w:pPr>
        <w:ind w:left="5760" w:hanging="360"/>
      </w:pPr>
      <w:rPr>
        <w:rFonts w:ascii="Courier New" w:hAnsi="Courier New" w:hint="default"/>
      </w:rPr>
    </w:lvl>
    <w:lvl w:ilvl="8" w:tplc="63483064">
      <w:start w:val="1"/>
      <w:numFmt w:val="bullet"/>
      <w:lvlText w:val=""/>
      <w:lvlJc w:val="left"/>
      <w:pPr>
        <w:ind w:left="6480" w:hanging="360"/>
      </w:pPr>
      <w:rPr>
        <w:rFonts w:ascii="Wingdings" w:hAnsi="Wingdings" w:hint="default"/>
      </w:rPr>
    </w:lvl>
  </w:abstractNum>
  <w:abstractNum w:abstractNumId="53" w15:restartNumberingAfterBreak="0">
    <w:nsid w:val="6999D13A"/>
    <w:multiLevelType w:val="hybridMultilevel"/>
    <w:tmpl w:val="FFFFFFFF"/>
    <w:lvl w:ilvl="0" w:tplc="AC76CAD0">
      <w:start w:val="1"/>
      <w:numFmt w:val="bullet"/>
      <w:lvlText w:val=""/>
      <w:lvlJc w:val="left"/>
      <w:pPr>
        <w:ind w:left="720" w:hanging="360"/>
      </w:pPr>
      <w:rPr>
        <w:rFonts w:ascii="Symbol" w:hAnsi="Symbol" w:hint="default"/>
      </w:rPr>
    </w:lvl>
    <w:lvl w:ilvl="1" w:tplc="013EF604">
      <w:start w:val="1"/>
      <w:numFmt w:val="bullet"/>
      <w:lvlText w:val="o"/>
      <w:lvlJc w:val="left"/>
      <w:pPr>
        <w:ind w:left="1440" w:hanging="360"/>
      </w:pPr>
      <w:rPr>
        <w:rFonts w:ascii="Courier New" w:hAnsi="Courier New" w:hint="default"/>
      </w:rPr>
    </w:lvl>
    <w:lvl w:ilvl="2" w:tplc="B54257F2">
      <w:start w:val="1"/>
      <w:numFmt w:val="bullet"/>
      <w:lvlText w:val=""/>
      <w:lvlJc w:val="left"/>
      <w:pPr>
        <w:ind w:left="2160" w:hanging="360"/>
      </w:pPr>
      <w:rPr>
        <w:rFonts w:ascii="Wingdings" w:hAnsi="Wingdings" w:hint="default"/>
      </w:rPr>
    </w:lvl>
    <w:lvl w:ilvl="3" w:tplc="666002FE">
      <w:start w:val="1"/>
      <w:numFmt w:val="bullet"/>
      <w:lvlText w:val=""/>
      <w:lvlJc w:val="left"/>
      <w:pPr>
        <w:ind w:left="2880" w:hanging="360"/>
      </w:pPr>
      <w:rPr>
        <w:rFonts w:ascii="Symbol" w:hAnsi="Symbol" w:hint="default"/>
      </w:rPr>
    </w:lvl>
    <w:lvl w:ilvl="4" w:tplc="32729914">
      <w:start w:val="1"/>
      <w:numFmt w:val="bullet"/>
      <w:lvlText w:val="o"/>
      <w:lvlJc w:val="left"/>
      <w:pPr>
        <w:ind w:left="3600" w:hanging="360"/>
      </w:pPr>
      <w:rPr>
        <w:rFonts w:ascii="Courier New" w:hAnsi="Courier New" w:hint="default"/>
      </w:rPr>
    </w:lvl>
    <w:lvl w:ilvl="5" w:tplc="2CDC3A3E">
      <w:start w:val="1"/>
      <w:numFmt w:val="bullet"/>
      <w:lvlText w:val=""/>
      <w:lvlJc w:val="left"/>
      <w:pPr>
        <w:ind w:left="4320" w:hanging="360"/>
      </w:pPr>
      <w:rPr>
        <w:rFonts w:ascii="Wingdings" w:hAnsi="Wingdings" w:hint="default"/>
      </w:rPr>
    </w:lvl>
    <w:lvl w:ilvl="6" w:tplc="E41EFB2C">
      <w:start w:val="1"/>
      <w:numFmt w:val="bullet"/>
      <w:lvlText w:val=""/>
      <w:lvlJc w:val="left"/>
      <w:pPr>
        <w:ind w:left="5040" w:hanging="360"/>
      </w:pPr>
      <w:rPr>
        <w:rFonts w:ascii="Symbol" w:hAnsi="Symbol" w:hint="default"/>
      </w:rPr>
    </w:lvl>
    <w:lvl w:ilvl="7" w:tplc="582CEBF6">
      <w:start w:val="1"/>
      <w:numFmt w:val="bullet"/>
      <w:lvlText w:val="o"/>
      <w:lvlJc w:val="left"/>
      <w:pPr>
        <w:ind w:left="5760" w:hanging="360"/>
      </w:pPr>
      <w:rPr>
        <w:rFonts w:ascii="Courier New" w:hAnsi="Courier New" w:hint="default"/>
      </w:rPr>
    </w:lvl>
    <w:lvl w:ilvl="8" w:tplc="02D2A12E">
      <w:start w:val="1"/>
      <w:numFmt w:val="bullet"/>
      <w:lvlText w:val=""/>
      <w:lvlJc w:val="left"/>
      <w:pPr>
        <w:ind w:left="6480" w:hanging="360"/>
      </w:pPr>
      <w:rPr>
        <w:rFonts w:ascii="Wingdings" w:hAnsi="Wingdings" w:hint="default"/>
      </w:rPr>
    </w:lvl>
  </w:abstractNum>
  <w:abstractNum w:abstractNumId="54" w15:restartNumberingAfterBreak="0">
    <w:nsid w:val="6A8AEE06"/>
    <w:multiLevelType w:val="hybridMultilevel"/>
    <w:tmpl w:val="FFFFFFFF"/>
    <w:lvl w:ilvl="0" w:tplc="5CA492F0">
      <w:start w:val="1"/>
      <w:numFmt w:val="bullet"/>
      <w:lvlText w:val=""/>
      <w:lvlJc w:val="left"/>
      <w:pPr>
        <w:ind w:left="720" w:hanging="360"/>
      </w:pPr>
      <w:rPr>
        <w:rFonts w:ascii="Symbol" w:hAnsi="Symbol" w:hint="default"/>
      </w:rPr>
    </w:lvl>
    <w:lvl w:ilvl="1" w:tplc="77402FB2">
      <w:start w:val="1"/>
      <w:numFmt w:val="bullet"/>
      <w:lvlText w:val="o"/>
      <w:lvlJc w:val="left"/>
      <w:pPr>
        <w:ind w:left="1440" w:hanging="360"/>
      </w:pPr>
      <w:rPr>
        <w:rFonts w:ascii="Courier New" w:hAnsi="Courier New" w:hint="default"/>
      </w:rPr>
    </w:lvl>
    <w:lvl w:ilvl="2" w:tplc="17A20706">
      <w:start w:val="1"/>
      <w:numFmt w:val="bullet"/>
      <w:lvlText w:val=""/>
      <w:lvlJc w:val="left"/>
      <w:pPr>
        <w:ind w:left="2160" w:hanging="360"/>
      </w:pPr>
      <w:rPr>
        <w:rFonts w:ascii="Wingdings" w:hAnsi="Wingdings" w:hint="default"/>
      </w:rPr>
    </w:lvl>
    <w:lvl w:ilvl="3" w:tplc="C338E38E">
      <w:start w:val="1"/>
      <w:numFmt w:val="bullet"/>
      <w:lvlText w:val=""/>
      <w:lvlJc w:val="left"/>
      <w:pPr>
        <w:ind w:left="2880" w:hanging="360"/>
      </w:pPr>
      <w:rPr>
        <w:rFonts w:ascii="Symbol" w:hAnsi="Symbol" w:hint="default"/>
      </w:rPr>
    </w:lvl>
    <w:lvl w:ilvl="4" w:tplc="723CFFC8">
      <w:start w:val="1"/>
      <w:numFmt w:val="bullet"/>
      <w:lvlText w:val="o"/>
      <w:lvlJc w:val="left"/>
      <w:pPr>
        <w:ind w:left="3600" w:hanging="360"/>
      </w:pPr>
      <w:rPr>
        <w:rFonts w:ascii="Courier New" w:hAnsi="Courier New" w:hint="default"/>
      </w:rPr>
    </w:lvl>
    <w:lvl w:ilvl="5" w:tplc="2B3E4E00">
      <w:start w:val="1"/>
      <w:numFmt w:val="bullet"/>
      <w:lvlText w:val=""/>
      <w:lvlJc w:val="left"/>
      <w:pPr>
        <w:ind w:left="4320" w:hanging="360"/>
      </w:pPr>
      <w:rPr>
        <w:rFonts w:ascii="Wingdings" w:hAnsi="Wingdings" w:hint="default"/>
      </w:rPr>
    </w:lvl>
    <w:lvl w:ilvl="6" w:tplc="BD90E5DC">
      <w:start w:val="1"/>
      <w:numFmt w:val="bullet"/>
      <w:lvlText w:val=""/>
      <w:lvlJc w:val="left"/>
      <w:pPr>
        <w:ind w:left="5040" w:hanging="360"/>
      </w:pPr>
      <w:rPr>
        <w:rFonts w:ascii="Symbol" w:hAnsi="Symbol" w:hint="default"/>
      </w:rPr>
    </w:lvl>
    <w:lvl w:ilvl="7" w:tplc="EFC62832">
      <w:start w:val="1"/>
      <w:numFmt w:val="bullet"/>
      <w:lvlText w:val="o"/>
      <w:lvlJc w:val="left"/>
      <w:pPr>
        <w:ind w:left="5760" w:hanging="360"/>
      </w:pPr>
      <w:rPr>
        <w:rFonts w:ascii="Courier New" w:hAnsi="Courier New" w:hint="default"/>
      </w:rPr>
    </w:lvl>
    <w:lvl w:ilvl="8" w:tplc="6E96D368">
      <w:start w:val="1"/>
      <w:numFmt w:val="bullet"/>
      <w:lvlText w:val=""/>
      <w:lvlJc w:val="left"/>
      <w:pPr>
        <w:ind w:left="6480" w:hanging="360"/>
      </w:pPr>
      <w:rPr>
        <w:rFonts w:ascii="Wingdings" w:hAnsi="Wingdings" w:hint="default"/>
      </w:rPr>
    </w:lvl>
  </w:abstractNum>
  <w:abstractNum w:abstractNumId="55" w15:restartNumberingAfterBreak="0">
    <w:nsid w:val="6AB4CED4"/>
    <w:multiLevelType w:val="hybridMultilevel"/>
    <w:tmpl w:val="FFFFFFFF"/>
    <w:lvl w:ilvl="0" w:tplc="2FA06D82">
      <w:start w:val="1"/>
      <w:numFmt w:val="bullet"/>
      <w:lvlText w:val=""/>
      <w:lvlJc w:val="left"/>
      <w:pPr>
        <w:ind w:left="720" w:hanging="360"/>
      </w:pPr>
      <w:rPr>
        <w:rFonts w:ascii="Symbol" w:hAnsi="Symbol" w:hint="default"/>
      </w:rPr>
    </w:lvl>
    <w:lvl w:ilvl="1" w:tplc="8252F4B2">
      <w:start w:val="1"/>
      <w:numFmt w:val="bullet"/>
      <w:lvlText w:val="o"/>
      <w:lvlJc w:val="left"/>
      <w:pPr>
        <w:ind w:left="1440" w:hanging="360"/>
      </w:pPr>
      <w:rPr>
        <w:rFonts w:ascii="Courier New" w:hAnsi="Courier New" w:hint="default"/>
      </w:rPr>
    </w:lvl>
    <w:lvl w:ilvl="2" w:tplc="E3525406">
      <w:start w:val="1"/>
      <w:numFmt w:val="bullet"/>
      <w:lvlText w:val=""/>
      <w:lvlJc w:val="left"/>
      <w:pPr>
        <w:ind w:left="2160" w:hanging="360"/>
      </w:pPr>
      <w:rPr>
        <w:rFonts w:ascii="Wingdings" w:hAnsi="Wingdings" w:hint="default"/>
      </w:rPr>
    </w:lvl>
    <w:lvl w:ilvl="3" w:tplc="C8A613EE">
      <w:start w:val="1"/>
      <w:numFmt w:val="bullet"/>
      <w:lvlText w:val=""/>
      <w:lvlJc w:val="left"/>
      <w:pPr>
        <w:ind w:left="2880" w:hanging="360"/>
      </w:pPr>
      <w:rPr>
        <w:rFonts w:ascii="Symbol" w:hAnsi="Symbol" w:hint="default"/>
      </w:rPr>
    </w:lvl>
    <w:lvl w:ilvl="4" w:tplc="12105344">
      <w:start w:val="1"/>
      <w:numFmt w:val="bullet"/>
      <w:lvlText w:val="o"/>
      <w:lvlJc w:val="left"/>
      <w:pPr>
        <w:ind w:left="3600" w:hanging="360"/>
      </w:pPr>
      <w:rPr>
        <w:rFonts w:ascii="Courier New" w:hAnsi="Courier New" w:hint="default"/>
      </w:rPr>
    </w:lvl>
    <w:lvl w:ilvl="5" w:tplc="C7708648">
      <w:start w:val="1"/>
      <w:numFmt w:val="bullet"/>
      <w:lvlText w:val=""/>
      <w:lvlJc w:val="left"/>
      <w:pPr>
        <w:ind w:left="4320" w:hanging="360"/>
      </w:pPr>
      <w:rPr>
        <w:rFonts w:ascii="Wingdings" w:hAnsi="Wingdings" w:hint="default"/>
      </w:rPr>
    </w:lvl>
    <w:lvl w:ilvl="6" w:tplc="DB18EB8A">
      <w:start w:val="1"/>
      <w:numFmt w:val="bullet"/>
      <w:lvlText w:val=""/>
      <w:lvlJc w:val="left"/>
      <w:pPr>
        <w:ind w:left="5040" w:hanging="360"/>
      </w:pPr>
      <w:rPr>
        <w:rFonts w:ascii="Symbol" w:hAnsi="Symbol" w:hint="default"/>
      </w:rPr>
    </w:lvl>
    <w:lvl w:ilvl="7" w:tplc="C4B28B68">
      <w:start w:val="1"/>
      <w:numFmt w:val="bullet"/>
      <w:lvlText w:val="o"/>
      <w:lvlJc w:val="left"/>
      <w:pPr>
        <w:ind w:left="5760" w:hanging="360"/>
      </w:pPr>
      <w:rPr>
        <w:rFonts w:ascii="Courier New" w:hAnsi="Courier New" w:hint="default"/>
      </w:rPr>
    </w:lvl>
    <w:lvl w:ilvl="8" w:tplc="9932821E">
      <w:start w:val="1"/>
      <w:numFmt w:val="bullet"/>
      <w:lvlText w:val=""/>
      <w:lvlJc w:val="left"/>
      <w:pPr>
        <w:ind w:left="6480" w:hanging="360"/>
      </w:pPr>
      <w:rPr>
        <w:rFonts w:ascii="Wingdings" w:hAnsi="Wingdings" w:hint="default"/>
      </w:rPr>
    </w:lvl>
  </w:abstractNum>
  <w:abstractNum w:abstractNumId="56" w15:restartNumberingAfterBreak="0">
    <w:nsid w:val="6B736A0A"/>
    <w:multiLevelType w:val="hybridMultilevel"/>
    <w:tmpl w:val="80A0FB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7" w15:restartNumberingAfterBreak="0">
    <w:nsid w:val="6FF3E8AA"/>
    <w:multiLevelType w:val="hybridMultilevel"/>
    <w:tmpl w:val="FFFFFFFF"/>
    <w:lvl w:ilvl="0" w:tplc="771E4482">
      <w:start w:val="1"/>
      <w:numFmt w:val="bullet"/>
      <w:lvlText w:val=""/>
      <w:lvlJc w:val="left"/>
      <w:pPr>
        <w:ind w:left="720" w:hanging="360"/>
      </w:pPr>
      <w:rPr>
        <w:rFonts w:ascii="Symbol" w:hAnsi="Symbol" w:hint="default"/>
      </w:rPr>
    </w:lvl>
    <w:lvl w:ilvl="1" w:tplc="894A656A">
      <w:start w:val="1"/>
      <w:numFmt w:val="bullet"/>
      <w:lvlText w:val="o"/>
      <w:lvlJc w:val="left"/>
      <w:pPr>
        <w:ind w:left="1440" w:hanging="360"/>
      </w:pPr>
      <w:rPr>
        <w:rFonts w:ascii="Courier New" w:hAnsi="Courier New" w:hint="default"/>
      </w:rPr>
    </w:lvl>
    <w:lvl w:ilvl="2" w:tplc="EE66425A">
      <w:start w:val="1"/>
      <w:numFmt w:val="bullet"/>
      <w:lvlText w:val=""/>
      <w:lvlJc w:val="left"/>
      <w:pPr>
        <w:ind w:left="2160" w:hanging="360"/>
      </w:pPr>
      <w:rPr>
        <w:rFonts w:ascii="Wingdings" w:hAnsi="Wingdings" w:hint="default"/>
      </w:rPr>
    </w:lvl>
    <w:lvl w:ilvl="3" w:tplc="CC94DCEE">
      <w:start w:val="1"/>
      <w:numFmt w:val="bullet"/>
      <w:lvlText w:val=""/>
      <w:lvlJc w:val="left"/>
      <w:pPr>
        <w:ind w:left="2880" w:hanging="360"/>
      </w:pPr>
      <w:rPr>
        <w:rFonts w:ascii="Symbol" w:hAnsi="Symbol" w:hint="default"/>
      </w:rPr>
    </w:lvl>
    <w:lvl w:ilvl="4" w:tplc="265A8D34">
      <w:start w:val="1"/>
      <w:numFmt w:val="bullet"/>
      <w:lvlText w:val="o"/>
      <w:lvlJc w:val="left"/>
      <w:pPr>
        <w:ind w:left="3600" w:hanging="360"/>
      </w:pPr>
      <w:rPr>
        <w:rFonts w:ascii="Courier New" w:hAnsi="Courier New" w:hint="default"/>
      </w:rPr>
    </w:lvl>
    <w:lvl w:ilvl="5" w:tplc="9792356E">
      <w:start w:val="1"/>
      <w:numFmt w:val="bullet"/>
      <w:lvlText w:val=""/>
      <w:lvlJc w:val="left"/>
      <w:pPr>
        <w:ind w:left="4320" w:hanging="360"/>
      </w:pPr>
      <w:rPr>
        <w:rFonts w:ascii="Wingdings" w:hAnsi="Wingdings" w:hint="default"/>
      </w:rPr>
    </w:lvl>
    <w:lvl w:ilvl="6" w:tplc="3FF2A0F4">
      <w:start w:val="1"/>
      <w:numFmt w:val="bullet"/>
      <w:lvlText w:val=""/>
      <w:lvlJc w:val="left"/>
      <w:pPr>
        <w:ind w:left="5040" w:hanging="360"/>
      </w:pPr>
      <w:rPr>
        <w:rFonts w:ascii="Symbol" w:hAnsi="Symbol" w:hint="default"/>
      </w:rPr>
    </w:lvl>
    <w:lvl w:ilvl="7" w:tplc="42008102">
      <w:start w:val="1"/>
      <w:numFmt w:val="bullet"/>
      <w:lvlText w:val="o"/>
      <w:lvlJc w:val="left"/>
      <w:pPr>
        <w:ind w:left="5760" w:hanging="360"/>
      </w:pPr>
      <w:rPr>
        <w:rFonts w:ascii="Courier New" w:hAnsi="Courier New" w:hint="default"/>
      </w:rPr>
    </w:lvl>
    <w:lvl w:ilvl="8" w:tplc="9E76AE6A">
      <w:start w:val="1"/>
      <w:numFmt w:val="bullet"/>
      <w:lvlText w:val=""/>
      <w:lvlJc w:val="left"/>
      <w:pPr>
        <w:ind w:left="6480" w:hanging="360"/>
      </w:pPr>
      <w:rPr>
        <w:rFonts w:ascii="Wingdings" w:hAnsi="Wingdings" w:hint="default"/>
      </w:rPr>
    </w:lvl>
  </w:abstractNum>
  <w:abstractNum w:abstractNumId="58" w15:restartNumberingAfterBreak="0">
    <w:nsid w:val="7746282E"/>
    <w:multiLevelType w:val="hybridMultilevel"/>
    <w:tmpl w:val="FFFFFFFF"/>
    <w:lvl w:ilvl="0" w:tplc="BE5EC0E8">
      <w:start w:val="1"/>
      <w:numFmt w:val="bullet"/>
      <w:lvlText w:val=""/>
      <w:lvlJc w:val="left"/>
      <w:pPr>
        <w:ind w:left="720" w:hanging="360"/>
      </w:pPr>
      <w:rPr>
        <w:rFonts w:ascii="Symbol" w:hAnsi="Symbol" w:hint="default"/>
      </w:rPr>
    </w:lvl>
    <w:lvl w:ilvl="1" w:tplc="18D85568">
      <w:start w:val="1"/>
      <w:numFmt w:val="bullet"/>
      <w:lvlText w:val="o"/>
      <w:lvlJc w:val="left"/>
      <w:pPr>
        <w:ind w:left="1440" w:hanging="360"/>
      </w:pPr>
      <w:rPr>
        <w:rFonts w:ascii="Courier New" w:hAnsi="Courier New" w:hint="default"/>
      </w:rPr>
    </w:lvl>
    <w:lvl w:ilvl="2" w:tplc="0576FA96">
      <w:start w:val="1"/>
      <w:numFmt w:val="bullet"/>
      <w:lvlText w:val=""/>
      <w:lvlJc w:val="left"/>
      <w:pPr>
        <w:ind w:left="2160" w:hanging="360"/>
      </w:pPr>
      <w:rPr>
        <w:rFonts w:ascii="Wingdings" w:hAnsi="Wingdings" w:hint="default"/>
      </w:rPr>
    </w:lvl>
    <w:lvl w:ilvl="3" w:tplc="E148189E">
      <w:start w:val="1"/>
      <w:numFmt w:val="bullet"/>
      <w:lvlText w:val=""/>
      <w:lvlJc w:val="left"/>
      <w:pPr>
        <w:ind w:left="2880" w:hanging="360"/>
      </w:pPr>
      <w:rPr>
        <w:rFonts w:ascii="Symbol" w:hAnsi="Symbol" w:hint="default"/>
      </w:rPr>
    </w:lvl>
    <w:lvl w:ilvl="4" w:tplc="DB80376E">
      <w:start w:val="1"/>
      <w:numFmt w:val="bullet"/>
      <w:lvlText w:val="o"/>
      <w:lvlJc w:val="left"/>
      <w:pPr>
        <w:ind w:left="3600" w:hanging="360"/>
      </w:pPr>
      <w:rPr>
        <w:rFonts w:ascii="Courier New" w:hAnsi="Courier New" w:hint="default"/>
      </w:rPr>
    </w:lvl>
    <w:lvl w:ilvl="5" w:tplc="E550F482">
      <w:start w:val="1"/>
      <w:numFmt w:val="bullet"/>
      <w:lvlText w:val=""/>
      <w:lvlJc w:val="left"/>
      <w:pPr>
        <w:ind w:left="4320" w:hanging="360"/>
      </w:pPr>
      <w:rPr>
        <w:rFonts w:ascii="Wingdings" w:hAnsi="Wingdings" w:hint="default"/>
      </w:rPr>
    </w:lvl>
    <w:lvl w:ilvl="6" w:tplc="D7B262BE">
      <w:start w:val="1"/>
      <w:numFmt w:val="bullet"/>
      <w:lvlText w:val=""/>
      <w:lvlJc w:val="left"/>
      <w:pPr>
        <w:ind w:left="5040" w:hanging="360"/>
      </w:pPr>
      <w:rPr>
        <w:rFonts w:ascii="Symbol" w:hAnsi="Symbol" w:hint="default"/>
      </w:rPr>
    </w:lvl>
    <w:lvl w:ilvl="7" w:tplc="7B968512">
      <w:start w:val="1"/>
      <w:numFmt w:val="bullet"/>
      <w:lvlText w:val="o"/>
      <w:lvlJc w:val="left"/>
      <w:pPr>
        <w:ind w:left="5760" w:hanging="360"/>
      </w:pPr>
      <w:rPr>
        <w:rFonts w:ascii="Courier New" w:hAnsi="Courier New" w:hint="default"/>
      </w:rPr>
    </w:lvl>
    <w:lvl w:ilvl="8" w:tplc="65107FA8">
      <w:start w:val="1"/>
      <w:numFmt w:val="bullet"/>
      <w:lvlText w:val=""/>
      <w:lvlJc w:val="left"/>
      <w:pPr>
        <w:ind w:left="6480" w:hanging="360"/>
      </w:pPr>
      <w:rPr>
        <w:rFonts w:ascii="Wingdings" w:hAnsi="Wingdings" w:hint="default"/>
      </w:rPr>
    </w:lvl>
  </w:abstractNum>
  <w:abstractNum w:abstractNumId="59" w15:restartNumberingAfterBreak="0">
    <w:nsid w:val="774851E6"/>
    <w:multiLevelType w:val="hybridMultilevel"/>
    <w:tmpl w:val="462EE92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781C2609"/>
    <w:multiLevelType w:val="hybridMultilevel"/>
    <w:tmpl w:val="B972CA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7AEDA16A"/>
    <w:multiLevelType w:val="hybridMultilevel"/>
    <w:tmpl w:val="FFFFFFFF"/>
    <w:lvl w:ilvl="0" w:tplc="C400DDBA">
      <w:start w:val="1"/>
      <w:numFmt w:val="bullet"/>
      <w:lvlText w:val=""/>
      <w:lvlJc w:val="left"/>
      <w:pPr>
        <w:ind w:left="720" w:hanging="360"/>
      </w:pPr>
      <w:rPr>
        <w:rFonts w:ascii="Symbol" w:hAnsi="Symbol" w:hint="default"/>
      </w:rPr>
    </w:lvl>
    <w:lvl w:ilvl="1" w:tplc="CC2683F8">
      <w:start w:val="1"/>
      <w:numFmt w:val="bullet"/>
      <w:lvlText w:val="o"/>
      <w:lvlJc w:val="left"/>
      <w:pPr>
        <w:ind w:left="1440" w:hanging="360"/>
      </w:pPr>
      <w:rPr>
        <w:rFonts w:ascii="Courier New" w:hAnsi="Courier New" w:hint="default"/>
      </w:rPr>
    </w:lvl>
    <w:lvl w:ilvl="2" w:tplc="55E82592">
      <w:start w:val="1"/>
      <w:numFmt w:val="bullet"/>
      <w:lvlText w:val=""/>
      <w:lvlJc w:val="left"/>
      <w:pPr>
        <w:ind w:left="2160" w:hanging="360"/>
      </w:pPr>
      <w:rPr>
        <w:rFonts w:ascii="Wingdings" w:hAnsi="Wingdings" w:hint="default"/>
      </w:rPr>
    </w:lvl>
    <w:lvl w:ilvl="3" w:tplc="A148B676">
      <w:start w:val="1"/>
      <w:numFmt w:val="bullet"/>
      <w:lvlText w:val=""/>
      <w:lvlJc w:val="left"/>
      <w:pPr>
        <w:ind w:left="2880" w:hanging="360"/>
      </w:pPr>
      <w:rPr>
        <w:rFonts w:ascii="Symbol" w:hAnsi="Symbol" w:hint="default"/>
      </w:rPr>
    </w:lvl>
    <w:lvl w:ilvl="4" w:tplc="720EFC66">
      <w:start w:val="1"/>
      <w:numFmt w:val="bullet"/>
      <w:lvlText w:val="o"/>
      <w:lvlJc w:val="left"/>
      <w:pPr>
        <w:ind w:left="3600" w:hanging="360"/>
      </w:pPr>
      <w:rPr>
        <w:rFonts w:ascii="Courier New" w:hAnsi="Courier New" w:hint="default"/>
      </w:rPr>
    </w:lvl>
    <w:lvl w:ilvl="5" w:tplc="6EC4CF24">
      <w:start w:val="1"/>
      <w:numFmt w:val="bullet"/>
      <w:lvlText w:val=""/>
      <w:lvlJc w:val="left"/>
      <w:pPr>
        <w:ind w:left="4320" w:hanging="360"/>
      </w:pPr>
      <w:rPr>
        <w:rFonts w:ascii="Wingdings" w:hAnsi="Wingdings" w:hint="default"/>
      </w:rPr>
    </w:lvl>
    <w:lvl w:ilvl="6" w:tplc="42E60166">
      <w:start w:val="1"/>
      <w:numFmt w:val="bullet"/>
      <w:lvlText w:val=""/>
      <w:lvlJc w:val="left"/>
      <w:pPr>
        <w:ind w:left="5040" w:hanging="360"/>
      </w:pPr>
      <w:rPr>
        <w:rFonts w:ascii="Symbol" w:hAnsi="Symbol" w:hint="default"/>
      </w:rPr>
    </w:lvl>
    <w:lvl w:ilvl="7" w:tplc="1D4AF3DA">
      <w:start w:val="1"/>
      <w:numFmt w:val="bullet"/>
      <w:lvlText w:val="o"/>
      <w:lvlJc w:val="left"/>
      <w:pPr>
        <w:ind w:left="5760" w:hanging="360"/>
      </w:pPr>
      <w:rPr>
        <w:rFonts w:ascii="Courier New" w:hAnsi="Courier New" w:hint="default"/>
      </w:rPr>
    </w:lvl>
    <w:lvl w:ilvl="8" w:tplc="AA2CCA16">
      <w:start w:val="1"/>
      <w:numFmt w:val="bullet"/>
      <w:lvlText w:val=""/>
      <w:lvlJc w:val="left"/>
      <w:pPr>
        <w:ind w:left="6480" w:hanging="360"/>
      </w:pPr>
      <w:rPr>
        <w:rFonts w:ascii="Wingdings" w:hAnsi="Wingdings" w:hint="default"/>
      </w:rPr>
    </w:lvl>
  </w:abstractNum>
  <w:abstractNum w:abstractNumId="62" w15:restartNumberingAfterBreak="0">
    <w:nsid w:val="7BC90016"/>
    <w:multiLevelType w:val="hybridMultilevel"/>
    <w:tmpl w:val="FFFFFFFF"/>
    <w:lvl w:ilvl="0" w:tplc="DC80B0F4">
      <w:start w:val="1"/>
      <w:numFmt w:val="bullet"/>
      <w:lvlText w:val=""/>
      <w:lvlJc w:val="left"/>
      <w:pPr>
        <w:ind w:left="720" w:hanging="360"/>
      </w:pPr>
      <w:rPr>
        <w:rFonts w:ascii="Symbol" w:hAnsi="Symbol" w:hint="default"/>
      </w:rPr>
    </w:lvl>
    <w:lvl w:ilvl="1" w:tplc="13AE4908">
      <w:start w:val="1"/>
      <w:numFmt w:val="bullet"/>
      <w:lvlText w:val="o"/>
      <w:lvlJc w:val="left"/>
      <w:pPr>
        <w:ind w:left="1440" w:hanging="360"/>
      </w:pPr>
      <w:rPr>
        <w:rFonts w:ascii="Courier New" w:hAnsi="Courier New" w:hint="default"/>
      </w:rPr>
    </w:lvl>
    <w:lvl w:ilvl="2" w:tplc="1D4E7900">
      <w:start w:val="1"/>
      <w:numFmt w:val="bullet"/>
      <w:lvlText w:val=""/>
      <w:lvlJc w:val="left"/>
      <w:pPr>
        <w:ind w:left="2160" w:hanging="360"/>
      </w:pPr>
      <w:rPr>
        <w:rFonts w:ascii="Wingdings" w:hAnsi="Wingdings" w:hint="default"/>
      </w:rPr>
    </w:lvl>
    <w:lvl w:ilvl="3" w:tplc="75ACB2AC">
      <w:start w:val="1"/>
      <w:numFmt w:val="bullet"/>
      <w:lvlText w:val=""/>
      <w:lvlJc w:val="left"/>
      <w:pPr>
        <w:ind w:left="2880" w:hanging="360"/>
      </w:pPr>
      <w:rPr>
        <w:rFonts w:ascii="Symbol" w:hAnsi="Symbol" w:hint="default"/>
      </w:rPr>
    </w:lvl>
    <w:lvl w:ilvl="4" w:tplc="09CE7624">
      <w:start w:val="1"/>
      <w:numFmt w:val="bullet"/>
      <w:lvlText w:val="o"/>
      <w:lvlJc w:val="left"/>
      <w:pPr>
        <w:ind w:left="3600" w:hanging="360"/>
      </w:pPr>
      <w:rPr>
        <w:rFonts w:ascii="Courier New" w:hAnsi="Courier New" w:hint="default"/>
      </w:rPr>
    </w:lvl>
    <w:lvl w:ilvl="5" w:tplc="CCA0D3D2">
      <w:start w:val="1"/>
      <w:numFmt w:val="bullet"/>
      <w:lvlText w:val=""/>
      <w:lvlJc w:val="left"/>
      <w:pPr>
        <w:ind w:left="4320" w:hanging="360"/>
      </w:pPr>
      <w:rPr>
        <w:rFonts w:ascii="Wingdings" w:hAnsi="Wingdings" w:hint="default"/>
      </w:rPr>
    </w:lvl>
    <w:lvl w:ilvl="6" w:tplc="B1F44FA6">
      <w:start w:val="1"/>
      <w:numFmt w:val="bullet"/>
      <w:lvlText w:val=""/>
      <w:lvlJc w:val="left"/>
      <w:pPr>
        <w:ind w:left="5040" w:hanging="360"/>
      </w:pPr>
      <w:rPr>
        <w:rFonts w:ascii="Symbol" w:hAnsi="Symbol" w:hint="default"/>
      </w:rPr>
    </w:lvl>
    <w:lvl w:ilvl="7" w:tplc="E9D405DE">
      <w:start w:val="1"/>
      <w:numFmt w:val="bullet"/>
      <w:lvlText w:val="o"/>
      <w:lvlJc w:val="left"/>
      <w:pPr>
        <w:ind w:left="5760" w:hanging="360"/>
      </w:pPr>
      <w:rPr>
        <w:rFonts w:ascii="Courier New" w:hAnsi="Courier New" w:hint="default"/>
      </w:rPr>
    </w:lvl>
    <w:lvl w:ilvl="8" w:tplc="941EB256">
      <w:start w:val="1"/>
      <w:numFmt w:val="bullet"/>
      <w:lvlText w:val=""/>
      <w:lvlJc w:val="left"/>
      <w:pPr>
        <w:ind w:left="6480" w:hanging="360"/>
      </w:pPr>
      <w:rPr>
        <w:rFonts w:ascii="Wingdings" w:hAnsi="Wingdings" w:hint="default"/>
      </w:rPr>
    </w:lvl>
  </w:abstractNum>
  <w:abstractNum w:abstractNumId="63" w15:restartNumberingAfterBreak="0">
    <w:nsid w:val="7C8A7DFE"/>
    <w:multiLevelType w:val="hybridMultilevel"/>
    <w:tmpl w:val="EA06AA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4" w15:restartNumberingAfterBreak="0">
    <w:nsid w:val="7D5818DC"/>
    <w:multiLevelType w:val="hybridMultilevel"/>
    <w:tmpl w:val="FFFFFFFF"/>
    <w:lvl w:ilvl="0" w:tplc="3B106252">
      <w:start w:val="1"/>
      <w:numFmt w:val="bullet"/>
      <w:lvlText w:val=""/>
      <w:lvlJc w:val="left"/>
      <w:pPr>
        <w:ind w:left="720" w:hanging="360"/>
      </w:pPr>
      <w:rPr>
        <w:rFonts w:ascii="Symbol" w:hAnsi="Symbol" w:hint="default"/>
      </w:rPr>
    </w:lvl>
    <w:lvl w:ilvl="1" w:tplc="6DB2A558">
      <w:start w:val="1"/>
      <w:numFmt w:val="bullet"/>
      <w:lvlText w:val="o"/>
      <w:lvlJc w:val="left"/>
      <w:pPr>
        <w:ind w:left="1440" w:hanging="360"/>
      </w:pPr>
      <w:rPr>
        <w:rFonts w:ascii="Courier New" w:hAnsi="Courier New" w:hint="default"/>
      </w:rPr>
    </w:lvl>
    <w:lvl w:ilvl="2" w:tplc="947E4DB8">
      <w:start w:val="1"/>
      <w:numFmt w:val="bullet"/>
      <w:lvlText w:val=""/>
      <w:lvlJc w:val="left"/>
      <w:pPr>
        <w:ind w:left="2160" w:hanging="360"/>
      </w:pPr>
      <w:rPr>
        <w:rFonts w:ascii="Wingdings" w:hAnsi="Wingdings" w:hint="default"/>
      </w:rPr>
    </w:lvl>
    <w:lvl w:ilvl="3" w:tplc="071E6E42">
      <w:start w:val="1"/>
      <w:numFmt w:val="bullet"/>
      <w:lvlText w:val=""/>
      <w:lvlJc w:val="left"/>
      <w:pPr>
        <w:ind w:left="2880" w:hanging="360"/>
      </w:pPr>
      <w:rPr>
        <w:rFonts w:ascii="Symbol" w:hAnsi="Symbol" w:hint="default"/>
      </w:rPr>
    </w:lvl>
    <w:lvl w:ilvl="4" w:tplc="5B9E2F82">
      <w:start w:val="1"/>
      <w:numFmt w:val="bullet"/>
      <w:lvlText w:val="o"/>
      <w:lvlJc w:val="left"/>
      <w:pPr>
        <w:ind w:left="3600" w:hanging="360"/>
      </w:pPr>
      <w:rPr>
        <w:rFonts w:ascii="Courier New" w:hAnsi="Courier New" w:hint="default"/>
      </w:rPr>
    </w:lvl>
    <w:lvl w:ilvl="5" w:tplc="FB4E7B5C">
      <w:start w:val="1"/>
      <w:numFmt w:val="bullet"/>
      <w:lvlText w:val=""/>
      <w:lvlJc w:val="left"/>
      <w:pPr>
        <w:ind w:left="4320" w:hanging="360"/>
      </w:pPr>
      <w:rPr>
        <w:rFonts w:ascii="Wingdings" w:hAnsi="Wingdings" w:hint="default"/>
      </w:rPr>
    </w:lvl>
    <w:lvl w:ilvl="6" w:tplc="1750D4CE">
      <w:start w:val="1"/>
      <w:numFmt w:val="bullet"/>
      <w:lvlText w:val=""/>
      <w:lvlJc w:val="left"/>
      <w:pPr>
        <w:ind w:left="5040" w:hanging="360"/>
      </w:pPr>
      <w:rPr>
        <w:rFonts w:ascii="Symbol" w:hAnsi="Symbol" w:hint="default"/>
      </w:rPr>
    </w:lvl>
    <w:lvl w:ilvl="7" w:tplc="9F120D22">
      <w:start w:val="1"/>
      <w:numFmt w:val="bullet"/>
      <w:lvlText w:val="o"/>
      <w:lvlJc w:val="left"/>
      <w:pPr>
        <w:ind w:left="5760" w:hanging="360"/>
      </w:pPr>
      <w:rPr>
        <w:rFonts w:ascii="Courier New" w:hAnsi="Courier New" w:hint="default"/>
      </w:rPr>
    </w:lvl>
    <w:lvl w:ilvl="8" w:tplc="0BC27CEC">
      <w:start w:val="1"/>
      <w:numFmt w:val="bullet"/>
      <w:lvlText w:val=""/>
      <w:lvlJc w:val="left"/>
      <w:pPr>
        <w:ind w:left="6480" w:hanging="360"/>
      </w:pPr>
      <w:rPr>
        <w:rFonts w:ascii="Wingdings" w:hAnsi="Wingdings" w:hint="default"/>
      </w:rPr>
    </w:lvl>
  </w:abstractNum>
  <w:num w:numId="1">
    <w:abstractNumId w:val="62"/>
  </w:num>
  <w:num w:numId="2">
    <w:abstractNumId w:val="6"/>
  </w:num>
  <w:num w:numId="3">
    <w:abstractNumId w:val="15"/>
  </w:num>
  <w:num w:numId="4">
    <w:abstractNumId w:val="49"/>
  </w:num>
  <w:num w:numId="5">
    <w:abstractNumId w:val="20"/>
  </w:num>
  <w:num w:numId="6">
    <w:abstractNumId w:val="9"/>
  </w:num>
  <w:num w:numId="7">
    <w:abstractNumId w:val="48"/>
  </w:num>
  <w:num w:numId="8">
    <w:abstractNumId w:val="53"/>
  </w:num>
  <w:num w:numId="9">
    <w:abstractNumId w:val="44"/>
  </w:num>
  <w:num w:numId="10">
    <w:abstractNumId w:val="23"/>
  </w:num>
  <w:num w:numId="11">
    <w:abstractNumId w:val="0"/>
  </w:num>
  <w:num w:numId="12">
    <w:abstractNumId w:val="16"/>
  </w:num>
  <w:num w:numId="13">
    <w:abstractNumId w:val="10"/>
  </w:num>
  <w:num w:numId="14">
    <w:abstractNumId w:val="37"/>
  </w:num>
  <w:num w:numId="15">
    <w:abstractNumId w:val="36"/>
  </w:num>
  <w:num w:numId="16">
    <w:abstractNumId w:val="58"/>
  </w:num>
  <w:num w:numId="17">
    <w:abstractNumId w:val="17"/>
  </w:num>
  <w:num w:numId="18">
    <w:abstractNumId w:val="45"/>
  </w:num>
  <w:num w:numId="19">
    <w:abstractNumId w:val="57"/>
  </w:num>
  <w:num w:numId="20">
    <w:abstractNumId w:val="51"/>
  </w:num>
  <w:num w:numId="21">
    <w:abstractNumId w:val="29"/>
  </w:num>
  <w:num w:numId="22">
    <w:abstractNumId w:val="50"/>
  </w:num>
  <w:num w:numId="23">
    <w:abstractNumId w:val="40"/>
  </w:num>
  <w:num w:numId="24">
    <w:abstractNumId w:val="4"/>
  </w:num>
  <w:num w:numId="25">
    <w:abstractNumId w:val="2"/>
  </w:num>
  <w:num w:numId="26">
    <w:abstractNumId w:val="38"/>
  </w:num>
  <w:num w:numId="27">
    <w:abstractNumId w:val="28"/>
  </w:num>
  <w:num w:numId="28">
    <w:abstractNumId w:val="54"/>
  </w:num>
  <w:num w:numId="29">
    <w:abstractNumId w:val="52"/>
  </w:num>
  <w:num w:numId="30">
    <w:abstractNumId w:val="32"/>
  </w:num>
  <w:num w:numId="31">
    <w:abstractNumId w:val="35"/>
  </w:num>
  <w:num w:numId="32">
    <w:abstractNumId w:val="41"/>
  </w:num>
  <w:num w:numId="33">
    <w:abstractNumId w:val="39"/>
  </w:num>
  <w:num w:numId="34">
    <w:abstractNumId w:val="61"/>
  </w:num>
  <w:num w:numId="35">
    <w:abstractNumId w:val="25"/>
  </w:num>
  <w:num w:numId="36">
    <w:abstractNumId w:val="55"/>
  </w:num>
  <w:num w:numId="37">
    <w:abstractNumId w:val="64"/>
  </w:num>
  <w:num w:numId="38">
    <w:abstractNumId w:val="31"/>
  </w:num>
  <w:num w:numId="39">
    <w:abstractNumId w:val="22"/>
  </w:num>
  <w:num w:numId="40">
    <w:abstractNumId w:val="3"/>
  </w:num>
  <w:num w:numId="41">
    <w:abstractNumId w:val="7"/>
  </w:num>
  <w:num w:numId="42">
    <w:abstractNumId w:val="19"/>
  </w:num>
  <w:num w:numId="43">
    <w:abstractNumId w:val="59"/>
  </w:num>
  <w:num w:numId="44">
    <w:abstractNumId w:val="1"/>
  </w:num>
  <w:num w:numId="45">
    <w:abstractNumId w:val="43"/>
  </w:num>
  <w:num w:numId="46">
    <w:abstractNumId w:val="26"/>
  </w:num>
  <w:num w:numId="47">
    <w:abstractNumId w:val="63"/>
  </w:num>
  <w:num w:numId="48">
    <w:abstractNumId w:val="30"/>
  </w:num>
  <w:num w:numId="49">
    <w:abstractNumId w:val="47"/>
  </w:num>
  <w:num w:numId="50">
    <w:abstractNumId w:val="27"/>
  </w:num>
  <w:num w:numId="51">
    <w:abstractNumId w:val="13"/>
  </w:num>
  <w:num w:numId="52">
    <w:abstractNumId w:val="56"/>
  </w:num>
  <w:num w:numId="53">
    <w:abstractNumId w:val="33"/>
  </w:num>
  <w:num w:numId="54">
    <w:abstractNumId w:val="14"/>
  </w:num>
  <w:num w:numId="55">
    <w:abstractNumId w:val="60"/>
  </w:num>
  <w:num w:numId="56">
    <w:abstractNumId w:val="24"/>
  </w:num>
  <w:num w:numId="57">
    <w:abstractNumId w:val="46"/>
  </w:num>
  <w:num w:numId="58">
    <w:abstractNumId w:val="11"/>
  </w:num>
  <w:num w:numId="59">
    <w:abstractNumId w:val="18"/>
  </w:num>
  <w:num w:numId="60">
    <w:abstractNumId w:val="21"/>
  </w:num>
  <w:num w:numId="61">
    <w:abstractNumId w:val="12"/>
  </w:num>
  <w:num w:numId="62">
    <w:abstractNumId w:val="8"/>
  </w:num>
  <w:num w:numId="63">
    <w:abstractNumId w:val="5"/>
  </w:num>
  <w:num w:numId="64">
    <w:abstractNumId w:val="42"/>
  </w:num>
  <w:num w:numId="65">
    <w:abstractNumId w:val="34"/>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F87A9BF1-1D1D-4BB6-98B0-6A2F6FEF6763"/>
    <w:docVar w:name="LW_COVERPAGE_TYPE" w:val="1"/>
    <w:docVar w:name="LW_CROSSREFERENCE" w:val="&lt;UNUSED&gt;"/>
    <w:docVar w:name="LW_DocType" w:val="NORMAL"/>
    <w:docVar w:name="LW_EMISSION" w:val="19.5.2026"/>
    <w:docVar w:name="LW_EMISSION_ISODATE" w:val="2026-05-19"/>
    <w:docVar w:name="LW_EMISSION_LOCATION" w:val="STR"/>
    <w:docVar w:name="LW_EMISSION_PREFIX" w:val="Strasbourg,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31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Font=Calibri CE,Bold&gt;Planul de ac\u539?iune privind îngr\u259?\u537?\u259?mintele: parteneriat pentru asigurarea disponibilit\u259?\u539?ii, accesibilit\u259?\u539?ii pre\u539?urilor \u537?i autonomiei strategice a îngr\u259?\u537?\u259?mintelor autohtone în Uniunea European\u259?&lt;/FMT&gt;_x000b__x000b_"/>
    <w:docVar w:name="LW_TYPE.DOC.CP" w:val="COMUNICARE A COMISIEI C\u258?TRE PARLAMENTUL EUROPEAN, CONSILIU, COMITETUL ECONOMIC \u536?I SOCIAL EUROPEAN \u536?I COMITETUL REGIUNILOR"/>
    <w:docVar w:name="LW_TYPE.DOC.CP.USERTEXT" w:val="&lt;EMPTY&gt;"/>
    <w:docVar w:name="LwApiVersions" w:val="LW4CoDe 1.24.5.0; LW 9.2, Build 20251112"/>
  </w:docVars>
  <w:rsids>
    <w:rsidRoot w:val="00A110A8"/>
    <w:rsid w:val="000002AE"/>
    <w:rsid w:val="000002E2"/>
    <w:rsid w:val="000003FC"/>
    <w:rsid w:val="0000083E"/>
    <w:rsid w:val="00000866"/>
    <w:rsid w:val="0000105F"/>
    <w:rsid w:val="000011A3"/>
    <w:rsid w:val="0000126A"/>
    <w:rsid w:val="000015CD"/>
    <w:rsid w:val="00001A87"/>
    <w:rsid w:val="00001E58"/>
    <w:rsid w:val="00001E93"/>
    <w:rsid w:val="00001FAF"/>
    <w:rsid w:val="00002191"/>
    <w:rsid w:val="000026DD"/>
    <w:rsid w:val="00002B20"/>
    <w:rsid w:val="00002E7A"/>
    <w:rsid w:val="000031A4"/>
    <w:rsid w:val="0000350C"/>
    <w:rsid w:val="00003539"/>
    <w:rsid w:val="000038F6"/>
    <w:rsid w:val="00003B76"/>
    <w:rsid w:val="00003E89"/>
    <w:rsid w:val="000049C5"/>
    <w:rsid w:val="00004AD0"/>
    <w:rsid w:val="00004E03"/>
    <w:rsid w:val="00005562"/>
    <w:rsid w:val="000055F6"/>
    <w:rsid w:val="000058A3"/>
    <w:rsid w:val="000064D7"/>
    <w:rsid w:val="000064FD"/>
    <w:rsid w:val="00006663"/>
    <w:rsid w:val="000066E0"/>
    <w:rsid w:val="00006B0D"/>
    <w:rsid w:val="00006EB7"/>
    <w:rsid w:val="00007049"/>
    <w:rsid w:val="00007207"/>
    <w:rsid w:val="00007277"/>
    <w:rsid w:val="0000756F"/>
    <w:rsid w:val="00007675"/>
    <w:rsid w:val="0000776A"/>
    <w:rsid w:val="000077DE"/>
    <w:rsid w:val="000077FA"/>
    <w:rsid w:val="000079C7"/>
    <w:rsid w:val="00007C2A"/>
    <w:rsid w:val="00007C46"/>
    <w:rsid w:val="000101A8"/>
    <w:rsid w:val="0001025B"/>
    <w:rsid w:val="000102C5"/>
    <w:rsid w:val="000103C1"/>
    <w:rsid w:val="0001046B"/>
    <w:rsid w:val="0001056F"/>
    <w:rsid w:val="000106A5"/>
    <w:rsid w:val="00010963"/>
    <w:rsid w:val="00010BB0"/>
    <w:rsid w:val="0001186E"/>
    <w:rsid w:val="00011937"/>
    <w:rsid w:val="00011976"/>
    <w:rsid w:val="00011F32"/>
    <w:rsid w:val="00012380"/>
    <w:rsid w:val="000123D2"/>
    <w:rsid w:val="00012663"/>
    <w:rsid w:val="000128EC"/>
    <w:rsid w:val="00012CFF"/>
    <w:rsid w:val="00013056"/>
    <w:rsid w:val="00013237"/>
    <w:rsid w:val="0001355A"/>
    <w:rsid w:val="00013661"/>
    <w:rsid w:val="000138FC"/>
    <w:rsid w:val="000139A6"/>
    <w:rsid w:val="00013A9E"/>
    <w:rsid w:val="00013BE9"/>
    <w:rsid w:val="00013BF3"/>
    <w:rsid w:val="00013DFF"/>
    <w:rsid w:val="000144DF"/>
    <w:rsid w:val="00014553"/>
    <w:rsid w:val="0001486A"/>
    <w:rsid w:val="000149AD"/>
    <w:rsid w:val="00014CBE"/>
    <w:rsid w:val="00014D43"/>
    <w:rsid w:val="00014E81"/>
    <w:rsid w:val="00014E98"/>
    <w:rsid w:val="0001529D"/>
    <w:rsid w:val="000155F7"/>
    <w:rsid w:val="000157F9"/>
    <w:rsid w:val="00015807"/>
    <w:rsid w:val="000158CA"/>
    <w:rsid w:val="00015C43"/>
    <w:rsid w:val="00015E2D"/>
    <w:rsid w:val="00016126"/>
    <w:rsid w:val="000162CC"/>
    <w:rsid w:val="0001659F"/>
    <w:rsid w:val="000168DC"/>
    <w:rsid w:val="00016BCA"/>
    <w:rsid w:val="00016DD0"/>
    <w:rsid w:val="00017050"/>
    <w:rsid w:val="0001724F"/>
    <w:rsid w:val="000172A3"/>
    <w:rsid w:val="000172D4"/>
    <w:rsid w:val="00017312"/>
    <w:rsid w:val="000177F4"/>
    <w:rsid w:val="00017826"/>
    <w:rsid w:val="00017850"/>
    <w:rsid w:val="00017957"/>
    <w:rsid w:val="000179C3"/>
    <w:rsid w:val="00017C25"/>
    <w:rsid w:val="00017DAA"/>
    <w:rsid w:val="00017E74"/>
    <w:rsid w:val="000200A3"/>
    <w:rsid w:val="0002012D"/>
    <w:rsid w:val="00020312"/>
    <w:rsid w:val="000206E6"/>
    <w:rsid w:val="000207B7"/>
    <w:rsid w:val="000208C7"/>
    <w:rsid w:val="00020C19"/>
    <w:rsid w:val="00020D07"/>
    <w:rsid w:val="00020EA2"/>
    <w:rsid w:val="00020FF8"/>
    <w:rsid w:val="000211A0"/>
    <w:rsid w:val="0002168D"/>
    <w:rsid w:val="0002192D"/>
    <w:rsid w:val="00021A16"/>
    <w:rsid w:val="0002207C"/>
    <w:rsid w:val="00022189"/>
    <w:rsid w:val="00022374"/>
    <w:rsid w:val="0002254A"/>
    <w:rsid w:val="0002276D"/>
    <w:rsid w:val="0002281E"/>
    <w:rsid w:val="000229FD"/>
    <w:rsid w:val="00022B29"/>
    <w:rsid w:val="00022B37"/>
    <w:rsid w:val="00023347"/>
    <w:rsid w:val="00023675"/>
    <w:rsid w:val="00023A8F"/>
    <w:rsid w:val="00023D56"/>
    <w:rsid w:val="00023D86"/>
    <w:rsid w:val="00023DFB"/>
    <w:rsid w:val="00023EFF"/>
    <w:rsid w:val="000243AC"/>
    <w:rsid w:val="000244EC"/>
    <w:rsid w:val="000246FA"/>
    <w:rsid w:val="00024987"/>
    <w:rsid w:val="000258DF"/>
    <w:rsid w:val="000259D8"/>
    <w:rsid w:val="00025FA7"/>
    <w:rsid w:val="00026537"/>
    <w:rsid w:val="00026556"/>
    <w:rsid w:val="000265DB"/>
    <w:rsid w:val="000266E4"/>
    <w:rsid w:val="00026B53"/>
    <w:rsid w:val="00026D1C"/>
    <w:rsid w:val="00026EC0"/>
    <w:rsid w:val="00026EF8"/>
    <w:rsid w:val="00027408"/>
    <w:rsid w:val="00027B06"/>
    <w:rsid w:val="00027B2D"/>
    <w:rsid w:val="00027B59"/>
    <w:rsid w:val="00027B60"/>
    <w:rsid w:val="00030047"/>
    <w:rsid w:val="0003042A"/>
    <w:rsid w:val="00030455"/>
    <w:rsid w:val="00030457"/>
    <w:rsid w:val="00030A71"/>
    <w:rsid w:val="00030CFD"/>
    <w:rsid w:val="00030EF9"/>
    <w:rsid w:val="000311E4"/>
    <w:rsid w:val="00031334"/>
    <w:rsid w:val="00031340"/>
    <w:rsid w:val="000315E1"/>
    <w:rsid w:val="000317C0"/>
    <w:rsid w:val="00031ACE"/>
    <w:rsid w:val="00031BC2"/>
    <w:rsid w:val="00031C30"/>
    <w:rsid w:val="00031DE7"/>
    <w:rsid w:val="00031EBA"/>
    <w:rsid w:val="00031FA2"/>
    <w:rsid w:val="00032459"/>
    <w:rsid w:val="00032506"/>
    <w:rsid w:val="00032731"/>
    <w:rsid w:val="000327A5"/>
    <w:rsid w:val="000329C9"/>
    <w:rsid w:val="00032A4D"/>
    <w:rsid w:val="00033265"/>
    <w:rsid w:val="00033424"/>
    <w:rsid w:val="00033565"/>
    <w:rsid w:val="00033BC1"/>
    <w:rsid w:val="00033CC3"/>
    <w:rsid w:val="0003448A"/>
    <w:rsid w:val="00034A69"/>
    <w:rsid w:val="00034C1F"/>
    <w:rsid w:val="00034DBA"/>
    <w:rsid w:val="00034EF0"/>
    <w:rsid w:val="000354EC"/>
    <w:rsid w:val="000357A6"/>
    <w:rsid w:val="00035834"/>
    <w:rsid w:val="000358E4"/>
    <w:rsid w:val="00035B35"/>
    <w:rsid w:val="0003631B"/>
    <w:rsid w:val="000364CB"/>
    <w:rsid w:val="000365FC"/>
    <w:rsid w:val="0003678D"/>
    <w:rsid w:val="00036B80"/>
    <w:rsid w:val="00036D83"/>
    <w:rsid w:val="00037050"/>
    <w:rsid w:val="000372A3"/>
    <w:rsid w:val="000373F2"/>
    <w:rsid w:val="000373F3"/>
    <w:rsid w:val="0003767F"/>
    <w:rsid w:val="000376D5"/>
    <w:rsid w:val="00037816"/>
    <w:rsid w:val="00037B32"/>
    <w:rsid w:val="00037C65"/>
    <w:rsid w:val="00037EE1"/>
    <w:rsid w:val="00040AA0"/>
    <w:rsid w:val="00040ACF"/>
    <w:rsid w:val="00041236"/>
    <w:rsid w:val="000414A3"/>
    <w:rsid w:val="000417A5"/>
    <w:rsid w:val="00041E34"/>
    <w:rsid w:val="0004221B"/>
    <w:rsid w:val="00042821"/>
    <w:rsid w:val="00042A60"/>
    <w:rsid w:val="00042B3A"/>
    <w:rsid w:val="00042B41"/>
    <w:rsid w:val="00042EB4"/>
    <w:rsid w:val="00042F79"/>
    <w:rsid w:val="000434C4"/>
    <w:rsid w:val="000439CB"/>
    <w:rsid w:val="00043B24"/>
    <w:rsid w:val="00043D05"/>
    <w:rsid w:val="00043FDB"/>
    <w:rsid w:val="000440FF"/>
    <w:rsid w:val="000443A4"/>
    <w:rsid w:val="000444B3"/>
    <w:rsid w:val="000444D8"/>
    <w:rsid w:val="0004459B"/>
    <w:rsid w:val="0004472C"/>
    <w:rsid w:val="000449CE"/>
    <w:rsid w:val="00044AB1"/>
    <w:rsid w:val="00044C63"/>
    <w:rsid w:val="000450F4"/>
    <w:rsid w:val="000450FA"/>
    <w:rsid w:val="00045377"/>
    <w:rsid w:val="0004582A"/>
    <w:rsid w:val="00045BEE"/>
    <w:rsid w:val="00045BFF"/>
    <w:rsid w:val="00045D2B"/>
    <w:rsid w:val="00045EE4"/>
    <w:rsid w:val="00045F5D"/>
    <w:rsid w:val="0004609F"/>
    <w:rsid w:val="000466F8"/>
    <w:rsid w:val="0004697B"/>
    <w:rsid w:val="00046C28"/>
    <w:rsid w:val="00046DF2"/>
    <w:rsid w:val="00046E80"/>
    <w:rsid w:val="00046F93"/>
    <w:rsid w:val="00047410"/>
    <w:rsid w:val="00047515"/>
    <w:rsid w:val="00047596"/>
    <w:rsid w:val="00047B0A"/>
    <w:rsid w:val="00047B3E"/>
    <w:rsid w:val="00047E2B"/>
    <w:rsid w:val="00047F2E"/>
    <w:rsid w:val="00047F47"/>
    <w:rsid w:val="00050188"/>
    <w:rsid w:val="000508F4"/>
    <w:rsid w:val="000509CB"/>
    <w:rsid w:val="00050A05"/>
    <w:rsid w:val="00050A75"/>
    <w:rsid w:val="000515F3"/>
    <w:rsid w:val="000516A9"/>
    <w:rsid w:val="00051807"/>
    <w:rsid w:val="00051E32"/>
    <w:rsid w:val="00051ED3"/>
    <w:rsid w:val="000520D3"/>
    <w:rsid w:val="000521D6"/>
    <w:rsid w:val="00052308"/>
    <w:rsid w:val="000524EE"/>
    <w:rsid w:val="00052B4A"/>
    <w:rsid w:val="00052C05"/>
    <w:rsid w:val="00052C09"/>
    <w:rsid w:val="000535C5"/>
    <w:rsid w:val="0005374F"/>
    <w:rsid w:val="000538B5"/>
    <w:rsid w:val="00054678"/>
    <w:rsid w:val="000547C6"/>
    <w:rsid w:val="0005482E"/>
    <w:rsid w:val="0005496E"/>
    <w:rsid w:val="00054977"/>
    <w:rsid w:val="00054C2B"/>
    <w:rsid w:val="00054C39"/>
    <w:rsid w:val="0005511B"/>
    <w:rsid w:val="00055365"/>
    <w:rsid w:val="000553F1"/>
    <w:rsid w:val="000557B4"/>
    <w:rsid w:val="00055C73"/>
    <w:rsid w:val="00055DEB"/>
    <w:rsid w:val="00056337"/>
    <w:rsid w:val="000567E4"/>
    <w:rsid w:val="00056824"/>
    <w:rsid w:val="00056E18"/>
    <w:rsid w:val="000576AD"/>
    <w:rsid w:val="00057870"/>
    <w:rsid w:val="00057C89"/>
    <w:rsid w:val="00057E6D"/>
    <w:rsid w:val="00057E79"/>
    <w:rsid w:val="00057EE7"/>
    <w:rsid w:val="0006028A"/>
    <w:rsid w:val="0006040A"/>
    <w:rsid w:val="000608D1"/>
    <w:rsid w:val="00060D66"/>
    <w:rsid w:val="00060EA7"/>
    <w:rsid w:val="00060F35"/>
    <w:rsid w:val="000612BD"/>
    <w:rsid w:val="0006195B"/>
    <w:rsid w:val="00061BC4"/>
    <w:rsid w:val="000620E4"/>
    <w:rsid w:val="00062246"/>
    <w:rsid w:val="000622B1"/>
    <w:rsid w:val="00062312"/>
    <w:rsid w:val="00062367"/>
    <w:rsid w:val="00062C77"/>
    <w:rsid w:val="00062F58"/>
    <w:rsid w:val="000630ED"/>
    <w:rsid w:val="0006321A"/>
    <w:rsid w:val="000634B6"/>
    <w:rsid w:val="000634E1"/>
    <w:rsid w:val="000636CD"/>
    <w:rsid w:val="00063A62"/>
    <w:rsid w:val="00063B8F"/>
    <w:rsid w:val="00063F60"/>
    <w:rsid w:val="0006402E"/>
    <w:rsid w:val="000642EE"/>
    <w:rsid w:val="0006478E"/>
    <w:rsid w:val="00064A54"/>
    <w:rsid w:val="00064B0D"/>
    <w:rsid w:val="00064C6A"/>
    <w:rsid w:val="00064CDC"/>
    <w:rsid w:val="00064D62"/>
    <w:rsid w:val="00064FD1"/>
    <w:rsid w:val="000650FE"/>
    <w:rsid w:val="00065250"/>
    <w:rsid w:val="000656EE"/>
    <w:rsid w:val="00065765"/>
    <w:rsid w:val="000657AC"/>
    <w:rsid w:val="00065838"/>
    <w:rsid w:val="00065CFB"/>
    <w:rsid w:val="00065EE7"/>
    <w:rsid w:val="000660D7"/>
    <w:rsid w:val="000662B0"/>
    <w:rsid w:val="00066388"/>
    <w:rsid w:val="00066496"/>
    <w:rsid w:val="00066B11"/>
    <w:rsid w:val="00066C47"/>
    <w:rsid w:val="00066F3B"/>
    <w:rsid w:val="000672D0"/>
    <w:rsid w:val="00067788"/>
    <w:rsid w:val="000678EF"/>
    <w:rsid w:val="00067B4E"/>
    <w:rsid w:val="00067F1A"/>
    <w:rsid w:val="000700A5"/>
    <w:rsid w:val="0007012D"/>
    <w:rsid w:val="00070526"/>
    <w:rsid w:val="000705A1"/>
    <w:rsid w:val="00071061"/>
    <w:rsid w:val="0007112F"/>
    <w:rsid w:val="00071159"/>
    <w:rsid w:val="00071440"/>
    <w:rsid w:val="0007170A"/>
    <w:rsid w:val="00071AF5"/>
    <w:rsid w:val="00071BC3"/>
    <w:rsid w:val="00071D11"/>
    <w:rsid w:val="00071EF9"/>
    <w:rsid w:val="000721D8"/>
    <w:rsid w:val="000726DF"/>
    <w:rsid w:val="00072BBB"/>
    <w:rsid w:val="00072C63"/>
    <w:rsid w:val="00072CCA"/>
    <w:rsid w:val="00073090"/>
    <w:rsid w:val="000730A2"/>
    <w:rsid w:val="000730B6"/>
    <w:rsid w:val="00073183"/>
    <w:rsid w:val="0007332F"/>
    <w:rsid w:val="00073598"/>
    <w:rsid w:val="00073987"/>
    <w:rsid w:val="00073C2B"/>
    <w:rsid w:val="00073CE9"/>
    <w:rsid w:val="00073DE2"/>
    <w:rsid w:val="00073FA3"/>
    <w:rsid w:val="000746C7"/>
    <w:rsid w:val="000747FC"/>
    <w:rsid w:val="0007490F"/>
    <w:rsid w:val="00074B3C"/>
    <w:rsid w:val="00074C76"/>
    <w:rsid w:val="00074D2E"/>
    <w:rsid w:val="00074F00"/>
    <w:rsid w:val="000752D0"/>
    <w:rsid w:val="000753E7"/>
    <w:rsid w:val="000758ED"/>
    <w:rsid w:val="00075A59"/>
    <w:rsid w:val="00075BD2"/>
    <w:rsid w:val="00075D8E"/>
    <w:rsid w:val="0007631B"/>
    <w:rsid w:val="00076A8E"/>
    <w:rsid w:val="00076B18"/>
    <w:rsid w:val="0007709B"/>
    <w:rsid w:val="0007714D"/>
    <w:rsid w:val="0007739E"/>
    <w:rsid w:val="000775A4"/>
    <w:rsid w:val="0007761D"/>
    <w:rsid w:val="0007771E"/>
    <w:rsid w:val="00077A35"/>
    <w:rsid w:val="00077CD7"/>
    <w:rsid w:val="00077CE1"/>
    <w:rsid w:val="00077E4E"/>
    <w:rsid w:val="000803C8"/>
    <w:rsid w:val="00080C71"/>
    <w:rsid w:val="00080D71"/>
    <w:rsid w:val="000813EF"/>
    <w:rsid w:val="0008184B"/>
    <w:rsid w:val="00081CB9"/>
    <w:rsid w:val="0008279C"/>
    <w:rsid w:val="000828F2"/>
    <w:rsid w:val="00082926"/>
    <w:rsid w:val="00082F0D"/>
    <w:rsid w:val="00082F73"/>
    <w:rsid w:val="00083114"/>
    <w:rsid w:val="00083195"/>
    <w:rsid w:val="000832DE"/>
    <w:rsid w:val="00083338"/>
    <w:rsid w:val="00083588"/>
    <w:rsid w:val="00083758"/>
    <w:rsid w:val="0008395C"/>
    <w:rsid w:val="00083BF8"/>
    <w:rsid w:val="00083D00"/>
    <w:rsid w:val="00083DF3"/>
    <w:rsid w:val="00083E43"/>
    <w:rsid w:val="00083ED8"/>
    <w:rsid w:val="00083FB2"/>
    <w:rsid w:val="000844E1"/>
    <w:rsid w:val="000848C9"/>
    <w:rsid w:val="000849E0"/>
    <w:rsid w:val="00084BAC"/>
    <w:rsid w:val="00085187"/>
    <w:rsid w:val="0008535F"/>
    <w:rsid w:val="000853EA"/>
    <w:rsid w:val="0008550B"/>
    <w:rsid w:val="00085FED"/>
    <w:rsid w:val="0008606E"/>
    <w:rsid w:val="000863C9"/>
    <w:rsid w:val="00086698"/>
    <w:rsid w:val="0008690E"/>
    <w:rsid w:val="00086B00"/>
    <w:rsid w:val="0008702D"/>
    <w:rsid w:val="0008712E"/>
    <w:rsid w:val="00087512"/>
    <w:rsid w:val="00087681"/>
    <w:rsid w:val="00087A65"/>
    <w:rsid w:val="00087DB3"/>
    <w:rsid w:val="00087FB5"/>
    <w:rsid w:val="000900A4"/>
    <w:rsid w:val="00090423"/>
    <w:rsid w:val="00090C48"/>
    <w:rsid w:val="00090EAC"/>
    <w:rsid w:val="00091238"/>
    <w:rsid w:val="00091483"/>
    <w:rsid w:val="0009177A"/>
    <w:rsid w:val="000918A5"/>
    <w:rsid w:val="000918B8"/>
    <w:rsid w:val="00091FED"/>
    <w:rsid w:val="00092000"/>
    <w:rsid w:val="00092001"/>
    <w:rsid w:val="0009207D"/>
    <w:rsid w:val="000922E7"/>
    <w:rsid w:val="00092409"/>
    <w:rsid w:val="00092533"/>
    <w:rsid w:val="000927BC"/>
    <w:rsid w:val="00092ACA"/>
    <w:rsid w:val="00092C55"/>
    <w:rsid w:val="00092C5D"/>
    <w:rsid w:val="00093039"/>
    <w:rsid w:val="00093201"/>
    <w:rsid w:val="000935E4"/>
    <w:rsid w:val="00093647"/>
    <w:rsid w:val="00093877"/>
    <w:rsid w:val="00093956"/>
    <w:rsid w:val="000939CD"/>
    <w:rsid w:val="00093AC3"/>
    <w:rsid w:val="00093C58"/>
    <w:rsid w:val="00093F0F"/>
    <w:rsid w:val="00094211"/>
    <w:rsid w:val="0009466A"/>
    <w:rsid w:val="000946C4"/>
    <w:rsid w:val="00094A66"/>
    <w:rsid w:val="00094E5A"/>
    <w:rsid w:val="000950D5"/>
    <w:rsid w:val="00095424"/>
    <w:rsid w:val="0009544F"/>
    <w:rsid w:val="00095505"/>
    <w:rsid w:val="000956C2"/>
    <w:rsid w:val="00095B0A"/>
    <w:rsid w:val="00095B80"/>
    <w:rsid w:val="0009616E"/>
    <w:rsid w:val="00096647"/>
    <w:rsid w:val="000966D1"/>
    <w:rsid w:val="000967F1"/>
    <w:rsid w:val="000971D9"/>
    <w:rsid w:val="00097525"/>
    <w:rsid w:val="000976A8"/>
    <w:rsid w:val="00097996"/>
    <w:rsid w:val="00097DBD"/>
    <w:rsid w:val="00097DC5"/>
    <w:rsid w:val="00097F74"/>
    <w:rsid w:val="000A00C9"/>
    <w:rsid w:val="000A02EE"/>
    <w:rsid w:val="000A0488"/>
    <w:rsid w:val="000A0622"/>
    <w:rsid w:val="000A06F4"/>
    <w:rsid w:val="000A08D5"/>
    <w:rsid w:val="000A0AB5"/>
    <w:rsid w:val="000A0DCF"/>
    <w:rsid w:val="000A0FFC"/>
    <w:rsid w:val="000A1166"/>
    <w:rsid w:val="000A1211"/>
    <w:rsid w:val="000A147A"/>
    <w:rsid w:val="000A14D0"/>
    <w:rsid w:val="000A1649"/>
    <w:rsid w:val="000A1652"/>
    <w:rsid w:val="000A18E0"/>
    <w:rsid w:val="000A205F"/>
    <w:rsid w:val="000A22EC"/>
    <w:rsid w:val="000A248C"/>
    <w:rsid w:val="000A24D5"/>
    <w:rsid w:val="000A26BC"/>
    <w:rsid w:val="000A26F0"/>
    <w:rsid w:val="000A2804"/>
    <w:rsid w:val="000A2815"/>
    <w:rsid w:val="000A281C"/>
    <w:rsid w:val="000A295C"/>
    <w:rsid w:val="000A2C64"/>
    <w:rsid w:val="000A2C6F"/>
    <w:rsid w:val="000A2C8C"/>
    <w:rsid w:val="000A2D78"/>
    <w:rsid w:val="000A2E46"/>
    <w:rsid w:val="000A2E47"/>
    <w:rsid w:val="000A2E61"/>
    <w:rsid w:val="000A305F"/>
    <w:rsid w:val="000A313D"/>
    <w:rsid w:val="000A337A"/>
    <w:rsid w:val="000A33C5"/>
    <w:rsid w:val="000A37E0"/>
    <w:rsid w:val="000A38A4"/>
    <w:rsid w:val="000A3910"/>
    <w:rsid w:val="000A3C90"/>
    <w:rsid w:val="000A3FC2"/>
    <w:rsid w:val="000A4343"/>
    <w:rsid w:val="000A4372"/>
    <w:rsid w:val="000A438B"/>
    <w:rsid w:val="000A4497"/>
    <w:rsid w:val="000A4798"/>
    <w:rsid w:val="000A48BF"/>
    <w:rsid w:val="000A499B"/>
    <w:rsid w:val="000A4D79"/>
    <w:rsid w:val="000A4ECB"/>
    <w:rsid w:val="000A5763"/>
    <w:rsid w:val="000A57B0"/>
    <w:rsid w:val="000A5FC0"/>
    <w:rsid w:val="000A6407"/>
    <w:rsid w:val="000A64F4"/>
    <w:rsid w:val="000A66D9"/>
    <w:rsid w:val="000A6819"/>
    <w:rsid w:val="000A6A82"/>
    <w:rsid w:val="000A7226"/>
    <w:rsid w:val="000A747C"/>
    <w:rsid w:val="000A7882"/>
    <w:rsid w:val="000A7B1B"/>
    <w:rsid w:val="000A7E13"/>
    <w:rsid w:val="000A7FB4"/>
    <w:rsid w:val="000B001F"/>
    <w:rsid w:val="000B01BC"/>
    <w:rsid w:val="000B0215"/>
    <w:rsid w:val="000B032B"/>
    <w:rsid w:val="000B05D9"/>
    <w:rsid w:val="000B0839"/>
    <w:rsid w:val="000B08C4"/>
    <w:rsid w:val="000B0B61"/>
    <w:rsid w:val="000B0BAB"/>
    <w:rsid w:val="000B0D2E"/>
    <w:rsid w:val="000B1AF8"/>
    <w:rsid w:val="000B205B"/>
    <w:rsid w:val="000B22AD"/>
    <w:rsid w:val="000B29A6"/>
    <w:rsid w:val="000B3112"/>
    <w:rsid w:val="000B3373"/>
    <w:rsid w:val="000B35AA"/>
    <w:rsid w:val="000B3B70"/>
    <w:rsid w:val="000B3C88"/>
    <w:rsid w:val="000B4075"/>
    <w:rsid w:val="000B421F"/>
    <w:rsid w:val="000B4A2E"/>
    <w:rsid w:val="000B4B17"/>
    <w:rsid w:val="000B4D11"/>
    <w:rsid w:val="000B4E32"/>
    <w:rsid w:val="000B531A"/>
    <w:rsid w:val="000B5B15"/>
    <w:rsid w:val="000B5D96"/>
    <w:rsid w:val="000B606C"/>
    <w:rsid w:val="000B61A8"/>
    <w:rsid w:val="000B6214"/>
    <w:rsid w:val="000B675B"/>
    <w:rsid w:val="000B6BCB"/>
    <w:rsid w:val="000B6C88"/>
    <w:rsid w:val="000B7005"/>
    <w:rsid w:val="000B735A"/>
    <w:rsid w:val="000B7561"/>
    <w:rsid w:val="000B75DE"/>
    <w:rsid w:val="000B7B39"/>
    <w:rsid w:val="000C0160"/>
    <w:rsid w:val="000C01D1"/>
    <w:rsid w:val="000C06C6"/>
    <w:rsid w:val="000C080F"/>
    <w:rsid w:val="000C0E49"/>
    <w:rsid w:val="000C10E6"/>
    <w:rsid w:val="000C10F1"/>
    <w:rsid w:val="000C1643"/>
    <w:rsid w:val="000C16D9"/>
    <w:rsid w:val="000C170B"/>
    <w:rsid w:val="000C180D"/>
    <w:rsid w:val="000C1943"/>
    <w:rsid w:val="000C1A42"/>
    <w:rsid w:val="000C1D6C"/>
    <w:rsid w:val="000C22A2"/>
    <w:rsid w:val="000C2402"/>
    <w:rsid w:val="000C279E"/>
    <w:rsid w:val="000C2940"/>
    <w:rsid w:val="000C297A"/>
    <w:rsid w:val="000C2D71"/>
    <w:rsid w:val="000C2DBF"/>
    <w:rsid w:val="000C2F6B"/>
    <w:rsid w:val="000C2F7B"/>
    <w:rsid w:val="000C303C"/>
    <w:rsid w:val="000C3335"/>
    <w:rsid w:val="000C33AD"/>
    <w:rsid w:val="000C3440"/>
    <w:rsid w:val="000C35B3"/>
    <w:rsid w:val="000C369C"/>
    <w:rsid w:val="000C3D7F"/>
    <w:rsid w:val="000C3DD1"/>
    <w:rsid w:val="000C3E54"/>
    <w:rsid w:val="000C3F5C"/>
    <w:rsid w:val="000C3F8D"/>
    <w:rsid w:val="000C42E9"/>
    <w:rsid w:val="000C44CB"/>
    <w:rsid w:val="000C45A0"/>
    <w:rsid w:val="000C46D0"/>
    <w:rsid w:val="000C479C"/>
    <w:rsid w:val="000C480F"/>
    <w:rsid w:val="000C485A"/>
    <w:rsid w:val="000C4993"/>
    <w:rsid w:val="000C49DD"/>
    <w:rsid w:val="000C49FB"/>
    <w:rsid w:val="000C4C1B"/>
    <w:rsid w:val="000C5201"/>
    <w:rsid w:val="000C5301"/>
    <w:rsid w:val="000C584A"/>
    <w:rsid w:val="000C5B89"/>
    <w:rsid w:val="000C5DA3"/>
    <w:rsid w:val="000C64BE"/>
    <w:rsid w:val="000C65B8"/>
    <w:rsid w:val="000C65E3"/>
    <w:rsid w:val="000C6926"/>
    <w:rsid w:val="000C6A02"/>
    <w:rsid w:val="000C6A0B"/>
    <w:rsid w:val="000C6A61"/>
    <w:rsid w:val="000C6F0D"/>
    <w:rsid w:val="000C70E3"/>
    <w:rsid w:val="000C7171"/>
    <w:rsid w:val="000C7773"/>
    <w:rsid w:val="000C7878"/>
    <w:rsid w:val="000C789B"/>
    <w:rsid w:val="000C7C8F"/>
    <w:rsid w:val="000C7D6E"/>
    <w:rsid w:val="000C7FF0"/>
    <w:rsid w:val="000D0123"/>
    <w:rsid w:val="000D067C"/>
    <w:rsid w:val="000D06FD"/>
    <w:rsid w:val="000D08F0"/>
    <w:rsid w:val="000D09E3"/>
    <w:rsid w:val="000D09FA"/>
    <w:rsid w:val="000D0A8E"/>
    <w:rsid w:val="000D0B38"/>
    <w:rsid w:val="000D0BE1"/>
    <w:rsid w:val="000D11D9"/>
    <w:rsid w:val="000D131B"/>
    <w:rsid w:val="000D1487"/>
    <w:rsid w:val="000D1B45"/>
    <w:rsid w:val="000D1E26"/>
    <w:rsid w:val="000D26A2"/>
    <w:rsid w:val="000D2742"/>
    <w:rsid w:val="000D2790"/>
    <w:rsid w:val="000D290A"/>
    <w:rsid w:val="000D2D51"/>
    <w:rsid w:val="000D2E68"/>
    <w:rsid w:val="000D33AC"/>
    <w:rsid w:val="000D342D"/>
    <w:rsid w:val="000D3465"/>
    <w:rsid w:val="000D37E7"/>
    <w:rsid w:val="000D39AD"/>
    <w:rsid w:val="000D3B1D"/>
    <w:rsid w:val="000D3C1B"/>
    <w:rsid w:val="000D42FF"/>
    <w:rsid w:val="000D44AB"/>
    <w:rsid w:val="000D4516"/>
    <w:rsid w:val="000D471E"/>
    <w:rsid w:val="000D4D38"/>
    <w:rsid w:val="000D4D63"/>
    <w:rsid w:val="000D4E82"/>
    <w:rsid w:val="000D4F4D"/>
    <w:rsid w:val="000D5052"/>
    <w:rsid w:val="000D508C"/>
    <w:rsid w:val="000D5470"/>
    <w:rsid w:val="000D54BE"/>
    <w:rsid w:val="000D5627"/>
    <w:rsid w:val="000D56DB"/>
    <w:rsid w:val="000D5B11"/>
    <w:rsid w:val="000D5ED9"/>
    <w:rsid w:val="000D6465"/>
    <w:rsid w:val="000D64D3"/>
    <w:rsid w:val="000D67C5"/>
    <w:rsid w:val="000D716C"/>
    <w:rsid w:val="000D7240"/>
    <w:rsid w:val="000D7331"/>
    <w:rsid w:val="000D7562"/>
    <w:rsid w:val="000D77C0"/>
    <w:rsid w:val="000D7A98"/>
    <w:rsid w:val="000D7D9E"/>
    <w:rsid w:val="000D7E2B"/>
    <w:rsid w:val="000D7F32"/>
    <w:rsid w:val="000E02E8"/>
    <w:rsid w:val="000E04B4"/>
    <w:rsid w:val="000E04BD"/>
    <w:rsid w:val="000E0635"/>
    <w:rsid w:val="000E07F4"/>
    <w:rsid w:val="000E08FA"/>
    <w:rsid w:val="000E0A6C"/>
    <w:rsid w:val="000E175A"/>
    <w:rsid w:val="000E1BFB"/>
    <w:rsid w:val="000E1DC0"/>
    <w:rsid w:val="000E1F13"/>
    <w:rsid w:val="000E2270"/>
    <w:rsid w:val="000E23D1"/>
    <w:rsid w:val="000E24FB"/>
    <w:rsid w:val="000E260C"/>
    <w:rsid w:val="000E2752"/>
    <w:rsid w:val="000E27AB"/>
    <w:rsid w:val="000E2B30"/>
    <w:rsid w:val="000E2D50"/>
    <w:rsid w:val="000E2DD8"/>
    <w:rsid w:val="000E2E55"/>
    <w:rsid w:val="000E2FFA"/>
    <w:rsid w:val="000E3178"/>
    <w:rsid w:val="000E37E3"/>
    <w:rsid w:val="000E41AB"/>
    <w:rsid w:val="000E4310"/>
    <w:rsid w:val="000E46DD"/>
    <w:rsid w:val="000E4796"/>
    <w:rsid w:val="000E4990"/>
    <w:rsid w:val="000E4D94"/>
    <w:rsid w:val="000E4E46"/>
    <w:rsid w:val="000E4EC9"/>
    <w:rsid w:val="000E4F30"/>
    <w:rsid w:val="000E531A"/>
    <w:rsid w:val="000E5372"/>
    <w:rsid w:val="000E57B5"/>
    <w:rsid w:val="000E5BC4"/>
    <w:rsid w:val="000E622F"/>
    <w:rsid w:val="000E623B"/>
    <w:rsid w:val="000E64A3"/>
    <w:rsid w:val="000E68A7"/>
    <w:rsid w:val="000E6A55"/>
    <w:rsid w:val="000E6A87"/>
    <w:rsid w:val="000E6A90"/>
    <w:rsid w:val="000E6CA0"/>
    <w:rsid w:val="000E6CC0"/>
    <w:rsid w:val="000E6F3F"/>
    <w:rsid w:val="000E7700"/>
    <w:rsid w:val="000E7907"/>
    <w:rsid w:val="000E7BE4"/>
    <w:rsid w:val="000F0EB5"/>
    <w:rsid w:val="000F11F8"/>
    <w:rsid w:val="000F1902"/>
    <w:rsid w:val="000F1AAB"/>
    <w:rsid w:val="000F1C67"/>
    <w:rsid w:val="000F2299"/>
    <w:rsid w:val="000F22C3"/>
    <w:rsid w:val="000F2307"/>
    <w:rsid w:val="000F253E"/>
    <w:rsid w:val="000F2597"/>
    <w:rsid w:val="000F2789"/>
    <w:rsid w:val="000F27C2"/>
    <w:rsid w:val="000F2B53"/>
    <w:rsid w:val="000F2F0A"/>
    <w:rsid w:val="000F2F42"/>
    <w:rsid w:val="000F3041"/>
    <w:rsid w:val="000F311E"/>
    <w:rsid w:val="000F33C5"/>
    <w:rsid w:val="000F33DC"/>
    <w:rsid w:val="000F3558"/>
    <w:rsid w:val="000F3903"/>
    <w:rsid w:val="000F3B4E"/>
    <w:rsid w:val="000F3C0D"/>
    <w:rsid w:val="000F41F6"/>
    <w:rsid w:val="000F423D"/>
    <w:rsid w:val="000F436F"/>
    <w:rsid w:val="000F46D6"/>
    <w:rsid w:val="000F46FA"/>
    <w:rsid w:val="000F4CF4"/>
    <w:rsid w:val="000F4D1A"/>
    <w:rsid w:val="000F4F41"/>
    <w:rsid w:val="000F5471"/>
    <w:rsid w:val="000F5812"/>
    <w:rsid w:val="000F5A9E"/>
    <w:rsid w:val="000F5AF6"/>
    <w:rsid w:val="000F5E98"/>
    <w:rsid w:val="000F6889"/>
    <w:rsid w:val="000F68AE"/>
    <w:rsid w:val="000F68C9"/>
    <w:rsid w:val="000F6A66"/>
    <w:rsid w:val="000F6B19"/>
    <w:rsid w:val="000F6BED"/>
    <w:rsid w:val="000F6E4D"/>
    <w:rsid w:val="000F6E59"/>
    <w:rsid w:val="000F72B3"/>
    <w:rsid w:val="000F72FE"/>
    <w:rsid w:val="000F7300"/>
    <w:rsid w:val="000F768B"/>
    <w:rsid w:val="000F7754"/>
    <w:rsid w:val="000F77A3"/>
    <w:rsid w:val="000F7970"/>
    <w:rsid w:val="000F7A05"/>
    <w:rsid w:val="000F7E65"/>
    <w:rsid w:val="0010064C"/>
    <w:rsid w:val="001008F4"/>
    <w:rsid w:val="00100A25"/>
    <w:rsid w:val="00100CF3"/>
    <w:rsid w:val="00100D5D"/>
    <w:rsid w:val="00100FF7"/>
    <w:rsid w:val="001013F6"/>
    <w:rsid w:val="001018F2"/>
    <w:rsid w:val="001019F3"/>
    <w:rsid w:val="00101B26"/>
    <w:rsid w:val="00101C76"/>
    <w:rsid w:val="00101E75"/>
    <w:rsid w:val="001021C9"/>
    <w:rsid w:val="001022AA"/>
    <w:rsid w:val="00102768"/>
    <w:rsid w:val="00102871"/>
    <w:rsid w:val="00102F25"/>
    <w:rsid w:val="001030A7"/>
    <w:rsid w:val="00103197"/>
    <w:rsid w:val="001032F2"/>
    <w:rsid w:val="001037D7"/>
    <w:rsid w:val="00103BD7"/>
    <w:rsid w:val="00103E35"/>
    <w:rsid w:val="0010405C"/>
    <w:rsid w:val="0010410F"/>
    <w:rsid w:val="001048E0"/>
    <w:rsid w:val="00104A47"/>
    <w:rsid w:val="00104D93"/>
    <w:rsid w:val="00104E59"/>
    <w:rsid w:val="001051B1"/>
    <w:rsid w:val="001052DD"/>
    <w:rsid w:val="001053D7"/>
    <w:rsid w:val="00105431"/>
    <w:rsid w:val="001054F3"/>
    <w:rsid w:val="00105649"/>
    <w:rsid w:val="001056B7"/>
    <w:rsid w:val="001056F3"/>
    <w:rsid w:val="00105F9B"/>
    <w:rsid w:val="00106666"/>
    <w:rsid w:val="001066DE"/>
    <w:rsid w:val="00106712"/>
    <w:rsid w:val="001069ED"/>
    <w:rsid w:val="001069FA"/>
    <w:rsid w:val="00106EC9"/>
    <w:rsid w:val="00106ED5"/>
    <w:rsid w:val="001075E1"/>
    <w:rsid w:val="0010761C"/>
    <w:rsid w:val="00107720"/>
    <w:rsid w:val="00107917"/>
    <w:rsid w:val="00107988"/>
    <w:rsid w:val="00107A30"/>
    <w:rsid w:val="00107BE7"/>
    <w:rsid w:val="00107C81"/>
    <w:rsid w:val="00107CA5"/>
    <w:rsid w:val="00110002"/>
    <w:rsid w:val="0011020C"/>
    <w:rsid w:val="0011041B"/>
    <w:rsid w:val="00110952"/>
    <w:rsid w:val="0011095E"/>
    <w:rsid w:val="00110AB2"/>
    <w:rsid w:val="00110C4F"/>
    <w:rsid w:val="00110F85"/>
    <w:rsid w:val="00110F86"/>
    <w:rsid w:val="0011106D"/>
    <w:rsid w:val="00111102"/>
    <w:rsid w:val="0011136F"/>
    <w:rsid w:val="001113D0"/>
    <w:rsid w:val="0011146C"/>
    <w:rsid w:val="0011192C"/>
    <w:rsid w:val="001119E7"/>
    <w:rsid w:val="00111A2E"/>
    <w:rsid w:val="00111EFC"/>
    <w:rsid w:val="00111FD9"/>
    <w:rsid w:val="001120C9"/>
    <w:rsid w:val="00112362"/>
    <w:rsid w:val="001124F5"/>
    <w:rsid w:val="001125BE"/>
    <w:rsid w:val="001129B4"/>
    <w:rsid w:val="00112A69"/>
    <w:rsid w:val="00112B09"/>
    <w:rsid w:val="00112E56"/>
    <w:rsid w:val="00112EE9"/>
    <w:rsid w:val="00112F12"/>
    <w:rsid w:val="001130C3"/>
    <w:rsid w:val="00113435"/>
    <w:rsid w:val="001137F5"/>
    <w:rsid w:val="00113863"/>
    <w:rsid w:val="001139FD"/>
    <w:rsid w:val="00113B06"/>
    <w:rsid w:val="00113C30"/>
    <w:rsid w:val="00114050"/>
    <w:rsid w:val="0011429D"/>
    <w:rsid w:val="0011442C"/>
    <w:rsid w:val="001144D4"/>
    <w:rsid w:val="001145F5"/>
    <w:rsid w:val="00114E3C"/>
    <w:rsid w:val="00114EC3"/>
    <w:rsid w:val="00114F52"/>
    <w:rsid w:val="00114F65"/>
    <w:rsid w:val="001151B8"/>
    <w:rsid w:val="001152CB"/>
    <w:rsid w:val="00115365"/>
    <w:rsid w:val="001153F8"/>
    <w:rsid w:val="0011581D"/>
    <w:rsid w:val="00115CE7"/>
    <w:rsid w:val="0011636F"/>
    <w:rsid w:val="001164B6"/>
    <w:rsid w:val="00116B59"/>
    <w:rsid w:val="00116B70"/>
    <w:rsid w:val="00116F40"/>
    <w:rsid w:val="00116F51"/>
    <w:rsid w:val="00116FE7"/>
    <w:rsid w:val="0011722A"/>
    <w:rsid w:val="0011726F"/>
    <w:rsid w:val="001175F4"/>
    <w:rsid w:val="00117A5A"/>
    <w:rsid w:val="00120201"/>
    <w:rsid w:val="001208B5"/>
    <w:rsid w:val="00120941"/>
    <w:rsid w:val="0012156C"/>
    <w:rsid w:val="00121E03"/>
    <w:rsid w:val="00121FA0"/>
    <w:rsid w:val="0012205D"/>
    <w:rsid w:val="001225EA"/>
    <w:rsid w:val="001226B7"/>
    <w:rsid w:val="001228A6"/>
    <w:rsid w:val="001228E5"/>
    <w:rsid w:val="00122A43"/>
    <w:rsid w:val="00122C5C"/>
    <w:rsid w:val="00122CCE"/>
    <w:rsid w:val="00122D41"/>
    <w:rsid w:val="00122E10"/>
    <w:rsid w:val="00123117"/>
    <w:rsid w:val="00123350"/>
    <w:rsid w:val="00123427"/>
    <w:rsid w:val="00123788"/>
    <w:rsid w:val="00123924"/>
    <w:rsid w:val="00123BC2"/>
    <w:rsid w:val="00123E70"/>
    <w:rsid w:val="0012424D"/>
    <w:rsid w:val="00124596"/>
    <w:rsid w:val="00124B0C"/>
    <w:rsid w:val="00124D74"/>
    <w:rsid w:val="00124DE6"/>
    <w:rsid w:val="00124FEB"/>
    <w:rsid w:val="0012564A"/>
    <w:rsid w:val="00125A05"/>
    <w:rsid w:val="00125A0D"/>
    <w:rsid w:val="00125D9B"/>
    <w:rsid w:val="00125F81"/>
    <w:rsid w:val="00126476"/>
    <w:rsid w:val="001264AD"/>
    <w:rsid w:val="001264F6"/>
    <w:rsid w:val="00126535"/>
    <w:rsid w:val="001265B6"/>
    <w:rsid w:val="00126886"/>
    <w:rsid w:val="00126B05"/>
    <w:rsid w:val="00126C68"/>
    <w:rsid w:val="00126E6A"/>
    <w:rsid w:val="00126F34"/>
    <w:rsid w:val="00127241"/>
    <w:rsid w:val="001277C3"/>
    <w:rsid w:val="001278DD"/>
    <w:rsid w:val="00127F4F"/>
    <w:rsid w:val="001302BF"/>
    <w:rsid w:val="00130381"/>
    <w:rsid w:val="001303B2"/>
    <w:rsid w:val="001309DD"/>
    <w:rsid w:val="00130A4F"/>
    <w:rsid w:val="00130A64"/>
    <w:rsid w:val="00130B6D"/>
    <w:rsid w:val="00130C0F"/>
    <w:rsid w:val="00130CBE"/>
    <w:rsid w:val="0013120F"/>
    <w:rsid w:val="00131661"/>
    <w:rsid w:val="00131666"/>
    <w:rsid w:val="001316CE"/>
    <w:rsid w:val="001319CB"/>
    <w:rsid w:val="00131B4B"/>
    <w:rsid w:val="00131BC7"/>
    <w:rsid w:val="00131CC3"/>
    <w:rsid w:val="00131E74"/>
    <w:rsid w:val="001322F8"/>
    <w:rsid w:val="001324D5"/>
    <w:rsid w:val="001326D4"/>
    <w:rsid w:val="00132990"/>
    <w:rsid w:val="00132A11"/>
    <w:rsid w:val="00132AB7"/>
    <w:rsid w:val="00133001"/>
    <w:rsid w:val="00133197"/>
    <w:rsid w:val="00133C03"/>
    <w:rsid w:val="00134060"/>
    <w:rsid w:val="00134153"/>
    <w:rsid w:val="0013421C"/>
    <w:rsid w:val="00134360"/>
    <w:rsid w:val="001343BE"/>
    <w:rsid w:val="001345B8"/>
    <w:rsid w:val="0013481A"/>
    <w:rsid w:val="00134867"/>
    <w:rsid w:val="001349F8"/>
    <w:rsid w:val="00134B3F"/>
    <w:rsid w:val="00134CA0"/>
    <w:rsid w:val="00134EE9"/>
    <w:rsid w:val="0013531C"/>
    <w:rsid w:val="00135576"/>
    <w:rsid w:val="0013567D"/>
    <w:rsid w:val="00135801"/>
    <w:rsid w:val="00135967"/>
    <w:rsid w:val="00135F14"/>
    <w:rsid w:val="00136284"/>
    <w:rsid w:val="0013639D"/>
    <w:rsid w:val="001366B0"/>
    <w:rsid w:val="00136847"/>
    <w:rsid w:val="00136C9A"/>
    <w:rsid w:val="00136DA2"/>
    <w:rsid w:val="00136F6E"/>
    <w:rsid w:val="00137154"/>
    <w:rsid w:val="0013717F"/>
    <w:rsid w:val="0013721C"/>
    <w:rsid w:val="001377CB"/>
    <w:rsid w:val="00137B4F"/>
    <w:rsid w:val="00137CC0"/>
    <w:rsid w:val="00137E17"/>
    <w:rsid w:val="00137E25"/>
    <w:rsid w:val="00137F3D"/>
    <w:rsid w:val="00137F4C"/>
    <w:rsid w:val="0014022A"/>
    <w:rsid w:val="00140266"/>
    <w:rsid w:val="0014087F"/>
    <w:rsid w:val="00140A04"/>
    <w:rsid w:val="00140C66"/>
    <w:rsid w:val="001412D5"/>
    <w:rsid w:val="001414D1"/>
    <w:rsid w:val="00141690"/>
    <w:rsid w:val="001417B6"/>
    <w:rsid w:val="00141915"/>
    <w:rsid w:val="00141A00"/>
    <w:rsid w:val="00141A11"/>
    <w:rsid w:val="00141B4C"/>
    <w:rsid w:val="00141C5F"/>
    <w:rsid w:val="00141D24"/>
    <w:rsid w:val="00141DB9"/>
    <w:rsid w:val="00141DCE"/>
    <w:rsid w:val="001423FA"/>
    <w:rsid w:val="0014255B"/>
    <w:rsid w:val="0014294A"/>
    <w:rsid w:val="001429AA"/>
    <w:rsid w:val="00142A0D"/>
    <w:rsid w:val="00142E6C"/>
    <w:rsid w:val="00142F62"/>
    <w:rsid w:val="00142F9E"/>
    <w:rsid w:val="001431BD"/>
    <w:rsid w:val="00143264"/>
    <w:rsid w:val="001433E4"/>
    <w:rsid w:val="001436C2"/>
    <w:rsid w:val="001436D6"/>
    <w:rsid w:val="00143A89"/>
    <w:rsid w:val="00143D5E"/>
    <w:rsid w:val="0014430B"/>
    <w:rsid w:val="00144312"/>
    <w:rsid w:val="00144F73"/>
    <w:rsid w:val="0014501E"/>
    <w:rsid w:val="0014507B"/>
    <w:rsid w:val="0014528A"/>
    <w:rsid w:val="00145432"/>
    <w:rsid w:val="001455E7"/>
    <w:rsid w:val="001457A9"/>
    <w:rsid w:val="00145952"/>
    <w:rsid w:val="00145A7F"/>
    <w:rsid w:val="00145D2F"/>
    <w:rsid w:val="00145EB0"/>
    <w:rsid w:val="00145FAB"/>
    <w:rsid w:val="00146102"/>
    <w:rsid w:val="0014627F"/>
    <w:rsid w:val="00146BD7"/>
    <w:rsid w:val="00146CA1"/>
    <w:rsid w:val="00146D62"/>
    <w:rsid w:val="00146DDE"/>
    <w:rsid w:val="00146E95"/>
    <w:rsid w:val="00146EC6"/>
    <w:rsid w:val="001471F6"/>
    <w:rsid w:val="001474BD"/>
    <w:rsid w:val="00147651"/>
    <w:rsid w:val="001477DE"/>
    <w:rsid w:val="0014787F"/>
    <w:rsid w:val="0014796F"/>
    <w:rsid w:val="00147C55"/>
    <w:rsid w:val="00147CF2"/>
    <w:rsid w:val="00147D48"/>
    <w:rsid w:val="001500B4"/>
    <w:rsid w:val="001502F5"/>
    <w:rsid w:val="0015035C"/>
    <w:rsid w:val="00150503"/>
    <w:rsid w:val="0015059E"/>
    <w:rsid w:val="001505BD"/>
    <w:rsid w:val="0015060A"/>
    <w:rsid w:val="00150BAF"/>
    <w:rsid w:val="00151260"/>
    <w:rsid w:val="0015196D"/>
    <w:rsid w:val="00151AB0"/>
    <w:rsid w:val="00151BB7"/>
    <w:rsid w:val="00151D5E"/>
    <w:rsid w:val="00151EC8"/>
    <w:rsid w:val="0015249B"/>
    <w:rsid w:val="001525AE"/>
    <w:rsid w:val="001525E5"/>
    <w:rsid w:val="0015260D"/>
    <w:rsid w:val="00152669"/>
    <w:rsid w:val="001529AD"/>
    <w:rsid w:val="00152C6C"/>
    <w:rsid w:val="00152CEF"/>
    <w:rsid w:val="0015321D"/>
    <w:rsid w:val="00153906"/>
    <w:rsid w:val="0015397E"/>
    <w:rsid w:val="00153994"/>
    <w:rsid w:val="00153A25"/>
    <w:rsid w:val="00153B8E"/>
    <w:rsid w:val="00153C0B"/>
    <w:rsid w:val="00154151"/>
    <w:rsid w:val="00154399"/>
    <w:rsid w:val="00154763"/>
    <w:rsid w:val="001549AC"/>
    <w:rsid w:val="00154E7C"/>
    <w:rsid w:val="00155105"/>
    <w:rsid w:val="0015521E"/>
    <w:rsid w:val="001553A6"/>
    <w:rsid w:val="0015575F"/>
    <w:rsid w:val="00155AB2"/>
    <w:rsid w:val="00155E5D"/>
    <w:rsid w:val="00155F4F"/>
    <w:rsid w:val="00156892"/>
    <w:rsid w:val="00156B64"/>
    <w:rsid w:val="00156D91"/>
    <w:rsid w:val="00156ED9"/>
    <w:rsid w:val="001577D4"/>
    <w:rsid w:val="0015781F"/>
    <w:rsid w:val="001578BF"/>
    <w:rsid w:val="001579CC"/>
    <w:rsid w:val="00157A6F"/>
    <w:rsid w:val="00157A86"/>
    <w:rsid w:val="00157D7E"/>
    <w:rsid w:val="001604AE"/>
    <w:rsid w:val="001609EE"/>
    <w:rsid w:val="00160BCA"/>
    <w:rsid w:val="00160D77"/>
    <w:rsid w:val="00160F54"/>
    <w:rsid w:val="001611B4"/>
    <w:rsid w:val="0016169D"/>
    <w:rsid w:val="0016173D"/>
    <w:rsid w:val="0016190C"/>
    <w:rsid w:val="00161DDA"/>
    <w:rsid w:val="001620E8"/>
    <w:rsid w:val="00162158"/>
    <w:rsid w:val="001622B1"/>
    <w:rsid w:val="001624A8"/>
    <w:rsid w:val="0016253D"/>
    <w:rsid w:val="0016318A"/>
    <w:rsid w:val="00163200"/>
    <w:rsid w:val="00163419"/>
    <w:rsid w:val="00163432"/>
    <w:rsid w:val="0016345F"/>
    <w:rsid w:val="001639EF"/>
    <w:rsid w:val="00163AF7"/>
    <w:rsid w:val="0016471A"/>
    <w:rsid w:val="00165120"/>
    <w:rsid w:val="00165582"/>
    <w:rsid w:val="001655A9"/>
    <w:rsid w:val="00165768"/>
    <w:rsid w:val="00165B66"/>
    <w:rsid w:val="00165CF3"/>
    <w:rsid w:val="0016618F"/>
    <w:rsid w:val="001663F1"/>
    <w:rsid w:val="00166441"/>
    <w:rsid w:val="0016669F"/>
    <w:rsid w:val="00166924"/>
    <w:rsid w:val="0016696B"/>
    <w:rsid w:val="001669A4"/>
    <w:rsid w:val="00166AA6"/>
    <w:rsid w:val="00166AC7"/>
    <w:rsid w:val="00166AEA"/>
    <w:rsid w:val="00166B1E"/>
    <w:rsid w:val="00166C26"/>
    <w:rsid w:val="00166D5F"/>
    <w:rsid w:val="00167066"/>
    <w:rsid w:val="001670CE"/>
    <w:rsid w:val="00167487"/>
    <w:rsid w:val="00167531"/>
    <w:rsid w:val="001675E4"/>
    <w:rsid w:val="0016791C"/>
    <w:rsid w:val="00167A7D"/>
    <w:rsid w:val="00167B15"/>
    <w:rsid w:val="00167C4F"/>
    <w:rsid w:val="00167E54"/>
    <w:rsid w:val="0017029E"/>
    <w:rsid w:val="00170312"/>
    <w:rsid w:val="00170369"/>
    <w:rsid w:val="001707A8"/>
    <w:rsid w:val="00170920"/>
    <w:rsid w:val="00170CB9"/>
    <w:rsid w:val="00170DBC"/>
    <w:rsid w:val="001710ED"/>
    <w:rsid w:val="0017125C"/>
    <w:rsid w:val="00171462"/>
    <w:rsid w:val="00171813"/>
    <w:rsid w:val="00171F9C"/>
    <w:rsid w:val="00171FC5"/>
    <w:rsid w:val="001721CC"/>
    <w:rsid w:val="00172332"/>
    <w:rsid w:val="0017287B"/>
    <w:rsid w:val="001729FF"/>
    <w:rsid w:val="00172B20"/>
    <w:rsid w:val="0017301B"/>
    <w:rsid w:val="001730B3"/>
    <w:rsid w:val="001730D3"/>
    <w:rsid w:val="001733A5"/>
    <w:rsid w:val="00174780"/>
    <w:rsid w:val="00174B50"/>
    <w:rsid w:val="00174C74"/>
    <w:rsid w:val="001750E2"/>
    <w:rsid w:val="00175151"/>
    <w:rsid w:val="00175176"/>
    <w:rsid w:val="001752AA"/>
    <w:rsid w:val="001752C9"/>
    <w:rsid w:val="001754A3"/>
    <w:rsid w:val="001754DB"/>
    <w:rsid w:val="00175670"/>
    <w:rsid w:val="00175988"/>
    <w:rsid w:val="00175CD7"/>
    <w:rsid w:val="00175E48"/>
    <w:rsid w:val="00176063"/>
    <w:rsid w:val="00176376"/>
    <w:rsid w:val="0017673C"/>
    <w:rsid w:val="0017695F"/>
    <w:rsid w:val="001772A0"/>
    <w:rsid w:val="001772CB"/>
    <w:rsid w:val="00177760"/>
    <w:rsid w:val="0017779B"/>
    <w:rsid w:val="001778CB"/>
    <w:rsid w:val="00177D16"/>
    <w:rsid w:val="00177E23"/>
    <w:rsid w:val="001801FC"/>
    <w:rsid w:val="001802D8"/>
    <w:rsid w:val="00180342"/>
    <w:rsid w:val="001805C5"/>
    <w:rsid w:val="00180819"/>
    <w:rsid w:val="001809C6"/>
    <w:rsid w:val="00180C28"/>
    <w:rsid w:val="00180F81"/>
    <w:rsid w:val="00181081"/>
    <w:rsid w:val="00181ABE"/>
    <w:rsid w:val="00181C52"/>
    <w:rsid w:val="00182329"/>
    <w:rsid w:val="0018251E"/>
    <w:rsid w:val="00182568"/>
    <w:rsid w:val="001826B8"/>
    <w:rsid w:val="00182792"/>
    <w:rsid w:val="00182854"/>
    <w:rsid w:val="001829AC"/>
    <w:rsid w:val="00182CE6"/>
    <w:rsid w:val="00182D3A"/>
    <w:rsid w:val="001830CF"/>
    <w:rsid w:val="0018356C"/>
    <w:rsid w:val="00183763"/>
    <w:rsid w:val="0018398E"/>
    <w:rsid w:val="00183BC5"/>
    <w:rsid w:val="00183C38"/>
    <w:rsid w:val="00183CAA"/>
    <w:rsid w:val="00183D01"/>
    <w:rsid w:val="00183DC0"/>
    <w:rsid w:val="00183E4B"/>
    <w:rsid w:val="00183EDD"/>
    <w:rsid w:val="00183FA0"/>
    <w:rsid w:val="00183FB1"/>
    <w:rsid w:val="001842B0"/>
    <w:rsid w:val="00184537"/>
    <w:rsid w:val="00184795"/>
    <w:rsid w:val="00184A54"/>
    <w:rsid w:val="001853B1"/>
    <w:rsid w:val="0018555C"/>
    <w:rsid w:val="00185570"/>
    <w:rsid w:val="001855A1"/>
    <w:rsid w:val="00185973"/>
    <w:rsid w:val="00185CB3"/>
    <w:rsid w:val="001863AC"/>
    <w:rsid w:val="001867C2"/>
    <w:rsid w:val="001868E9"/>
    <w:rsid w:val="00186F6F"/>
    <w:rsid w:val="00187251"/>
    <w:rsid w:val="00187573"/>
    <w:rsid w:val="00187699"/>
    <w:rsid w:val="00187A87"/>
    <w:rsid w:val="00187B76"/>
    <w:rsid w:val="00187E1D"/>
    <w:rsid w:val="00187E94"/>
    <w:rsid w:val="00190016"/>
    <w:rsid w:val="00190168"/>
    <w:rsid w:val="00190214"/>
    <w:rsid w:val="00190319"/>
    <w:rsid w:val="0019053E"/>
    <w:rsid w:val="001909F6"/>
    <w:rsid w:val="00190A36"/>
    <w:rsid w:val="00190D8E"/>
    <w:rsid w:val="00190DD3"/>
    <w:rsid w:val="00191113"/>
    <w:rsid w:val="001911AC"/>
    <w:rsid w:val="00191317"/>
    <w:rsid w:val="00191531"/>
    <w:rsid w:val="001917D1"/>
    <w:rsid w:val="00191A06"/>
    <w:rsid w:val="00191B08"/>
    <w:rsid w:val="00191DC5"/>
    <w:rsid w:val="00191E65"/>
    <w:rsid w:val="00191EFF"/>
    <w:rsid w:val="0019219F"/>
    <w:rsid w:val="001921EE"/>
    <w:rsid w:val="001923A6"/>
    <w:rsid w:val="00192732"/>
    <w:rsid w:val="00192816"/>
    <w:rsid w:val="001928E5"/>
    <w:rsid w:val="001928FE"/>
    <w:rsid w:val="00192C2A"/>
    <w:rsid w:val="00192C99"/>
    <w:rsid w:val="00192D4D"/>
    <w:rsid w:val="00192E34"/>
    <w:rsid w:val="0019302D"/>
    <w:rsid w:val="00193077"/>
    <w:rsid w:val="001930F7"/>
    <w:rsid w:val="001933B1"/>
    <w:rsid w:val="00193407"/>
    <w:rsid w:val="0019372F"/>
    <w:rsid w:val="00193734"/>
    <w:rsid w:val="00193CDA"/>
    <w:rsid w:val="00194130"/>
    <w:rsid w:val="0019430F"/>
    <w:rsid w:val="001944D4"/>
    <w:rsid w:val="00194708"/>
    <w:rsid w:val="00194888"/>
    <w:rsid w:val="00194A04"/>
    <w:rsid w:val="00194AF3"/>
    <w:rsid w:val="00194E9D"/>
    <w:rsid w:val="00194EEA"/>
    <w:rsid w:val="00194F6D"/>
    <w:rsid w:val="00194FC9"/>
    <w:rsid w:val="00195074"/>
    <w:rsid w:val="00195109"/>
    <w:rsid w:val="00195197"/>
    <w:rsid w:val="00195290"/>
    <w:rsid w:val="00195343"/>
    <w:rsid w:val="001955A2"/>
    <w:rsid w:val="0019576C"/>
    <w:rsid w:val="0019578B"/>
    <w:rsid w:val="0019595F"/>
    <w:rsid w:val="0019599B"/>
    <w:rsid w:val="00195CEA"/>
    <w:rsid w:val="00195CFE"/>
    <w:rsid w:val="00196401"/>
    <w:rsid w:val="001964EA"/>
    <w:rsid w:val="00196657"/>
    <w:rsid w:val="00196899"/>
    <w:rsid w:val="00196FBA"/>
    <w:rsid w:val="001970A5"/>
    <w:rsid w:val="00197105"/>
    <w:rsid w:val="00197190"/>
    <w:rsid w:val="00197377"/>
    <w:rsid w:val="0019761F"/>
    <w:rsid w:val="00197F24"/>
    <w:rsid w:val="001A020E"/>
    <w:rsid w:val="001A0292"/>
    <w:rsid w:val="001A0AB1"/>
    <w:rsid w:val="001A0ED9"/>
    <w:rsid w:val="001A0F5B"/>
    <w:rsid w:val="001A1906"/>
    <w:rsid w:val="001A19E3"/>
    <w:rsid w:val="001A1C38"/>
    <w:rsid w:val="001A1D22"/>
    <w:rsid w:val="001A229A"/>
    <w:rsid w:val="001A2364"/>
    <w:rsid w:val="001A24FA"/>
    <w:rsid w:val="001A2802"/>
    <w:rsid w:val="001A293F"/>
    <w:rsid w:val="001A2DEC"/>
    <w:rsid w:val="001A33EE"/>
    <w:rsid w:val="001A3794"/>
    <w:rsid w:val="001A518D"/>
    <w:rsid w:val="001A5337"/>
    <w:rsid w:val="001A5991"/>
    <w:rsid w:val="001A5B12"/>
    <w:rsid w:val="001A5E6E"/>
    <w:rsid w:val="001A6004"/>
    <w:rsid w:val="001A6058"/>
    <w:rsid w:val="001A6092"/>
    <w:rsid w:val="001A60FE"/>
    <w:rsid w:val="001A6295"/>
    <w:rsid w:val="001A6333"/>
    <w:rsid w:val="001A6571"/>
    <w:rsid w:val="001A6672"/>
    <w:rsid w:val="001A67D0"/>
    <w:rsid w:val="001A6801"/>
    <w:rsid w:val="001A697B"/>
    <w:rsid w:val="001A6A2E"/>
    <w:rsid w:val="001A6EE6"/>
    <w:rsid w:val="001A6FF9"/>
    <w:rsid w:val="001A70D5"/>
    <w:rsid w:val="001A715E"/>
    <w:rsid w:val="001A76DD"/>
    <w:rsid w:val="001A79C5"/>
    <w:rsid w:val="001AA310"/>
    <w:rsid w:val="001B000F"/>
    <w:rsid w:val="001B0096"/>
    <w:rsid w:val="001B0230"/>
    <w:rsid w:val="001B043D"/>
    <w:rsid w:val="001B0BFC"/>
    <w:rsid w:val="001B0DC4"/>
    <w:rsid w:val="001B0E08"/>
    <w:rsid w:val="001B109F"/>
    <w:rsid w:val="001B142F"/>
    <w:rsid w:val="001B1595"/>
    <w:rsid w:val="001B159C"/>
    <w:rsid w:val="001B1D4A"/>
    <w:rsid w:val="001B1FC4"/>
    <w:rsid w:val="001B1FE9"/>
    <w:rsid w:val="001B21B5"/>
    <w:rsid w:val="001B22B3"/>
    <w:rsid w:val="001B2648"/>
    <w:rsid w:val="001B297A"/>
    <w:rsid w:val="001B3087"/>
    <w:rsid w:val="001B3098"/>
    <w:rsid w:val="001B325C"/>
    <w:rsid w:val="001B329E"/>
    <w:rsid w:val="001B331F"/>
    <w:rsid w:val="001B3693"/>
    <w:rsid w:val="001B3D56"/>
    <w:rsid w:val="001B40D8"/>
    <w:rsid w:val="001B4113"/>
    <w:rsid w:val="001B413B"/>
    <w:rsid w:val="001B427F"/>
    <w:rsid w:val="001B43C6"/>
    <w:rsid w:val="001B4457"/>
    <w:rsid w:val="001B450E"/>
    <w:rsid w:val="001B4696"/>
    <w:rsid w:val="001B4811"/>
    <w:rsid w:val="001B49EF"/>
    <w:rsid w:val="001B4CA4"/>
    <w:rsid w:val="001B5439"/>
    <w:rsid w:val="001B5677"/>
    <w:rsid w:val="001B5913"/>
    <w:rsid w:val="001B59BB"/>
    <w:rsid w:val="001B5BC1"/>
    <w:rsid w:val="001B6272"/>
    <w:rsid w:val="001B65D1"/>
    <w:rsid w:val="001B69D3"/>
    <w:rsid w:val="001B6B98"/>
    <w:rsid w:val="001B6B9A"/>
    <w:rsid w:val="001B6BC7"/>
    <w:rsid w:val="001B6E20"/>
    <w:rsid w:val="001B7120"/>
    <w:rsid w:val="001B7162"/>
    <w:rsid w:val="001B76AA"/>
    <w:rsid w:val="001B7878"/>
    <w:rsid w:val="001B78E6"/>
    <w:rsid w:val="001B794E"/>
    <w:rsid w:val="001B7D49"/>
    <w:rsid w:val="001B7D50"/>
    <w:rsid w:val="001B7E49"/>
    <w:rsid w:val="001B7EAD"/>
    <w:rsid w:val="001B7F41"/>
    <w:rsid w:val="001C0081"/>
    <w:rsid w:val="001C0256"/>
    <w:rsid w:val="001C0312"/>
    <w:rsid w:val="001C06C3"/>
    <w:rsid w:val="001C09DB"/>
    <w:rsid w:val="001C0BF3"/>
    <w:rsid w:val="001C1395"/>
    <w:rsid w:val="001C1406"/>
    <w:rsid w:val="001C16CE"/>
    <w:rsid w:val="001C1764"/>
    <w:rsid w:val="001C18F0"/>
    <w:rsid w:val="001C1E04"/>
    <w:rsid w:val="001C1E84"/>
    <w:rsid w:val="001C2342"/>
    <w:rsid w:val="001C23BE"/>
    <w:rsid w:val="001C2862"/>
    <w:rsid w:val="001C2C72"/>
    <w:rsid w:val="001C3AA9"/>
    <w:rsid w:val="001C3D59"/>
    <w:rsid w:val="001C3DB0"/>
    <w:rsid w:val="001C4075"/>
    <w:rsid w:val="001C409D"/>
    <w:rsid w:val="001C4167"/>
    <w:rsid w:val="001C422B"/>
    <w:rsid w:val="001C426C"/>
    <w:rsid w:val="001C4360"/>
    <w:rsid w:val="001C45A2"/>
    <w:rsid w:val="001C4646"/>
    <w:rsid w:val="001C4864"/>
    <w:rsid w:val="001C4E76"/>
    <w:rsid w:val="001C4ED7"/>
    <w:rsid w:val="001C5671"/>
    <w:rsid w:val="001C56AF"/>
    <w:rsid w:val="001C58D6"/>
    <w:rsid w:val="001C5BAC"/>
    <w:rsid w:val="001C5BB8"/>
    <w:rsid w:val="001C5CF4"/>
    <w:rsid w:val="001C6208"/>
    <w:rsid w:val="001C6249"/>
    <w:rsid w:val="001C65CC"/>
    <w:rsid w:val="001C65DE"/>
    <w:rsid w:val="001C667E"/>
    <w:rsid w:val="001C66B6"/>
    <w:rsid w:val="001C66B7"/>
    <w:rsid w:val="001C673A"/>
    <w:rsid w:val="001C6D9F"/>
    <w:rsid w:val="001C6DC6"/>
    <w:rsid w:val="001C6ECB"/>
    <w:rsid w:val="001C7118"/>
    <w:rsid w:val="001C7359"/>
    <w:rsid w:val="001C742C"/>
    <w:rsid w:val="001C75DB"/>
    <w:rsid w:val="001C7944"/>
    <w:rsid w:val="001C7D8C"/>
    <w:rsid w:val="001C7D92"/>
    <w:rsid w:val="001C7EBB"/>
    <w:rsid w:val="001D0029"/>
    <w:rsid w:val="001D0116"/>
    <w:rsid w:val="001D01A6"/>
    <w:rsid w:val="001D036D"/>
    <w:rsid w:val="001D05A3"/>
    <w:rsid w:val="001D0796"/>
    <w:rsid w:val="001D0C37"/>
    <w:rsid w:val="001D1022"/>
    <w:rsid w:val="001D118C"/>
    <w:rsid w:val="001D12E8"/>
    <w:rsid w:val="001D146A"/>
    <w:rsid w:val="001D148E"/>
    <w:rsid w:val="001D14B2"/>
    <w:rsid w:val="001D1634"/>
    <w:rsid w:val="001D199C"/>
    <w:rsid w:val="001D19F2"/>
    <w:rsid w:val="001D1AAF"/>
    <w:rsid w:val="001D1C7B"/>
    <w:rsid w:val="001D218E"/>
    <w:rsid w:val="001D2207"/>
    <w:rsid w:val="001D2329"/>
    <w:rsid w:val="001D2E02"/>
    <w:rsid w:val="001D3483"/>
    <w:rsid w:val="001D366B"/>
    <w:rsid w:val="001D36CF"/>
    <w:rsid w:val="001D3E26"/>
    <w:rsid w:val="001D4380"/>
    <w:rsid w:val="001D4551"/>
    <w:rsid w:val="001D4573"/>
    <w:rsid w:val="001D4B49"/>
    <w:rsid w:val="001D4DF9"/>
    <w:rsid w:val="001D4F8F"/>
    <w:rsid w:val="001D515B"/>
    <w:rsid w:val="001D5217"/>
    <w:rsid w:val="001D53CC"/>
    <w:rsid w:val="001D55E0"/>
    <w:rsid w:val="001D57A1"/>
    <w:rsid w:val="001D5860"/>
    <w:rsid w:val="001D5A20"/>
    <w:rsid w:val="001D5B57"/>
    <w:rsid w:val="001D5E07"/>
    <w:rsid w:val="001D616E"/>
    <w:rsid w:val="001D6198"/>
    <w:rsid w:val="001D64E9"/>
    <w:rsid w:val="001D6783"/>
    <w:rsid w:val="001D6BA7"/>
    <w:rsid w:val="001D6C06"/>
    <w:rsid w:val="001D6C27"/>
    <w:rsid w:val="001D6F19"/>
    <w:rsid w:val="001D6F76"/>
    <w:rsid w:val="001D737E"/>
    <w:rsid w:val="001D7989"/>
    <w:rsid w:val="001D7DB3"/>
    <w:rsid w:val="001D7E5F"/>
    <w:rsid w:val="001E036C"/>
    <w:rsid w:val="001E0444"/>
    <w:rsid w:val="001E084D"/>
    <w:rsid w:val="001E085D"/>
    <w:rsid w:val="001E0B34"/>
    <w:rsid w:val="001E0CE6"/>
    <w:rsid w:val="001E18E8"/>
    <w:rsid w:val="001E1A24"/>
    <w:rsid w:val="001E1BF4"/>
    <w:rsid w:val="001E1BF7"/>
    <w:rsid w:val="001E1C0E"/>
    <w:rsid w:val="001E1E8F"/>
    <w:rsid w:val="001E1FBD"/>
    <w:rsid w:val="001E20B5"/>
    <w:rsid w:val="001E228A"/>
    <w:rsid w:val="001E2316"/>
    <w:rsid w:val="001E2793"/>
    <w:rsid w:val="001E279E"/>
    <w:rsid w:val="001E2C0F"/>
    <w:rsid w:val="001E370D"/>
    <w:rsid w:val="001E38CA"/>
    <w:rsid w:val="001E39A4"/>
    <w:rsid w:val="001E412E"/>
    <w:rsid w:val="001E428E"/>
    <w:rsid w:val="001E46CB"/>
    <w:rsid w:val="001E47A1"/>
    <w:rsid w:val="001E483B"/>
    <w:rsid w:val="001E48AA"/>
    <w:rsid w:val="001E4C33"/>
    <w:rsid w:val="001E5193"/>
    <w:rsid w:val="001E5218"/>
    <w:rsid w:val="001E5279"/>
    <w:rsid w:val="001E54E6"/>
    <w:rsid w:val="001E56A5"/>
    <w:rsid w:val="001E56E0"/>
    <w:rsid w:val="001E591B"/>
    <w:rsid w:val="001E5F50"/>
    <w:rsid w:val="001E60BD"/>
    <w:rsid w:val="001E66E5"/>
    <w:rsid w:val="001E6877"/>
    <w:rsid w:val="001E68FF"/>
    <w:rsid w:val="001E6B89"/>
    <w:rsid w:val="001E6C37"/>
    <w:rsid w:val="001E6D4C"/>
    <w:rsid w:val="001E6DBF"/>
    <w:rsid w:val="001E6DDA"/>
    <w:rsid w:val="001E7194"/>
    <w:rsid w:val="001E73D1"/>
    <w:rsid w:val="001E74E9"/>
    <w:rsid w:val="001E754F"/>
    <w:rsid w:val="001E780A"/>
    <w:rsid w:val="001E7B2E"/>
    <w:rsid w:val="001E7CCF"/>
    <w:rsid w:val="001E7CF3"/>
    <w:rsid w:val="001E7F82"/>
    <w:rsid w:val="001F0482"/>
    <w:rsid w:val="001F0AE6"/>
    <w:rsid w:val="001F0D05"/>
    <w:rsid w:val="001F0E36"/>
    <w:rsid w:val="001F10D3"/>
    <w:rsid w:val="001F1102"/>
    <w:rsid w:val="001F151F"/>
    <w:rsid w:val="001F1594"/>
    <w:rsid w:val="001F162B"/>
    <w:rsid w:val="001F1C3C"/>
    <w:rsid w:val="001F1D2E"/>
    <w:rsid w:val="001F1D8B"/>
    <w:rsid w:val="001F1EC6"/>
    <w:rsid w:val="001F1F96"/>
    <w:rsid w:val="001F2001"/>
    <w:rsid w:val="001F23C2"/>
    <w:rsid w:val="001F2B49"/>
    <w:rsid w:val="001F2E13"/>
    <w:rsid w:val="001F36B3"/>
    <w:rsid w:val="001F387D"/>
    <w:rsid w:val="001F3F97"/>
    <w:rsid w:val="001F4103"/>
    <w:rsid w:val="001F4117"/>
    <w:rsid w:val="001F436C"/>
    <w:rsid w:val="001F4432"/>
    <w:rsid w:val="001F4798"/>
    <w:rsid w:val="001F4866"/>
    <w:rsid w:val="001F4973"/>
    <w:rsid w:val="001F49FC"/>
    <w:rsid w:val="001F54CF"/>
    <w:rsid w:val="001F558F"/>
    <w:rsid w:val="001F55C2"/>
    <w:rsid w:val="001F5653"/>
    <w:rsid w:val="001F571E"/>
    <w:rsid w:val="001F5A9D"/>
    <w:rsid w:val="001F6663"/>
    <w:rsid w:val="001F6889"/>
    <w:rsid w:val="001F6DCF"/>
    <w:rsid w:val="001F73A9"/>
    <w:rsid w:val="001F73BA"/>
    <w:rsid w:val="001F7694"/>
    <w:rsid w:val="001F7721"/>
    <w:rsid w:val="001F795A"/>
    <w:rsid w:val="001F795E"/>
    <w:rsid w:val="001F7DB6"/>
    <w:rsid w:val="001F7ECE"/>
    <w:rsid w:val="001F7EF6"/>
    <w:rsid w:val="00200007"/>
    <w:rsid w:val="00200165"/>
    <w:rsid w:val="00200AAC"/>
    <w:rsid w:val="00200B15"/>
    <w:rsid w:val="00200DFD"/>
    <w:rsid w:val="00200EC5"/>
    <w:rsid w:val="00200FFE"/>
    <w:rsid w:val="0020103C"/>
    <w:rsid w:val="002011CE"/>
    <w:rsid w:val="00201258"/>
    <w:rsid w:val="002012F8"/>
    <w:rsid w:val="00202012"/>
    <w:rsid w:val="00202099"/>
    <w:rsid w:val="00202D06"/>
    <w:rsid w:val="00202D5D"/>
    <w:rsid w:val="00202E35"/>
    <w:rsid w:val="00202E53"/>
    <w:rsid w:val="00203B2B"/>
    <w:rsid w:val="00203B5D"/>
    <w:rsid w:val="00203B75"/>
    <w:rsid w:val="00203D58"/>
    <w:rsid w:val="00204001"/>
    <w:rsid w:val="00204317"/>
    <w:rsid w:val="00204876"/>
    <w:rsid w:val="002049DA"/>
    <w:rsid w:val="00204A50"/>
    <w:rsid w:val="00204A8C"/>
    <w:rsid w:val="00204DD4"/>
    <w:rsid w:val="00204E52"/>
    <w:rsid w:val="002051C0"/>
    <w:rsid w:val="00205373"/>
    <w:rsid w:val="002055EE"/>
    <w:rsid w:val="0020580D"/>
    <w:rsid w:val="00205857"/>
    <w:rsid w:val="00205A4D"/>
    <w:rsid w:val="00205A97"/>
    <w:rsid w:val="00205B23"/>
    <w:rsid w:val="00205E05"/>
    <w:rsid w:val="00205E29"/>
    <w:rsid w:val="00206140"/>
    <w:rsid w:val="00206306"/>
    <w:rsid w:val="002063A8"/>
    <w:rsid w:val="0020685E"/>
    <w:rsid w:val="002069C5"/>
    <w:rsid w:val="00206DC1"/>
    <w:rsid w:val="00206E0C"/>
    <w:rsid w:val="00206FAE"/>
    <w:rsid w:val="002070A0"/>
    <w:rsid w:val="00207167"/>
    <w:rsid w:val="00207294"/>
    <w:rsid w:val="0020763B"/>
    <w:rsid w:val="00207A25"/>
    <w:rsid w:val="00207E2E"/>
    <w:rsid w:val="00207E71"/>
    <w:rsid w:val="00207FAD"/>
    <w:rsid w:val="002100A8"/>
    <w:rsid w:val="002104ED"/>
    <w:rsid w:val="00210596"/>
    <w:rsid w:val="0021078A"/>
    <w:rsid w:val="00210BF6"/>
    <w:rsid w:val="00210E11"/>
    <w:rsid w:val="00210EB0"/>
    <w:rsid w:val="00210F67"/>
    <w:rsid w:val="002111CD"/>
    <w:rsid w:val="002112EA"/>
    <w:rsid w:val="00211300"/>
    <w:rsid w:val="00211509"/>
    <w:rsid w:val="00211719"/>
    <w:rsid w:val="002118AC"/>
    <w:rsid w:val="002119A3"/>
    <w:rsid w:val="00211AB9"/>
    <w:rsid w:val="00211E4B"/>
    <w:rsid w:val="00212AD5"/>
    <w:rsid w:val="00212B75"/>
    <w:rsid w:val="00212CF3"/>
    <w:rsid w:val="00212DF7"/>
    <w:rsid w:val="00212F2C"/>
    <w:rsid w:val="00213136"/>
    <w:rsid w:val="00213199"/>
    <w:rsid w:val="002135FF"/>
    <w:rsid w:val="002137E0"/>
    <w:rsid w:val="00213811"/>
    <w:rsid w:val="00213899"/>
    <w:rsid w:val="00213D00"/>
    <w:rsid w:val="00213D8B"/>
    <w:rsid w:val="00213D97"/>
    <w:rsid w:val="002140F1"/>
    <w:rsid w:val="00214117"/>
    <w:rsid w:val="0021415D"/>
    <w:rsid w:val="0021419D"/>
    <w:rsid w:val="002142AF"/>
    <w:rsid w:val="002143F3"/>
    <w:rsid w:val="002146C8"/>
    <w:rsid w:val="00214F34"/>
    <w:rsid w:val="002150E8"/>
    <w:rsid w:val="002153EC"/>
    <w:rsid w:val="0021548F"/>
    <w:rsid w:val="002154BD"/>
    <w:rsid w:val="00215F90"/>
    <w:rsid w:val="002161AA"/>
    <w:rsid w:val="00216233"/>
    <w:rsid w:val="0021627B"/>
    <w:rsid w:val="00216431"/>
    <w:rsid w:val="00216549"/>
    <w:rsid w:val="00216590"/>
    <w:rsid w:val="00216791"/>
    <w:rsid w:val="00216C95"/>
    <w:rsid w:val="00217269"/>
    <w:rsid w:val="002175DB"/>
    <w:rsid w:val="00217B82"/>
    <w:rsid w:val="00217CB6"/>
    <w:rsid w:val="00217F67"/>
    <w:rsid w:val="0022020F"/>
    <w:rsid w:val="002205C3"/>
    <w:rsid w:val="002206DF"/>
    <w:rsid w:val="00220793"/>
    <w:rsid w:val="002208BE"/>
    <w:rsid w:val="002209E6"/>
    <w:rsid w:val="00220CEB"/>
    <w:rsid w:val="00220EED"/>
    <w:rsid w:val="002211EC"/>
    <w:rsid w:val="00221337"/>
    <w:rsid w:val="00221398"/>
    <w:rsid w:val="00221881"/>
    <w:rsid w:val="00221B88"/>
    <w:rsid w:val="00221C6A"/>
    <w:rsid w:val="00221E0E"/>
    <w:rsid w:val="00221F3F"/>
    <w:rsid w:val="00221FDA"/>
    <w:rsid w:val="002220F1"/>
    <w:rsid w:val="0022240C"/>
    <w:rsid w:val="00222451"/>
    <w:rsid w:val="00222AE9"/>
    <w:rsid w:val="00222C33"/>
    <w:rsid w:val="00222FAD"/>
    <w:rsid w:val="00222FF0"/>
    <w:rsid w:val="0022326D"/>
    <w:rsid w:val="0022342A"/>
    <w:rsid w:val="002234F7"/>
    <w:rsid w:val="0022358C"/>
    <w:rsid w:val="002237FD"/>
    <w:rsid w:val="00223B6A"/>
    <w:rsid w:val="00223DD5"/>
    <w:rsid w:val="00223E5E"/>
    <w:rsid w:val="00224231"/>
    <w:rsid w:val="002246C6"/>
    <w:rsid w:val="0022472E"/>
    <w:rsid w:val="00224819"/>
    <w:rsid w:val="00224A16"/>
    <w:rsid w:val="00224DA2"/>
    <w:rsid w:val="002250AF"/>
    <w:rsid w:val="0022528E"/>
    <w:rsid w:val="0022537A"/>
    <w:rsid w:val="00225389"/>
    <w:rsid w:val="002254D4"/>
    <w:rsid w:val="0022584F"/>
    <w:rsid w:val="002258A7"/>
    <w:rsid w:val="00225BF2"/>
    <w:rsid w:val="002269BE"/>
    <w:rsid w:val="00226A16"/>
    <w:rsid w:val="00226B55"/>
    <w:rsid w:val="00226BFD"/>
    <w:rsid w:val="00226C43"/>
    <w:rsid w:val="00226DA9"/>
    <w:rsid w:val="00227370"/>
    <w:rsid w:val="00227C18"/>
    <w:rsid w:val="00227D30"/>
    <w:rsid w:val="00227E46"/>
    <w:rsid w:val="0023006C"/>
    <w:rsid w:val="002300B4"/>
    <w:rsid w:val="00230981"/>
    <w:rsid w:val="00230EFB"/>
    <w:rsid w:val="00230F62"/>
    <w:rsid w:val="00231481"/>
    <w:rsid w:val="0023158A"/>
    <w:rsid w:val="00231607"/>
    <w:rsid w:val="002319D1"/>
    <w:rsid w:val="00231B9D"/>
    <w:rsid w:val="00231E41"/>
    <w:rsid w:val="00231E83"/>
    <w:rsid w:val="0023208D"/>
    <w:rsid w:val="00232216"/>
    <w:rsid w:val="002323F0"/>
    <w:rsid w:val="00232571"/>
    <w:rsid w:val="00232D80"/>
    <w:rsid w:val="00233207"/>
    <w:rsid w:val="00233654"/>
    <w:rsid w:val="00233972"/>
    <w:rsid w:val="00234168"/>
    <w:rsid w:val="00234593"/>
    <w:rsid w:val="0023478F"/>
    <w:rsid w:val="00234985"/>
    <w:rsid w:val="00234A1E"/>
    <w:rsid w:val="00234A39"/>
    <w:rsid w:val="00234CB4"/>
    <w:rsid w:val="00234F6E"/>
    <w:rsid w:val="00234FA7"/>
    <w:rsid w:val="002352EA"/>
    <w:rsid w:val="0023542D"/>
    <w:rsid w:val="00235800"/>
    <w:rsid w:val="00235902"/>
    <w:rsid w:val="00235B2E"/>
    <w:rsid w:val="00235E08"/>
    <w:rsid w:val="00235F7C"/>
    <w:rsid w:val="00236008"/>
    <w:rsid w:val="002363FF"/>
    <w:rsid w:val="00236878"/>
    <w:rsid w:val="0023691A"/>
    <w:rsid w:val="00236D04"/>
    <w:rsid w:val="00236E40"/>
    <w:rsid w:val="00237551"/>
    <w:rsid w:val="002376E7"/>
    <w:rsid w:val="00237749"/>
    <w:rsid w:val="00237B32"/>
    <w:rsid w:val="00237BA6"/>
    <w:rsid w:val="00237CC0"/>
    <w:rsid w:val="00237E92"/>
    <w:rsid w:val="00237F4D"/>
    <w:rsid w:val="0024027F"/>
    <w:rsid w:val="00240335"/>
    <w:rsid w:val="002403D4"/>
    <w:rsid w:val="002404E0"/>
    <w:rsid w:val="00240585"/>
    <w:rsid w:val="0024058C"/>
    <w:rsid w:val="002405E3"/>
    <w:rsid w:val="0024070F"/>
    <w:rsid w:val="00240799"/>
    <w:rsid w:val="002407DA"/>
    <w:rsid w:val="00240A80"/>
    <w:rsid w:val="00241023"/>
    <w:rsid w:val="002412E4"/>
    <w:rsid w:val="002415FA"/>
    <w:rsid w:val="002416AD"/>
    <w:rsid w:val="00241813"/>
    <w:rsid w:val="002418AD"/>
    <w:rsid w:val="00241ED9"/>
    <w:rsid w:val="002420E5"/>
    <w:rsid w:val="0024210E"/>
    <w:rsid w:val="00242192"/>
    <w:rsid w:val="002422DF"/>
    <w:rsid w:val="002426B9"/>
    <w:rsid w:val="0024280B"/>
    <w:rsid w:val="00242A87"/>
    <w:rsid w:val="002433F9"/>
    <w:rsid w:val="002438A9"/>
    <w:rsid w:val="002438BF"/>
    <w:rsid w:val="00243B31"/>
    <w:rsid w:val="00243BE7"/>
    <w:rsid w:val="00243D3D"/>
    <w:rsid w:val="00243D4B"/>
    <w:rsid w:val="00244041"/>
    <w:rsid w:val="00244128"/>
    <w:rsid w:val="002443C0"/>
    <w:rsid w:val="002445DA"/>
    <w:rsid w:val="002448EF"/>
    <w:rsid w:val="00244983"/>
    <w:rsid w:val="0024510E"/>
    <w:rsid w:val="00245124"/>
    <w:rsid w:val="0024586C"/>
    <w:rsid w:val="00245988"/>
    <w:rsid w:val="002459E4"/>
    <w:rsid w:val="00245C95"/>
    <w:rsid w:val="0024607D"/>
    <w:rsid w:val="00246139"/>
    <w:rsid w:val="002461DA"/>
    <w:rsid w:val="00246230"/>
    <w:rsid w:val="00246260"/>
    <w:rsid w:val="00246642"/>
    <w:rsid w:val="00246952"/>
    <w:rsid w:val="00246C7A"/>
    <w:rsid w:val="00246D59"/>
    <w:rsid w:val="00246E7A"/>
    <w:rsid w:val="00247016"/>
    <w:rsid w:val="002473C7"/>
    <w:rsid w:val="002474C9"/>
    <w:rsid w:val="0024776F"/>
    <w:rsid w:val="0024779A"/>
    <w:rsid w:val="00247862"/>
    <w:rsid w:val="002478FF"/>
    <w:rsid w:val="00247BD1"/>
    <w:rsid w:val="00247FB9"/>
    <w:rsid w:val="002502E9"/>
    <w:rsid w:val="00250477"/>
    <w:rsid w:val="00250661"/>
    <w:rsid w:val="002507B3"/>
    <w:rsid w:val="00250B35"/>
    <w:rsid w:val="00250B64"/>
    <w:rsid w:val="00250B74"/>
    <w:rsid w:val="00250C3B"/>
    <w:rsid w:val="00250DA2"/>
    <w:rsid w:val="00250E90"/>
    <w:rsid w:val="00250F11"/>
    <w:rsid w:val="00250FB7"/>
    <w:rsid w:val="00251973"/>
    <w:rsid w:val="00251A55"/>
    <w:rsid w:val="00251ADC"/>
    <w:rsid w:val="00251BCA"/>
    <w:rsid w:val="00251DB7"/>
    <w:rsid w:val="00251F2C"/>
    <w:rsid w:val="00252391"/>
    <w:rsid w:val="0025285D"/>
    <w:rsid w:val="00252921"/>
    <w:rsid w:val="00252972"/>
    <w:rsid w:val="00252E51"/>
    <w:rsid w:val="00252F14"/>
    <w:rsid w:val="00252F21"/>
    <w:rsid w:val="00253300"/>
    <w:rsid w:val="002534F3"/>
    <w:rsid w:val="002537BD"/>
    <w:rsid w:val="002539A1"/>
    <w:rsid w:val="00253CCB"/>
    <w:rsid w:val="00253D8D"/>
    <w:rsid w:val="00253DA7"/>
    <w:rsid w:val="00254059"/>
    <w:rsid w:val="002547EF"/>
    <w:rsid w:val="0025488C"/>
    <w:rsid w:val="00254ADD"/>
    <w:rsid w:val="00254B53"/>
    <w:rsid w:val="00254BBB"/>
    <w:rsid w:val="002552C9"/>
    <w:rsid w:val="0025545C"/>
    <w:rsid w:val="00255644"/>
    <w:rsid w:val="002556B7"/>
    <w:rsid w:val="0025581F"/>
    <w:rsid w:val="00255B55"/>
    <w:rsid w:val="00256074"/>
    <w:rsid w:val="00256129"/>
    <w:rsid w:val="00256500"/>
    <w:rsid w:val="00256675"/>
    <w:rsid w:val="002566B2"/>
    <w:rsid w:val="002568BE"/>
    <w:rsid w:val="00256C4A"/>
    <w:rsid w:val="00256DF2"/>
    <w:rsid w:val="002576C5"/>
    <w:rsid w:val="0025791D"/>
    <w:rsid w:val="002579EE"/>
    <w:rsid w:val="00257B82"/>
    <w:rsid w:val="00257CDE"/>
    <w:rsid w:val="00257D13"/>
    <w:rsid w:val="0026005F"/>
    <w:rsid w:val="002600B6"/>
    <w:rsid w:val="0026017B"/>
    <w:rsid w:val="00260687"/>
    <w:rsid w:val="00260844"/>
    <w:rsid w:val="002609FD"/>
    <w:rsid w:val="00260CC8"/>
    <w:rsid w:val="00260CC9"/>
    <w:rsid w:val="00260FB9"/>
    <w:rsid w:val="00261135"/>
    <w:rsid w:val="002617CE"/>
    <w:rsid w:val="00261AC6"/>
    <w:rsid w:val="00261B25"/>
    <w:rsid w:val="00261EBC"/>
    <w:rsid w:val="00261F09"/>
    <w:rsid w:val="00261FCF"/>
    <w:rsid w:val="0026203E"/>
    <w:rsid w:val="00262068"/>
    <w:rsid w:val="002624FA"/>
    <w:rsid w:val="00262640"/>
    <w:rsid w:val="00262D96"/>
    <w:rsid w:val="00262E6D"/>
    <w:rsid w:val="002633D5"/>
    <w:rsid w:val="002639C4"/>
    <w:rsid w:val="00263A06"/>
    <w:rsid w:val="00263CC2"/>
    <w:rsid w:val="0026403C"/>
    <w:rsid w:val="00264270"/>
    <w:rsid w:val="0026455F"/>
    <w:rsid w:val="0026457D"/>
    <w:rsid w:val="00264781"/>
    <w:rsid w:val="0026488F"/>
    <w:rsid w:val="002649D8"/>
    <w:rsid w:val="00264EEA"/>
    <w:rsid w:val="00264FB4"/>
    <w:rsid w:val="00265617"/>
    <w:rsid w:val="00265727"/>
    <w:rsid w:val="0026597C"/>
    <w:rsid w:val="00265D7C"/>
    <w:rsid w:val="00266305"/>
    <w:rsid w:val="00266328"/>
    <w:rsid w:val="002663B8"/>
    <w:rsid w:val="00266526"/>
    <w:rsid w:val="0026678C"/>
    <w:rsid w:val="002669E0"/>
    <w:rsid w:val="00267173"/>
    <w:rsid w:val="00267285"/>
    <w:rsid w:val="00267416"/>
    <w:rsid w:val="0026747A"/>
    <w:rsid w:val="002674FD"/>
    <w:rsid w:val="00267739"/>
    <w:rsid w:val="00267808"/>
    <w:rsid w:val="00267820"/>
    <w:rsid w:val="00267897"/>
    <w:rsid w:val="00267B78"/>
    <w:rsid w:val="00267BD2"/>
    <w:rsid w:val="00267CAF"/>
    <w:rsid w:val="00270150"/>
    <w:rsid w:val="002701EB"/>
    <w:rsid w:val="00270847"/>
    <w:rsid w:val="00270959"/>
    <w:rsid w:val="00270DCC"/>
    <w:rsid w:val="00270E36"/>
    <w:rsid w:val="00271537"/>
    <w:rsid w:val="002715CE"/>
    <w:rsid w:val="002719D0"/>
    <w:rsid w:val="00271E65"/>
    <w:rsid w:val="00272295"/>
    <w:rsid w:val="00272915"/>
    <w:rsid w:val="00272936"/>
    <w:rsid w:val="002729B6"/>
    <w:rsid w:val="00272B4B"/>
    <w:rsid w:val="00272BB1"/>
    <w:rsid w:val="00272DB6"/>
    <w:rsid w:val="00273020"/>
    <w:rsid w:val="0027307A"/>
    <w:rsid w:val="00273139"/>
    <w:rsid w:val="00273193"/>
    <w:rsid w:val="0027331A"/>
    <w:rsid w:val="002733CA"/>
    <w:rsid w:val="002733EA"/>
    <w:rsid w:val="0027352C"/>
    <w:rsid w:val="0027356A"/>
    <w:rsid w:val="0027385C"/>
    <w:rsid w:val="002738DC"/>
    <w:rsid w:val="002739A0"/>
    <w:rsid w:val="00273BBA"/>
    <w:rsid w:val="00273D1A"/>
    <w:rsid w:val="00273FDE"/>
    <w:rsid w:val="0027431D"/>
    <w:rsid w:val="002745BC"/>
    <w:rsid w:val="002746BF"/>
    <w:rsid w:val="00274795"/>
    <w:rsid w:val="00274818"/>
    <w:rsid w:val="00274980"/>
    <w:rsid w:val="00274EE5"/>
    <w:rsid w:val="00274EF1"/>
    <w:rsid w:val="002750A0"/>
    <w:rsid w:val="00275134"/>
    <w:rsid w:val="002753F2"/>
    <w:rsid w:val="00275509"/>
    <w:rsid w:val="00275C01"/>
    <w:rsid w:val="002763F1"/>
    <w:rsid w:val="00276DF2"/>
    <w:rsid w:val="00276E7F"/>
    <w:rsid w:val="00276F54"/>
    <w:rsid w:val="00276FB1"/>
    <w:rsid w:val="002771A5"/>
    <w:rsid w:val="002773DF"/>
    <w:rsid w:val="00277740"/>
    <w:rsid w:val="002777F9"/>
    <w:rsid w:val="002779AB"/>
    <w:rsid w:val="00277A1A"/>
    <w:rsid w:val="00277FE9"/>
    <w:rsid w:val="0027DAD1"/>
    <w:rsid w:val="0028012A"/>
    <w:rsid w:val="0028047B"/>
    <w:rsid w:val="002804A3"/>
    <w:rsid w:val="00280640"/>
    <w:rsid w:val="00280AD7"/>
    <w:rsid w:val="00280B67"/>
    <w:rsid w:val="00280E4A"/>
    <w:rsid w:val="0028110C"/>
    <w:rsid w:val="0028130B"/>
    <w:rsid w:val="00281326"/>
    <w:rsid w:val="00281672"/>
    <w:rsid w:val="002818AC"/>
    <w:rsid w:val="00281B69"/>
    <w:rsid w:val="00281E9E"/>
    <w:rsid w:val="00281F87"/>
    <w:rsid w:val="002821A4"/>
    <w:rsid w:val="002822A9"/>
    <w:rsid w:val="0028235E"/>
    <w:rsid w:val="0028238C"/>
    <w:rsid w:val="002823A5"/>
    <w:rsid w:val="0028283B"/>
    <w:rsid w:val="002828EC"/>
    <w:rsid w:val="00282968"/>
    <w:rsid w:val="00282EA8"/>
    <w:rsid w:val="00282F13"/>
    <w:rsid w:val="002832C8"/>
    <w:rsid w:val="00283958"/>
    <w:rsid w:val="00283B43"/>
    <w:rsid w:val="00283D3E"/>
    <w:rsid w:val="00284639"/>
    <w:rsid w:val="002847A5"/>
    <w:rsid w:val="00284921"/>
    <w:rsid w:val="00284954"/>
    <w:rsid w:val="00284AB6"/>
    <w:rsid w:val="00284B79"/>
    <w:rsid w:val="00284BAA"/>
    <w:rsid w:val="00284F32"/>
    <w:rsid w:val="00284FCA"/>
    <w:rsid w:val="00285415"/>
    <w:rsid w:val="0028550C"/>
    <w:rsid w:val="002855E6"/>
    <w:rsid w:val="00285753"/>
    <w:rsid w:val="002857A6"/>
    <w:rsid w:val="0028592C"/>
    <w:rsid w:val="00285ACE"/>
    <w:rsid w:val="00285AEC"/>
    <w:rsid w:val="00285B51"/>
    <w:rsid w:val="00285E77"/>
    <w:rsid w:val="00286169"/>
    <w:rsid w:val="00286253"/>
    <w:rsid w:val="00286CF4"/>
    <w:rsid w:val="002870FA"/>
    <w:rsid w:val="00287126"/>
    <w:rsid w:val="00287198"/>
    <w:rsid w:val="002872AE"/>
    <w:rsid w:val="00287592"/>
    <w:rsid w:val="0028763C"/>
    <w:rsid w:val="00287B3C"/>
    <w:rsid w:val="00287B78"/>
    <w:rsid w:val="00287EEF"/>
    <w:rsid w:val="00287FA4"/>
    <w:rsid w:val="00290650"/>
    <w:rsid w:val="002907DD"/>
    <w:rsid w:val="00290850"/>
    <w:rsid w:val="00290F31"/>
    <w:rsid w:val="00290FF2"/>
    <w:rsid w:val="0029114E"/>
    <w:rsid w:val="0029118F"/>
    <w:rsid w:val="00291342"/>
    <w:rsid w:val="00291495"/>
    <w:rsid w:val="002915BB"/>
    <w:rsid w:val="00291848"/>
    <w:rsid w:val="00291A7F"/>
    <w:rsid w:val="00291D5B"/>
    <w:rsid w:val="00292078"/>
    <w:rsid w:val="002924DD"/>
    <w:rsid w:val="00292999"/>
    <w:rsid w:val="00292A18"/>
    <w:rsid w:val="00292B27"/>
    <w:rsid w:val="00292BBE"/>
    <w:rsid w:val="00292E55"/>
    <w:rsid w:val="00293429"/>
    <w:rsid w:val="00293506"/>
    <w:rsid w:val="002937D1"/>
    <w:rsid w:val="00293838"/>
    <w:rsid w:val="0029387C"/>
    <w:rsid w:val="0029388B"/>
    <w:rsid w:val="002939CD"/>
    <w:rsid w:val="002939CE"/>
    <w:rsid w:val="002939FF"/>
    <w:rsid w:val="00293B47"/>
    <w:rsid w:val="00293D25"/>
    <w:rsid w:val="00293E57"/>
    <w:rsid w:val="00294105"/>
    <w:rsid w:val="002942AB"/>
    <w:rsid w:val="0029443E"/>
    <w:rsid w:val="00294630"/>
    <w:rsid w:val="00294BEA"/>
    <w:rsid w:val="00294DD5"/>
    <w:rsid w:val="00294EB9"/>
    <w:rsid w:val="00294FD4"/>
    <w:rsid w:val="0029513B"/>
    <w:rsid w:val="0029551D"/>
    <w:rsid w:val="0029568A"/>
    <w:rsid w:val="0029599A"/>
    <w:rsid w:val="00295E60"/>
    <w:rsid w:val="00295E8D"/>
    <w:rsid w:val="0029617A"/>
    <w:rsid w:val="002962E9"/>
    <w:rsid w:val="00296422"/>
    <w:rsid w:val="002964FB"/>
    <w:rsid w:val="002968AE"/>
    <w:rsid w:val="00296CC4"/>
    <w:rsid w:val="00297240"/>
    <w:rsid w:val="00297510"/>
    <w:rsid w:val="0029756A"/>
    <w:rsid w:val="002975D6"/>
    <w:rsid w:val="00297ADC"/>
    <w:rsid w:val="00297D22"/>
    <w:rsid w:val="00297F48"/>
    <w:rsid w:val="00297FCE"/>
    <w:rsid w:val="002A0266"/>
    <w:rsid w:val="002A0377"/>
    <w:rsid w:val="002A0409"/>
    <w:rsid w:val="002A0818"/>
    <w:rsid w:val="002A0A3B"/>
    <w:rsid w:val="002A0CE3"/>
    <w:rsid w:val="002A0F4E"/>
    <w:rsid w:val="002A0F96"/>
    <w:rsid w:val="002A1412"/>
    <w:rsid w:val="002A199A"/>
    <w:rsid w:val="002A1A32"/>
    <w:rsid w:val="002A1A6B"/>
    <w:rsid w:val="002A1C9F"/>
    <w:rsid w:val="002A1DDF"/>
    <w:rsid w:val="002A1E39"/>
    <w:rsid w:val="002A204B"/>
    <w:rsid w:val="002A2204"/>
    <w:rsid w:val="002A28B0"/>
    <w:rsid w:val="002A2963"/>
    <w:rsid w:val="002A2C4D"/>
    <w:rsid w:val="002A3070"/>
    <w:rsid w:val="002A337B"/>
    <w:rsid w:val="002A38C5"/>
    <w:rsid w:val="002A3A92"/>
    <w:rsid w:val="002A3C08"/>
    <w:rsid w:val="002A3C19"/>
    <w:rsid w:val="002A4209"/>
    <w:rsid w:val="002A4265"/>
    <w:rsid w:val="002A432E"/>
    <w:rsid w:val="002A463A"/>
    <w:rsid w:val="002A471B"/>
    <w:rsid w:val="002A486B"/>
    <w:rsid w:val="002A4B49"/>
    <w:rsid w:val="002A4BB0"/>
    <w:rsid w:val="002A4DCA"/>
    <w:rsid w:val="002A5075"/>
    <w:rsid w:val="002A527F"/>
    <w:rsid w:val="002A541F"/>
    <w:rsid w:val="002A5496"/>
    <w:rsid w:val="002A54A5"/>
    <w:rsid w:val="002A552D"/>
    <w:rsid w:val="002A5746"/>
    <w:rsid w:val="002A588D"/>
    <w:rsid w:val="002A5A22"/>
    <w:rsid w:val="002A5F9D"/>
    <w:rsid w:val="002A6241"/>
    <w:rsid w:val="002A668B"/>
    <w:rsid w:val="002A69D4"/>
    <w:rsid w:val="002A6A35"/>
    <w:rsid w:val="002A6BDF"/>
    <w:rsid w:val="002A6E28"/>
    <w:rsid w:val="002A7189"/>
    <w:rsid w:val="002A71FA"/>
    <w:rsid w:val="002A7208"/>
    <w:rsid w:val="002A769F"/>
    <w:rsid w:val="002A7726"/>
    <w:rsid w:val="002A782C"/>
    <w:rsid w:val="002A7911"/>
    <w:rsid w:val="002A7938"/>
    <w:rsid w:val="002A795D"/>
    <w:rsid w:val="002A7A2E"/>
    <w:rsid w:val="002A7C09"/>
    <w:rsid w:val="002A7D39"/>
    <w:rsid w:val="002A7E99"/>
    <w:rsid w:val="002B03E0"/>
    <w:rsid w:val="002B03EC"/>
    <w:rsid w:val="002B0567"/>
    <w:rsid w:val="002B0851"/>
    <w:rsid w:val="002B0943"/>
    <w:rsid w:val="002B09B4"/>
    <w:rsid w:val="002B0AB6"/>
    <w:rsid w:val="002B0C0C"/>
    <w:rsid w:val="002B0CB7"/>
    <w:rsid w:val="002B0E61"/>
    <w:rsid w:val="002B0EBB"/>
    <w:rsid w:val="002B0F11"/>
    <w:rsid w:val="002B1070"/>
    <w:rsid w:val="002B144E"/>
    <w:rsid w:val="002B1457"/>
    <w:rsid w:val="002B1731"/>
    <w:rsid w:val="002B1853"/>
    <w:rsid w:val="002B198A"/>
    <w:rsid w:val="002B1A7C"/>
    <w:rsid w:val="002B1C08"/>
    <w:rsid w:val="002B1F86"/>
    <w:rsid w:val="002B1F8A"/>
    <w:rsid w:val="002B2151"/>
    <w:rsid w:val="002B21B3"/>
    <w:rsid w:val="002B2362"/>
    <w:rsid w:val="002B23D6"/>
    <w:rsid w:val="002B258C"/>
    <w:rsid w:val="002B2DAB"/>
    <w:rsid w:val="002B2E68"/>
    <w:rsid w:val="002B3006"/>
    <w:rsid w:val="002B3122"/>
    <w:rsid w:val="002B314A"/>
    <w:rsid w:val="002B3232"/>
    <w:rsid w:val="002B3668"/>
    <w:rsid w:val="002B3739"/>
    <w:rsid w:val="002B37AA"/>
    <w:rsid w:val="002B37DB"/>
    <w:rsid w:val="002B3827"/>
    <w:rsid w:val="002B39DE"/>
    <w:rsid w:val="002B3BF0"/>
    <w:rsid w:val="002B3D32"/>
    <w:rsid w:val="002B3F93"/>
    <w:rsid w:val="002B40F9"/>
    <w:rsid w:val="002B41D7"/>
    <w:rsid w:val="002B4447"/>
    <w:rsid w:val="002B4536"/>
    <w:rsid w:val="002B471A"/>
    <w:rsid w:val="002B49F8"/>
    <w:rsid w:val="002B5247"/>
    <w:rsid w:val="002B58A3"/>
    <w:rsid w:val="002B5B93"/>
    <w:rsid w:val="002B5C58"/>
    <w:rsid w:val="002B5FD7"/>
    <w:rsid w:val="002B6070"/>
    <w:rsid w:val="002B61E0"/>
    <w:rsid w:val="002B6265"/>
    <w:rsid w:val="002B627B"/>
    <w:rsid w:val="002B6350"/>
    <w:rsid w:val="002B639B"/>
    <w:rsid w:val="002B64CB"/>
    <w:rsid w:val="002B6D85"/>
    <w:rsid w:val="002B6E13"/>
    <w:rsid w:val="002B7140"/>
    <w:rsid w:val="002B7521"/>
    <w:rsid w:val="002B756E"/>
    <w:rsid w:val="002B7652"/>
    <w:rsid w:val="002B77C1"/>
    <w:rsid w:val="002B7A2A"/>
    <w:rsid w:val="002C0075"/>
    <w:rsid w:val="002C028B"/>
    <w:rsid w:val="002C05D0"/>
    <w:rsid w:val="002C089E"/>
    <w:rsid w:val="002C0D17"/>
    <w:rsid w:val="002C0D4F"/>
    <w:rsid w:val="002C0EE6"/>
    <w:rsid w:val="002C1001"/>
    <w:rsid w:val="002C14D4"/>
    <w:rsid w:val="002C1627"/>
    <w:rsid w:val="002C16B1"/>
    <w:rsid w:val="002C1AAF"/>
    <w:rsid w:val="002C1B91"/>
    <w:rsid w:val="002C206D"/>
    <w:rsid w:val="002C2557"/>
    <w:rsid w:val="002C2576"/>
    <w:rsid w:val="002C264D"/>
    <w:rsid w:val="002C272F"/>
    <w:rsid w:val="002C2BFA"/>
    <w:rsid w:val="002C2D0F"/>
    <w:rsid w:val="002C2D5E"/>
    <w:rsid w:val="002C31E5"/>
    <w:rsid w:val="002C3430"/>
    <w:rsid w:val="002C39F2"/>
    <w:rsid w:val="002C3B7D"/>
    <w:rsid w:val="002C3D04"/>
    <w:rsid w:val="002C3DFB"/>
    <w:rsid w:val="002C45C2"/>
    <w:rsid w:val="002C4690"/>
    <w:rsid w:val="002C4782"/>
    <w:rsid w:val="002C47D2"/>
    <w:rsid w:val="002C4CC5"/>
    <w:rsid w:val="002C4E07"/>
    <w:rsid w:val="002C508A"/>
    <w:rsid w:val="002C5261"/>
    <w:rsid w:val="002C52B5"/>
    <w:rsid w:val="002C5662"/>
    <w:rsid w:val="002C59E3"/>
    <w:rsid w:val="002C6276"/>
    <w:rsid w:val="002C68F0"/>
    <w:rsid w:val="002C70F7"/>
    <w:rsid w:val="002C7281"/>
    <w:rsid w:val="002C761E"/>
    <w:rsid w:val="002C7B65"/>
    <w:rsid w:val="002C7F8D"/>
    <w:rsid w:val="002D02B0"/>
    <w:rsid w:val="002D0352"/>
    <w:rsid w:val="002D0400"/>
    <w:rsid w:val="002D042B"/>
    <w:rsid w:val="002D0938"/>
    <w:rsid w:val="002D097A"/>
    <w:rsid w:val="002D0ACC"/>
    <w:rsid w:val="002D111E"/>
    <w:rsid w:val="002D125B"/>
    <w:rsid w:val="002D1395"/>
    <w:rsid w:val="002D153D"/>
    <w:rsid w:val="002D1876"/>
    <w:rsid w:val="002D196C"/>
    <w:rsid w:val="002D1A68"/>
    <w:rsid w:val="002D1B6F"/>
    <w:rsid w:val="002D1E71"/>
    <w:rsid w:val="002D1E97"/>
    <w:rsid w:val="002D224D"/>
    <w:rsid w:val="002D269B"/>
    <w:rsid w:val="002D272F"/>
    <w:rsid w:val="002D28AC"/>
    <w:rsid w:val="002D290B"/>
    <w:rsid w:val="002D306D"/>
    <w:rsid w:val="002D331A"/>
    <w:rsid w:val="002D3697"/>
    <w:rsid w:val="002D3798"/>
    <w:rsid w:val="002D3989"/>
    <w:rsid w:val="002D3C7A"/>
    <w:rsid w:val="002D4004"/>
    <w:rsid w:val="002D4015"/>
    <w:rsid w:val="002D481C"/>
    <w:rsid w:val="002D4D0E"/>
    <w:rsid w:val="002D5054"/>
    <w:rsid w:val="002D520C"/>
    <w:rsid w:val="002D550C"/>
    <w:rsid w:val="002D57CC"/>
    <w:rsid w:val="002D57FD"/>
    <w:rsid w:val="002D585A"/>
    <w:rsid w:val="002D590A"/>
    <w:rsid w:val="002D5D01"/>
    <w:rsid w:val="002D649D"/>
    <w:rsid w:val="002D66B8"/>
    <w:rsid w:val="002D686F"/>
    <w:rsid w:val="002D6A60"/>
    <w:rsid w:val="002D6B19"/>
    <w:rsid w:val="002D6B87"/>
    <w:rsid w:val="002D6F8C"/>
    <w:rsid w:val="002D727E"/>
    <w:rsid w:val="002D7C88"/>
    <w:rsid w:val="002E0202"/>
    <w:rsid w:val="002E03BC"/>
    <w:rsid w:val="002E04B1"/>
    <w:rsid w:val="002E055F"/>
    <w:rsid w:val="002E0CC1"/>
    <w:rsid w:val="002E0D98"/>
    <w:rsid w:val="002E0DA8"/>
    <w:rsid w:val="002E0F51"/>
    <w:rsid w:val="002E1315"/>
    <w:rsid w:val="002E1611"/>
    <w:rsid w:val="002E162A"/>
    <w:rsid w:val="002E1704"/>
    <w:rsid w:val="002E171A"/>
    <w:rsid w:val="002E1848"/>
    <w:rsid w:val="002E1C62"/>
    <w:rsid w:val="002E1E0B"/>
    <w:rsid w:val="002E1E5D"/>
    <w:rsid w:val="002E2C89"/>
    <w:rsid w:val="002E2CD2"/>
    <w:rsid w:val="002E2EEE"/>
    <w:rsid w:val="002E3482"/>
    <w:rsid w:val="002E37E1"/>
    <w:rsid w:val="002E3800"/>
    <w:rsid w:val="002E3891"/>
    <w:rsid w:val="002E3B72"/>
    <w:rsid w:val="002E3E18"/>
    <w:rsid w:val="002E3E62"/>
    <w:rsid w:val="002E3F6E"/>
    <w:rsid w:val="002E42E2"/>
    <w:rsid w:val="002E44F6"/>
    <w:rsid w:val="002E4BA3"/>
    <w:rsid w:val="002E501B"/>
    <w:rsid w:val="002E5539"/>
    <w:rsid w:val="002E57C3"/>
    <w:rsid w:val="002E5838"/>
    <w:rsid w:val="002E58D9"/>
    <w:rsid w:val="002E59CE"/>
    <w:rsid w:val="002E5DDC"/>
    <w:rsid w:val="002E5DF0"/>
    <w:rsid w:val="002E5EA6"/>
    <w:rsid w:val="002E60EF"/>
    <w:rsid w:val="002E62C7"/>
    <w:rsid w:val="002E6979"/>
    <w:rsid w:val="002E6A6A"/>
    <w:rsid w:val="002E6BA9"/>
    <w:rsid w:val="002E6F1F"/>
    <w:rsid w:val="002E737B"/>
    <w:rsid w:val="002E75BA"/>
    <w:rsid w:val="002E77AE"/>
    <w:rsid w:val="002E77EE"/>
    <w:rsid w:val="002E7902"/>
    <w:rsid w:val="002F00BC"/>
    <w:rsid w:val="002F01D8"/>
    <w:rsid w:val="002F0696"/>
    <w:rsid w:val="002F0BEA"/>
    <w:rsid w:val="002F0CB9"/>
    <w:rsid w:val="002F0D57"/>
    <w:rsid w:val="002F136C"/>
    <w:rsid w:val="002F157E"/>
    <w:rsid w:val="002F17AE"/>
    <w:rsid w:val="002F1D04"/>
    <w:rsid w:val="002F1DC6"/>
    <w:rsid w:val="002F2C7E"/>
    <w:rsid w:val="002F2ED1"/>
    <w:rsid w:val="002F3026"/>
    <w:rsid w:val="002F31A6"/>
    <w:rsid w:val="002F3271"/>
    <w:rsid w:val="002F3767"/>
    <w:rsid w:val="002F3816"/>
    <w:rsid w:val="002F3965"/>
    <w:rsid w:val="002F3C05"/>
    <w:rsid w:val="002F3D0A"/>
    <w:rsid w:val="002F3E02"/>
    <w:rsid w:val="002F3ECA"/>
    <w:rsid w:val="002F4550"/>
    <w:rsid w:val="002F4C57"/>
    <w:rsid w:val="002F4D94"/>
    <w:rsid w:val="002F504A"/>
    <w:rsid w:val="002F5190"/>
    <w:rsid w:val="002F5204"/>
    <w:rsid w:val="002F524D"/>
    <w:rsid w:val="002F5269"/>
    <w:rsid w:val="002F54D4"/>
    <w:rsid w:val="002F5D59"/>
    <w:rsid w:val="002F5DAC"/>
    <w:rsid w:val="002F5FDC"/>
    <w:rsid w:val="002F5FF1"/>
    <w:rsid w:val="002F6000"/>
    <w:rsid w:val="002F60AC"/>
    <w:rsid w:val="002F6102"/>
    <w:rsid w:val="002F6124"/>
    <w:rsid w:val="002F664A"/>
    <w:rsid w:val="002F6733"/>
    <w:rsid w:val="002F678D"/>
    <w:rsid w:val="002F67D4"/>
    <w:rsid w:val="002F6AC6"/>
    <w:rsid w:val="002F6CA5"/>
    <w:rsid w:val="002F6E2E"/>
    <w:rsid w:val="002F6EE9"/>
    <w:rsid w:val="002F6F72"/>
    <w:rsid w:val="002F6FB3"/>
    <w:rsid w:val="002F70ED"/>
    <w:rsid w:val="002F71DC"/>
    <w:rsid w:val="002F7248"/>
    <w:rsid w:val="002F7464"/>
    <w:rsid w:val="002F7647"/>
    <w:rsid w:val="002F7952"/>
    <w:rsid w:val="002F7957"/>
    <w:rsid w:val="002F7BAB"/>
    <w:rsid w:val="002F7ECA"/>
    <w:rsid w:val="0030010D"/>
    <w:rsid w:val="00300190"/>
    <w:rsid w:val="00300236"/>
    <w:rsid w:val="003002A2"/>
    <w:rsid w:val="00300313"/>
    <w:rsid w:val="003006EC"/>
    <w:rsid w:val="00300770"/>
    <w:rsid w:val="00300883"/>
    <w:rsid w:val="003009DD"/>
    <w:rsid w:val="00300A67"/>
    <w:rsid w:val="003010E0"/>
    <w:rsid w:val="003012D2"/>
    <w:rsid w:val="0030167E"/>
    <w:rsid w:val="003016B9"/>
    <w:rsid w:val="003017FE"/>
    <w:rsid w:val="0030187A"/>
    <w:rsid w:val="00301F4C"/>
    <w:rsid w:val="00302189"/>
    <w:rsid w:val="003024BC"/>
    <w:rsid w:val="00302535"/>
    <w:rsid w:val="003026BD"/>
    <w:rsid w:val="003029A8"/>
    <w:rsid w:val="00302B88"/>
    <w:rsid w:val="00302D8C"/>
    <w:rsid w:val="0030301D"/>
    <w:rsid w:val="003033FD"/>
    <w:rsid w:val="00303407"/>
    <w:rsid w:val="0030346C"/>
    <w:rsid w:val="0030379A"/>
    <w:rsid w:val="00303817"/>
    <w:rsid w:val="003038CC"/>
    <w:rsid w:val="00303AE4"/>
    <w:rsid w:val="003044BE"/>
    <w:rsid w:val="0030480B"/>
    <w:rsid w:val="00304CF4"/>
    <w:rsid w:val="00304D42"/>
    <w:rsid w:val="003051AB"/>
    <w:rsid w:val="00305457"/>
    <w:rsid w:val="00305648"/>
    <w:rsid w:val="003059A3"/>
    <w:rsid w:val="00305B22"/>
    <w:rsid w:val="00305B29"/>
    <w:rsid w:val="003060A6"/>
    <w:rsid w:val="003063C9"/>
    <w:rsid w:val="003066D7"/>
    <w:rsid w:val="00306B11"/>
    <w:rsid w:val="00306E1E"/>
    <w:rsid w:val="0030728A"/>
    <w:rsid w:val="003072A1"/>
    <w:rsid w:val="00307832"/>
    <w:rsid w:val="003078B8"/>
    <w:rsid w:val="00307A86"/>
    <w:rsid w:val="003102CC"/>
    <w:rsid w:val="0031041D"/>
    <w:rsid w:val="003108B6"/>
    <w:rsid w:val="0031090C"/>
    <w:rsid w:val="00310995"/>
    <w:rsid w:val="00310FEF"/>
    <w:rsid w:val="003110E7"/>
    <w:rsid w:val="00311169"/>
    <w:rsid w:val="00311457"/>
    <w:rsid w:val="0031157B"/>
    <w:rsid w:val="003115AB"/>
    <w:rsid w:val="00311962"/>
    <w:rsid w:val="00311A5C"/>
    <w:rsid w:val="00311B1A"/>
    <w:rsid w:val="00311D4A"/>
    <w:rsid w:val="00311DC7"/>
    <w:rsid w:val="00311E47"/>
    <w:rsid w:val="00311EED"/>
    <w:rsid w:val="00311EF7"/>
    <w:rsid w:val="00311F93"/>
    <w:rsid w:val="0031206F"/>
    <w:rsid w:val="00312161"/>
    <w:rsid w:val="0031228B"/>
    <w:rsid w:val="003126A3"/>
    <w:rsid w:val="0031276C"/>
    <w:rsid w:val="003129AE"/>
    <w:rsid w:val="00312AB4"/>
    <w:rsid w:val="00312C02"/>
    <w:rsid w:val="00312CD1"/>
    <w:rsid w:val="00312E06"/>
    <w:rsid w:val="00312E61"/>
    <w:rsid w:val="00313396"/>
    <w:rsid w:val="00313C5B"/>
    <w:rsid w:val="00313CDB"/>
    <w:rsid w:val="00313D00"/>
    <w:rsid w:val="00313FC1"/>
    <w:rsid w:val="003146F9"/>
    <w:rsid w:val="00314936"/>
    <w:rsid w:val="003149CB"/>
    <w:rsid w:val="00314CFE"/>
    <w:rsid w:val="00314DB5"/>
    <w:rsid w:val="00314E4E"/>
    <w:rsid w:val="003157D7"/>
    <w:rsid w:val="00316054"/>
    <w:rsid w:val="00316176"/>
    <w:rsid w:val="003162D7"/>
    <w:rsid w:val="0031674D"/>
    <w:rsid w:val="00316A94"/>
    <w:rsid w:val="00316BBE"/>
    <w:rsid w:val="00316CBD"/>
    <w:rsid w:val="00316E06"/>
    <w:rsid w:val="003172B9"/>
    <w:rsid w:val="003173F7"/>
    <w:rsid w:val="003176E5"/>
    <w:rsid w:val="0031779D"/>
    <w:rsid w:val="00317A74"/>
    <w:rsid w:val="00317C19"/>
    <w:rsid w:val="003200CC"/>
    <w:rsid w:val="003204AC"/>
    <w:rsid w:val="003205B9"/>
    <w:rsid w:val="003209A9"/>
    <w:rsid w:val="00320ACF"/>
    <w:rsid w:val="00321DBE"/>
    <w:rsid w:val="00321FA0"/>
    <w:rsid w:val="00322164"/>
    <w:rsid w:val="003223A2"/>
    <w:rsid w:val="0032283B"/>
    <w:rsid w:val="00322F7B"/>
    <w:rsid w:val="00323417"/>
    <w:rsid w:val="003234FA"/>
    <w:rsid w:val="003236CF"/>
    <w:rsid w:val="0032381E"/>
    <w:rsid w:val="003238F8"/>
    <w:rsid w:val="00323B37"/>
    <w:rsid w:val="00323E79"/>
    <w:rsid w:val="003247B9"/>
    <w:rsid w:val="003247BD"/>
    <w:rsid w:val="0032493B"/>
    <w:rsid w:val="0032494B"/>
    <w:rsid w:val="00325200"/>
    <w:rsid w:val="00325425"/>
    <w:rsid w:val="0032546C"/>
    <w:rsid w:val="003256AC"/>
    <w:rsid w:val="003256FF"/>
    <w:rsid w:val="003258B0"/>
    <w:rsid w:val="0032598B"/>
    <w:rsid w:val="003259CA"/>
    <w:rsid w:val="00325F1B"/>
    <w:rsid w:val="00325FD8"/>
    <w:rsid w:val="003262C6"/>
    <w:rsid w:val="00326411"/>
    <w:rsid w:val="0032655E"/>
    <w:rsid w:val="00326580"/>
    <w:rsid w:val="0032660A"/>
    <w:rsid w:val="00326675"/>
    <w:rsid w:val="003268B2"/>
    <w:rsid w:val="00326B67"/>
    <w:rsid w:val="00326BCB"/>
    <w:rsid w:val="00326CB6"/>
    <w:rsid w:val="003273C3"/>
    <w:rsid w:val="0032743C"/>
    <w:rsid w:val="003274A6"/>
    <w:rsid w:val="0032786F"/>
    <w:rsid w:val="003304A9"/>
    <w:rsid w:val="00330543"/>
    <w:rsid w:val="00330712"/>
    <w:rsid w:val="003309CB"/>
    <w:rsid w:val="00330A60"/>
    <w:rsid w:val="00331343"/>
    <w:rsid w:val="00331521"/>
    <w:rsid w:val="00331657"/>
    <w:rsid w:val="00331915"/>
    <w:rsid w:val="003319BA"/>
    <w:rsid w:val="00331B25"/>
    <w:rsid w:val="00331D47"/>
    <w:rsid w:val="00331DED"/>
    <w:rsid w:val="00332430"/>
    <w:rsid w:val="0033283E"/>
    <w:rsid w:val="00332AA7"/>
    <w:rsid w:val="003332C5"/>
    <w:rsid w:val="003332CA"/>
    <w:rsid w:val="00333548"/>
    <w:rsid w:val="00333699"/>
    <w:rsid w:val="00333778"/>
    <w:rsid w:val="00333886"/>
    <w:rsid w:val="0033392F"/>
    <w:rsid w:val="003343FC"/>
    <w:rsid w:val="00334560"/>
    <w:rsid w:val="003347FD"/>
    <w:rsid w:val="00334B33"/>
    <w:rsid w:val="00334CA3"/>
    <w:rsid w:val="00334E87"/>
    <w:rsid w:val="00334EE9"/>
    <w:rsid w:val="003351FA"/>
    <w:rsid w:val="00335332"/>
    <w:rsid w:val="00335AD3"/>
    <w:rsid w:val="00335DB2"/>
    <w:rsid w:val="00335EA5"/>
    <w:rsid w:val="003360ED"/>
    <w:rsid w:val="00336364"/>
    <w:rsid w:val="003363A1"/>
    <w:rsid w:val="00336416"/>
    <w:rsid w:val="00336668"/>
    <w:rsid w:val="003368E0"/>
    <w:rsid w:val="003368E5"/>
    <w:rsid w:val="00336A5F"/>
    <w:rsid w:val="00336A88"/>
    <w:rsid w:val="00336AA4"/>
    <w:rsid w:val="00336DBA"/>
    <w:rsid w:val="00336E82"/>
    <w:rsid w:val="00336F9D"/>
    <w:rsid w:val="00336FAE"/>
    <w:rsid w:val="00337033"/>
    <w:rsid w:val="003371C2"/>
    <w:rsid w:val="0033724B"/>
    <w:rsid w:val="00337292"/>
    <w:rsid w:val="0033787B"/>
    <w:rsid w:val="00337D83"/>
    <w:rsid w:val="00337F32"/>
    <w:rsid w:val="00337F54"/>
    <w:rsid w:val="00337FEB"/>
    <w:rsid w:val="003402B6"/>
    <w:rsid w:val="003402CF"/>
    <w:rsid w:val="00340371"/>
    <w:rsid w:val="003404CC"/>
    <w:rsid w:val="00340545"/>
    <w:rsid w:val="00340638"/>
    <w:rsid w:val="00340717"/>
    <w:rsid w:val="00340C15"/>
    <w:rsid w:val="0034112D"/>
    <w:rsid w:val="003411F0"/>
    <w:rsid w:val="00341223"/>
    <w:rsid w:val="003412C0"/>
    <w:rsid w:val="003418F3"/>
    <w:rsid w:val="00341A21"/>
    <w:rsid w:val="00341AF4"/>
    <w:rsid w:val="00341E8D"/>
    <w:rsid w:val="00341FD8"/>
    <w:rsid w:val="0034209E"/>
    <w:rsid w:val="003421E2"/>
    <w:rsid w:val="00342340"/>
    <w:rsid w:val="00342682"/>
    <w:rsid w:val="00342796"/>
    <w:rsid w:val="003427C0"/>
    <w:rsid w:val="003428B7"/>
    <w:rsid w:val="00342BAF"/>
    <w:rsid w:val="00343072"/>
    <w:rsid w:val="0034313F"/>
    <w:rsid w:val="00343148"/>
    <w:rsid w:val="00343250"/>
    <w:rsid w:val="003434F8"/>
    <w:rsid w:val="00343737"/>
    <w:rsid w:val="00343885"/>
    <w:rsid w:val="003438DA"/>
    <w:rsid w:val="00343C11"/>
    <w:rsid w:val="00343F6E"/>
    <w:rsid w:val="0034410F"/>
    <w:rsid w:val="00344113"/>
    <w:rsid w:val="003443CA"/>
    <w:rsid w:val="00344776"/>
    <w:rsid w:val="00344FF4"/>
    <w:rsid w:val="0034524F"/>
    <w:rsid w:val="003454E6"/>
    <w:rsid w:val="00345532"/>
    <w:rsid w:val="0034559D"/>
    <w:rsid w:val="00345741"/>
    <w:rsid w:val="00345821"/>
    <w:rsid w:val="00345B40"/>
    <w:rsid w:val="003460E7"/>
    <w:rsid w:val="00346170"/>
    <w:rsid w:val="003467A8"/>
    <w:rsid w:val="003472B7"/>
    <w:rsid w:val="00347462"/>
    <w:rsid w:val="00347717"/>
    <w:rsid w:val="00347EAA"/>
    <w:rsid w:val="00347ED3"/>
    <w:rsid w:val="00350081"/>
    <w:rsid w:val="003502C8"/>
    <w:rsid w:val="00350479"/>
    <w:rsid w:val="00350A01"/>
    <w:rsid w:val="00350A84"/>
    <w:rsid w:val="00350CB8"/>
    <w:rsid w:val="00351188"/>
    <w:rsid w:val="00351397"/>
    <w:rsid w:val="003513BF"/>
    <w:rsid w:val="0035142B"/>
    <w:rsid w:val="0035153B"/>
    <w:rsid w:val="003515BE"/>
    <w:rsid w:val="003516D3"/>
    <w:rsid w:val="003517F4"/>
    <w:rsid w:val="00351BBC"/>
    <w:rsid w:val="00351BBD"/>
    <w:rsid w:val="00351E42"/>
    <w:rsid w:val="00351F1A"/>
    <w:rsid w:val="00352176"/>
    <w:rsid w:val="0035221E"/>
    <w:rsid w:val="0035228A"/>
    <w:rsid w:val="003524BB"/>
    <w:rsid w:val="003526EF"/>
    <w:rsid w:val="00352735"/>
    <w:rsid w:val="00352E29"/>
    <w:rsid w:val="00353118"/>
    <w:rsid w:val="0035320E"/>
    <w:rsid w:val="00353285"/>
    <w:rsid w:val="003533F1"/>
    <w:rsid w:val="00353714"/>
    <w:rsid w:val="00353754"/>
    <w:rsid w:val="0035392D"/>
    <w:rsid w:val="003539D4"/>
    <w:rsid w:val="00353E60"/>
    <w:rsid w:val="00353FF5"/>
    <w:rsid w:val="00354141"/>
    <w:rsid w:val="003541BA"/>
    <w:rsid w:val="00354237"/>
    <w:rsid w:val="00354320"/>
    <w:rsid w:val="0035474A"/>
    <w:rsid w:val="00354970"/>
    <w:rsid w:val="00354BD5"/>
    <w:rsid w:val="00354C02"/>
    <w:rsid w:val="00354CA9"/>
    <w:rsid w:val="0035524A"/>
    <w:rsid w:val="00355307"/>
    <w:rsid w:val="00355323"/>
    <w:rsid w:val="0035533B"/>
    <w:rsid w:val="00355378"/>
    <w:rsid w:val="00355441"/>
    <w:rsid w:val="003554CA"/>
    <w:rsid w:val="0035586B"/>
    <w:rsid w:val="003560DF"/>
    <w:rsid w:val="00356171"/>
    <w:rsid w:val="00356325"/>
    <w:rsid w:val="0035681B"/>
    <w:rsid w:val="003568E6"/>
    <w:rsid w:val="00356B34"/>
    <w:rsid w:val="00356B37"/>
    <w:rsid w:val="00356B7A"/>
    <w:rsid w:val="0035719E"/>
    <w:rsid w:val="00357A0E"/>
    <w:rsid w:val="00357B98"/>
    <w:rsid w:val="00357E66"/>
    <w:rsid w:val="00357EFB"/>
    <w:rsid w:val="00360240"/>
    <w:rsid w:val="00360644"/>
    <w:rsid w:val="00360C48"/>
    <w:rsid w:val="00360E8C"/>
    <w:rsid w:val="00360EBC"/>
    <w:rsid w:val="0036112E"/>
    <w:rsid w:val="00361197"/>
    <w:rsid w:val="003612BE"/>
    <w:rsid w:val="003614B3"/>
    <w:rsid w:val="003614CE"/>
    <w:rsid w:val="0036158F"/>
    <w:rsid w:val="003615EE"/>
    <w:rsid w:val="0036193C"/>
    <w:rsid w:val="00361BC0"/>
    <w:rsid w:val="00361C19"/>
    <w:rsid w:val="00361CA2"/>
    <w:rsid w:val="00361EAE"/>
    <w:rsid w:val="0036205C"/>
    <w:rsid w:val="00362105"/>
    <w:rsid w:val="00362118"/>
    <w:rsid w:val="00362490"/>
    <w:rsid w:val="0036270F"/>
    <w:rsid w:val="0036286D"/>
    <w:rsid w:val="003628E6"/>
    <w:rsid w:val="00362964"/>
    <w:rsid w:val="00362C8A"/>
    <w:rsid w:val="00362D5F"/>
    <w:rsid w:val="00363296"/>
    <w:rsid w:val="003632D8"/>
    <w:rsid w:val="003637C9"/>
    <w:rsid w:val="0036382D"/>
    <w:rsid w:val="0036391E"/>
    <w:rsid w:val="00364C03"/>
    <w:rsid w:val="00364C4C"/>
    <w:rsid w:val="00364E93"/>
    <w:rsid w:val="00364FBF"/>
    <w:rsid w:val="003653AE"/>
    <w:rsid w:val="0036541E"/>
    <w:rsid w:val="003657D5"/>
    <w:rsid w:val="00365A67"/>
    <w:rsid w:val="00365BAD"/>
    <w:rsid w:val="00366419"/>
    <w:rsid w:val="003665EB"/>
    <w:rsid w:val="003668A3"/>
    <w:rsid w:val="003668D7"/>
    <w:rsid w:val="00366967"/>
    <w:rsid w:val="00366BAE"/>
    <w:rsid w:val="00366C68"/>
    <w:rsid w:val="00366CA9"/>
    <w:rsid w:val="00366FE8"/>
    <w:rsid w:val="00367029"/>
    <w:rsid w:val="00367034"/>
    <w:rsid w:val="0036705D"/>
    <w:rsid w:val="003670FB"/>
    <w:rsid w:val="00367820"/>
    <w:rsid w:val="003678A6"/>
    <w:rsid w:val="00367CD5"/>
    <w:rsid w:val="003708D5"/>
    <w:rsid w:val="003709B9"/>
    <w:rsid w:val="00370AE7"/>
    <w:rsid w:val="00370EA3"/>
    <w:rsid w:val="00371000"/>
    <w:rsid w:val="003710E0"/>
    <w:rsid w:val="003711AA"/>
    <w:rsid w:val="0037193F"/>
    <w:rsid w:val="00371A24"/>
    <w:rsid w:val="00371F97"/>
    <w:rsid w:val="00372274"/>
    <w:rsid w:val="003722AB"/>
    <w:rsid w:val="003722C9"/>
    <w:rsid w:val="0037236C"/>
    <w:rsid w:val="003723F2"/>
    <w:rsid w:val="003726C9"/>
    <w:rsid w:val="00372A4D"/>
    <w:rsid w:val="00372B1A"/>
    <w:rsid w:val="00372E08"/>
    <w:rsid w:val="00372E1A"/>
    <w:rsid w:val="003732D1"/>
    <w:rsid w:val="00373334"/>
    <w:rsid w:val="00373856"/>
    <w:rsid w:val="003739CA"/>
    <w:rsid w:val="00373B96"/>
    <w:rsid w:val="00373CF9"/>
    <w:rsid w:val="00373DBE"/>
    <w:rsid w:val="00374031"/>
    <w:rsid w:val="003743AF"/>
    <w:rsid w:val="003744B6"/>
    <w:rsid w:val="003744E3"/>
    <w:rsid w:val="003746C4"/>
    <w:rsid w:val="003749E6"/>
    <w:rsid w:val="00374D89"/>
    <w:rsid w:val="00375027"/>
    <w:rsid w:val="00375272"/>
    <w:rsid w:val="00375373"/>
    <w:rsid w:val="003758D4"/>
    <w:rsid w:val="00375A0F"/>
    <w:rsid w:val="00375AAB"/>
    <w:rsid w:val="00375AD7"/>
    <w:rsid w:val="003761A2"/>
    <w:rsid w:val="00376224"/>
    <w:rsid w:val="00376998"/>
    <w:rsid w:val="00376B83"/>
    <w:rsid w:val="00376E2D"/>
    <w:rsid w:val="00376F25"/>
    <w:rsid w:val="003770B9"/>
    <w:rsid w:val="00377E03"/>
    <w:rsid w:val="00377F6D"/>
    <w:rsid w:val="0038015B"/>
    <w:rsid w:val="00380312"/>
    <w:rsid w:val="00380DA9"/>
    <w:rsid w:val="00380FB4"/>
    <w:rsid w:val="00380FE8"/>
    <w:rsid w:val="003810A6"/>
    <w:rsid w:val="00381188"/>
    <w:rsid w:val="0038126E"/>
    <w:rsid w:val="003817C8"/>
    <w:rsid w:val="00381B24"/>
    <w:rsid w:val="00381B97"/>
    <w:rsid w:val="00381BC7"/>
    <w:rsid w:val="00381EA5"/>
    <w:rsid w:val="003822E2"/>
    <w:rsid w:val="0038238F"/>
    <w:rsid w:val="003825BC"/>
    <w:rsid w:val="00383278"/>
    <w:rsid w:val="003834B6"/>
    <w:rsid w:val="00383677"/>
    <w:rsid w:val="00383DA5"/>
    <w:rsid w:val="00383E78"/>
    <w:rsid w:val="00383EA8"/>
    <w:rsid w:val="003843E3"/>
    <w:rsid w:val="00384620"/>
    <w:rsid w:val="003847E7"/>
    <w:rsid w:val="0038485B"/>
    <w:rsid w:val="00384B04"/>
    <w:rsid w:val="00384B69"/>
    <w:rsid w:val="00384CEE"/>
    <w:rsid w:val="00384EA3"/>
    <w:rsid w:val="00384F1D"/>
    <w:rsid w:val="00384FEA"/>
    <w:rsid w:val="0038521A"/>
    <w:rsid w:val="00385264"/>
    <w:rsid w:val="0038552A"/>
    <w:rsid w:val="0038552C"/>
    <w:rsid w:val="0038553C"/>
    <w:rsid w:val="003856AD"/>
    <w:rsid w:val="003863B9"/>
    <w:rsid w:val="00386BAA"/>
    <w:rsid w:val="00386C24"/>
    <w:rsid w:val="00386DFA"/>
    <w:rsid w:val="00387337"/>
    <w:rsid w:val="0038781E"/>
    <w:rsid w:val="00387839"/>
    <w:rsid w:val="003878D7"/>
    <w:rsid w:val="00387A8A"/>
    <w:rsid w:val="00387E99"/>
    <w:rsid w:val="00387F2A"/>
    <w:rsid w:val="0038EDFE"/>
    <w:rsid w:val="00390581"/>
    <w:rsid w:val="00390587"/>
    <w:rsid w:val="0039058A"/>
    <w:rsid w:val="003905E1"/>
    <w:rsid w:val="003909B9"/>
    <w:rsid w:val="00390DD5"/>
    <w:rsid w:val="00391045"/>
    <w:rsid w:val="00391312"/>
    <w:rsid w:val="00391457"/>
    <w:rsid w:val="0039145A"/>
    <w:rsid w:val="00391A09"/>
    <w:rsid w:val="00391AE0"/>
    <w:rsid w:val="00391D52"/>
    <w:rsid w:val="0039228C"/>
    <w:rsid w:val="003922E3"/>
    <w:rsid w:val="003925D0"/>
    <w:rsid w:val="00392629"/>
    <w:rsid w:val="00392781"/>
    <w:rsid w:val="00392CCC"/>
    <w:rsid w:val="00393045"/>
    <w:rsid w:val="0039316D"/>
    <w:rsid w:val="003931BD"/>
    <w:rsid w:val="00393340"/>
    <w:rsid w:val="00393461"/>
    <w:rsid w:val="00393B0F"/>
    <w:rsid w:val="00393D4A"/>
    <w:rsid w:val="00394033"/>
    <w:rsid w:val="00394123"/>
    <w:rsid w:val="0039422D"/>
    <w:rsid w:val="0039429E"/>
    <w:rsid w:val="0039447D"/>
    <w:rsid w:val="00394527"/>
    <w:rsid w:val="00394746"/>
    <w:rsid w:val="003949B6"/>
    <w:rsid w:val="00394A5E"/>
    <w:rsid w:val="00394D46"/>
    <w:rsid w:val="00395331"/>
    <w:rsid w:val="0039558A"/>
    <w:rsid w:val="003955D1"/>
    <w:rsid w:val="003956F0"/>
    <w:rsid w:val="00395DC3"/>
    <w:rsid w:val="00395DDA"/>
    <w:rsid w:val="0039663F"/>
    <w:rsid w:val="00396648"/>
    <w:rsid w:val="003968AA"/>
    <w:rsid w:val="00396A0D"/>
    <w:rsid w:val="0039733E"/>
    <w:rsid w:val="003973E1"/>
    <w:rsid w:val="00397E12"/>
    <w:rsid w:val="003A0384"/>
    <w:rsid w:val="003A03B1"/>
    <w:rsid w:val="003A0572"/>
    <w:rsid w:val="003A1177"/>
    <w:rsid w:val="003A135A"/>
    <w:rsid w:val="003A1659"/>
    <w:rsid w:val="003A1687"/>
    <w:rsid w:val="003A17D6"/>
    <w:rsid w:val="003A1DE2"/>
    <w:rsid w:val="003A220C"/>
    <w:rsid w:val="003A2304"/>
    <w:rsid w:val="003A27C1"/>
    <w:rsid w:val="003A2883"/>
    <w:rsid w:val="003A31B9"/>
    <w:rsid w:val="003A33B6"/>
    <w:rsid w:val="003A3779"/>
    <w:rsid w:val="003A3823"/>
    <w:rsid w:val="003A3A8D"/>
    <w:rsid w:val="003A3B09"/>
    <w:rsid w:val="003A3BFD"/>
    <w:rsid w:val="003A3D60"/>
    <w:rsid w:val="003A4406"/>
    <w:rsid w:val="003A44A4"/>
    <w:rsid w:val="003A461C"/>
    <w:rsid w:val="003A474D"/>
    <w:rsid w:val="003A499E"/>
    <w:rsid w:val="003A4A1B"/>
    <w:rsid w:val="003A4FCC"/>
    <w:rsid w:val="003A5063"/>
    <w:rsid w:val="003A52A0"/>
    <w:rsid w:val="003A53B9"/>
    <w:rsid w:val="003A55F1"/>
    <w:rsid w:val="003A5ACA"/>
    <w:rsid w:val="003A634E"/>
    <w:rsid w:val="003A63D4"/>
    <w:rsid w:val="003A66F2"/>
    <w:rsid w:val="003A67DA"/>
    <w:rsid w:val="003A696A"/>
    <w:rsid w:val="003A6BC8"/>
    <w:rsid w:val="003A78FA"/>
    <w:rsid w:val="003B01DC"/>
    <w:rsid w:val="003B02A2"/>
    <w:rsid w:val="003B051F"/>
    <w:rsid w:val="003B0699"/>
    <w:rsid w:val="003B06AE"/>
    <w:rsid w:val="003B06EC"/>
    <w:rsid w:val="003B08FF"/>
    <w:rsid w:val="003B0B01"/>
    <w:rsid w:val="003B0F36"/>
    <w:rsid w:val="003B1106"/>
    <w:rsid w:val="003B1231"/>
    <w:rsid w:val="003B12B0"/>
    <w:rsid w:val="003B142F"/>
    <w:rsid w:val="003B15ED"/>
    <w:rsid w:val="003B19C8"/>
    <w:rsid w:val="003B1CB7"/>
    <w:rsid w:val="003B1D13"/>
    <w:rsid w:val="003B1D48"/>
    <w:rsid w:val="003B2FFD"/>
    <w:rsid w:val="003B33F9"/>
    <w:rsid w:val="003B341A"/>
    <w:rsid w:val="003B385D"/>
    <w:rsid w:val="003B3A35"/>
    <w:rsid w:val="003B3C09"/>
    <w:rsid w:val="003B3DFB"/>
    <w:rsid w:val="003B3F3C"/>
    <w:rsid w:val="003B3FEE"/>
    <w:rsid w:val="003B42F0"/>
    <w:rsid w:val="003B432E"/>
    <w:rsid w:val="003B43B8"/>
    <w:rsid w:val="003B442F"/>
    <w:rsid w:val="003B4CB1"/>
    <w:rsid w:val="003B4E79"/>
    <w:rsid w:val="003B4F8D"/>
    <w:rsid w:val="003B511B"/>
    <w:rsid w:val="003B5225"/>
    <w:rsid w:val="003B5426"/>
    <w:rsid w:val="003B55B5"/>
    <w:rsid w:val="003B582F"/>
    <w:rsid w:val="003B5931"/>
    <w:rsid w:val="003B5C07"/>
    <w:rsid w:val="003B5C68"/>
    <w:rsid w:val="003B5EB0"/>
    <w:rsid w:val="003B5EED"/>
    <w:rsid w:val="003B6202"/>
    <w:rsid w:val="003B6A68"/>
    <w:rsid w:val="003B6ACC"/>
    <w:rsid w:val="003B6B53"/>
    <w:rsid w:val="003B6B9C"/>
    <w:rsid w:val="003B6CE8"/>
    <w:rsid w:val="003B6E36"/>
    <w:rsid w:val="003B7428"/>
    <w:rsid w:val="003B7491"/>
    <w:rsid w:val="003B765C"/>
    <w:rsid w:val="003B786D"/>
    <w:rsid w:val="003B796E"/>
    <w:rsid w:val="003B79E5"/>
    <w:rsid w:val="003B7A28"/>
    <w:rsid w:val="003B7E1E"/>
    <w:rsid w:val="003C0105"/>
    <w:rsid w:val="003C0190"/>
    <w:rsid w:val="003C0BE8"/>
    <w:rsid w:val="003C0D6E"/>
    <w:rsid w:val="003C0DB1"/>
    <w:rsid w:val="003C0DBC"/>
    <w:rsid w:val="003C0DC1"/>
    <w:rsid w:val="003C0EFE"/>
    <w:rsid w:val="003C0F19"/>
    <w:rsid w:val="003C0F3E"/>
    <w:rsid w:val="003C119A"/>
    <w:rsid w:val="003C1232"/>
    <w:rsid w:val="003C15C2"/>
    <w:rsid w:val="003C1ACC"/>
    <w:rsid w:val="003C1E7F"/>
    <w:rsid w:val="003C1FAA"/>
    <w:rsid w:val="003C239C"/>
    <w:rsid w:val="003C2595"/>
    <w:rsid w:val="003C25E6"/>
    <w:rsid w:val="003C2647"/>
    <w:rsid w:val="003C276D"/>
    <w:rsid w:val="003C2936"/>
    <w:rsid w:val="003C2B9B"/>
    <w:rsid w:val="003C2C05"/>
    <w:rsid w:val="003C2C99"/>
    <w:rsid w:val="003C2CA3"/>
    <w:rsid w:val="003C2E0F"/>
    <w:rsid w:val="003C2FB5"/>
    <w:rsid w:val="003C30C8"/>
    <w:rsid w:val="003C3192"/>
    <w:rsid w:val="003C3242"/>
    <w:rsid w:val="003C349B"/>
    <w:rsid w:val="003C370C"/>
    <w:rsid w:val="003C3815"/>
    <w:rsid w:val="003C39FD"/>
    <w:rsid w:val="003C3AB0"/>
    <w:rsid w:val="003C3AD4"/>
    <w:rsid w:val="003C3CFF"/>
    <w:rsid w:val="003C40F8"/>
    <w:rsid w:val="003C44C1"/>
    <w:rsid w:val="003C47B2"/>
    <w:rsid w:val="003C49FA"/>
    <w:rsid w:val="003C4AE5"/>
    <w:rsid w:val="003C4B54"/>
    <w:rsid w:val="003C4D9B"/>
    <w:rsid w:val="003C4DA6"/>
    <w:rsid w:val="003C4DD8"/>
    <w:rsid w:val="003C4E3B"/>
    <w:rsid w:val="003C52FB"/>
    <w:rsid w:val="003C5439"/>
    <w:rsid w:val="003C55DB"/>
    <w:rsid w:val="003C5850"/>
    <w:rsid w:val="003C5C81"/>
    <w:rsid w:val="003C5ED7"/>
    <w:rsid w:val="003C652E"/>
    <w:rsid w:val="003C6951"/>
    <w:rsid w:val="003C6A8B"/>
    <w:rsid w:val="003C7160"/>
    <w:rsid w:val="003C71A5"/>
    <w:rsid w:val="003C73B3"/>
    <w:rsid w:val="003C73CA"/>
    <w:rsid w:val="003C78D9"/>
    <w:rsid w:val="003C7B18"/>
    <w:rsid w:val="003C7C14"/>
    <w:rsid w:val="003D01CF"/>
    <w:rsid w:val="003D0217"/>
    <w:rsid w:val="003D0390"/>
    <w:rsid w:val="003D0514"/>
    <w:rsid w:val="003D0617"/>
    <w:rsid w:val="003D061D"/>
    <w:rsid w:val="003D09A3"/>
    <w:rsid w:val="003D0CCE"/>
    <w:rsid w:val="003D0D57"/>
    <w:rsid w:val="003D1349"/>
    <w:rsid w:val="003D1753"/>
    <w:rsid w:val="003D17C3"/>
    <w:rsid w:val="003D1B7B"/>
    <w:rsid w:val="003D1C81"/>
    <w:rsid w:val="003D204A"/>
    <w:rsid w:val="003D21D7"/>
    <w:rsid w:val="003D245F"/>
    <w:rsid w:val="003D2632"/>
    <w:rsid w:val="003D26EA"/>
    <w:rsid w:val="003D28FC"/>
    <w:rsid w:val="003D2BA9"/>
    <w:rsid w:val="003D2C47"/>
    <w:rsid w:val="003D2FCE"/>
    <w:rsid w:val="003D34F4"/>
    <w:rsid w:val="003D3591"/>
    <w:rsid w:val="003D38D3"/>
    <w:rsid w:val="003D39C3"/>
    <w:rsid w:val="003D3A3C"/>
    <w:rsid w:val="003D3A52"/>
    <w:rsid w:val="003D3BAE"/>
    <w:rsid w:val="003D3C79"/>
    <w:rsid w:val="003D4121"/>
    <w:rsid w:val="003D4257"/>
    <w:rsid w:val="003D47F5"/>
    <w:rsid w:val="003D493A"/>
    <w:rsid w:val="003D4AC6"/>
    <w:rsid w:val="003D4C29"/>
    <w:rsid w:val="003D5354"/>
    <w:rsid w:val="003D5523"/>
    <w:rsid w:val="003D559D"/>
    <w:rsid w:val="003D564E"/>
    <w:rsid w:val="003D5A48"/>
    <w:rsid w:val="003D5A83"/>
    <w:rsid w:val="003D5EBC"/>
    <w:rsid w:val="003D5FF6"/>
    <w:rsid w:val="003D6109"/>
    <w:rsid w:val="003D628B"/>
    <w:rsid w:val="003D66A8"/>
    <w:rsid w:val="003D677F"/>
    <w:rsid w:val="003D6AA3"/>
    <w:rsid w:val="003D76D1"/>
    <w:rsid w:val="003D783D"/>
    <w:rsid w:val="003D7969"/>
    <w:rsid w:val="003D7987"/>
    <w:rsid w:val="003D7BEB"/>
    <w:rsid w:val="003D7BF6"/>
    <w:rsid w:val="003D7D87"/>
    <w:rsid w:val="003D7DFA"/>
    <w:rsid w:val="003D7E84"/>
    <w:rsid w:val="003E017E"/>
    <w:rsid w:val="003E01AC"/>
    <w:rsid w:val="003E01C6"/>
    <w:rsid w:val="003E02E3"/>
    <w:rsid w:val="003E0355"/>
    <w:rsid w:val="003E04AB"/>
    <w:rsid w:val="003E04AE"/>
    <w:rsid w:val="003E0B70"/>
    <w:rsid w:val="003E0F20"/>
    <w:rsid w:val="003E0F98"/>
    <w:rsid w:val="003E1364"/>
    <w:rsid w:val="003E1381"/>
    <w:rsid w:val="003E1498"/>
    <w:rsid w:val="003E1A3C"/>
    <w:rsid w:val="003E1BAB"/>
    <w:rsid w:val="003E1E8D"/>
    <w:rsid w:val="003E1E92"/>
    <w:rsid w:val="003E1E9F"/>
    <w:rsid w:val="003E27CF"/>
    <w:rsid w:val="003E2B2A"/>
    <w:rsid w:val="003E2E1C"/>
    <w:rsid w:val="003E2FFB"/>
    <w:rsid w:val="003E35C5"/>
    <w:rsid w:val="003E373E"/>
    <w:rsid w:val="003E3866"/>
    <w:rsid w:val="003E3BA8"/>
    <w:rsid w:val="003E3EEF"/>
    <w:rsid w:val="003E3FF2"/>
    <w:rsid w:val="003E404E"/>
    <w:rsid w:val="003E508F"/>
    <w:rsid w:val="003E533C"/>
    <w:rsid w:val="003E5459"/>
    <w:rsid w:val="003E54C6"/>
    <w:rsid w:val="003E565F"/>
    <w:rsid w:val="003E5800"/>
    <w:rsid w:val="003E582A"/>
    <w:rsid w:val="003E589D"/>
    <w:rsid w:val="003E596A"/>
    <w:rsid w:val="003E5B39"/>
    <w:rsid w:val="003E5CC7"/>
    <w:rsid w:val="003E5CCF"/>
    <w:rsid w:val="003E5E63"/>
    <w:rsid w:val="003E5F4E"/>
    <w:rsid w:val="003E6034"/>
    <w:rsid w:val="003E6213"/>
    <w:rsid w:val="003E6861"/>
    <w:rsid w:val="003E6B7D"/>
    <w:rsid w:val="003E6F76"/>
    <w:rsid w:val="003E72E9"/>
    <w:rsid w:val="003E7532"/>
    <w:rsid w:val="003E762D"/>
    <w:rsid w:val="003E7846"/>
    <w:rsid w:val="003E790A"/>
    <w:rsid w:val="003E7AC8"/>
    <w:rsid w:val="003E7B40"/>
    <w:rsid w:val="003E7EC0"/>
    <w:rsid w:val="003E7EF3"/>
    <w:rsid w:val="003F016B"/>
    <w:rsid w:val="003F03F1"/>
    <w:rsid w:val="003F03FF"/>
    <w:rsid w:val="003F0673"/>
    <w:rsid w:val="003F0B19"/>
    <w:rsid w:val="003F0CAC"/>
    <w:rsid w:val="003F0F1C"/>
    <w:rsid w:val="003F11D9"/>
    <w:rsid w:val="003F1584"/>
    <w:rsid w:val="003F17B2"/>
    <w:rsid w:val="003F1AD4"/>
    <w:rsid w:val="003F1CCF"/>
    <w:rsid w:val="003F1FF7"/>
    <w:rsid w:val="003F219E"/>
    <w:rsid w:val="003F23FC"/>
    <w:rsid w:val="003F2541"/>
    <w:rsid w:val="003F2781"/>
    <w:rsid w:val="003F2B95"/>
    <w:rsid w:val="003F2E02"/>
    <w:rsid w:val="003F366D"/>
    <w:rsid w:val="003F39B5"/>
    <w:rsid w:val="003F3A53"/>
    <w:rsid w:val="003F3ABF"/>
    <w:rsid w:val="003F3AF3"/>
    <w:rsid w:val="003F3C20"/>
    <w:rsid w:val="003F40B1"/>
    <w:rsid w:val="003F4603"/>
    <w:rsid w:val="003F499C"/>
    <w:rsid w:val="003F4B4F"/>
    <w:rsid w:val="003F4DAB"/>
    <w:rsid w:val="003F4EA9"/>
    <w:rsid w:val="003F503F"/>
    <w:rsid w:val="003F5094"/>
    <w:rsid w:val="003F5232"/>
    <w:rsid w:val="003F540D"/>
    <w:rsid w:val="003F554D"/>
    <w:rsid w:val="003F5566"/>
    <w:rsid w:val="003F5592"/>
    <w:rsid w:val="003F56B1"/>
    <w:rsid w:val="003F5FD3"/>
    <w:rsid w:val="003F5FEC"/>
    <w:rsid w:val="003F612D"/>
    <w:rsid w:val="003F621C"/>
    <w:rsid w:val="003F626B"/>
    <w:rsid w:val="003F63FC"/>
    <w:rsid w:val="003F64B2"/>
    <w:rsid w:val="003F6658"/>
    <w:rsid w:val="003F6C41"/>
    <w:rsid w:val="003F7122"/>
    <w:rsid w:val="003F7142"/>
    <w:rsid w:val="003F7299"/>
    <w:rsid w:val="003F731E"/>
    <w:rsid w:val="003F74D4"/>
    <w:rsid w:val="003F7572"/>
    <w:rsid w:val="003F7A25"/>
    <w:rsid w:val="003F7B45"/>
    <w:rsid w:val="003F7FCB"/>
    <w:rsid w:val="0040019B"/>
    <w:rsid w:val="004008F4"/>
    <w:rsid w:val="004009D1"/>
    <w:rsid w:val="004009D5"/>
    <w:rsid w:val="00400ADA"/>
    <w:rsid w:val="00400E59"/>
    <w:rsid w:val="00400F05"/>
    <w:rsid w:val="00400FE4"/>
    <w:rsid w:val="00401333"/>
    <w:rsid w:val="00401432"/>
    <w:rsid w:val="0040151E"/>
    <w:rsid w:val="00401549"/>
    <w:rsid w:val="004016EB"/>
    <w:rsid w:val="0040187F"/>
    <w:rsid w:val="004018CB"/>
    <w:rsid w:val="00401A5B"/>
    <w:rsid w:val="00401A71"/>
    <w:rsid w:val="00401FDD"/>
    <w:rsid w:val="00402140"/>
    <w:rsid w:val="0040239C"/>
    <w:rsid w:val="004024B9"/>
    <w:rsid w:val="0040280E"/>
    <w:rsid w:val="00402837"/>
    <w:rsid w:val="00402922"/>
    <w:rsid w:val="00402A40"/>
    <w:rsid w:val="00402BD7"/>
    <w:rsid w:val="00402DC9"/>
    <w:rsid w:val="00402F3A"/>
    <w:rsid w:val="00403761"/>
    <w:rsid w:val="004038B0"/>
    <w:rsid w:val="00403978"/>
    <w:rsid w:val="004039DF"/>
    <w:rsid w:val="00403C54"/>
    <w:rsid w:val="00403CB3"/>
    <w:rsid w:val="0040408B"/>
    <w:rsid w:val="004042D9"/>
    <w:rsid w:val="00404532"/>
    <w:rsid w:val="00404641"/>
    <w:rsid w:val="00404791"/>
    <w:rsid w:val="0040480D"/>
    <w:rsid w:val="00404EC4"/>
    <w:rsid w:val="00404F2F"/>
    <w:rsid w:val="004051E2"/>
    <w:rsid w:val="00405627"/>
    <w:rsid w:val="00405715"/>
    <w:rsid w:val="004059DB"/>
    <w:rsid w:val="00405AD1"/>
    <w:rsid w:val="00405B5B"/>
    <w:rsid w:val="00405CBC"/>
    <w:rsid w:val="00406319"/>
    <w:rsid w:val="00406364"/>
    <w:rsid w:val="004063B5"/>
    <w:rsid w:val="0040646E"/>
    <w:rsid w:val="00406594"/>
    <w:rsid w:val="00406B24"/>
    <w:rsid w:val="00406D26"/>
    <w:rsid w:val="00406DAB"/>
    <w:rsid w:val="00407409"/>
    <w:rsid w:val="0040753D"/>
    <w:rsid w:val="004077A7"/>
    <w:rsid w:val="004079FD"/>
    <w:rsid w:val="00407B7B"/>
    <w:rsid w:val="00407DBC"/>
    <w:rsid w:val="00407E2E"/>
    <w:rsid w:val="00407E92"/>
    <w:rsid w:val="00407FFA"/>
    <w:rsid w:val="00410CD7"/>
    <w:rsid w:val="00410D80"/>
    <w:rsid w:val="004110A0"/>
    <w:rsid w:val="004114D0"/>
    <w:rsid w:val="00411D27"/>
    <w:rsid w:val="00411D2D"/>
    <w:rsid w:val="00411DA0"/>
    <w:rsid w:val="00411E21"/>
    <w:rsid w:val="00412124"/>
    <w:rsid w:val="00412624"/>
    <w:rsid w:val="00412B20"/>
    <w:rsid w:val="00412C6E"/>
    <w:rsid w:val="00412F92"/>
    <w:rsid w:val="00412FEC"/>
    <w:rsid w:val="004130CD"/>
    <w:rsid w:val="0041312B"/>
    <w:rsid w:val="004138DD"/>
    <w:rsid w:val="0041399D"/>
    <w:rsid w:val="00413FF6"/>
    <w:rsid w:val="00414339"/>
    <w:rsid w:val="00414515"/>
    <w:rsid w:val="00414622"/>
    <w:rsid w:val="00414D6F"/>
    <w:rsid w:val="00414E46"/>
    <w:rsid w:val="00414F9A"/>
    <w:rsid w:val="00415E8C"/>
    <w:rsid w:val="00415ED2"/>
    <w:rsid w:val="0041606D"/>
    <w:rsid w:val="00416207"/>
    <w:rsid w:val="00416264"/>
    <w:rsid w:val="00416AB3"/>
    <w:rsid w:val="00416BD5"/>
    <w:rsid w:val="00416BDF"/>
    <w:rsid w:val="00416CD7"/>
    <w:rsid w:val="00416D52"/>
    <w:rsid w:val="00416DEB"/>
    <w:rsid w:val="00416E7F"/>
    <w:rsid w:val="0041726C"/>
    <w:rsid w:val="0041785A"/>
    <w:rsid w:val="0041792E"/>
    <w:rsid w:val="00417B28"/>
    <w:rsid w:val="00417C2F"/>
    <w:rsid w:val="00417C35"/>
    <w:rsid w:val="00417C92"/>
    <w:rsid w:val="00417F63"/>
    <w:rsid w:val="00417F91"/>
    <w:rsid w:val="004204A6"/>
    <w:rsid w:val="00420745"/>
    <w:rsid w:val="00420B14"/>
    <w:rsid w:val="00420B7C"/>
    <w:rsid w:val="00420F06"/>
    <w:rsid w:val="0042112A"/>
    <w:rsid w:val="004217E7"/>
    <w:rsid w:val="00421B12"/>
    <w:rsid w:val="00422AE9"/>
    <w:rsid w:val="00422D7C"/>
    <w:rsid w:val="004235D8"/>
    <w:rsid w:val="004235FC"/>
    <w:rsid w:val="0042399C"/>
    <w:rsid w:val="00423D5F"/>
    <w:rsid w:val="00423D8F"/>
    <w:rsid w:val="004241C3"/>
    <w:rsid w:val="0042434C"/>
    <w:rsid w:val="004243D2"/>
    <w:rsid w:val="0042442C"/>
    <w:rsid w:val="00424683"/>
    <w:rsid w:val="00424AC2"/>
    <w:rsid w:val="004255B8"/>
    <w:rsid w:val="004257A1"/>
    <w:rsid w:val="00425E54"/>
    <w:rsid w:val="00425EA0"/>
    <w:rsid w:val="0042604B"/>
    <w:rsid w:val="0042606B"/>
    <w:rsid w:val="0042610C"/>
    <w:rsid w:val="00426546"/>
    <w:rsid w:val="004267C4"/>
    <w:rsid w:val="00426843"/>
    <w:rsid w:val="00426A52"/>
    <w:rsid w:val="00426A7C"/>
    <w:rsid w:val="00426B5C"/>
    <w:rsid w:val="00426E1D"/>
    <w:rsid w:val="00427B5D"/>
    <w:rsid w:val="00430083"/>
    <w:rsid w:val="004300F3"/>
    <w:rsid w:val="00430246"/>
    <w:rsid w:val="004302D9"/>
    <w:rsid w:val="004304F4"/>
    <w:rsid w:val="0043072F"/>
    <w:rsid w:val="00430AA3"/>
    <w:rsid w:val="00430B49"/>
    <w:rsid w:val="00431076"/>
    <w:rsid w:val="00431457"/>
    <w:rsid w:val="0043148F"/>
    <w:rsid w:val="00431766"/>
    <w:rsid w:val="004318A1"/>
    <w:rsid w:val="00431E4A"/>
    <w:rsid w:val="00431EB3"/>
    <w:rsid w:val="004322C3"/>
    <w:rsid w:val="00432407"/>
    <w:rsid w:val="00432460"/>
    <w:rsid w:val="0043269A"/>
    <w:rsid w:val="00432807"/>
    <w:rsid w:val="00432E34"/>
    <w:rsid w:val="00433072"/>
    <w:rsid w:val="00433471"/>
    <w:rsid w:val="00433545"/>
    <w:rsid w:val="004337E4"/>
    <w:rsid w:val="00433BF1"/>
    <w:rsid w:val="00433D98"/>
    <w:rsid w:val="00433F08"/>
    <w:rsid w:val="004340AE"/>
    <w:rsid w:val="004341D7"/>
    <w:rsid w:val="004344B3"/>
    <w:rsid w:val="004345E9"/>
    <w:rsid w:val="00434698"/>
    <w:rsid w:val="0043484D"/>
    <w:rsid w:val="00434949"/>
    <w:rsid w:val="00434F22"/>
    <w:rsid w:val="00434F5C"/>
    <w:rsid w:val="004350EA"/>
    <w:rsid w:val="004351B6"/>
    <w:rsid w:val="00435E38"/>
    <w:rsid w:val="004360AB"/>
    <w:rsid w:val="0043628E"/>
    <w:rsid w:val="004362BA"/>
    <w:rsid w:val="0043640F"/>
    <w:rsid w:val="004364A9"/>
    <w:rsid w:val="00436675"/>
    <w:rsid w:val="0043681A"/>
    <w:rsid w:val="00436BC2"/>
    <w:rsid w:val="00436D84"/>
    <w:rsid w:val="00436E43"/>
    <w:rsid w:val="00436F1D"/>
    <w:rsid w:val="004374ED"/>
    <w:rsid w:val="004377BB"/>
    <w:rsid w:val="004379E7"/>
    <w:rsid w:val="00437B8B"/>
    <w:rsid w:val="00437BD2"/>
    <w:rsid w:val="00437E86"/>
    <w:rsid w:val="00437F12"/>
    <w:rsid w:val="0044034E"/>
    <w:rsid w:val="004406C1"/>
    <w:rsid w:val="00440884"/>
    <w:rsid w:val="00440C5B"/>
    <w:rsid w:val="00440FBC"/>
    <w:rsid w:val="004411B8"/>
    <w:rsid w:val="00441421"/>
    <w:rsid w:val="004418FE"/>
    <w:rsid w:val="00441B8F"/>
    <w:rsid w:val="00441DE5"/>
    <w:rsid w:val="00441ED5"/>
    <w:rsid w:val="00441F6B"/>
    <w:rsid w:val="004422A7"/>
    <w:rsid w:val="0044252A"/>
    <w:rsid w:val="004429C6"/>
    <w:rsid w:val="00442B2D"/>
    <w:rsid w:val="00442BBB"/>
    <w:rsid w:val="00442C02"/>
    <w:rsid w:val="00442C89"/>
    <w:rsid w:val="00442E46"/>
    <w:rsid w:val="00442ED8"/>
    <w:rsid w:val="0044300C"/>
    <w:rsid w:val="004430D9"/>
    <w:rsid w:val="0044314A"/>
    <w:rsid w:val="00443215"/>
    <w:rsid w:val="00443457"/>
    <w:rsid w:val="004434C8"/>
    <w:rsid w:val="004435A3"/>
    <w:rsid w:val="00443679"/>
    <w:rsid w:val="0044367F"/>
    <w:rsid w:val="0044376B"/>
    <w:rsid w:val="00443C8C"/>
    <w:rsid w:val="00443CC1"/>
    <w:rsid w:val="00443FD5"/>
    <w:rsid w:val="004447F9"/>
    <w:rsid w:val="0044486C"/>
    <w:rsid w:val="00444931"/>
    <w:rsid w:val="00444B19"/>
    <w:rsid w:val="00444B4C"/>
    <w:rsid w:val="00444D64"/>
    <w:rsid w:val="00444DAE"/>
    <w:rsid w:val="00444F02"/>
    <w:rsid w:val="00445174"/>
    <w:rsid w:val="00445390"/>
    <w:rsid w:val="004453C1"/>
    <w:rsid w:val="00445426"/>
    <w:rsid w:val="0044569D"/>
    <w:rsid w:val="0044597C"/>
    <w:rsid w:val="00445CB8"/>
    <w:rsid w:val="00445DAD"/>
    <w:rsid w:val="00445FE6"/>
    <w:rsid w:val="004461C7"/>
    <w:rsid w:val="004468EB"/>
    <w:rsid w:val="00446A7C"/>
    <w:rsid w:val="00446B80"/>
    <w:rsid w:val="00446C4E"/>
    <w:rsid w:val="00446DEE"/>
    <w:rsid w:val="004472AF"/>
    <w:rsid w:val="0044782C"/>
    <w:rsid w:val="00447A03"/>
    <w:rsid w:val="00447E23"/>
    <w:rsid w:val="00450240"/>
    <w:rsid w:val="004507D1"/>
    <w:rsid w:val="004508E9"/>
    <w:rsid w:val="00450A7C"/>
    <w:rsid w:val="00450B7E"/>
    <w:rsid w:val="00450F04"/>
    <w:rsid w:val="00451096"/>
    <w:rsid w:val="004514B5"/>
    <w:rsid w:val="00451505"/>
    <w:rsid w:val="00451BD5"/>
    <w:rsid w:val="00451D07"/>
    <w:rsid w:val="00451DC6"/>
    <w:rsid w:val="00451FA9"/>
    <w:rsid w:val="00452006"/>
    <w:rsid w:val="00452056"/>
    <w:rsid w:val="004522F1"/>
    <w:rsid w:val="004523A3"/>
    <w:rsid w:val="004525F5"/>
    <w:rsid w:val="0045263D"/>
    <w:rsid w:val="00452825"/>
    <w:rsid w:val="00452AE8"/>
    <w:rsid w:val="00452E95"/>
    <w:rsid w:val="00453341"/>
    <w:rsid w:val="00453393"/>
    <w:rsid w:val="004533CF"/>
    <w:rsid w:val="00453499"/>
    <w:rsid w:val="0045349B"/>
    <w:rsid w:val="00453865"/>
    <w:rsid w:val="00454469"/>
    <w:rsid w:val="0045497C"/>
    <w:rsid w:val="00454ED5"/>
    <w:rsid w:val="00454EEE"/>
    <w:rsid w:val="00454F63"/>
    <w:rsid w:val="00455082"/>
    <w:rsid w:val="00455180"/>
    <w:rsid w:val="004551DF"/>
    <w:rsid w:val="00455318"/>
    <w:rsid w:val="00455348"/>
    <w:rsid w:val="004555F1"/>
    <w:rsid w:val="004559A2"/>
    <w:rsid w:val="00455BE8"/>
    <w:rsid w:val="004561F9"/>
    <w:rsid w:val="00456429"/>
    <w:rsid w:val="004566C6"/>
    <w:rsid w:val="00456A69"/>
    <w:rsid w:val="00456DCB"/>
    <w:rsid w:val="00456EC7"/>
    <w:rsid w:val="00456F33"/>
    <w:rsid w:val="00457289"/>
    <w:rsid w:val="00457809"/>
    <w:rsid w:val="004578C3"/>
    <w:rsid w:val="00460080"/>
    <w:rsid w:val="004609D6"/>
    <w:rsid w:val="00460A64"/>
    <w:rsid w:val="00460F8B"/>
    <w:rsid w:val="004616B7"/>
    <w:rsid w:val="00461756"/>
    <w:rsid w:val="00461A26"/>
    <w:rsid w:val="00461A3B"/>
    <w:rsid w:val="0046223F"/>
    <w:rsid w:val="004623FF"/>
    <w:rsid w:val="00462552"/>
    <w:rsid w:val="00462B70"/>
    <w:rsid w:val="00462C05"/>
    <w:rsid w:val="00462D64"/>
    <w:rsid w:val="00462E57"/>
    <w:rsid w:val="0046313E"/>
    <w:rsid w:val="0046315C"/>
    <w:rsid w:val="00463267"/>
    <w:rsid w:val="004632FF"/>
    <w:rsid w:val="0046345C"/>
    <w:rsid w:val="004634D8"/>
    <w:rsid w:val="0046386F"/>
    <w:rsid w:val="00463FBE"/>
    <w:rsid w:val="00464216"/>
    <w:rsid w:val="004643BC"/>
    <w:rsid w:val="004645B7"/>
    <w:rsid w:val="0046464D"/>
    <w:rsid w:val="00464719"/>
    <w:rsid w:val="00464DC9"/>
    <w:rsid w:val="0046510C"/>
    <w:rsid w:val="00465129"/>
    <w:rsid w:val="00465A09"/>
    <w:rsid w:val="00465ABC"/>
    <w:rsid w:val="00465E8C"/>
    <w:rsid w:val="00466097"/>
    <w:rsid w:val="004661A8"/>
    <w:rsid w:val="004662DD"/>
    <w:rsid w:val="00466485"/>
    <w:rsid w:val="0046653B"/>
    <w:rsid w:val="00466634"/>
    <w:rsid w:val="00466728"/>
    <w:rsid w:val="004668E5"/>
    <w:rsid w:val="00466B79"/>
    <w:rsid w:val="00466DF4"/>
    <w:rsid w:val="00466ED9"/>
    <w:rsid w:val="00467125"/>
    <w:rsid w:val="00467330"/>
    <w:rsid w:val="00467CF8"/>
    <w:rsid w:val="00467FCD"/>
    <w:rsid w:val="004700E9"/>
    <w:rsid w:val="00470234"/>
    <w:rsid w:val="00470414"/>
    <w:rsid w:val="004705D8"/>
    <w:rsid w:val="00470A07"/>
    <w:rsid w:val="00470D94"/>
    <w:rsid w:val="00470E6F"/>
    <w:rsid w:val="004710C7"/>
    <w:rsid w:val="00471334"/>
    <w:rsid w:val="0047145F"/>
    <w:rsid w:val="0047169A"/>
    <w:rsid w:val="00471EA6"/>
    <w:rsid w:val="00471F4E"/>
    <w:rsid w:val="00471F6C"/>
    <w:rsid w:val="00471FEE"/>
    <w:rsid w:val="00472531"/>
    <w:rsid w:val="00472561"/>
    <w:rsid w:val="00472605"/>
    <w:rsid w:val="00472EAB"/>
    <w:rsid w:val="00472F69"/>
    <w:rsid w:val="00473224"/>
    <w:rsid w:val="0047350E"/>
    <w:rsid w:val="00473724"/>
    <w:rsid w:val="004739E9"/>
    <w:rsid w:val="00473B4B"/>
    <w:rsid w:val="00473C2A"/>
    <w:rsid w:val="00473D65"/>
    <w:rsid w:val="00473E67"/>
    <w:rsid w:val="00474136"/>
    <w:rsid w:val="004742FA"/>
    <w:rsid w:val="004743A3"/>
    <w:rsid w:val="00474425"/>
    <w:rsid w:val="0047457F"/>
    <w:rsid w:val="004745A7"/>
    <w:rsid w:val="004747FC"/>
    <w:rsid w:val="00474DDE"/>
    <w:rsid w:val="00474E06"/>
    <w:rsid w:val="004752CE"/>
    <w:rsid w:val="00475492"/>
    <w:rsid w:val="00475534"/>
    <w:rsid w:val="00475748"/>
    <w:rsid w:val="0047585F"/>
    <w:rsid w:val="004758A2"/>
    <w:rsid w:val="004758F2"/>
    <w:rsid w:val="00475C8F"/>
    <w:rsid w:val="00475E9E"/>
    <w:rsid w:val="0047646E"/>
    <w:rsid w:val="00476573"/>
    <w:rsid w:val="00476587"/>
    <w:rsid w:val="00476C09"/>
    <w:rsid w:val="00476EBD"/>
    <w:rsid w:val="00476FEF"/>
    <w:rsid w:val="004770D8"/>
    <w:rsid w:val="004775B9"/>
    <w:rsid w:val="004775FE"/>
    <w:rsid w:val="00477C67"/>
    <w:rsid w:val="00477D01"/>
    <w:rsid w:val="00477FA0"/>
    <w:rsid w:val="0047CEFD"/>
    <w:rsid w:val="00480149"/>
    <w:rsid w:val="0048033B"/>
    <w:rsid w:val="0048055B"/>
    <w:rsid w:val="004807F3"/>
    <w:rsid w:val="00480886"/>
    <w:rsid w:val="004808A9"/>
    <w:rsid w:val="00480DF6"/>
    <w:rsid w:val="00480E77"/>
    <w:rsid w:val="00480F46"/>
    <w:rsid w:val="00481344"/>
    <w:rsid w:val="004813AC"/>
    <w:rsid w:val="004814C9"/>
    <w:rsid w:val="004814F8"/>
    <w:rsid w:val="00481FCE"/>
    <w:rsid w:val="0048248B"/>
    <w:rsid w:val="004825E4"/>
    <w:rsid w:val="0048275D"/>
    <w:rsid w:val="00482B64"/>
    <w:rsid w:val="00482C7F"/>
    <w:rsid w:val="0048325C"/>
    <w:rsid w:val="00483A5B"/>
    <w:rsid w:val="004840C8"/>
    <w:rsid w:val="00484215"/>
    <w:rsid w:val="004842D7"/>
    <w:rsid w:val="004843E2"/>
    <w:rsid w:val="00484580"/>
    <w:rsid w:val="004846DE"/>
    <w:rsid w:val="00484782"/>
    <w:rsid w:val="004849A4"/>
    <w:rsid w:val="00484B7D"/>
    <w:rsid w:val="00484BCB"/>
    <w:rsid w:val="00484E45"/>
    <w:rsid w:val="00484F0C"/>
    <w:rsid w:val="00484F2B"/>
    <w:rsid w:val="004851E3"/>
    <w:rsid w:val="004853E6"/>
    <w:rsid w:val="0048556C"/>
    <w:rsid w:val="00485617"/>
    <w:rsid w:val="0048575C"/>
    <w:rsid w:val="00485C80"/>
    <w:rsid w:val="00486033"/>
    <w:rsid w:val="004864BB"/>
    <w:rsid w:val="00486946"/>
    <w:rsid w:val="00486A53"/>
    <w:rsid w:val="00486ACA"/>
    <w:rsid w:val="00486B14"/>
    <w:rsid w:val="00486CF6"/>
    <w:rsid w:val="00486DBB"/>
    <w:rsid w:val="00487051"/>
    <w:rsid w:val="00487608"/>
    <w:rsid w:val="00487C41"/>
    <w:rsid w:val="00487C78"/>
    <w:rsid w:val="00487F4A"/>
    <w:rsid w:val="0049010D"/>
    <w:rsid w:val="00490335"/>
    <w:rsid w:val="0049044A"/>
    <w:rsid w:val="004906A2"/>
    <w:rsid w:val="00491207"/>
    <w:rsid w:val="0049123A"/>
    <w:rsid w:val="004914D2"/>
    <w:rsid w:val="00491567"/>
    <w:rsid w:val="004915D3"/>
    <w:rsid w:val="004919F8"/>
    <w:rsid w:val="00491E7C"/>
    <w:rsid w:val="0049234A"/>
    <w:rsid w:val="0049277E"/>
    <w:rsid w:val="00492B03"/>
    <w:rsid w:val="00492B99"/>
    <w:rsid w:val="00493196"/>
    <w:rsid w:val="0049325B"/>
    <w:rsid w:val="0049360E"/>
    <w:rsid w:val="004936A2"/>
    <w:rsid w:val="00493B7B"/>
    <w:rsid w:val="00493C43"/>
    <w:rsid w:val="00493E9D"/>
    <w:rsid w:val="00493F18"/>
    <w:rsid w:val="0049415C"/>
    <w:rsid w:val="00494523"/>
    <w:rsid w:val="004945F2"/>
    <w:rsid w:val="00494699"/>
    <w:rsid w:val="004948C8"/>
    <w:rsid w:val="00494943"/>
    <w:rsid w:val="00494ACC"/>
    <w:rsid w:val="00494B59"/>
    <w:rsid w:val="00494B94"/>
    <w:rsid w:val="00494C10"/>
    <w:rsid w:val="00494E0D"/>
    <w:rsid w:val="00494FDB"/>
    <w:rsid w:val="00495716"/>
    <w:rsid w:val="00495736"/>
    <w:rsid w:val="0049594F"/>
    <w:rsid w:val="004961A4"/>
    <w:rsid w:val="004963D2"/>
    <w:rsid w:val="00496937"/>
    <w:rsid w:val="00496AD7"/>
    <w:rsid w:val="00496B38"/>
    <w:rsid w:val="00496E5D"/>
    <w:rsid w:val="00496FAE"/>
    <w:rsid w:val="0049713C"/>
    <w:rsid w:val="00497635"/>
    <w:rsid w:val="004979D1"/>
    <w:rsid w:val="00497B02"/>
    <w:rsid w:val="00497F27"/>
    <w:rsid w:val="00497F99"/>
    <w:rsid w:val="004A003A"/>
    <w:rsid w:val="004A012E"/>
    <w:rsid w:val="004A0499"/>
    <w:rsid w:val="004A13FB"/>
    <w:rsid w:val="004A1439"/>
    <w:rsid w:val="004A15EA"/>
    <w:rsid w:val="004A1627"/>
    <w:rsid w:val="004A1724"/>
    <w:rsid w:val="004A195C"/>
    <w:rsid w:val="004A1A46"/>
    <w:rsid w:val="004A1BEE"/>
    <w:rsid w:val="004A1D7B"/>
    <w:rsid w:val="004A1D9E"/>
    <w:rsid w:val="004A1F81"/>
    <w:rsid w:val="004A20A5"/>
    <w:rsid w:val="004A2134"/>
    <w:rsid w:val="004A25C1"/>
    <w:rsid w:val="004A2673"/>
    <w:rsid w:val="004A2E99"/>
    <w:rsid w:val="004A2FAC"/>
    <w:rsid w:val="004A3573"/>
    <w:rsid w:val="004A3605"/>
    <w:rsid w:val="004A3639"/>
    <w:rsid w:val="004A3B94"/>
    <w:rsid w:val="004A3DC7"/>
    <w:rsid w:val="004A3EBD"/>
    <w:rsid w:val="004A3FB4"/>
    <w:rsid w:val="004A3FFB"/>
    <w:rsid w:val="004A4211"/>
    <w:rsid w:val="004A4B6D"/>
    <w:rsid w:val="004A4BCE"/>
    <w:rsid w:val="004A4F52"/>
    <w:rsid w:val="004A510F"/>
    <w:rsid w:val="004A5750"/>
    <w:rsid w:val="004A597F"/>
    <w:rsid w:val="004A5EF0"/>
    <w:rsid w:val="004A6017"/>
    <w:rsid w:val="004A6293"/>
    <w:rsid w:val="004A629C"/>
    <w:rsid w:val="004A64A0"/>
    <w:rsid w:val="004A64D7"/>
    <w:rsid w:val="004A65E2"/>
    <w:rsid w:val="004A6DA1"/>
    <w:rsid w:val="004A710A"/>
    <w:rsid w:val="004A7ACE"/>
    <w:rsid w:val="004B0058"/>
    <w:rsid w:val="004B08D4"/>
    <w:rsid w:val="004B0CE3"/>
    <w:rsid w:val="004B0E82"/>
    <w:rsid w:val="004B1461"/>
    <w:rsid w:val="004B1498"/>
    <w:rsid w:val="004B1644"/>
    <w:rsid w:val="004B19E6"/>
    <w:rsid w:val="004B1A0F"/>
    <w:rsid w:val="004B1A23"/>
    <w:rsid w:val="004B1ABF"/>
    <w:rsid w:val="004B1F54"/>
    <w:rsid w:val="004B201B"/>
    <w:rsid w:val="004B2096"/>
    <w:rsid w:val="004B2DE6"/>
    <w:rsid w:val="004B3253"/>
    <w:rsid w:val="004B32E3"/>
    <w:rsid w:val="004B3562"/>
    <w:rsid w:val="004B3746"/>
    <w:rsid w:val="004B3824"/>
    <w:rsid w:val="004B3C22"/>
    <w:rsid w:val="004B3D90"/>
    <w:rsid w:val="004B3DE6"/>
    <w:rsid w:val="004B3E20"/>
    <w:rsid w:val="004B3F3F"/>
    <w:rsid w:val="004B4078"/>
    <w:rsid w:val="004B4B94"/>
    <w:rsid w:val="004B4BE2"/>
    <w:rsid w:val="004B4CA7"/>
    <w:rsid w:val="004B4EC4"/>
    <w:rsid w:val="004B4F1D"/>
    <w:rsid w:val="004B51F2"/>
    <w:rsid w:val="004B5230"/>
    <w:rsid w:val="004B5274"/>
    <w:rsid w:val="004B53A4"/>
    <w:rsid w:val="004B59B6"/>
    <w:rsid w:val="004B5C2C"/>
    <w:rsid w:val="004B5C95"/>
    <w:rsid w:val="004B5FDE"/>
    <w:rsid w:val="004B6372"/>
    <w:rsid w:val="004B6782"/>
    <w:rsid w:val="004B68ED"/>
    <w:rsid w:val="004B6973"/>
    <w:rsid w:val="004B6987"/>
    <w:rsid w:val="004B6A24"/>
    <w:rsid w:val="004B6C16"/>
    <w:rsid w:val="004B6E4A"/>
    <w:rsid w:val="004B724F"/>
    <w:rsid w:val="004B7285"/>
    <w:rsid w:val="004B74BE"/>
    <w:rsid w:val="004B75C2"/>
    <w:rsid w:val="004B7D16"/>
    <w:rsid w:val="004C08D5"/>
    <w:rsid w:val="004C0AAC"/>
    <w:rsid w:val="004C0D7E"/>
    <w:rsid w:val="004C0E3E"/>
    <w:rsid w:val="004C1022"/>
    <w:rsid w:val="004C12C8"/>
    <w:rsid w:val="004C13A4"/>
    <w:rsid w:val="004C175D"/>
    <w:rsid w:val="004C18C1"/>
    <w:rsid w:val="004C1AEE"/>
    <w:rsid w:val="004C1B0D"/>
    <w:rsid w:val="004C1BD4"/>
    <w:rsid w:val="004C1BDB"/>
    <w:rsid w:val="004C1FBA"/>
    <w:rsid w:val="004C2195"/>
    <w:rsid w:val="004C2B83"/>
    <w:rsid w:val="004C2CFE"/>
    <w:rsid w:val="004C30D4"/>
    <w:rsid w:val="004C3269"/>
    <w:rsid w:val="004C32D5"/>
    <w:rsid w:val="004C3556"/>
    <w:rsid w:val="004C3CB8"/>
    <w:rsid w:val="004C41D0"/>
    <w:rsid w:val="004C422A"/>
    <w:rsid w:val="004C43F3"/>
    <w:rsid w:val="004C4549"/>
    <w:rsid w:val="004C45D2"/>
    <w:rsid w:val="004C46F6"/>
    <w:rsid w:val="004C494C"/>
    <w:rsid w:val="004C49B0"/>
    <w:rsid w:val="004C4EE6"/>
    <w:rsid w:val="004C5058"/>
    <w:rsid w:val="004C515C"/>
    <w:rsid w:val="004C5249"/>
    <w:rsid w:val="004C54DC"/>
    <w:rsid w:val="004C5647"/>
    <w:rsid w:val="004C56E7"/>
    <w:rsid w:val="004C5725"/>
    <w:rsid w:val="004C59C5"/>
    <w:rsid w:val="004C5D08"/>
    <w:rsid w:val="004C5E8A"/>
    <w:rsid w:val="004C5F3E"/>
    <w:rsid w:val="004C5FBB"/>
    <w:rsid w:val="004C6202"/>
    <w:rsid w:val="004C6316"/>
    <w:rsid w:val="004C63CB"/>
    <w:rsid w:val="004C6406"/>
    <w:rsid w:val="004C652C"/>
    <w:rsid w:val="004C6752"/>
    <w:rsid w:val="004C69AD"/>
    <w:rsid w:val="004C6A8B"/>
    <w:rsid w:val="004C6C47"/>
    <w:rsid w:val="004C6E3C"/>
    <w:rsid w:val="004C6E8A"/>
    <w:rsid w:val="004C7082"/>
    <w:rsid w:val="004C7479"/>
    <w:rsid w:val="004C74D9"/>
    <w:rsid w:val="004C75B5"/>
    <w:rsid w:val="004C7BDA"/>
    <w:rsid w:val="004C7E4F"/>
    <w:rsid w:val="004D0191"/>
    <w:rsid w:val="004D0266"/>
    <w:rsid w:val="004D031A"/>
    <w:rsid w:val="004D0818"/>
    <w:rsid w:val="004D08FF"/>
    <w:rsid w:val="004D0ADE"/>
    <w:rsid w:val="004D0AF9"/>
    <w:rsid w:val="004D0E67"/>
    <w:rsid w:val="004D0F1B"/>
    <w:rsid w:val="004D0FCE"/>
    <w:rsid w:val="004D10A4"/>
    <w:rsid w:val="004D127A"/>
    <w:rsid w:val="004D1508"/>
    <w:rsid w:val="004D18F8"/>
    <w:rsid w:val="004D194C"/>
    <w:rsid w:val="004D1978"/>
    <w:rsid w:val="004D19A3"/>
    <w:rsid w:val="004D1A6C"/>
    <w:rsid w:val="004D1A77"/>
    <w:rsid w:val="004D1C04"/>
    <w:rsid w:val="004D1C66"/>
    <w:rsid w:val="004D1C81"/>
    <w:rsid w:val="004D1D95"/>
    <w:rsid w:val="004D2055"/>
    <w:rsid w:val="004D20A4"/>
    <w:rsid w:val="004D23BC"/>
    <w:rsid w:val="004D274B"/>
    <w:rsid w:val="004D28CF"/>
    <w:rsid w:val="004D2C0A"/>
    <w:rsid w:val="004D2EE7"/>
    <w:rsid w:val="004D3120"/>
    <w:rsid w:val="004D3499"/>
    <w:rsid w:val="004D35E8"/>
    <w:rsid w:val="004D365F"/>
    <w:rsid w:val="004D39FE"/>
    <w:rsid w:val="004D3A94"/>
    <w:rsid w:val="004D3B64"/>
    <w:rsid w:val="004D3C82"/>
    <w:rsid w:val="004D3D3F"/>
    <w:rsid w:val="004D3FBF"/>
    <w:rsid w:val="004D428D"/>
    <w:rsid w:val="004D4896"/>
    <w:rsid w:val="004D4AA8"/>
    <w:rsid w:val="004D4AEB"/>
    <w:rsid w:val="004D4B88"/>
    <w:rsid w:val="004D4D23"/>
    <w:rsid w:val="004D4D4C"/>
    <w:rsid w:val="004D4FEC"/>
    <w:rsid w:val="004D5123"/>
    <w:rsid w:val="004D5305"/>
    <w:rsid w:val="004D552D"/>
    <w:rsid w:val="004D57B7"/>
    <w:rsid w:val="004D591A"/>
    <w:rsid w:val="004D5D67"/>
    <w:rsid w:val="004D5E06"/>
    <w:rsid w:val="004D6097"/>
    <w:rsid w:val="004D6288"/>
    <w:rsid w:val="004D62A7"/>
    <w:rsid w:val="004D62CC"/>
    <w:rsid w:val="004D6494"/>
    <w:rsid w:val="004D6D21"/>
    <w:rsid w:val="004D6D3B"/>
    <w:rsid w:val="004D743F"/>
    <w:rsid w:val="004D7A3B"/>
    <w:rsid w:val="004D7C43"/>
    <w:rsid w:val="004D7D13"/>
    <w:rsid w:val="004E006B"/>
    <w:rsid w:val="004E04F5"/>
    <w:rsid w:val="004E05CB"/>
    <w:rsid w:val="004E0801"/>
    <w:rsid w:val="004E0971"/>
    <w:rsid w:val="004E0CAF"/>
    <w:rsid w:val="004E0CD0"/>
    <w:rsid w:val="004E0FAD"/>
    <w:rsid w:val="004E1114"/>
    <w:rsid w:val="004E1581"/>
    <w:rsid w:val="004E190F"/>
    <w:rsid w:val="004E1B85"/>
    <w:rsid w:val="004E1C10"/>
    <w:rsid w:val="004E1D93"/>
    <w:rsid w:val="004E20A2"/>
    <w:rsid w:val="004E228E"/>
    <w:rsid w:val="004E2EF1"/>
    <w:rsid w:val="004E2FEA"/>
    <w:rsid w:val="004E3337"/>
    <w:rsid w:val="004E34E9"/>
    <w:rsid w:val="004E3512"/>
    <w:rsid w:val="004E3608"/>
    <w:rsid w:val="004E3669"/>
    <w:rsid w:val="004E3A42"/>
    <w:rsid w:val="004E3C17"/>
    <w:rsid w:val="004E403C"/>
    <w:rsid w:val="004E4065"/>
    <w:rsid w:val="004E4750"/>
    <w:rsid w:val="004E4825"/>
    <w:rsid w:val="004E4AEB"/>
    <w:rsid w:val="004E4E1C"/>
    <w:rsid w:val="004E4E49"/>
    <w:rsid w:val="004E5316"/>
    <w:rsid w:val="004E5C2D"/>
    <w:rsid w:val="004E5C6C"/>
    <w:rsid w:val="004E5F6F"/>
    <w:rsid w:val="004E63CD"/>
    <w:rsid w:val="004E6615"/>
    <w:rsid w:val="004E664B"/>
    <w:rsid w:val="004E6A51"/>
    <w:rsid w:val="004E6C8A"/>
    <w:rsid w:val="004E6D9A"/>
    <w:rsid w:val="004E6DC9"/>
    <w:rsid w:val="004E71E7"/>
    <w:rsid w:val="004E7296"/>
    <w:rsid w:val="004E753F"/>
    <w:rsid w:val="004E7934"/>
    <w:rsid w:val="004E7ABF"/>
    <w:rsid w:val="004F0367"/>
    <w:rsid w:val="004F0503"/>
    <w:rsid w:val="004F0948"/>
    <w:rsid w:val="004F0E94"/>
    <w:rsid w:val="004F1099"/>
    <w:rsid w:val="004F13BE"/>
    <w:rsid w:val="004F148A"/>
    <w:rsid w:val="004F14FF"/>
    <w:rsid w:val="004F16AF"/>
    <w:rsid w:val="004F1905"/>
    <w:rsid w:val="004F1A0B"/>
    <w:rsid w:val="004F1A19"/>
    <w:rsid w:val="004F1AB5"/>
    <w:rsid w:val="004F1C39"/>
    <w:rsid w:val="004F1D47"/>
    <w:rsid w:val="004F1D55"/>
    <w:rsid w:val="004F1D72"/>
    <w:rsid w:val="004F1FF8"/>
    <w:rsid w:val="004F211E"/>
    <w:rsid w:val="004F24C9"/>
    <w:rsid w:val="004F25CB"/>
    <w:rsid w:val="004F2692"/>
    <w:rsid w:val="004F26F2"/>
    <w:rsid w:val="004F2755"/>
    <w:rsid w:val="004F2E66"/>
    <w:rsid w:val="004F3091"/>
    <w:rsid w:val="004F3215"/>
    <w:rsid w:val="004F32B3"/>
    <w:rsid w:val="004F3670"/>
    <w:rsid w:val="004F388B"/>
    <w:rsid w:val="004F3899"/>
    <w:rsid w:val="004F3B8E"/>
    <w:rsid w:val="004F3CB0"/>
    <w:rsid w:val="004F4140"/>
    <w:rsid w:val="004F4247"/>
    <w:rsid w:val="004F42C9"/>
    <w:rsid w:val="004F496C"/>
    <w:rsid w:val="004F4AC5"/>
    <w:rsid w:val="004F4C5D"/>
    <w:rsid w:val="004F4EEF"/>
    <w:rsid w:val="004F4F9F"/>
    <w:rsid w:val="004F5592"/>
    <w:rsid w:val="004F567B"/>
    <w:rsid w:val="004F59FC"/>
    <w:rsid w:val="004F615E"/>
    <w:rsid w:val="004F6430"/>
    <w:rsid w:val="004F67A1"/>
    <w:rsid w:val="004F67D4"/>
    <w:rsid w:val="004F682C"/>
    <w:rsid w:val="004F685A"/>
    <w:rsid w:val="004F6FD2"/>
    <w:rsid w:val="004F741D"/>
    <w:rsid w:val="004F76AC"/>
    <w:rsid w:val="004F7880"/>
    <w:rsid w:val="004F7B97"/>
    <w:rsid w:val="004F7C70"/>
    <w:rsid w:val="00500563"/>
    <w:rsid w:val="0050060C"/>
    <w:rsid w:val="00500AC3"/>
    <w:rsid w:val="00500B49"/>
    <w:rsid w:val="00500D9E"/>
    <w:rsid w:val="00500ED6"/>
    <w:rsid w:val="005010A7"/>
    <w:rsid w:val="00501279"/>
    <w:rsid w:val="00501361"/>
    <w:rsid w:val="0050141E"/>
    <w:rsid w:val="00501D81"/>
    <w:rsid w:val="005021CE"/>
    <w:rsid w:val="00502278"/>
    <w:rsid w:val="005023DF"/>
    <w:rsid w:val="0050251D"/>
    <w:rsid w:val="0050255F"/>
    <w:rsid w:val="005027A8"/>
    <w:rsid w:val="00502AC6"/>
    <w:rsid w:val="00502B0D"/>
    <w:rsid w:val="00502FE0"/>
    <w:rsid w:val="0050301A"/>
    <w:rsid w:val="00503216"/>
    <w:rsid w:val="00503519"/>
    <w:rsid w:val="005036D4"/>
    <w:rsid w:val="005036D9"/>
    <w:rsid w:val="005036EB"/>
    <w:rsid w:val="00503A06"/>
    <w:rsid w:val="00503AFC"/>
    <w:rsid w:val="00503C97"/>
    <w:rsid w:val="00504217"/>
    <w:rsid w:val="0050426E"/>
    <w:rsid w:val="00504675"/>
    <w:rsid w:val="00504C4C"/>
    <w:rsid w:val="0050509D"/>
    <w:rsid w:val="005051F3"/>
    <w:rsid w:val="00505366"/>
    <w:rsid w:val="00505512"/>
    <w:rsid w:val="00505645"/>
    <w:rsid w:val="005056B8"/>
    <w:rsid w:val="005056F7"/>
    <w:rsid w:val="00505C78"/>
    <w:rsid w:val="00505F7B"/>
    <w:rsid w:val="005060A0"/>
    <w:rsid w:val="0050631D"/>
    <w:rsid w:val="00506846"/>
    <w:rsid w:val="00506DBD"/>
    <w:rsid w:val="005072A1"/>
    <w:rsid w:val="005072B6"/>
    <w:rsid w:val="00507368"/>
    <w:rsid w:val="005074CE"/>
    <w:rsid w:val="0050766B"/>
    <w:rsid w:val="005076BF"/>
    <w:rsid w:val="005078ED"/>
    <w:rsid w:val="00507BE0"/>
    <w:rsid w:val="00507CA0"/>
    <w:rsid w:val="00507CF9"/>
    <w:rsid w:val="00510253"/>
    <w:rsid w:val="00510560"/>
    <w:rsid w:val="005105BD"/>
    <w:rsid w:val="0051060F"/>
    <w:rsid w:val="0051083B"/>
    <w:rsid w:val="005108BA"/>
    <w:rsid w:val="00510901"/>
    <w:rsid w:val="00510C62"/>
    <w:rsid w:val="00510D22"/>
    <w:rsid w:val="00510DEB"/>
    <w:rsid w:val="00510EFF"/>
    <w:rsid w:val="00510FB1"/>
    <w:rsid w:val="00511125"/>
    <w:rsid w:val="0051112E"/>
    <w:rsid w:val="005114D8"/>
    <w:rsid w:val="00511849"/>
    <w:rsid w:val="00511FE0"/>
    <w:rsid w:val="0051201E"/>
    <w:rsid w:val="00512111"/>
    <w:rsid w:val="00512155"/>
    <w:rsid w:val="005123FB"/>
    <w:rsid w:val="0051241B"/>
    <w:rsid w:val="0051249E"/>
    <w:rsid w:val="00512857"/>
    <w:rsid w:val="00512B06"/>
    <w:rsid w:val="00512B77"/>
    <w:rsid w:val="00512CCE"/>
    <w:rsid w:val="00513272"/>
    <w:rsid w:val="0051342A"/>
    <w:rsid w:val="005136BB"/>
    <w:rsid w:val="00513904"/>
    <w:rsid w:val="0051397B"/>
    <w:rsid w:val="00513C8C"/>
    <w:rsid w:val="005140EC"/>
    <w:rsid w:val="005141E5"/>
    <w:rsid w:val="00514274"/>
    <w:rsid w:val="0051434F"/>
    <w:rsid w:val="00514728"/>
    <w:rsid w:val="0051491B"/>
    <w:rsid w:val="00514CC9"/>
    <w:rsid w:val="00515770"/>
    <w:rsid w:val="00515835"/>
    <w:rsid w:val="0051593A"/>
    <w:rsid w:val="0051597C"/>
    <w:rsid w:val="00515EFD"/>
    <w:rsid w:val="005160BB"/>
    <w:rsid w:val="00516391"/>
    <w:rsid w:val="005164EE"/>
    <w:rsid w:val="00516683"/>
    <w:rsid w:val="005168C8"/>
    <w:rsid w:val="00516919"/>
    <w:rsid w:val="00516B00"/>
    <w:rsid w:val="00516DAA"/>
    <w:rsid w:val="00516EE2"/>
    <w:rsid w:val="005170D3"/>
    <w:rsid w:val="005171F4"/>
    <w:rsid w:val="0051748F"/>
    <w:rsid w:val="00517496"/>
    <w:rsid w:val="00517802"/>
    <w:rsid w:val="0051785A"/>
    <w:rsid w:val="005178FB"/>
    <w:rsid w:val="005179F1"/>
    <w:rsid w:val="00517C13"/>
    <w:rsid w:val="005200CB"/>
    <w:rsid w:val="00520205"/>
    <w:rsid w:val="00520256"/>
    <w:rsid w:val="00520620"/>
    <w:rsid w:val="005206D1"/>
    <w:rsid w:val="0052093F"/>
    <w:rsid w:val="00520BCF"/>
    <w:rsid w:val="00520E07"/>
    <w:rsid w:val="00520F1C"/>
    <w:rsid w:val="00520FBA"/>
    <w:rsid w:val="00521035"/>
    <w:rsid w:val="00521226"/>
    <w:rsid w:val="005214E5"/>
    <w:rsid w:val="005216AD"/>
    <w:rsid w:val="00521A34"/>
    <w:rsid w:val="00522380"/>
    <w:rsid w:val="0052247D"/>
    <w:rsid w:val="00522FE4"/>
    <w:rsid w:val="0052309A"/>
    <w:rsid w:val="005231E8"/>
    <w:rsid w:val="005233C6"/>
    <w:rsid w:val="0052340D"/>
    <w:rsid w:val="00523430"/>
    <w:rsid w:val="00523998"/>
    <w:rsid w:val="005239D0"/>
    <w:rsid w:val="00523A29"/>
    <w:rsid w:val="00524015"/>
    <w:rsid w:val="005240C7"/>
    <w:rsid w:val="00524824"/>
    <w:rsid w:val="0052487C"/>
    <w:rsid w:val="00524B8E"/>
    <w:rsid w:val="00524C3B"/>
    <w:rsid w:val="00524C59"/>
    <w:rsid w:val="00524CEA"/>
    <w:rsid w:val="00525214"/>
    <w:rsid w:val="005255E2"/>
    <w:rsid w:val="005256CE"/>
    <w:rsid w:val="005257FD"/>
    <w:rsid w:val="005259F8"/>
    <w:rsid w:val="00525B9C"/>
    <w:rsid w:val="00525D5C"/>
    <w:rsid w:val="00525FFF"/>
    <w:rsid w:val="005260A9"/>
    <w:rsid w:val="005263FE"/>
    <w:rsid w:val="005265AA"/>
    <w:rsid w:val="005266F9"/>
    <w:rsid w:val="00526B63"/>
    <w:rsid w:val="00526B94"/>
    <w:rsid w:val="00526C31"/>
    <w:rsid w:val="00526DAE"/>
    <w:rsid w:val="005271C8"/>
    <w:rsid w:val="00527390"/>
    <w:rsid w:val="00527533"/>
    <w:rsid w:val="00527660"/>
    <w:rsid w:val="0052783C"/>
    <w:rsid w:val="0052798F"/>
    <w:rsid w:val="00527D70"/>
    <w:rsid w:val="00527E47"/>
    <w:rsid w:val="00527FD6"/>
    <w:rsid w:val="0053025E"/>
    <w:rsid w:val="0053045D"/>
    <w:rsid w:val="005304E6"/>
    <w:rsid w:val="0053065B"/>
    <w:rsid w:val="00530715"/>
    <w:rsid w:val="0053079C"/>
    <w:rsid w:val="00530855"/>
    <w:rsid w:val="00530A64"/>
    <w:rsid w:val="00530CD8"/>
    <w:rsid w:val="00530D1E"/>
    <w:rsid w:val="00530D89"/>
    <w:rsid w:val="00530D8D"/>
    <w:rsid w:val="0053134E"/>
    <w:rsid w:val="0053150A"/>
    <w:rsid w:val="005315AB"/>
    <w:rsid w:val="005315BB"/>
    <w:rsid w:val="005316C5"/>
    <w:rsid w:val="005318C6"/>
    <w:rsid w:val="005318E4"/>
    <w:rsid w:val="00531A54"/>
    <w:rsid w:val="00531BE5"/>
    <w:rsid w:val="00531DA8"/>
    <w:rsid w:val="00531F25"/>
    <w:rsid w:val="00532164"/>
    <w:rsid w:val="00532391"/>
    <w:rsid w:val="00532517"/>
    <w:rsid w:val="00532577"/>
    <w:rsid w:val="00532791"/>
    <w:rsid w:val="00532C2E"/>
    <w:rsid w:val="00532F6F"/>
    <w:rsid w:val="005330D9"/>
    <w:rsid w:val="0053317B"/>
    <w:rsid w:val="005333DA"/>
    <w:rsid w:val="005334A6"/>
    <w:rsid w:val="005334FD"/>
    <w:rsid w:val="005335B8"/>
    <w:rsid w:val="0053371A"/>
    <w:rsid w:val="0053382A"/>
    <w:rsid w:val="00533B88"/>
    <w:rsid w:val="00533BC4"/>
    <w:rsid w:val="00533E7B"/>
    <w:rsid w:val="0053400A"/>
    <w:rsid w:val="00534250"/>
    <w:rsid w:val="0053427D"/>
    <w:rsid w:val="0053429B"/>
    <w:rsid w:val="00534518"/>
    <w:rsid w:val="0053464F"/>
    <w:rsid w:val="005348B5"/>
    <w:rsid w:val="005348B8"/>
    <w:rsid w:val="00534A0F"/>
    <w:rsid w:val="00534B0C"/>
    <w:rsid w:val="00534C96"/>
    <w:rsid w:val="00534E32"/>
    <w:rsid w:val="005351DC"/>
    <w:rsid w:val="00535530"/>
    <w:rsid w:val="0053555A"/>
    <w:rsid w:val="005358D8"/>
    <w:rsid w:val="00535D46"/>
    <w:rsid w:val="00536115"/>
    <w:rsid w:val="00536173"/>
    <w:rsid w:val="005363CA"/>
    <w:rsid w:val="0053699B"/>
    <w:rsid w:val="00536A56"/>
    <w:rsid w:val="00536D87"/>
    <w:rsid w:val="005370F6"/>
    <w:rsid w:val="005374C4"/>
    <w:rsid w:val="005374EC"/>
    <w:rsid w:val="00537A4D"/>
    <w:rsid w:val="00537A8A"/>
    <w:rsid w:val="00537C21"/>
    <w:rsid w:val="00537FBA"/>
    <w:rsid w:val="005406D8"/>
    <w:rsid w:val="005407F1"/>
    <w:rsid w:val="00540975"/>
    <w:rsid w:val="005416FC"/>
    <w:rsid w:val="00541B2D"/>
    <w:rsid w:val="00541DFA"/>
    <w:rsid w:val="00541DFF"/>
    <w:rsid w:val="00542403"/>
    <w:rsid w:val="005424AF"/>
    <w:rsid w:val="005425D9"/>
    <w:rsid w:val="0054269D"/>
    <w:rsid w:val="005428EC"/>
    <w:rsid w:val="00542992"/>
    <w:rsid w:val="00542A2E"/>
    <w:rsid w:val="00542A79"/>
    <w:rsid w:val="00542D15"/>
    <w:rsid w:val="00543014"/>
    <w:rsid w:val="0054314C"/>
    <w:rsid w:val="0054326F"/>
    <w:rsid w:val="005438A9"/>
    <w:rsid w:val="0054397D"/>
    <w:rsid w:val="005439C1"/>
    <w:rsid w:val="00543B9D"/>
    <w:rsid w:val="00543BAC"/>
    <w:rsid w:val="00543BD1"/>
    <w:rsid w:val="00543CD9"/>
    <w:rsid w:val="00543F55"/>
    <w:rsid w:val="00544126"/>
    <w:rsid w:val="00544143"/>
    <w:rsid w:val="005445BD"/>
    <w:rsid w:val="0054462E"/>
    <w:rsid w:val="00544989"/>
    <w:rsid w:val="00544C90"/>
    <w:rsid w:val="00544D5C"/>
    <w:rsid w:val="00544D95"/>
    <w:rsid w:val="00544F8B"/>
    <w:rsid w:val="00545197"/>
    <w:rsid w:val="00545483"/>
    <w:rsid w:val="00545731"/>
    <w:rsid w:val="0054586B"/>
    <w:rsid w:val="00545A0B"/>
    <w:rsid w:val="00545C05"/>
    <w:rsid w:val="00546099"/>
    <w:rsid w:val="005461FB"/>
    <w:rsid w:val="005466B6"/>
    <w:rsid w:val="00546887"/>
    <w:rsid w:val="00546B14"/>
    <w:rsid w:val="00546FA3"/>
    <w:rsid w:val="00546FCC"/>
    <w:rsid w:val="0054723A"/>
    <w:rsid w:val="005475F2"/>
    <w:rsid w:val="00547680"/>
    <w:rsid w:val="005476E5"/>
    <w:rsid w:val="00547853"/>
    <w:rsid w:val="00547BE9"/>
    <w:rsid w:val="00547D8C"/>
    <w:rsid w:val="00547EDA"/>
    <w:rsid w:val="0055011B"/>
    <w:rsid w:val="005501B4"/>
    <w:rsid w:val="00550234"/>
    <w:rsid w:val="005503F8"/>
    <w:rsid w:val="005509BB"/>
    <w:rsid w:val="00550CAC"/>
    <w:rsid w:val="00550EDE"/>
    <w:rsid w:val="00550FC5"/>
    <w:rsid w:val="00551222"/>
    <w:rsid w:val="00551235"/>
    <w:rsid w:val="00551309"/>
    <w:rsid w:val="005516C3"/>
    <w:rsid w:val="00551A91"/>
    <w:rsid w:val="00551DD1"/>
    <w:rsid w:val="005521C7"/>
    <w:rsid w:val="00552495"/>
    <w:rsid w:val="005524D0"/>
    <w:rsid w:val="00552726"/>
    <w:rsid w:val="00552CE3"/>
    <w:rsid w:val="00552E2A"/>
    <w:rsid w:val="00552ED8"/>
    <w:rsid w:val="00552F79"/>
    <w:rsid w:val="00553271"/>
    <w:rsid w:val="0055360A"/>
    <w:rsid w:val="0055376B"/>
    <w:rsid w:val="00553796"/>
    <w:rsid w:val="005537CD"/>
    <w:rsid w:val="00553AFA"/>
    <w:rsid w:val="00553C40"/>
    <w:rsid w:val="00553EE2"/>
    <w:rsid w:val="0055414E"/>
    <w:rsid w:val="00554742"/>
    <w:rsid w:val="00554AB1"/>
    <w:rsid w:val="00554C01"/>
    <w:rsid w:val="00554D86"/>
    <w:rsid w:val="00554E62"/>
    <w:rsid w:val="0055530E"/>
    <w:rsid w:val="00555605"/>
    <w:rsid w:val="005558D8"/>
    <w:rsid w:val="00555C7F"/>
    <w:rsid w:val="00555CE5"/>
    <w:rsid w:val="00555D4B"/>
    <w:rsid w:val="005563E2"/>
    <w:rsid w:val="0055643F"/>
    <w:rsid w:val="0055699B"/>
    <w:rsid w:val="00556E18"/>
    <w:rsid w:val="00557336"/>
    <w:rsid w:val="00557857"/>
    <w:rsid w:val="0055799A"/>
    <w:rsid w:val="00557ABB"/>
    <w:rsid w:val="00557EC9"/>
    <w:rsid w:val="00557FF0"/>
    <w:rsid w:val="005600A8"/>
    <w:rsid w:val="00560212"/>
    <w:rsid w:val="005602D3"/>
    <w:rsid w:val="00560491"/>
    <w:rsid w:val="005605E5"/>
    <w:rsid w:val="00560712"/>
    <w:rsid w:val="005608C8"/>
    <w:rsid w:val="0056093A"/>
    <w:rsid w:val="00560AC6"/>
    <w:rsid w:val="00560C75"/>
    <w:rsid w:val="00560D21"/>
    <w:rsid w:val="00561066"/>
    <w:rsid w:val="005610EB"/>
    <w:rsid w:val="00561366"/>
    <w:rsid w:val="005613D9"/>
    <w:rsid w:val="005616DF"/>
    <w:rsid w:val="00561A6D"/>
    <w:rsid w:val="00561A9F"/>
    <w:rsid w:val="00561BBC"/>
    <w:rsid w:val="00561C05"/>
    <w:rsid w:val="0056207B"/>
    <w:rsid w:val="00562137"/>
    <w:rsid w:val="005622B1"/>
    <w:rsid w:val="005622DD"/>
    <w:rsid w:val="00562378"/>
    <w:rsid w:val="00562648"/>
    <w:rsid w:val="00562770"/>
    <w:rsid w:val="00562913"/>
    <w:rsid w:val="00562A96"/>
    <w:rsid w:val="00562AFE"/>
    <w:rsid w:val="00562C67"/>
    <w:rsid w:val="00562D46"/>
    <w:rsid w:val="00562DE1"/>
    <w:rsid w:val="00562E85"/>
    <w:rsid w:val="00562FBD"/>
    <w:rsid w:val="00563248"/>
    <w:rsid w:val="005632D4"/>
    <w:rsid w:val="00563376"/>
    <w:rsid w:val="0056356B"/>
    <w:rsid w:val="00563A0A"/>
    <w:rsid w:val="00563BBC"/>
    <w:rsid w:val="0056426D"/>
    <w:rsid w:val="00564434"/>
    <w:rsid w:val="00564749"/>
    <w:rsid w:val="00564C10"/>
    <w:rsid w:val="00564E43"/>
    <w:rsid w:val="005650DC"/>
    <w:rsid w:val="005652BA"/>
    <w:rsid w:val="0056587F"/>
    <w:rsid w:val="00565B52"/>
    <w:rsid w:val="00565CF7"/>
    <w:rsid w:val="00565EFD"/>
    <w:rsid w:val="0056611F"/>
    <w:rsid w:val="00566389"/>
    <w:rsid w:val="0056641A"/>
    <w:rsid w:val="005665E4"/>
    <w:rsid w:val="00566903"/>
    <w:rsid w:val="00566A03"/>
    <w:rsid w:val="00566A32"/>
    <w:rsid w:val="00566A84"/>
    <w:rsid w:val="00566E5A"/>
    <w:rsid w:val="00566EBB"/>
    <w:rsid w:val="00567070"/>
    <w:rsid w:val="00567191"/>
    <w:rsid w:val="0056736F"/>
    <w:rsid w:val="0056770F"/>
    <w:rsid w:val="00567982"/>
    <w:rsid w:val="00567A42"/>
    <w:rsid w:val="00567A55"/>
    <w:rsid w:val="00567EB3"/>
    <w:rsid w:val="0057007C"/>
    <w:rsid w:val="005700E0"/>
    <w:rsid w:val="005700E2"/>
    <w:rsid w:val="0057011F"/>
    <w:rsid w:val="00570153"/>
    <w:rsid w:val="00570159"/>
    <w:rsid w:val="0057030F"/>
    <w:rsid w:val="00570B20"/>
    <w:rsid w:val="00570CDA"/>
    <w:rsid w:val="0057102D"/>
    <w:rsid w:val="0057106F"/>
    <w:rsid w:val="0057127B"/>
    <w:rsid w:val="005712DD"/>
    <w:rsid w:val="00571593"/>
    <w:rsid w:val="00571617"/>
    <w:rsid w:val="00571798"/>
    <w:rsid w:val="0057198F"/>
    <w:rsid w:val="00571A01"/>
    <w:rsid w:val="00571AC4"/>
    <w:rsid w:val="00571D0B"/>
    <w:rsid w:val="00571F4B"/>
    <w:rsid w:val="00571FA7"/>
    <w:rsid w:val="00572034"/>
    <w:rsid w:val="00572293"/>
    <w:rsid w:val="00572332"/>
    <w:rsid w:val="005725E9"/>
    <w:rsid w:val="00572625"/>
    <w:rsid w:val="005728C7"/>
    <w:rsid w:val="005729E3"/>
    <w:rsid w:val="00572A67"/>
    <w:rsid w:val="00572B4D"/>
    <w:rsid w:val="00572C11"/>
    <w:rsid w:val="005731A3"/>
    <w:rsid w:val="005735B9"/>
    <w:rsid w:val="00573727"/>
    <w:rsid w:val="00573777"/>
    <w:rsid w:val="00573787"/>
    <w:rsid w:val="00573C63"/>
    <w:rsid w:val="00573F8C"/>
    <w:rsid w:val="00574034"/>
    <w:rsid w:val="005741C1"/>
    <w:rsid w:val="0057456B"/>
    <w:rsid w:val="005745E0"/>
    <w:rsid w:val="005746F9"/>
    <w:rsid w:val="00574A7B"/>
    <w:rsid w:val="00574EDA"/>
    <w:rsid w:val="00575052"/>
    <w:rsid w:val="005750F7"/>
    <w:rsid w:val="00575137"/>
    <w:rsid w:val="0057570A"/>
    <w:rsid w:val="0057570E"/>
    <w:rsid w:val="00576022"/>
    <w:rsid w:val="0057608A"/>
    <w:rsid w:val="0057623B"/>
    <w:rsid w:val="0057630C"/>
    <w:rsid w:val="005763F5"/>
    <w:rsid w:val="00576591"/>
    <w:rsid w:val="00576BEC"/>
    <w:rsid w:val="00576FC7"/>
    <w:rsid w:val="0057711C"/>
    <w:rsid w:val="0057760E"/>
    <w:rsid w:val="00577BDF"/>
    <w:rsid w:val="00577EB1"/>
    <w:rsid w:val="00580368"/>
    <w:rsid w:val="005804CF"/>
    <w:rsid w:val="005804D4"/>
    <w:rsid w:val="005806B5"/>
    <w:rsid w:val="0058078A"/>
    <w:rsid w:val="005807B2"/>
    <w:rsid w:val="005807C0"/>
    <w:rsid w:val="00580DE8"/>
    <w:rsid w:val="00580DF0"/>
    <w:rsid w:val="00580F11"/>
    <w:rsid w:val="005811F0"/>
    <w:rsid w:val="00581BA7"/>
    <w:rsid w:val="00581C48"/>
    <w:rsid w:val="00581DF2"/>
    <w:rsid w:val="00581E72"/>
    <w:rsid w:val="0058214F"/>
    <w:rsid w:val="005824CF"/>
    <w:rsid w:val="00582A32"/>
    <w:rsid w:val="00582C97"/>
    <w:rsid w:val="00582D66"/>
    <w:rsid w:val="00582E9D"/>
    <w:rsid w:val="005830FD"/>
    <w:rsid w:val="005831E2"/>
    <w:rsid w:val="00583420"/>
    <w:rsid w:val="005836C7"/>
    <w:rsid w:val="005837F2"/>
    <w:rsid w:val="005839AF"/>
    <w:rsid w:val="005839F8"/>
    <w:rsid w:val="00583B4B"/>
    <w:rsid w:val="00583F52"/>
    <w:rsid w:val="00583F80"/>
    <w:rsid w:val="005840DE"/>
    <w:rsid w:val="00584112"/>
    <w:rsid w:val="00584187"/>
    <w:rsid w:val="005841E9"/>
    <w:rsid w:val="0058421F"/>
    <w:rsid w:val="0058461D"/>
    <w:rsid w:val="005846F9"/>
    <w:rsid w:val="00584C0A"/>
    <w:rsid w:val="00584F41"/>
    <w:rsid w:val="00584FF1"/>
    <w:rsid w:val="0058545B"/>
    <w:rsid w:val="005856A0"/>
    <w:rsid w:val="00585969"/>
    <w:rsid w:val="00586A85"/>
    <w:rsid w:val="00586BAE"/>
    <w:rsid w:val="00586C18"/>
    <w:rsid w:val="00586C4C"/>
    <w:rsid w:val="00586CC5"/>
    <w:rsid w:val="00586D72"/>
    <w:rsid w:val="005870A2"/>
    <w:rsid w:val="00587A64"/>
    <w:rsid w:val="00587F42"/>
    <w:rsid w:val="00590068"/>
    <w:rsid w:val="00590085"/>
    <w:rsid w:val="005901AF"/>
    <w:rsid w:val="005901B6"/>
    <w:rsid w:val="0059054C"/>
    <w:rsid w:val="00590863"/>
    <w:rsid w:val="005908C3"/>
    <w:rsid w:val="00590AAE"/>
    <w:rsid w:val="00590C6C"/>
    <w:rsid w:val="005910E0"/>
    <w:rsid w:val="005911CC"/>
    <w:rsid w:val="0059121F"/>
    <w:rsid w:val="005912B9"/>
    <w:rsid w:val="005913C9"/>
    <w:rsid w:val="0059183D"/>
    <w:rsid w:val="00591A42"/>
    <w:rsid w:val="00591C6F"/>
    <w:rsid w:val="00591D60"/>
    <w:rsid w:val="00591ED9"/>
    <w:rsid w:val="005923F9"/>
    <w:rsid w:val="005924C9"/>
    <w:rsid w:val="005924DF"/>
    <w:rsid w:val="00592792"/>
    <w:rsid w:val="005929DF"/>
    <w:rsid w:val="00592B50"/>
    <w:rsid w:val="005936C8"/>
    <w:rsid w:val="00593B4D"/>
    <w:rsid w:val="00593BA9"/>
    <w:rsid w:val="00593DC9"/>
    <w:rsid w:val="00593F32"/>
    <w:rsid w:val="0059412D"/>
    <w:rsid w:val="0059415F"/>
    <w:rsid w:val="00594378"/>
    <w:rsid w:val="00594661"/>
    <w:rsid w:val="005947DF"/>
    <w:rsid w:val="0059499B"/>
    <w:rsid w:val="00594AD2"/>
    <w:rsid w:val="00594BEF"/>
    <w:rsid w:val="00594D7E"/>
    <w:rsid w:val="00594EE0"/>
    <w:rsid w:val="005950F2"/>
    <w:rsid w:val="00595227"/>
    <w:rsid w:val="00595268"/>
    <w:rsid w:val="005952C7"/>
    <w:rsid w:val="00595510"/>
    <w:rsid w:val="00595679"/>
    <w:rsid w:val="005963DC"/>
    <w:rsid w:val="005965D8"/>
    <w:rsid w:val="00596C50"/>
    <w:rsid w:val="00596F7C"/>
    <w:rsid w:val="00597B5A"/>
    <w:rsid w:val="00597C61"/>
    <w:rsid w:val="00597FB0"/>
    <w:rsid w:val="005A0300"/>
    <w:rsid w:val="005A0351"/>
    <w:rsid w:val="005A0564"/>
    <w:rsid w:val="005A0693"/>
    <w:rsid w:val="005A07D6"/>
    <w:rsid w:val="005A07E8"/>
    <w:rsid w:val="005A0883"/>
    <w:rsid w:val="005A0A0C"/>
    <w:rsid w:val="005A0A54"/>
    <w:rsid w:val="005A0B2C"/>
    <w:rsid w:val="005A0F50"/>
    <w:rsid w:val="005A104C"/>
    <w:rsid w:val="005A132F"/>
    <w:rsid w:val="005A149D"/>
    <w:rsid w:val="005A14ED"/>
    <w:rsid w:val="005A1575"/>
    <w:rsid w:val="005A19E4"/>
    <w:rsid w:val="005A1BD5"/>
    <w:rsid w:val="005A1DE8"/>
    <w:rsid w:val="005A2063"/>
    <w:rsid w:val="005A2176"/>
    <w:rsid w:val="005A22F2"/>
    <w:rsid w:val="005A2386"/>
    <w:rsid w:val="005A24E1"/>
    <w:rsid w:val="005A2B44"/>
    <w:rsid w:val="005A33A8"/>
    <w:rsid w:val="005A33AC"/>
    <w:rsid w:val="005A3A5C"/>
    <w:rsid w:val="005A3D73"/>
    <w:rsid w:val="005A4018"/>
    <w:rsid w:val="005A403F"/>
    <w:rsid w:val="005A472F"/>
    <w:rsid w:val="005A47F5"/>
    <w:rsid w:val="005A4901"/>
    <w:rsid w:val="005A4CDB"/>
    <w:rsid w:val="005A527A"/>
    <w:rsid w:val="005A5493"/>
    <w:rsid w:val="005A5751"/>
    <w:rsid w:val="005A5B36"/>
    <w:rsid w:val="005A62A6"/>
    <w:rsid w:val="005A64C1"/>
    <w:rsid w:val="005A6659"/>
    <w:rsid w:val="005A6B23"/>
    <w:rsid w:val="005A6B31"/>
    <w:rsid w:val="005A6B64"/>
    <w:rsid w:val="005A6C32"/>
    <w:rsid w:val="005A6CEE"/>
    <w:rsid w:val="005A6E56"/>
    <w:rsid w:val="005A70E5"/>
    <w:rsid w:val="005A72E8"/>
    <w:rsid w:val="005A7423"/>
    <w:rsid w:val="005A745F"/>
    <w:rsid w:val="005A758F"/>
    <w:rsid w:val="005A76EB"/>
    <w:rsid w:val="005A77EF"/>
    <w:rsid w:val="005A7DEB"/>
    <w:rsid w:val="005B00B1"/>
    <w:rsid w:val="005B00E1"/>
    <w:rsid w:val="005B01DA"/>
    <w:rsid w:val="005B0212"/>
    <w:rsid w:val="005B0686"/>
    <w:rsid w:val="005B076F"/>
    <w:rsid w:val="005B095F"/>
    <w:rsid w:val="005B0987"/>
    <w:rsid w:val="005B0D13"/>
    <w:rsid w:val="005B0D23"/>
    <w:rsid w:val="005B0E55"/>
    <w:rsid w:val="005B0F02"/>
    <w:rsid w:val="005B112D"/>
    <w:rsid w:val="005B1895"/>
    <w:rsid w:val="005B1C38"/>
    <w:rsid w:val="005B1C59"/>
    <w:rsid w:val="005B1FFC"/>
    <w:rsid w:val="005B2015"/>
    <w:rsid w:val="005B203E"/>
    <w:rsid w:val="005B237E"/>
    <w:rsid w:val="005B23BB"/>
    <w:rsid w:val="005B26D5"/>
    <w:rsid w:val="005B2A56"/>
    <w:rsid w:val="005B304F"/>
    <w:rsid w:val="005B3060"/>
    <w:rsid w:val="005B3136"/>
    <w:rsid w:val="005B339E"/>
    <w:rsid w:val="005B33A5"/>
    <w:rsid w:val="005B349B"/>
    <w:rsid w:val="005B35FF"/>
    <w:rsid w:val="005B379C"/>
    <w:rsid w:val="005B3B61"/>
    <w:rsid w:val="005B3D4A"/>
    <w:rsid w:val="005B3EFE"/>
    <w:rsid w:val="005B41CB"/>
    <w:rsid w:val="005B4675"/>
    <w:rsid w:val="005B49C0"/>
    <w:rsid w:val="005B4BA5"/>
    <w:rsid w:val="005B52FC"/>
    <w:rsid w:val="005B5345"/>
    <w:rsid w:val="005B546B"/>
    <w:rsid w:val="005B556B"/>
    <w:rsid w:val="005B566A"/>
    <w:rsid w:val="005B5758"/>
    <w:rsid w:val="005B5919"/>
    <w:rsid w:val="005B593C"/>
    <w:rsid w:val="005B59E5"/>
    <w:rsid w:val="005B59F7"/>
    <w:rsid w:val="005B5D0E"/>
    <w:rsid w:val="005B60D7"/>
    <w:rsid w:val="005B6476"/>
    <w:rsid w:val="005B70D4"/>
    <w:rsid w:val="005B7304"/>
    <w:rsid w:val="005B778B"/>
    <w:rsid w:val="005B7B05"/>
    <w:rsid w:val="005B7BD9"/>
    <w:rsid w:val="005B7EA7"/>
    <w:rsid w:val="005C03C7"/>
    <w:rsid w:val="005C045A"/>
    <w:rsid w:val="005C08CE"/>
    <w:rsid w:val="005C0BB6"/>
    <w:rsid w:val="005C0D33"/>
    <w:rsid w:val="005C0D91"/>
    <w:rsid w:val="005C0F8D"/>
    <w:rsid w:val="005C1116"/>
    <w:rsid w:val="005C1145"/>
    <w:rsid w:val="005C11CF"/>
    <w:rsid w:val="005C1D60"/>
    <w:rsid w:val="005C1F53"/>
    <w:rsid w:val="005C2355"/>
    <w:rsid w:val="005C249F"/>
    <w:rsid w:val="005C2688"/>
    <w:rsid w:val="005C2A83"/>
    <w:rsid w:val="005C2D77"/>
    <w:rsid w:val="005C2DD0"/>
    <w:rsid w:val="005C2FD7"/>
    <w:rsid w:val="005C35B3"/>
    <w:rsid w:val="005C35B6"/>
    <w:rsid w:val="005C3910"/>
    <w:rsid w:val="005C3A94"/>
    <w:rsid w:val="005C3BC4"/>
    <w:rsid w:val="005C3BDF"/>
    <w:rsid w:val="005C4486"/>
    <w:rsid w:val="005C5094"/>
    <w:rsid w:val="005C544E"/>
    <w:rsid w:val="005C56C3"/>
    <w:rsid w:val="005C5777"/>
    <w:rsid w:val="005C5828"/>
    <w:rsid w:val="005C5872"/>
    <w:rsid w:val="005C5CE4"/>
    <w:rsid w:val="005C5DFB"/>
    <w:rsid w:val="005C5F7E"/>
    <w:rsid w:val="005C5F87"/>
    <w:rsid w:val="005C6380"/>
    <w:rsid w:val="005C64D9"/>
    <w:rsid w:val="005C6864"/>
    <w:rsid w:val="005C6910"/>
    <w:rsid w:val="005C7496"/>
    <w:rsid w:val="005C74D3"/>
    <w:rsid w:val="005C75E2"/>
    <w:rsid w:val="005C76F4"/>
    <w:rsid w:val="005C77FA"/>
    <w:rsid w:val="005C7960"/>
    <w:rsid w:val="005C7B06"/>
    <w:rsid w:val="005C7CB2"/>
    <w:rsid w:val="005C7CE9"/>
    <w:rsid w:val="005C7EB0"/>
    <w:rsid w:val="005C7F46"/>
    <w:rsid w:val="005C7F59"/>
    <w:rsid w:val="005D00DB"/>
    <w:rsid w:val="005D0932"/>
    <w:rsid w:val="005D09E2"/>
    <w:rsid w:val="005D0A2E"/>
    <w:rsid w:val="005D0B6F"/>
    <w:rsid w:val="005D139A"/>
    <w:rsid w:val="005D17BE"/>
    <w:rsid w:val="005D192B"/>
    <w:rsid w:val="005D1A17"/>
    <w:rsid w:val="005D1E0F"/>
    <w:rsid w:val="005D2164"/>
    <w:rsid w:val="005D223C"/>
    <w:rsid w:val="005D2864"/>
    <w:rsid w:val="005D295E"/>
    <w:rsid w:val="005D29B4"/>
    <w:rsid w:val="005D2CCB"/>
    <w:rsid w:val="005D3B2F"/>
    <w:rsid w:val="005D3E16"/>
    <w:rsid w:val="005D43EA"/>
    <w:rsid w:val="005D444A"/>
    <w:rsid w:val="005D45EE"/>
    <w:rsid w:val="005D47CF"/>
    <w:rsid w:val="005D487D"/>
    <w:rsid w:val="005D4C48"/>
    <w:rsid w:val="005D4CD5"/>
    <w:rsid w:val="005D5592"/>
    <w:rsid w:val="005D5A5B"/>
    <w:rsid w:val="005D5EEF"/>
    <w:rsid w:val="005D62E8"/>
    <w:rsid w:val="005D6316"/>
    <w:rsid w:val="005D64A6"/>
    <w:rsid w:val="005D6678"/>
    <w:rsid w:val="005D66DB"/>
    <w:rsid w:val="005D687E"/>
    <w:rsid w:val="005D6B65"/>
    <w:rsid w:val="005D6B66"/>
    <w:rsid w:val="005D700B"/>
    <w:rsid w:val="005D7224"/>
    <w:rsid w:val="005D731F"/>
    <w:rsid w:val="005D74D0"/>
    <w:rsid w:val="005D7858"/>
    <w:rsid w:val="005D793F"/>
    <w:rsid w:val="005D7CAC"/>
    <w:rsid w:val="005D7DCF"/>
    <w:rsid w:val="005D7E2C"/>
    <w:rsid w:val="005E025E"/>
    <w:rsid w:val="005E0289"/>
    <w:rsid w:val="005E04F3"/>
    <w:rsid w:val="005E0687"/>
    <w:rsid w:val="005E06BD"/>
    <w:rsid w:val="005E0721"/>
    <w:rsid w:val="005E087B"/>
    <w:rsid w:val="005E0B93"/>
    <w:rsid w:val="005E0C11"/>
    <w:rsid w:val="005E0C2D"/>
    <w:rsid w:val="005E0D66"/>
    <w:rsid w:val="005E0EDD"/>
    <w:rsid w:val="005E1004"/>
    <w:rsid w:val="005E1136"/>
    <w:rsid w:val="005E12C4"/>
    <w:rsid w:val="005E1318"/>
    <w:rsid w:val="005E1353"/>
    <w:rsid w:val="005E13F7"/>
    <w:rsid w:val="005E1433"/>
    <w:rsid w:val="005E14FB"/>
    <w:rsid w:val="005E153E"/>
    <w:rsid w:val="005E1A6A"/>
    <w:rsid w:val="005E1B90"/>
    <w:rsid w:val="005E1C35"/>
    <w:rsid w:val="005E1DAD"/>
    <w:rsid w:val="005E1DD6"/>
    <w:rsid w:val="005E1F47"/>
    <w:rsid w:val="005E208E"/>
    <w:rsid w:val="005E227D"/>
    <w:rsid w:val="005E3049"/>
    <w:rsid w:val="005E3322"/>
    <w:rsid w:val="005E347C"/>
    <w:rsid w:val="005E34DC"/>
    <w:rsid w:val="005E35CC"/>
    <w:rsid w:val="005E36F4"/>
    <w:rsid w:val="005E3910"/>
    <w:rsid w:val="005E3B28"/>
    <w:rsid w:val="005E3B9E"/>
    <w:rsid w:val="005E3F67"/>
    <w:rsid w:val="005E44D3"/>
    <w:rsid w:val="005E4536"/>
    <w:rsid w:val="005E4622"/>
    <w:rsid w:val="005E4C17"/>
    <w:rsid w:val="005E4E76"/>
    <w:rsid w:val="005E4E9F"/>
    <w:rsid w:val="005E55AC"/>
    <w:rsid w:val="005E57A4"/>
    <w:rsid w:val="005E5A60"/>
    <w:rsid w:val="005E5EDA"/>
    <w:rsid w:val="005E6074"/>
    <w:rsid w:val="005E647D"/>
    <w:rsid w:val="005E6E0E"/>
    <w:rsid w:val="005E6EE8"/>
    <w:rsid w:val="005E727D"/>
    <w:rsid w:val="005E72FE"/>
    <w:rsid w:val="005E766D"/>
    <w:rsid w:val="005E7768"/>
    <w:rsid w:val="005E79BB"/>
    <w:rsid w:val="005E7BB6"/>
    <w:rsid w:val="005E7C60"/>
    <w:rsid w:val="005E7DF8"/>
    <w:rsid w:val="005E7E27"/>
    <w:rsid w:val="005E7FEC"/>
    <w:rsid w:val="005F00B5"/>
    <w:rsid w:val="005F0289"/>
    <w:rsid w:val="005F153B"/>
    <w:rsid w:val="005F1706"/>
    <w:rsid w:val="005F1711"/>
    <w:rsid w:val="005F19AB"/>
    <w:rsid w:val="005F1C79"/>
    <w:rsid w:val="005F1E46"/>
    <w:rsid w:val="005F2400"/>
    <w:rsid w:val="005F2433"/>
    <w:rsid w:val="005F24A3"/>
    <w:rsid w:val="005F284E"/>
    <w:rsid w:val="005F290C"/>
    <w:rsid w:val="005F2C7A"/>
    <w:rsid w:val="005F2D4D"/>
    <w:rsid w:val="005F35F2"/>
    <w:rsid w:val="005F367C"/>
    <w:rsid w:val="005F37BA"/>
    <w:rsid w:val="005F38AA"/>
    <w:rsid w:val="005F398E"/>
    <w:rsid w:val="005F3B64"/>
    <w:rsid w:val="005F3D29"/>
    <w:rsid w:val="005F3D66"/>
    <w:rsid w:val="005F401E"/>
    <w:rsid w:val="005F4184"/>
    <w:rsid w:val="005F4458"/>
    <w:rsid w:val="005F44D6"/>
    <w:rsid w:val="005F523B"/>
    <w:rsid w:val="005F540F"/>
    <w:rsid w:val="005F5846"/>
    <w:rsid w:val="005F59DE"/>
    <w:rsid w:val="005F5A85"/>
    <w:rsid w:val="005F5AB8"/>
    <w:rsid w:val="005F657C"/>
    <w:rsid w:val="005F672E"/>
    <w:rsid w:val="005F6895"/>
    <w:rsid w:val="005F6B6D"/>
    <w:rsid w:val="005F6CD9"/>
    <w:rsid w:val="005F6EAF"/>
    <w:rsid w:val="005F6EFC"/>
    <w:rsid w:val="005F7655"/>
    <w:rsid w:val="005F7A14"/>
    <w:rsid w:val="005F7A70"/>
    <w:rsid w:val="005F7A9D"/>
    <w:rsid w:val="005F7B00"/>
    <w:rsid w:val="006001A9"/>
    <w:rsid w:val="00600315"/>
    <w:rsid w:val="006003C6"/>
    <w:rsid w:val="006003C7"/>
    <w:rsid w:val="006006EE"/>
    <w:rsid w:val="00600E96"/>
    <w:rsid w:val="00600FEA"/>
    <w:rsid w:val="006011B2"/>
    <w:rsid w:val="006015D8"/>
    <w:rsid w:val="00601778"/>
    <w:rsid w:val="00601A46"/>
    <w:rsid w:val="0060209A"/>
    <w:rsid w:val="006024AB"/>
    <w:rsid w:val="00602731"/>
    <w:rsid w:val="006027B9"/>
    <w:rsid w:val="00602C17"/>
    <w:rsid w:val="00603394"/>
    <w:rsid w:val="0060374B"/>
    <w:rsid w:val="006037E8"/>
    <w:rsid w:val="0060391F"/>
    <w:rsid w:val="00603A77"/>
    <w:rsid w:val="00604799"/>
    <w:rsid w:val="00604E39"/>
    <w:rsid w:val="00604F5E"/>
    <w:rsid w:val="00605CCE"/>
    <w:rsid w:val="0060600C"/>
    <w:rsid w:val="00606112"/>
    <w:rsid w:val="00606119"/>
    <w:rsid w:val="00606231"/>
    <w:rsid w:val="0060668D"/>
    <w:rsid w:val="006066A5"/>
    <w:rsid w:val="00606D67"/>
    <w:rsid w:val="00606D75"/>
    <w:rsid w:val="00606F0E"/>
    <w:rsid w:val="00607130"/>
    <w:rsid w:val="00607499"/>
    <w:rsid w:val="00607594"/>
    <w:rsid w:val="006077C1"/>
    <w:rsid w:val="006077C5"/>
    <w:rsid w:val="00607A32"/>
    <w:rsid w:val="00607CF8"/>
    <w:rsid w:val="00607FF1"/>
    <w:rsid w:val="00610300"/>
    <w:rsid w:val="006104F5"/>
    <w:rsid w:val="00610787"/>
    <w:rsid w:val="006107DD"/>
    <w:rsid w:val="006109AB"/>
    <w:rsid w:val="00610A31"/>
    <w:rsid w:val="00610A39"/>
    <w:rsid w:val="00610B03"/>
    <w:rsid w:val="00610FF1"/>
    <w:rsid w:val="00611037"/>
    <w:rsid w:val="00611066"/>
    <w:rsid w:val="00611BAB"/>
    <w:rsid w:val="0061254E"/>
    <w:rsid w:val="0061257E"/>
    <w:rsid w:val="0061267B"/>
    <w:rsid w:val="006127A7"/>
    <w:rsid w:val="006129EA"/>
    <w:rsid w:val="00612ABF"/>
    <w:rsid w:val="00612D30"/>
    <w:rsid w:val="00612E04"/>
    <w:rsid w:val="00612ECD"/>
    <w:rsid w:val="00612F10"/>
    <w:rsid w:val="00612F5C"/>
    <w:rsid w:val="00613033"/>
    <w:rsid w:val="006130AC"/>
    <w:rsid w:val="006131B6"/>
    <w:rsid w:val="006133FE"/>
    <w:rsid w:val="00613A23"/>
    <w:rsid w:val="00613EB5"/>
    <w:rsid w:val="00613EBD"/>
    <w:rsid w:val="00613F35"/>
    <w:rsid w:val="00614353"/>
    <w:rsid w:val="00614677"/>
    <w:rsid w:val="006146E6"/>
    <w:rsid w:val="00614737"/>
    <w:rsid w:val="0061497C"/>
    <w:rsid w:val="00614A55"/>
    <w:rsid w:val="00614A5C"/>
    <w:rsid w:val="00614E64"/>
    <w:rsid w:val="00615B91"/>
    <w:rsid w:val="00615D8C"/>
    <w:rsid w:val="00615F17"/>
    <w:rsid w:val="00615F51"/>
    <w:rsid w:val="00616044"/>
    <w:rsid w:val="00616571"/>
    <w:rsid w:val="00616953"/>
    <w:rsid w:val="00616BDF"/>
    <w:rsid w:val="00616C21"/>
    <w:rsid w:val="00616ED3"/>
    <w:rsid w:val="00617100"/>
    <w:rsid w:val="00617305"/>
    <w:rsid w:val="00617505"/>
    <w:rsid w:val="00617605"/>
    <w:rsid w:val="00617805"/>
    <w:rsid w:val="00617A04"/>
    <w:rsid w:val="00617A42"/>
    <w:rsid w:val="00620019"/>
    <w:rsid w:val="00620020"/>
    <w:rsid w:val="00620143"/>
    <w:rsid w:val="00620B7E"/>
    <w:rsid w:val="00620B94"/>
    <w:rsid w:val="00620ED5"/>
    <w:rsid w:val="006213C3"/>
    <w:rsid w:val="006216C8"/>
    <w:rsid w:val="006216E9"/>
    <w:rsid w:val="00621BB7"/>
    <w:rsid w:val="00621C14"/>
    <w:rsid w:val="00621C31"/>
    <w:rsid w:val="00621EFC"/>
    <w:rsid w:val="0062226C"/>
    <w:rsid w:val="0062229F"/>
    <w:rsid w:val="00622674"/>
    <w:rsid w:val="006226F9"/>
    <w:rsid w:val="00622FFD"/>
    <w:rsid w:val="0062301E"/>
    <w:rsid w:val="0062312C"/>
    <w:rsid w:val="006233E2"/>
    <w:rsid w:val="006233F7"/>
    <w:rsid w:val="00623E09"/>
    <w:rsid w:val="00623E77"/>
    <w:rsid w:val="0062416D"/>
    <w:rsid w:val="006243C1"/>
    <w:rsid w:val="006244C5"/>
    <w:rsid w:val="006244EE"/>
    <w:rsid w:val="006246BE"/>
    <w:rsid w:val="006246EF"/>
    <w:rsid w:val="006248A3"/>
    <w:rsid w:val="006249BD"/>
    <w:rsid w:val="00624F9F"/>
    <w:rsid w:val="0062527F"/>
    <w:rsid w:val="00625283"/>
    <w:rsid w:val="006252AB"/>
    <w:rsid w:val="00625440"/>
    <w:rsid w:val="006254A4"/>
    <w:rsid w:val="00625B61"/>
    <w:rsid w:val="00625F65"/>
    <w:rsid w:val="006260BC"/>
    <w:rsid w:val="006264D0"/>
    <w:rsid w:val="00626B1F"/>
    <w:rsid w:val="00626D01"/>
    <w:rsid w:val="00627078"/>
    <w:rsid w:val="0062714E"/>
    <w:rsid w:val="00627386"/>
    <w:rsid w:val="00627A8D"/>
    <w:rsid w:val="00627AD8"/>
    <w:rsid w:val="00627BC1"/>
    <w:rsid w:val="00627D4A"/>
    <w:rsid w:val="00627F8A"/>
    <w:rsid w:val="006300F0"/>
    <w:rsid w:val="006301AD"/>
    <w:rsid w:val="0063025C"/>
    <w:rsid w:val="0063032E"/>
    <w:rsid w:val="00630700"/>
    <w:rsid w:val="0063085B"/>
    <w:rsid w:val="00630B71"/>
    <w:rsid w:val="00630D35"/>
    <w:rsid w:val="00630F1E"/>
    <w:rsid w:val="00631172"/>
    <w:rsid w:val="00631564"/>
    <w:rsid w:val="00631655"/>
    <w:rsid w:val="0063170C"/>
    <w:rsid w:val="00631FAC"/>
    <w:rsid w:val="0063209C"/>
    <w:rsid w:val="00632585"/>
    <w:rsid w:val="00632ABF"/>
    <w:rsid w:val="00632C5F"/>
    <w:rsid w:val="00632D14"/>
    <w:rsid w:val="00633345"/>
    <w:rsid w:val="006334E6"/>
    <w:rsid w:val="006334F4"/>
    <w:rsid w:val="00633573"/>
    <w:rsid w:val="0063379C"/>
    <w:rsid w:val="00633D0B"/>
    <w:rsid w:val="0063411C"/>
    <w:rsid w:val="00634373"/>
    <w:rsid w:val="0063456F"/>
    <w:rsid w:val="006348EB"/>
    <w:rsid w:val="00634963"/>
    <w:rsid w:val="006349DD"/>
    <w:rsid w:val="00634A09"/>
    <w:rsid w:val="00634CDA"/>
    <w:rsid w:val="00635421"/>
    <w:rsid w:val="006359C8"/>
    <w:rsid w:val="00635B10"/>
    <w:rsid w:val="00635B69"/>
    <w:rsid w:val="00635C41"/>
    <w:rsid w:val="00635D08"/>
    <w:rsid w:val="006368CE"/>
    <w:rsid w:val="00636CFF"/>
    <w:rsid w:val="00637033"/>
    <w:rsid w:val="0063732D"/>
    <w:rsid w:val="0063781B"/>
    <w:rsid w:val="00637B2B"/>
    <w:rsid w:val="00637BF7"/>
    <w:rsid w:val="00637DCE"/>
    <w:rsid w:val="006400CB"/>
    <w:rsid w:val="00640A38"/>
    <w:rsid w:val="00640AC7"/>
    <w:rsid w:val="00640AF0"/>
    <w:rsid w:val="00640E74"/>
    <w:rsid w:val="00640E8C"/>
    <w:rsid w:val="00640EBC"/>
    <w:rsid w:val="00640FDE"/>
    <w:rsid w:val="00641045"/>
    <w:rsid w:val="00641051"/>
    <w:rsid w:val="0064147D"/>
    <w:rsid w:val="006415AC"/>
    <w:rsid w:val="00641A80"/>
    <w:rsid w:val="00641B60"/>
    <w:rsid w:val="00642074"/>
    <w:rsid w:val="006425A0"/>
    <w:rsid w:val="006425BA"/>
    <w:rsid w:val="00642964"/>
    <w:rsid w:val="00642B8B"/>
    <w:rsid w:val="00642C7E"/>
    <w:rsid w:val="00642F78"/>
    <w:rsid w:val="00643177"/>
    <w:rsid w:val="006431F6"/>
    <w:rsid w:val="006433BF"/>
    <w:rsid w:val="00643408"/>
    <w:rsid w:val="006438EF"/>
    <w:rsid w:val="00643965"/>
    <w:rsid w:val="00643A8D"/>
    <w:rsid w:val="00643BEB"/>
    <w:rsid w:val="00643DA2"/>
    <w:rsid w:val="00643E0F"/>
    <w:rsid w:val="00644438"/>
    <w:rsid w:val="006447A1"/>
    <w:rsid w:val="006449FF"/>
    <w:rsid w:val="00644A40"/>
    <w:rsid w:val="00644B55"/>
    <w:rsid w:val="00644BAE"/>
    <w:rsid w:val="0064506E"/>
    <w:rsid w:val="006450DB"/>
    <w:rsid w:val="006454D4"/>
    <w:rsid w:val="006455A1"/>
    <w:rsid w:val="00645938"/>
    <w:rsid w:val="00645B80"/>
    <w:rsid w:val="00645C76"/>
    <w:rsid w:val="00645D4A"/>
    <w:rsid w:val="00645E18"/>
    <w:rsid w:val="00645F18"/>
    <w:rsid w:val="00645FF7"/>
    <w:rsid w:val="00646544"/>
    <w:rsid w:val="006467CF"/>
    <w:rsid w:val="0064693D"/>
    <w:rsid w:val="00646C6A"/>
    <w:rsid w:val="0064706D"/>
    <w:rsid w:val="0064732D"/>
    <w:rsid w:val="0064750A"/>
    <w:rsid w:val="00647706"/>
    <w:rsid w:val="00647C3A"/>
    <w:rsid w:val="00647D7E"/>
    <w:rsid w:val="006500B2"/>
    <w:rsid w:val="006501CC"/>
    <w:rsid w:val="00650672"/>
    <w:rsid w:val="006509CF"/>
    <w:rsid w:val="00650D2E"/>
    <w:rsid w:val="00650D51"/>
    <w:rsid w:val="0065124D"/>
    <w:rsid w:val="00651669"/>
    <w:rsid w:val="00651C1E"/>
    <w:rsid w:val="00651C73"/>
    <w:rsid w:val="006520BF"/>
    <w:rsid w:val="0065217A"/>
    <w:rsid w:val="0065217B"/>
    <w:rsid w:val="006521AA"/>
    <w:rsid w:val="00652327"/>
    <w:rsid w:val="006523D1"/>
    <w:rsid w:val="006525F7"/>
    <w:rsid w:val="00652603"/>
    <w:rsid w:val="00652A19"/>
    <w:rsid w:val="00652ABE"/>
    <w:rsid w:val="00652C30"/>
    <w:rsid w:val="006530B7"/>
    <w:rsid w:val="0065315E"/>
    <w:rsid w:val="006531B7"/>
    <w:rsid w:val="006536FE"/>
    <w:rsid w:val="00653AE0"/>
    <w:rsid w:val="00653B88"/>
    <w:rsid w:val="00653DD9"/>
    <w:rsid w:val="00653FA8"/>
    <w:rsid w:val="0065469E"/>
    <w:rsid w:val="00654E67"/>
    <w:rsid w:val="006552C1"/>
    <w:rsid w:val="0065567F"/>
    <w:rsid w:val="00655AC6"/>
    <w:rsid w:val="00655D9F"/>
    <w:rsid w:val="00655E87"/>
    <w:rsid w:val="00655E95"/>
    <w:rsid w:val="00655E96"/>
    <w:rsid w:val="00656260"/>
    <w:rsid w:val="00656562"/>
    <w:rsid w:val="006565BF"/>
    <w:rsid w:val="00656605"/>
    <w:rsid w:val="006567D3"/>
    <w:rsid w:val="00656A7C"/>
    <w:rsid w:val="00656AE5"/>
    <w:rsid w:val="00656DE0"/>
    <w:rsid w:val="0065700C"/>
    <w:rsid w:val="006570A7"/>
    <w:rsid w:val="00657223"/>
    <w:rsid w:val="0065722D"/>
    <w:rsid w:val="006573AB"/>
    <w:rsid w:val="0065748E"/>
    <w:rsid w:val="0065773F"/>
    <w:rsid w:val="00657B19"/>
    <w:rsid w:val="00657D7F"/>
    <w:rsid w:val="00657F25"/>
    <w:rsid w:val="0066005E"/>
    <w:rsid w:val="006601DD"/>
    <w:rsid w:val="0066066A"/>
    <w:rsid w:val="0066070B"/>
    <w:rsid w:val="006609EA"/>
    <w:rsid w:val="00660B3E"/>
    <w:rsid w:val="00660D7B"/>
    <w:rsid w:val="00660D95"/>
    <w:rsid w:val="00661146"/>
    <w:rsid w:val="0066117C"/>
    <w:rsid w:val="006614D3"/>
    <w:rsid w:val="00661688"/>
    <w:rsid w:val="006618B4"/>
    <w:rsid w:val="00661C3F"/>
    <w:rsid w:val="00661ECE"/>
    <w:rsid w:val="0066233B"/>
    <w:rsid w:val="00662451"/>
    <w:rsid w:val="00662DFA"/>
    <w:rsid w:val="00662FDE"/>
    <w:rsid w:val="00662FE5"/>
    <w:rsid w:val="0066317A"/>
    <w:rsid w:val="0066322E"/>
    <w:rsid w:val="00663491"/>
    <w:rsid w:val="00663562"/>
    <w:rsid w:val="006638FF"/>
    <w:rsid w:val="00663BA6"/>
    <w:rsid w:val="00663BC5"/>
    <w:rsid w:val="00663D67"/>
    <w:rsid w:val="00663D97"/>
    <w:rsid w:val="00663E4C"/>
    <w:rsid w:val="00663F6B"/>
    <w:rsid w:val="00664114"/>
    <w:rsid w:val="00664212"/>
    <w:rsid w:val="0066431C"/>
    <w:rsid w:val="00664763"/>
    <w:rsid w:val="00664810"/>
    <w:rsid w:val="00664945"/>
    <w:rsid w:val="0066498B"/>
    <w:rsid w:val="00664A78"/>
    <w:rsid w:val="00664ADC"/>
    <w:rsid w:val="00665112"/>
    <w:rsid w:val="006656C5"/>
    <w:rsid w:val="00665877"/>
    <w:rsid w:val="00665887"/>
    <w:rsid w:val="0066598E"/>
    <w:rsid w:val="00665CE1"/>
    <w:rsid w:val="00665DCC"/>
    <w:rsid w:val="00665DD3"/>
    <w:rsid w:val="006660FB"/>
    <w:rsid w:val="00666281"/>
    <w:rsid w:val="00666D1A"/>
    <w:rsid w:val="00666EE7"/>
    <w:rsid w:val="00666FB0"/>
    <w:rsid w:val="006672D5"/>
    <w:rsid w:val="006679D4"/>
    <w:rsid w:val="00667AA1"/>
    <w:rsid w:val="00667CD7"/>
    <w:rsid w:val="00667D51"/>
    <w:rsid w:val="00667D68"/>
    <w:rsid w:val="00667FED"/>
    <w:rsid w:val="00670309"/>
    <w:rsid w:val="006704F0"/>
    <w:rsid w:val="0067057C"/>
    <w:rsid w:val="0067057F"/>
    <w:rsid w:val="006706A0"/>
    <w:rsid w:val="0067080D"/>
    <w:rsid w:val="00670928"/>
    <w:rsid w:val="006709D8"/>
    <w:rsid w:val="00670A19"/>
    <w:rsid w:val="00671334"/>
    <w:rsid w:val="00671460"/>
    <w:rsid w:val="006714AC"/>
    <w:rsid w:val="006714BF"/>
    <w:rsid w:val="006714FF"/>
    <w:rsid w:val="0067172E"/>
    <w:rsid w:val="00671742"/>
    <w:rsid w:val="006717EB"/>
    <w:rsid w:val="006718BF"/>
    <w:rsid w:val="00671D4D"/>
    <w:rsid w:val="00671D62"/>
    <w:rsid w:val="00671E7C"/>
    <w:rsid w:val="00671F60"/>
    <w:rsid w:val="006721DB"/>
    <w:rsid w:val="006726EA"/>
    <w:rsid w:val="00672C7B"/>
    <w:rsid w:val="00672CFC"/>
    <w:rsid w:val="00672FB2"/>
    <w:rsid w:val="00673353"/>
    <w:rsid w:val="0067340C"/>
    <w:rsid w:val="006734C1"/>
    <w:rsid w:val="006734E0"/>
    <w:rsid w:val="006734E2"/>
    <w:rsid w:val="0067361D"/>
    <w:rsid w:val="00673B4C"/>
    <w:rsid w:val="00673CAF"/>
    <w:rsid w:val="00673CF9"/>
    <w:rsid w:val="00673DC3"/>
    <w:rsid w:val="00674087"/>
    <w:rsid w:val="0067432C"/>
    <w:rsid w:val="006745AE"/>
    <w:rsid w:val="006745CD"/>
    <w:rsid w:val="00674A57"/>
    <w:rsid w:val="00674F10"/>
    <w:rsid w:val="0067529C"/>
    <w:rsid w:val="006753FD"/>
    <w:rsid w:val="00675564"/>
    <w:rsid w:val="006758F1"/>
    <w:rsid w:val="00675988"/>
    <w:rsid w:val="00675AFB"/>
    <w:rsid w:val="00675E53"/>
    <w:rsid w:val="006760DD"/>
    <w:rsid w:val="00676105"/>
    <w:rsid w:val="00676282"/>
    <w:rsid w:val="006762DE"/>
    <w:rsid w:val="006767F1"/>
    <w:rsid w:val="0067685B"/>
    <w:rsid w:val="00676860"/>
    <w:rsid w:val="006769DD"/>
    <w:rsid w:val="00676FAD"/>
    <w:rsid w:val="0067702B"/>
    <w:rsid w:val="00677044"/>
    <w:rsid w:val="00677114"/>
    <w:rsid w:val="00677442"/>
    <w:rsid w:val="0067744E"/>
    <w:rsid w:val="00677598"/>
    <w:rsid w:val="00677639"/>
    <w:rsid w:val="006776CE"/>
    <w:rsid w:val="00677C54"/>
    <w:rsid w:val="00677C7B"/>
    <w:rsid w:val="00677C83"/>
    <w:rsid w:val="00677F9C"/>
    <w:rsid w:val="0068061E"/>
    <w:rsid w:val="0068066C"/>
    <w:rsid w:val="00680F32"/>
    <w:rsid w:val="006810AA"/>
    <w:rsid w:val="00681203"/>
    <w:rsid w:val="0068125C"/>
    <w:rsid w:val="0068165B"/>
    <w:rsid w:val="006816CB"/>
    <w:rsid w:val="00681747"/>
    <w:rsid w:val="0068189B"/>
    <w:rsid w:val="00681ABC"/>
    <w:rsid w:val="00681F39"/>
    <w:rsid w:val="006826C5"/>
    <w:rsid w:val="00682798"/>
    <w:rsid w:val="006829B2"/>
    <w:rsid w:val="00682D55"/>
    <w:rsid w:val="00683269"/>
    <w:rsid w:val="00683785"/>
    <w:rsid w:val="0068380F"/>
    <w:rsid w:val="00683890"/>
    <w:rsid w:val="006838BF"/>
    <w:rsid w:val="00683938"/>
    <w:rsid w:val="00683953"/>
    <w:rsid w:val="006839DD"/>
    <w:rsid w:val="00683AF2"/>
    <w:rsid w:val="00683B7B"/>
    <w:rsid w:val="00683BB1"/>
    <w:rsid w:val="006840B2"/>
    <w:rsid w:val="00684716"/>
    <w:rsid w:val="006849AC"/>
    <w:rsid w:val="00685030"/>
    <w:rsid w:val="0068510F"/>
    <w:rsid w:val="00685453"/>
    <w:rsid w:val="0068557B"/>
    <w:rsid w:val="006855D1"/>
    <w:rsid w:val="00685A61"/>
    <w:rsid w:val="00685BE1"/>
    <w:rsid w:val="00685C60"/>
    <w:rsid w:val="00685DE3"/>
    <w:rsid w:val="00685FBD"/>
    <w:rsid w:val="00686362"/>
    <w:rsid w:val="00686623"/>
    <w:rsid w:val="00686902"/>
    <w:rsid w:val="0068697A"/>
    <w:rsid w:val="00686A2B"/>
    <w:rsid w:val="00686AEA"/>
    <w:rsid w:val="00686B4D"/>
    <w:rsid w:val="00686B72"/>
    <w:rsid w:val="00686DD4"/>
    <w:rsid w:val="00686F1E"/>
    <w:rsid w:val="00687398"/>
    <w:rsid w:val="0068744F"/>
    <w:rsid w:val="0068745A"/>
    <w:rsid w:val="006874F2"/>
    <w:rsid w:val="0068778A"/>
    <w:rsid w:val="00687954"/>
    <w:rsid w:val="0069006B"/>
    <w:rsid w:val="0069086D"/>
    <w:rsid w:val="00690A31"/>
    <w:rsid w:val="00690C83"/>
    <w:rsid w:val="0069114D"/>
    <w:rsid w:val="006915DD"/>
    <w:rsid w:val="00691650"/>
    <w:rsid w:val="006917C6"/>
    <w:rsid w:val="0069194A"/>
    <w:rsid w:val="00691C2A"/>
    <w:rsid w:val="0069230E"/>
    <w:rsid w:val="00692348"/>
    <w:rsid w:val="006925BB"/>
    <w:rsid w:val="006928B3"/>
    <w:rsid w:val="006929F0"/>
    <w:rsid w:val="006930C5"/>
    <w:rsid w:val="006931D9"/>
    <w:rsid w:val="006934AD"/>
    <w:rsid w:val="0069373A"/>
    <w:rsid w:val="00693783"/>
    <w:rsid w:val="006939EA"/>
    <w:rsid w:val="00693A1C"/>
    <w:rsid w:val="00693A70"/>
    <w:rsid w:val="00693BDF"/>
    <w:rsid w:val="00693DD2"/>
    <w:rsid w:val="00693E37"/>
    <w:rsid w:val="00694447"/>
    <w:rsid w:val="00694924"/>
    <w:rsid w:val="00694D6B"/>
    <w:rsid w:val="00694E51"/>
    <w:rsid w:val="00694F55"/>
    <w:rsid w:val="0069587A"/>
    <w:rsid w:val="0069590B"/>
    <w:rsid w:val="00695A78"/>
    <w:rsid w:val="00695C09"/>
    <w:rsid w:val="00695F6E"/>
    <w:rsid w:val="00695FA2"/>
    <w:rsid w:val="006960DE"/>
    <w:rsid w:val="00696388"/>
    <w:rsid w:val="006965C7"/>
    <w:rsid w:val="0069673B"/>
    <w:rsid w:val="00696749"/>
    <w:rsid w:val="00696CE7"/>
    <w:rsid w:val="006970DE"/>
    <w:rsid w:val="0069750A"/>
    <w:rsid w:val="00697697"/>
    <w:rsid w:val="00697810"/>
    <w:rsid w:val="00697815"/>
    <w:rsid w:val="006979B3"/>
    <w:rsid w:val="00697ED7"/>
    <w:rsid w:val="006A008E"/>
    <w:rsid w:val="006A01AA"/>
    <w:rsid w:val="006A0235"/>
    <w:rsid w:val="006A03C9"/>
    <w:rsid w:val="006A0DAD"/>
    <w:rsid w:val="006A1D78"/>
    <w:rsid w:val="006A1F76"/>
    <w:rsid w:val="006A22A6"/>
    <w:rsid w:val="006A2867"/>
    <w:rsid w:val="006A2AE9"/>
    <w:rsid w:val="006A2B85"/>
    <w:rsid w:val="006A2BF8"/>
    <w:rsid w:val="006A2C88"/>
    <w:rsid w:val="006A2DC9"/>
    <w:rsid w:val="006A2E68"/>
    <w:rsid w:val="006A32FD"/>
    <w:rsid w:val="006A3387"/>
    <w:rsid w:val="006A36D8"/>
    <w:rsid w:val="006A3A0C"/>
    <w:rsid w:val="006A3E59"/>
    <w:rsid w:val="006A4045"/>
    <w:rsid w:val="006A41A9"/>
    <w:rsid w:val="006A447C"/>
    <w:rsid w:val="006A44CE"/>
    <w:rsid w:val="006A4575"/>
    <w:rsid w:val="006A466F"/>
    <w:rsid w:val="006A4872"/>
    <w:rsid w:val="006A4D71"/>
    <w:rsid w:val="006A5073"/>
    <w:rsid w:val="006A59E9"/>
    <w:rsid w:val="006A5BB9"/>
    <w:rsid w:val="006A5BD0"/>
    <w:rsid w:val="006A5C0E"/>
    <w:rsid w:val="006A5C28"/>
    <w:rsid w:val="006A5EED"/>
    <w:rsid w:val="006A60FE"/>
    <w:rsid w:val="006A642D"/>
    <w:rsid w:val="006A661A"/>
    <w:rsid w:val="006A6674"/>
    <w:rsid w:val="006A6739"/>
    <w:rsid w:val="006A6F30"/>
    <w:rsid w:val="006A6FB9"/>
    <w:rsid w:val="006A6FF2"/>
    <w:rsid w:val="006A718C"/>
    <w:rsid w:val="006A71B8"/>
    <w:rsid w:val="006A71E5"/>
    <w:rsid w:val="006A72B0"/>
    <w:rsid w:val="006A72C4"/>
    <w:rsid w:val="006A740C"/>
    <w:rsid w:val="006A7650"/>
    <w:rsid w:val="006A7852"/>
    <w:rsid w:val="006A7906"/>
    <w:rsid w:val="006A7D78"/>
    <w:rsid w:val="006A7E66"/>
    <w:rsid w:val="006A7F05"/>
    <w:rsid w:val="006B055E"/>
    <w:rsid w:val="006B0BD0"/>
    <w:rsid w:val="006B0D28"/>
    <w:rsid w:val="006B0D6B"/>
    <w:rsid w:val="006B0F8D"/>
    <w:rsid w:val="006B11AC"/>
    <w:rsid w:val="006B1B21"/>
    <w:rsid w:val="006B1C35"/>
    <w:rsid w:val="006B208B"/>
    <w:rsid w:val="006B2837"/>
    <w:rsid w:val="006B2A29"/>
    <w:rsid w:val="006B2C67"/>
    <w:rsid w:val="006B2C6F"/>
    <w:rsid w:val="006B302B"/>
    <w:rsid w:val="006B3081"/>
    <w:rsid w:val="006B31F0"/>
    <w:rsid w:val="006B32FE"/>
    <w:rsid w:val="006B3A25"/>
    <w:rsid w:val="006B3A5B"/>
    <w:rsid w:val="006B40A8"/>
    <w:rsid w:val="006B40DF"/>
    <w:rsid w:val="006B42CF"/>
    <w:rsid w:val="006B43BA"/>
    <w:rsid w:val="006B480E"/>
    <w:rsid w:val="006B48D8"/>
    <w:rsid w:val="006B4EDB"/>
    <w:rsid w:val="006B55CB"/>
    <w:rsid w:val="006B5631"/>
    <w:rsid w:val="006B5938"/>
    <w:rsid w:val="006B59FB"/>
    <w:rsid w:val="006B5C0E"/>
    <w:rsid w:val="006B6709"/>
    <w:rsid w:val="006B67DA"/>
    <w:rsid w:val="006B6EF4"/>
    <w:rsid w:val="006B7125"/>
    <w:rsid w:val="006B7334"/>
    <w:rsid w:val="006B73F3"/>
    <w:rsid w:val="006B74EF"/>
    <w:rsid w:val="006B75BE"/>
    <w:rsid w:val="006B7EEC"/>
    <w:rsid w:val="006B7F8A"/>
    <w:rsid w:val="006C05CA"/>
    <w:rsid w:val="006C05FD"/>
    <w:rsid w:val="006C08E8"/>
    <w:rsid w:val="006C0A58"/>
    <w:rsid w:val="006C0BBD"/>
    <w:rsid w:val="006C0CBB"/>
    <w:rsid w:val="006C0FA3"/>
    <w:rsid w:val="006C0FD2"/>
    <w:rsid w:val="006C135B"/>
    <w:rsid w:val="006C1F93"/>
    <w:rsid w:val="006C24A5"/>
    <w:rsid w:val="006C2585"/>
    <w:rsid w:val="006C2923"/>
    <w:rsid w:val="006C2998"/>
    <w:rsid w:val="006C2AE9"/>
    <w:rsid w:val="006C2B92"/>
    <w:rsid w:val="006C30BA"/>
    <w:rsid w:val="006C30CE"/>
    <w:rsid w:val="006C327A"/>
    <w:rsid w:val="006C32F2"/>
    <w:rsid w:val="006C332E"/>
    <w:rsid w:val="006C3369"/>
    <w:rsid w:val="006C34B7"/>
    <w:rsid w:val="006C3568"/>
    <w:rsid w:val="006C3638"/>
    <w:rsid w:val="006C3A5E"/>
    <w:rsid w:val="006C3C1E"/>
    <w:rsid w:val="006C3D9A"/>
    <w:rsid w:val="006C41B8"/>
    <w:rsid w:val="006C436A"/>
    <w:rsid w:val="006C469A"/>
    <w:rsid w:val="006C47BF"/>
    <w:rsid w:val="006C48EF"/>
    <w:rsid w:val="006C49B2"/>
    <w:rsid w:val="006C4ABA"/>
    <w:rsid w:val="006C4DA3"/>
    <w:rsid w:val="006C4DA8"/>
    <w:rsid w:val="006C4DEB"/>
    <w:rsid w:val="006C4E34"/>
    <w:rsid w:val="006C4F70"/>
    <w:rsid w:val="006C5082"/>
    <w:rsid w:val="006C515E"/>
    <w:rsid w:val="006C530D"/>
    <w:rsid w:val="006C539D"/>
    <w:rsid w:val="006C5892"/>
    <w:rsid w:val="006C5C6A"/>
    <w:rsid w:val="006C5CDE"/>
    <w:rsid w:val="006C5F77"/>
    <w:rsid w:val="006C665B"/>
    <w:rsid w:val="006C66C8"/>
    <w:rsid w:val="006C7129"/>
    <w:rsid w:val="006C7184"/>
    <w:rsid w:val="006C72B0"/>
    <w:rsid w:val="006C783C"/>
    <w:rsid w:val="006C7BE0"/>
    <w:rsid w:val="006D0166"/>
    <w:rsid w:val="006D0250"/>
    <w:rsid w:val="006D0336"/>
    <w:rsid w:val="006D0648"/>
    <w:rsid w:val="006D0806"/>
    <w:rsid w:val="006D08CE"/>
    <w:rsid w:val="006D0920"/>
    <w:rsid w:val="006D0F91"/>
    <w:rsid w:val="006D1107"/>
    <w:rsid w:val="006D19C7"/>
    <w:rsid w:val="006D1D53"/>
    <w:rsid w:val="006D1FEE"/>
    <w:rsid w:val="006D202C"/>
    <w:rsid w:val="006D215C"/>
    <w:rsid w:val="006D236E"/>
    <w:rsid w:val="006D240F"/>
    <w:rsid w:val="006D242B"/>
    <w:rsid w:val="006D25B6"/>
    <w:rsid w:val="006D28B7"/>
    <w:rsid w:val="006D2961"/>
    <w:rsid w:val="006D2D6E"/>
    <w:rsid w:val="006D2EBB"/>
    <w:rsid w:val="006D31D5"/>
    <w:rsid w:val="006D33B8"/>
    <w:rsid w:val="006D3423"/>
    <w:rsid w:val="006D374C"/>
    <w:rsid w:val="006D3A08"/>
    <w:rsid w:val="006D3A47"/>
    <w:rsid w:val="006D3D64"/>
    <w:rsid w:val="006D4358"/>
    <w:rsid w:val="006D436F"/>
    <w:rsid w:val="006D4385"/>
    <w:rsid w:val="006D453D"/>
    <w:rsid w:val="006D4E67"/>
    <w:rsid w:val="006D4FB7"/>
    <w:rsid w:val="006D5A60"/>
    <w:rsid w:val="006D5CF9"/>
    <w:rsid w:val="006D5D94"/>
    <w:rsid w:val="006D6122"/>
    <w:rsid w:val="006D652B"/>
    <w:rsid w:val="006D66D2"/>
    <w:rsid w:val="006D67AA"/>
    <w:rsid w:val="006D6818"/>
    <w:rsid w:val="006D6996"/>
    <w:rsid w:val="006D6A98"/>
    <w:rsid w:val="006D6AFE"/>
    <w:rsid w:val="006D6D5A"/>
    <w:rsid w:val="006D7141"/>
    <w:rsid w:val="006D73E9"/>
    <w:rsid w:val="006D7727"/>
    <w:rsid w:val="006D7801"/>
    <w:rsid w:val="006D7825"/>
    <w:rsid w:val="006D7992"/>
    <w:rsid w:val="006D7C69"/>
    <w:rsid w:val="006E0018"/>
    <w:rsid w:val="006E029A"/>
    <w:rsid w:val="006E02FA"/>
    <w:rsid w:val="006E02FE"/>
    <w:rsid w:val="006E04D4"/>
    <w:rsid w:val="006E0578"/>
    <w:rsid w:val="006E0780"/>
    <w:rsid w:val="006E0A73"/>
    <w:rsid w:val="006E0B1B"/>
    <w:rsid w:val="006E0E9D"/>
    <w:rsid w:val="006E0EEE"/>
    <w:rsid w:val="006E0F9B"/>
    <w:rsid w:val="006E1014"/>
    <w:rsid w:val="006E10DD"/>
    <w:rsid w:val="006E112D"/>
    <w:rsid w:val="006E1493"/>
    <w:rsid w:val="006E1686"/>
    <w:rsid w:val="006E16AE"/>
    <w:rsid w:val="006E16ED"/>
    <w:rsid w:val="006E17CB"/>
    <w:rsid w:val="006E1863"/>
    <w:rsid w:val="006E1907"/>
    <w:rsid w:val="006E1BC1"/>
    <w:rsid w:val="006E208A"/>
    <w:rsid w:val="006E2175"/>
    <w:rsid w:val="006E21FF"/>
    <w:rsid w:val="006E2453"/>
    <w:rsid w:val="006E246E"/>
    <w:rsid w:val="006E24F0"/>
    <w:rsid w:val="006E2769"/>
    <w:rsid w:val="006E2987"/>
    <w:rsid w:val="006E2998"/>
    <w:rsid w:val="006E29A3"/>
    <w:rsid w:val="006E2DDD"/>
    <w:rsid w:val="006E2E9A"/>
    <w:rsid w:val="006E2F2D"/>
    <w:rsid w:val="006E3427"/>
    <w:rsid w:val="006E3612"/>
    <w:rsid w:val="006E36B1"/>
    <w:rsid w:val="006E38CC"/>
    <w:rsid w:val="006E3EA2"/>
    <w:rsid w:val="006E3F8D"/>
    <w:rsid w:val="006E403E"/>
    <w:rsid w:val="006E41CE"/>
    <w:rsid w:val="006E44F2"/>
    <w:rsid w:val="006E4868"/>
    <w:rsid w:val="006E4A0B"/>
    <w:rsid w:val="006E562E"/>
    <w:rsid w:val="006E594F"/>
    <w:rsid w:val="006E5A26"/>
    <w:rsid w:val="006E6050"/>
    <w:rsid w:val="006E63FE"/>
    <w:rsid w:val="006E6541"/>
    <w:rsid w:val="006E6ACD"/>
    <w:rsid w:val="006E6B0C"/>
    <w:rsid w:val="006E6FC6"/>
    <w:rsid w:val="006E7215"/>
    <w:rsid w:val="006E74F5"/>
    <w:rsid w:val="006E7B54"/>
    <w:rsid w:val="006E7BFC"/>
    <w:rsid w:val="006F06C7"/>
    <w:rsid w:val="006F06E0"/>
    <w:rsid w:val="006F06FA"/>
    <w:rsid w:val="006F08B7"/>
    <w:rsid w:val="006F0BF1"/>
    <w:rsid w:val="006F0E1E"/>
    <w:rsid w:val="006F10C4"/>
    <w:rsid w:val="006F1732"/>
    <w:rsid w:val="006F2276"/>
    <w:rsid w:val="006F25EA"/>
    <w:rsid w:val="006F2FFD"/>
    <w:rsid w:val="006F3492"/>
    <w:rsid w:val="006F3527"/>
    <w:rsid w:val="006F3660"/>
    <w:rsid w:val="006F3667"/>
    <w:rsid w:val="006F3AAD"/>
    <w:rsid w:val="006F3ACB"/>
    <w:rsid w:val="006F3C19"/>
    <w:rsid w:val="006F3E64"/>
    <w:rsid w:val="006F3EAF"/>
    <w:rsid w:val="006F40FC"/>
    <w:rsid w:val="006F42BB"/>
    <w:rsid w:val="006F465B"/>
    <w:rsid w:val="006F4777"/>
    <w:rsid w:val="006F4ABD"/>
    <w:rsid w:val="006F4F84"/>
    <w:rsid w:val="006F507B"/>
    <w:rsid w:val="006F514E"/>
    <w:rsid w:val="006F5521"/>
    <w:rsid w:val="006F55E7"/>
    <w:rsid w:val="006F5BBD"/>
    <w:rsid w:val="006F5CB1"/>
    <w:rsid w:val="006F5CD5"/>
    <w:rsid w:val="006F5F46"/>
    <w:rsid w:val="006F5F7C"/>
    <w:rsid w:val="006F629C"/>
    <w:rsid w:val="006F66F3"/>
    <w:rsid w:val="006F6750"/>
    <w:rsid w:val="006F68A4"/>
    <w:rsid w:val="006F69B8"/>
    <w:rsid w:val="006F6BFB"/>
    <w:rsid w:val="006F6C42"/>
    <w:rsid w:val="006F6CBE"/>
    <w:rsid w:val="006F6F21"/>
    <w:rsid w:val="006F7081"/>
    <w:rsid w:val="006F710E"/>
    <w:rsid w:val="006F72B8"/>
    <w:rsid w:val="006F7575"/>
    <w:rsid w:val="006F776E"/>
    <w:rsid w:val="006F790E"/>
    <w:rsid w:val="006F7D86"/>
    <w:rsid w:val="006F7EED"/>
    <w:rsid w:val="006F7EF4"/>
    <w:rsid w:val="006F7F1E"/>
    <w:rsid w:val="00700188"/>
    <w:rsid w:val="007006FD"/>
    <w:rsid w:val="00700A76"/>
    <w:rsid w:val="00700B26"/>
    <w:rsid w:val="00700B5E"/>
    <w:rsid w:val="00700C58"/>
    <w:rsid w:val="007012D8"/>
    <w:rsid w:val="0070130E"/>
    <w:rsid w:val="00701429"/>
    <w:rsid w:val="00701908"/>
    <w:rsid w:val="007020E7"/>
    <w:rsid w:val="007022E3"/>
    <w:rsid w:val="00702361"/>
    <w:rsid w:val="007027F6"/>
    <w:rsid w:val="00702846"/>
    <w:rsid w:val="00702970"/>
    <w:rsid w:val="00702A37"/>
    <w:rsid w:val="00702DFD"/>
    <w:rsid w:val="00702FD9"/>
    <w:rsid w:val="0070321E"/>
    <w:rsid w:val="0070342B"/>
    <w:rsid w:val="007035A2"/>
    <w:rsid w:val="007036AA"/>
    <w:rsid w:val="007039BB"/>
    <w:rsid w:val="00703CA2"/>
    <w:rsid w:val="00703E1A"/>
    <w:rsid w:val="00704196"/>
    <w:rsid w:val="007042D5"/>
    <w:rsid w:val="00704350"/>
    <w:rsid w:val="007048AD"/>
    <w:rsid w:val="00704997"/>
    <w:rsid w:val="00704A09"/>
    <w:rsid w:val="00704F4A"/>
    <w:rsid w:val="00704FAD"/>
    <w:rsid w:val="007050E1"/>
    <w:rsid w:val="007051DE"/>
    <w:rsid w:val="00705628"/>
    <w:rsid w:val="0070569E"/>
    <w:rsid w:val="00705704"/>
    <w:rsid w:val="0070576A"/>
    <w:rsid w:val="00705BCF"/>
    <w:rsid w:val="00705C12"/>
    <w:rsid w:val="0070618B"/>
    <w:rsid w:val="007062A3"/>
    <w:rsid w:val="0070638F"/>
    <w:rsid w:val="007063D8"/>
    <w:rsid w:val="007066DD"/>
    <w:rsid w:val="007067EA"/>
    <w:rsid w:val="00706821"/>
    <w:rsid w:val="00706E64"/>
    <w:rsid w:val="00706F63"/>
    <w:rsid w:val="00707008"/>
    <w:rsid w:val="00707343"/>
    <w:rsid w:val="00707458"/>
    <w:rsid w:val="00707783"/>
    <w:rsid w:val="007078A1"/>
    <w:rsid w:val="00710313"/>
    <w:rsid w:val="00710361"/>
    <w:rsid w:val="0071049A"/>
    <w:rsid w:val="007105D9"/>
    <w:rsid w:val="007107C7"/>
    <w:rsid w:val="00710917"/>
    <w:rsid w:val="0071094E"/>
    <w:rsid w:val="00710ABE"/>
    <w:rsid w:val="00710E5A"/>
    <w:rsid w:val="00710EA4"/>
    <w:rsid w:val="007114EA"/>
    <w:rsid w:val="0071172C"/>
    <w:rsid w:val="0071189D"/>
    <w:rsid w:val="00711961"/>
    <w:rsid w:val="00711970"/>
    <w:rsid w:val="00711F5C"/>
    <w:rsid w:val="0071209E"/>
    <w:rsid w:val="00712193"/>
    <w:rsid w:val="007122C9"/>
    <w:rsid w:val="007124DF"/>
    <w:rsid w:val="00712505"/>
    <w:rsid w:val="00712C8C"/>
    <w:rsid w:val="00712D34"/>
    <w:rsid w:val="00712E74"/>
    <w:rsid w:val="00712E9C"/>
    <w:rsid w:val="00712F93"/>
    <w:rsid w:val="00713096"/>
    <w:rsid w:val="00713506"/>
    <w:rsid w:val="00713575"/>
    <w:rsid w:val="00713803"/>
    <w:rsid w:val="00713862"/>
    <w:rsid w:val="007139A7"/>
    <w:rsid w:val="007139E1"/>
    <w:rsid w:val="00713BD0"/>
    <w:rsid w:val="00713FB6"/>
    <w:rsid w:val="00714723"/>
    <w:rsid w:val="0071475B"/>
    <w:rsid w:val="007149BD"/>
    <w:rsid w:val="007149F1"/>
    <w:rsid w:val="00714B45"/>
    <w:rsid w:val="0071508A"/>
    <w:rsid w:val="0071528B"/>
    <w:rsid w:val="00715516"/>
    <w:rsid w:val="00715680"/>
    <w:rsid w:val="007158D0"/>
    <w:rsid w:val="0071592E"/>
    <w:rsid w:val="00715F4B"/>
    <w:rsid w:val="007162B1"/>
    <w:rsid w:val="0071633A"/>
    <w:rsid w:val="00716888"/>
    <w:rsid w:val="00716C52"/>
    <w:rsid w:val="00716D30"/>
    <w:rsid w:val="00716D91"/>
    <w:rsid w:val="00716E64"/>
    <w:rsid w:val="00716F32"/>
    <w:rsid w:val="00716FE2"/>
    <w:rsid w:val="007172FE"/>
    <w:rsid w:val="00717372"/>
    <w:rsid w:val="0071741D"/>
    <w:rsid w:val="00717863"/>
    <w:rsid w:val="007178D8"/>
    <w:rsid w:val="00717BB4"/>
    <w:rsid w:val="00717C23"/>
    <w:rsid w:val="00720CE6"/>
    <w:rsid w:val="00720D54"/>
    <w:rsid w:val="00720D6C"/>
    <w:rsid w:val="0072149A"/>
    <w:rsid w:val="007216AC"/>
    <w:rsid w:val="0072190D"/>
    <w:rsid w:val="00721D06"/>
    <w:rsid w:val="00721D48"/>
    <w:rsid w:val="00721D6A"/>
    <w:rsid w:val="00721DD1"/>
    <w:rsid w:val="0072206D"/>
    <w:rsid w:val="007220C2"/>
    <w:rsid w:val="007225CA"/>
    <w:rsid w:val="00722ECF"/>
    <w:rsid w:val="00723201"/>
    <w:rsid w:val="0072339A"/>
    <w:rsid w:val="00723454"/>
    <w:rsid w:val="007234E5"/>
    <w:rsid w:val="007235CE"/>
    <w:rsid w:val="0072367C"/>
    <w:rsid w:val="007236FF"/>
    <w:rsid w:val="007239AA"/>
    <w:rsid w:val="0072433E"/>
    <w:rsid w:val="007243BB"/>
    <w:rsid w:val="00724D09"/>
    <w:rsid w:val="00725052"/>
    <w:rsid w:val="0072574C"/>
    <w:rsid w:val="007257F0"/>
    <w:rsid w:val="00725CE1"/>
    <w:rsid w:val="00725E51"/>
    <w:rsid w:val="0072608D"/>
    <w:rsid w:val="00726238"/>
    <w:rsid w:val="00726448"/>
    <w:rsid w:val="007264FF"/>
    <w:rsid w:val="00726A52"/>
    <w:rsid w:val="00726D54"/>
    <w:rsid w:val="00726D86"/>
    <w:rsid w:val="007271C5"/>
    <w:rsid w:val="00727236"/>
    <w:rsid w:val="00727497"/>
    <w:rsid w:val="00727D99"/>
    <w:rsid w:val="0073009C"/>
    <w:rsid w:val="007303B0"/>
    <w:rsid w:val="00730AEF"/>
    <w:rsid w:val="00730B7E"/>
    <w:rsid w:val="0073119E"/>
    <w:rsid w:val="00731925"/>
    <w:rsid w:val="00731933"/>
    <w:rsid w:val="00731A3A"/>
    <w:rsid w:val="00731C7D"/>
    <w:rsid w:val="00731D53"/>
    <w:rsid w:val="00731E39"/>
    <w:rsid w:val="00731EEE"/>
    <w:rsid w:val="0073251D"/>
    <w:rsid w:val="00732704"/>
    <w:rsid w:val="007329A4"/>
    <w:rsid w:val="00732C31"/>
    <w:rsid w:val="007330E2"/>
    <w:rsid w:val="00733196"/>
    <w:rsid w:val="00733302"/>
    <w:rsid w:val="007336D6"/>
    <w:rsid w:val="00733964"/>
    <w:rsid w:val="00733981"/>
    <w:rsid w:val="00733997"/>
    <w:rsid w:val="007339DA"/>
    <w:rsid w:val="00733B5E"/>
    <w:rsid w:val="00733BFF"/>
    <w:rsid w:val="00733DC2"/>
    <w:rsid w:val="00734181"/>
    <w:rsid w:val="0073433E"/>
    <w:rsid w:val="0073479D"/>
    <w:rsid w:val="00734A15"/>
    <w:rsid w:val="00734A9B"/>
    <w:rsid w:val="00734C31"/>
    <w:rsid w:val="00734C92"/>
    <w:rsid w:val="00735322"/>
    <w:rsid w:val="0073568E"/>
    <w:rsid w:val="007359BC"/>
    <w:rsid w:val="007359BF"/>
    <w:rsid w:val="00735A87"/>
    <w:rsid w:val="00735BBF"/>
    <w:rsid w:val="00735C77"/>
    <w:rsid w:val="007367BC"/>
    <w:rsid w:val="00736D21"/>
    <w:rsid w:val="00736F0C"/>
    <w:rsid w:val="0073725B"/>
    <w:rsid w:val="007373A9"/>
    <w:rsid w:val="007375E4"/>
    <w:rsid w:val="0073763E"/>
    <w:rsid w:val="007377BB"/>
    <w:rsid w:val="007377C1"/>
    <w:rsid w:val="00737A2C"/>
    <w:rsid w:val="00737A86"/>
    <w:rsid w:val="00737BF2"/>
    <w:rsid w:val="00740065"/>
    <w:rsid w:val="0074056B"/>
    <w:rsid w:val="00740618"/>
    <w:rsid w:val="00740BF0"/>
    <w:rsid w:val="00740D5E"/>
    <w:rsid w:val="00741274"/>
    <w:rsid w:val="0074138B"/>
    <w:rsid w:val="00741420"/>
    <w:rsid w:val="007415D8"/>
    <w:rsid w:val="0074167D"/>
    <w:rsid w:val="0074184F"/>
    <w:rsid w:val="00741CB9"/>
    <w:rsid w:val="007426BF"/>
    <w:rsid w:val="00742797"/>
    <w:rsid w:val="00742909"/>
    <w:rsid w:val="00742CA4"/>
    <w:rsid w:val="00742EEA"/>
    <w:rsid w:val="00742F69"/>
    <w:rsid w:val="00743094"/>
    <w:rsid w:val="007431AD"/>
    <w:rsid w:val="00743509"/>
    <w:rsid w:val="00743629"/>
    <w:rsid w:val="00743787"/>
    <w:rsid w:val="00743B80"/>
    <w:rsid w:val="00744093"/>
    <w:rsid w:val="007440DC"/>
    <w:rsid w:val="0074451C"/>
    <w:rsid w:val="007446C4"/>
    <w:rsid w:val="007447E8"/>
    <w:rsid w:val="007448E2"/>
    <w:rsid w:val="007449DA"/>
    <w:rsid w:val="00744D3F"/>
    <w:rsid w:val="00744F41"/>
    <w:rsid w:val="00745292"/>
    <w:rsid w:val="00745619"/>
    <w:rsid w:val="00745832"/>
    <w:rsid w:val="00745850"/>
    <w:rsid w:val="00745A97"/>
    <w:rsid w:val="00745E39"/>
    <w:rsid w:val="00745EA5"/>
    <w:rsid w:val="0074635E"/>
    <w:rsid w:val="0074640D"/>
    <w:rsid w:val="00746642"/>
    <w:rsid w:val="007466A1"/>
    <w:rsid w:val="00746A7A"/>
    <w:rsid w:val="00746E04"/>
    <w:rsid w:val="007472F3"/>
    <w:rsid w:val="0074738B"/>
    <w:rsid w:val="00747439"/>
    <w:rsid w:val="00747718"/>
    <w:rsid w:val="00747729"/>
    <w:rsid w:val="00747799"/>
    <w:rsid w:val="0074784B"/>
    <w:rsid w:val="00747906"/>
    <w:rsid w:val="00747C6A"/>
    <w:rsid w:val="00747E18"/>
    <w:rsid w:val="007502EB"/>
    <w:rsid w:val="00750867"/>
    <w:rsid w:val="0075086B"/>
    <w:rsid w:val="00750D26"/>
    <w:rsid w:val="007511AB"/>
    <w:rsid w:val="007512E4"/>
    <w:rsid w:val="007515A6"/>
    <w:rsid w:val="0075175C"/>
    <w:rsid w:val="00751A22"/>
    <w:rsid w:val="00751C3D"/>
    <w:rsid w:val="00751E1F"/>
    <w:rsid w:val="00751FA5"/>
    <w:rsid w:val="0075201D"/>
    <w:rsid w:val="0075229A"/>
    <w:rsid w:val="00752417"/>
    <w:rsid w:val="00752736"/>
    <w:rsid w:val="007528CA"/>
    <w:rsid w:val="00753141"/>
    <w:rsid w:val="00753297"/>
    <w:rsid w:val="0075339D"/>
    <w:rsid w:val="007533B6"/>
    <w:rsid w:val="00753605"/>
    <w:rsid w:val="00753632"/>
    <w:rsid w:val="007543C5"/>
    <w:rsid w:val="007544BA"/>
    <w:rsid w:val="007546F1"/>
    <w:rsid w:val="0075471F"/>
    <w:rsid w:val="00754DF7"/>
    <w:rsid w:val="007550B8"/>
    <w:rsid w:val="007552CF"/>
    <w:rsid w:val="00755A67"/>
    <w:rsid w:val="007560FC"/>
    <w:rsid w:val="007562B7"/>
    <w:rsid w:val="0075636C"/>
    <w:rsid w:val="0075661F"/>
    <w:rsid w:val="0075666D"/>
    <w:rsid w:val="00756B0F"/>
    <w:rsid w:val="00756E9E"/>
    <w:rsid w:val="00756EAA"/>
    <w:rsid w:val="00756FAD"/>
    <w:rsid w:val="007570A0"/>
    <w:rsid w:val="00757267"/>
    <w:rsid w:val="00757459"/>
    <w:rsid w:val="0075755B"/>
    <w:rsid w:val="00757589"/>
    <w:rsid w:val="007576BC"/>
    <w:rsid w:val="00757921"/>
    <w:rsid w:val="00757997"/>
    <w:rsid w:val="00757A1E"/>
    <w:rsid w:val="00760050"/>
    <w:rsid w:val="007601C0"/>
    <w:rsid w:val="00760820"/>
    <w:rsid w:val="00760825"/>
    <w:rsid w:val="007609FA"/>
    <w:rsid w:val="00760A89"/>
    <w:rsid w:val="00760C52"/>
    <w:rsid w:val="00761115"/>
    <w:rsid w:val="00761189"/>
    <w:rsid w:val="00761209"/>
    <w:rsid w:val="0076168E"/>
    <w:rsid w:val="007616A3"/>
    <w:rsid w:val="00761705"/>
    <w:rsid w:val="00761746"/>
    <w:rsid w:val="00761E93"/>
    <w:rsid w:val="007622CC"/>
    <w:rsid w:val="007623DA"/>
    <w:rsid w:val="00762889"/>
    <w:rsid w:val="00763120"/>
    <w:rsid w:val="0076323B"/>
    <w:rsid w:val="007636E5"/>
    <w:rsid w:val="00763779"/>
    <w:rsid w:val="007637B1"/>
    <w:rsid w:val="00763944"/>
    <w:rsid w:val="00763B8D"/>
    <w:rsid w:val="00763C7B"/>
    <w:rsid w:val="007640C6"/>
    <w:rsid w:val="007642DE"/>
    <w:rsid w:val="00764327"/>
    <w:rsid w:val="0076436D"/>
    <w:rsid w:val="0076499A"/>
    <w:rsid w:val="00764D3C"/>
    <w:rsid w:val="00764E82"/>
    <w:rsid w:val="00764F36"/>
    <w:rsid w:val="0076515E"/>
    <w:rsid w:val="00765208"/>
    <w:rsid w:val="00765548"/>
    <w:rsid w:val="00765568"/>
    <w:rsid w:val="0076557F"/>
    <w:rsid w:val="00765663"/>
    <w:rsid w:val="00765A88"/>
    <w:rsid w:val="00765CB9"/>
    <w:rsid w:val="0076634A"/>
    <w:rsid w:val="007665BF"/>
    <w:rsid w:val="00766BD0"/>
    <w:rsid w:val="00766CC4"/>
    <w:rsid w:val="00766DC5"/>
    <w:rsid w:val="00767007"/>
    <w:rsid w:val="0076702F"/>
    <w:rsid w:val="00767161"/>
    <w:rsid w:val="00767361"/>
    <w:rsid w:val="00767591"/>
    <w:rsid w:val="00767F36"/>
    <w:rsid w:val="0077014B"/>
    <w:rsid w:val="00770496"/>
    <w:rsid w:val="007706A1"/>
    <w:rsid w:val="007706BF"/>
    <w:rsid w:val="0077077A"/>
    <w:rsid w:val="00770798"/>
    <w:rsid w:val="00770859"/>
    <w:rsid w:val="00770D28"/>
    <w:rsid w:val="00770F4C"/>
    <w:rsid w:val="00771417"/>
    <w:rsid w:val="0077172F"/>
    <w:rsid w:val="00771C77"/>
    <w:rsid w:val="00771E2E"/>
    <w:rsid w:val="00771E5E"/>
    <w:rsid w:val="00772134"/>
    <w:rsid w:val="0077259E"/>
    <w:rsid w:val="00772A82"/>
    <w:rsid w:val="00772AE4"/>
    <w:rsid w:val="00772C29"/>
    <w:rsid w:val="00772DC1"/>
    <w:rsid w:val="00772DEE"/>
    <w:rsid w:val="00772DF1"/>
    <w:rsid w:val="007731C5"/>
    <w:rsid w:val="007731F2"/>
    <w:rsid w:val="007732CD"/>
    <w:rsid w:val="007736D2"/>
    <w:rsid w:val="00773710"/>
    <w:rsid w:val="007737C0"/>
    <w:rsid w:val="00773EDE"/>
    <w:rsid w:val="007740F3"/>
    <w:rsid w:val="00774259"/>
    <w:rsid w:val="00774370"/>
    <w:rsid w:val="007745E6"/>
    <w:rsid w:val="00774689"/>
    <w:rsid w:val="007747CB"/>
    <w:rsid w:val="007750EB"/>
    <w:rsid w:val="00775259"/>
    <w:rsid w:val="0077531D"/>
    <w:rsid w:val="007753B3"/>
    <w:rsid w:val="00775540"/>
    <w:rsid w:val="0077586F"/>
    <w:rsid w:val="007759A4"/>
    <w:rsid w:val="00775C51"/>
    <w:rsid w:val="0077625B"/>
    <w:rsid w:val="007763BB"/>
    <w:rsid w:val="00776C94"/>
    <w:rsid w:val="00777179"/>
    <w:rsid w:val="007771FE"/>
    <w:rsid w:val="0077725F"/>
    <w:rsid w:val="00777685"/>
    <w:rsid w:val="0077799F"/>
    <w:rsid w:val="00777A50"/>
    <w:rsid w:val="00777D9C"/>
    <w:rsid w:val="00777DA0"/>
    <w:rsid w:val="0078002E"/>
    <w:rsid w:val="00780189"/>
    <w:rsid w:val="00780C91"/>
    <w:rsid w:val="00780DAA"/>
    <w:rsid w:val="007812BB"/>
    <w:rsid w:val="00781712"/>
    <w:rsid w:val="0078186C"/>
    <w:rsid w:val="007819AB"/>
    <w:rsid w:val="00781BD0"/>
    <w:rsid w:val="00781BF5"/>
    <w:rsid w:val="00781C91"/>
    <w:rsid w:val="0078214E"/>
    <w:rsid w:val="0078269C"/>
    <w:rsid w:val="00782890"/>
    <w:rsid w:val="00782D9C"/>
    <w:rsid w:val="00782F4C"/>
    <w:rsid w:val="00783655"/>
    <w:rsid w:val="00783AED"/>
    <w:rsid w:val="00783B1F"/>
    <w:rsid w:val="00783B2B"/>
    <w:rsid w:val="00783B39"/>
    <w:rsid w:val="00783D17"/>
    <w:rsid w:val="00783D38"/>
    <w:rsid w:val="00784570"/>
    <w:rsid w:val="0078476C"/>
    <w:rsid w:val="00785067"/>
    <w:rsid w:val="00785565"/>
    <w:rsid w:val="00785725"/>
    <w:rsid w:val="00785726"/>
    <w:rsid w:val="0078572E"/>
    <w:rsid w:val="00785794"/>
    <w:rsid w:val="00785938"/>
    <w:rsid w:val="00786393"/>
    <w:rsid w:val="007865AE"/>
    <w:rsid w:val="00786639"/>
    <w:rsid w:val="007868BE"/>
    <w:rsid w:val="00786D4B"/>
    <w:rsid w:val="00786E7A"/>
    <w:rsid w:val="00786EF2"/>
    <w:rsid w:val="00787893"/>
    <w:rsid w:val="00787970"/>
    <w:rsid w:val="00787A0A"/>
    <w:rsid w:val="00787B3E"/>
    <w:rsid w:val="00790376"/>
    <w:rsid w:val="00790390"/>
    <w:rsid w:val="00790422"/>
    <w:rsid w:val="00790A91"/>
    <w:rsid w:val="00790BEA"/>
    <w:rsid w:val="00790C52"/>
    <w:rsid w:val="0079100E"/>
    <w:rsid w:val="0079130D"/>
    <w:rsid w:val="007913BA"/>
    <w:rsid w:val="007918D9"/>
    <w:rsid w:val="00791D3D"/>
    <w:rsid w:val="007921F6"/>
    <w:rsid w:val="0079243D"/>
    <w:rsid w:val="007925D1"/>
    <w:rsid w:val="00792647"/>
    <w:rsid w:val="00792744"/>
    <w:rsid w:val="00792B09"/>
    <w:rsid w:val="00792FA3"/>
    <w:rsid w:val="00792FF8"/>
    <w:rsid w:val="00793070"/>
    <w:rsid w:val="00793656"/>
    <w:rsid w:val="007939F9"/>
    <w:rsid w:val="00793B1C"/>
    <w:rsid w:val="00793C61"/>
    <w:rsid w:val="00793E93"/>
    <w:rsid w:val="00794050"/>
    <w:rsid w:val="0079410D"/>
    <w:rsid w:val="0079414E"/>
    <w:rsid w:val="007944E1"/>
    <w:rsid w:val="00794B00"/>
    <w:rsid w:val="00794EF1"/>
    <w:rsid w:val="00795371"/>
    <w:rsid w:val="007953F5"/>
    <w:rsid w:val="0079564A"/>
    <w:rsid w:val="0079577B"/>
    <w:rsid w:val="00795781"/>
    <w:rsid w:val="00795B84"/>
    <w:rsid w:val="0079611C"/>
    <w:rsid w:val="0079620B"/>
    <w:rsid w:val="00796504"/>
    <w:rsid w:val="007967C8"/>
    <w:rsid w:val="007967EF"/>
    <w:rsid w:val="007969EF"/>
    <w:rsid w:val="00797282"/>
    <w:rsid w:val="007974B5"/>
    <w:rsid w:val="0079768C"/>
    <w:rsid w:val="0079774B"/>
    <w:rsid w:val="00797E55"/>
    <w:rsid w:val="007A0006"/>
    <w:rsid w:val="007A093C"/>
    <w:rsid w:val="007A0ABA"/>
    <w:rsid w:val="007A0B0A"/>
    <w:rsid w:val="007A10C0"/>
    <w:rsid w:val="007A142A"/>
    <w:rsid w:val="007A15E2"/>
    <w:rsid w:val="007A1760"/>
    <w:rsid w:val="007A17F2"/>
    <w:rsid w:val="007A1880"/>
    <w:rsid w:val="007A1AB4"/>
    <w:rsid w:val="007A1D08"/>
    <w:rsid w:val="007A1D35"/>
    <w:rsid w:val="007A1FC6"/>
    <w:rsid w:val="007A20E0"/>
    <w:rsid w:val="007A2303"/>
    <w:rsid w:val="007A23B1"/>
    <w:rsid w:val="007A245D"/>
    <w:rsid w:val="007A2600"/>
    <w:rsid w:val="007A27EC"/>
    <w:rsid w:val="007A27F0"/>
    <w:rsid w:val="007A2CAE"/>
    <w:rsid w:val="007A2DB5"/>
    <w:rsid w:val="007A2EF6"/>
    <w:rsid w:val="007A2F77"/>
    <w:rsid w:val="007A2F95"/>
    <w:rsid w:val="007A346E"/>
    <w:rsid w:val="007A34AE"/>
    <w:rsid w:val="007A3CF5"/>
    <w:rsid w:val="007A3F40"/>
    <w:rsid w:val="007A3FF6"/>
    <w:rsid w:val="007A421D"/>
    <w:rsid w:val="007A44C0"/>
    <w:rsid w:val="007A4636"/>
    <w:rsid w:val="007A4922"/>
    <w:rsid w:val="007A4935"/>
    <w:rsid w:val="007A4BDD"/>
    <w:rsid w:val="007A4CAE"/>
    <w:rsid w:val="007A4EAC"/>
    <w:rsid w:val="007A4F1E"/>
    <w:rsid w:val="007A520C"/>
    <w:rsid w:val="007A542D"/>
    <w:rsid w:val="007A560D"/>
    <w:rsid w:val="007A5BC5"/>
    <w:rsid w:val="007A5D09"/>
    <w:rsid w:val="007A5DEF"/>
    <w:rsid w:val="007A5EDA"/>
    <w:rsid w:val="007A5F3D"/>
    <w:rsid w:val="007A5F53"/>
    <w:rsid w:val="007A6018"/>
    <w:rsid w:val="007A62E1"/>
    <w:rsid w:val="007A6501"/>
    <w:rsid w:val="007A6623"/>
    <w:rsid w:val="007A66F7"/>
    <w:rsid w:val="007A6853"/>
    <w:rsid w:val="007A6957"/>
    <w:rsid w:val="007A6B70"/>
    <w:rsid w:val="007A7109"/>
    <w:rsid w:val="007A7325"/>
    <w:rsid w:val="007A7A86"/>
    <w:rsid w:val="007A7B38"/>
    <w:rsid w:val="007A7B78"/>
    <w:rsid w:val="007A7ECB"/>
    <w:rsid w:val="007B0282"/>
    <w:rsid w:val="007B035B"/>
    <w:rsid w:val="007B043F"/>
    <w:rsid w:val="007B0566"/>
    <w:rsid w:val="007B05D9"/>
    <w:rsid w:val="007B0886"/>
    <w:rsid w:val="007B0B1B"/>
    <w:rsid w:val="007B0C36"/>
    <w:rsid w:val="007B14AB"/>
    <w:rsid w:val="007B164B"/>
    <w:rsid w:val="007B1825"/>
    <w:rsid w:val="007B189F"/>
    <w:rsid w:val="007B1CF6"/>
    <w:rsid w:val="007B1E76"/>
    <w:rsid w:val="007B1EE1"/>
    <w:rsid w:val="007B2171"/>
    <w:rsid w:val="007B259A"/>
    <w:rsid w:val="007B262E"/>
    <w:rsid w:val="007B2E62"/>
    <w:rsid w:val="007B2F13"/>
    <w:rsid w:val="007B31DF"/>
    <w:rsid w:val="007B320D"/>
    <w:rsid w:val="007B334C"/>
    <w:rsid w:val="007B3404"/>
    <w:rsid w:val="007B3484"/>
    <w:rsid w:val="007B366F"/>
    <w:rsid w:val="007B3730"/>
    <w:rsid w:val="007B391A"/>
    <w:rsid w:val="007B393D"/>
    <w:rsid w:val="007B399B"/>
    <w:rsid w:val="007B3A96"/>
    <w:rsid w:val="007B3AED"/>
    <w:rsid w:val="007B3D8C"/>
    <w:rsid w:val="007B4076"/>
    <w:rsid w:val="007B4222"/>
    <w:rsid w:val="007B4415"/>
    <w:rsid w:val="007B46AC"/>
    <w:rsid w:val="007B47B4"/>
    <w:rsid w:val="007B4821"/>
    <w:rsid w:val="007B48E1"/>
    <w:rsid w:val="007B4D10"/>
    <w:rsid w:val="007B4E83"/>
    <w:rsid w:val="007B4FCF"/>
    <w:rsid w:val="007B4FD1"/>
    <w:rsid w:val="007B5229"/>
    <w:rsid w:val="007B5B21"/>
    <w:rsid w:val="007B5BCC"/>
    <w:rsid w:val="007B6050"/>
    <w:rsid w:val="007B61F9"/>
    <w:rsid w:val="007B639D"/>
    <w:rsid w:val="007B64B0"/>
    <w:rsid w:val="007B65E5"/>
    <w:rsid w:val="007B6831"/>
    <w:rsid w:val="007B687D"/>
    <w:rsid w:val="007B69D5"/>
    <w:rsid w:val="007B6A0F"/>
    <w:rsid w:val="007B6A68"/>
    <w:rsid w:val="007B6DB4"/>
    <w:rsid w:val="007B7452"/>
    <w:rsid w:val="007B74C5"/>
    <w:rsid w:val="007B752A"/>
    <w:rsid w:val="007B7537"/>
    <w:rsid w:val="007B754E"/>
    <w:rsid w:val="007B75BB"/>
    <w:rsid w:val="007B7C14"/>
    <w:rsid w:val="007B7D36"/>
    <w:rsid w:val="007B7F0F"/>
    <w:rsid w:val="007C02E1"/>
    <w:rsid w:val="007C05B1"/>
    <w:rsid w:val="007C0780"/>
    <w:rsid w:val="007C11FE"/>
    <w:rsid w:val="007C1380"/>
    <w:rsid w:val="007C15AB"/>
    <w:rsid w:val="007C1725"/>
    <w:rsid w:val="007C172D"/>
    <w:rsid w:val="007C1B14"/>
    <w:rsid w:val="007C1FD1"/>
    <w:rsid w:val="007C20D0"/>
    <w:rsid w:val="007C2341"/>
    <w:rsid w:val="007C2453"/>
    <w:rsid w:val="007C24CA"/>
    <w:rsid w:val="007C25F7"/>
    <w:rsid w:val="007C26C4"/>
    <w:rsid w:val="007C2902"/>
    <w:rsid w:val="007C29FE"/>
    <w:rsid w:val="007C2A38"/>
    <w:rsid w:val="007C2CBC"/>
    <w:rsid w:val="007C2E76"/>
    <w:rsid w:val="007C312B"/>
    <w:rsid w:val="007C340B"/>
    <w:rsid w:val="007C3A9A"/>
    <w:rsid w:val="007C3B8C"/>
    <w:rsid w:val="007C4510"/>
    <w:rsid w:val="007C4965"/>
    <w:rsid w:val="007C4A22"/>
    <w:rsid w:val="007C4E50"/>
    <w:rsid w:val="007C4EDD"/>
    <w:rsid w:val="007C4F2D"/>
    <w:rsid w:val="007C4FE6"/>
    <w:rsid w:val="007C50E5"/>
    <w:rsid w:val="007C5304"/>
    <w:rsid w:val="007C53EC"/>
    <w:rsid w:val="007C5841"/>
    <w:rsid w:val="007C5B0E"/>
    <w:rsid w:val="007C5C75"/>
    <w:rsid w:val="007C5C7D"/>
    <w:rsid w:val="007C605A"/>
    <w:rsid w:val="007C6341"/>
    <w:rsid w:val="007C6454"/>
    <w:rsid w:val="007C65A0"/>
    <w:rsid w:val="007C67B4"/>
    <w:rsid w:val="007C6DEC"/>
    <w:rsid w:val="007C6E81"/>
    <w:rsid w:val="007C6FDC"/>
    <w:rsid w:val="007C6FFC"/>
    <w:rsid w:val="007C7398"/>
    <w:rsid w:val="007C7ACC"/>
    <w:rsid w:val="007C7C6B"/>
    <w:rsid w:val="007C7C97"/>
    <w:rsid w:val="007C7D9C"/>
    <w:rsid w:val="007D0054"/>
    <w:rsid w:val="007D03A7"/>
    <w:rsid w:val="007D0553"/>
    <w:rsid w:val="007D072E"/>
    <w:rsid w:val="007D084B"/>
    <w:rsid w:val="007D0A02"/>
    <w:rsid w:val="007D0B24"/>
    <w:rsid w:val="007D0D45"/>
    <w:rsid w:val="007D0F3B"/>
    <w:rsid w:val="007D1611"/>
    <w:rsid w:val="007D1785"/>
    <w:rsid w:val="007D19FD"/>
    <w:rsid w:val="007D1A7D"/>
    <w:rsid w:val="007D224A"/>
    <w:rsid w:val="007D2292"/>
    <w:rsid w:val="007D2387"/>
    <w:rsid w:val="007D23B7"/>
    <w:rsid w:val="007D277A"/>
    <w:rsid w:val="007D280C"/>
    <w:rsid w:val="007D2C61"/>
    <w:rsid w:val="007D2C9D"/>
    <w:rsid w:val="007D2CEA"/>
    <w:rsid w:val="007D2E6C"/>
    <w:rsid w:val="007D2F89"/>
    <w:rsid w:val="007D2FC8"/>
    <w:rsid w:val="007D34F8"/>
    <w:rsid w:val="007D3A37"/>
    <w:rsid w:val="007D3AE7"/>
    <w:rsid w:val="007D3B17"/>
    <w:rsid w:val="007D3C94"/>
    <w:rsid w:val="007D3CF0"/>
    <w:rsid w:val="007D3ECF"/>
    <w:rsid w:val="007D4005"/>
    <w:rsid w:val="007D4240"/>
    <w:rsid w:val="007D436C"/>
    <w:rsid w:val="007D4434"/>
    <w:rsid w:val="007D4459"/>
    <w:rsid w:val="007D44A0"/>
    <w:rsid w:val="007D4726"/>
    <w:rsid w:val="007D50DF"/>
    <w:rsid w:val="007D51EF"/>
    <w:rsid w:val="007D5337"/>
    <w:rsid w:val="007D5512"/>
    <w:rsid w:val="007D575A"/>
    <w:rsid w:val="007D57D7"/>
    <w:rsid w:val="007D5A08"/>
    <w:rsid w:val="007D5DA1"/>
    <w:rsid w:val="007D5DD2"/>
    <w:rsid w:val="007D6141"/>
    <w:rsid w:val="007D62B9"/>
    <w:rsid w:val="007D6A45"/>
    <w:rsid w:val="007D6F29"/>
    <w:rsid w:val="007D7560"/>
    <w:rsid w:val="007D7780"/>
    <w:rsid w:val="007D7845"/>
    <w:rsid w:val="007D7B57"/>
    <w:rsid w:val="007D7FD4"/>
    <w:rsid w:val="007E00AE"/>
    <w:rsid w:val="007E01D5"/>
    <w:rsid w:val="007E037B"/>
    <w:rsid w:val="007E0549"/>
    <w:rsid w:val="007E06EC"/>
    <w:rsid w:val="007E07EF"/>
    <w:rsid w:val="007E09A7"/>
    <w:rsid w:val="007E10C5"/>
    <w:rsid w:val="007E112C"/>
    <w:rsid w:val="007E1149"/>
    <w:rsid w:val="007E15CC"/>
    <w:rsid w:val="007E1836"/>
    <w:rsid w:val="007E1F59"/>
    <w:rsid w:val="007E2212"/>
    <w:rsid w:val="007E2789"/>
    <w:rsid w:val="007E2955"/>
    <w:rsid w:val="007E2F22"/>
    <w:rsid w:val="007E2FE7"/>
    <w:rsid w:val="007E318B"/>
    <w:rsid w:val="007E3196"/>
    <w:rsid w:val="007E37F1"/>
    <w:rsid w:val="007E3A8A"/>
    <w:rsid w:val="007E3D30"/>
    <w:rsid w:val="007E3D95"/>
    <w:rsid w:val="007E3DDD"/>
    <w:rsid w:val="007E4009"/>
    <w:rsid w:val="007E4022"/>
    <w:rsid w:val="007E4481"/>
    <w:rsid w:val="007E4C34"/>
    <w:rsid w:val="007E51CE"/>
    <w:rsid w:val="007E527D"/>
    <w:rsid w:val="007E584C"/>
    <w:rsid w:val="007E5F7A"/>
    <w:rsid w:val="007E5FC4"/>
    <w:rsid w:val="007E6387"/>
    <w:rsid w:val="007E6855"/>
    <w:rsid w:val="007E70E5"/>
    <w:rsid w:val="007E729E"/>
    <w:rsid w:val="007E736C"/>
    <w:rsid w:val="007E76B5"/>
    <w:rsid w:val="007E77B0"/>
    <w:rsid w:val="007E7B77"/>
    <w:rsid w:val="007E7F9D"/>
    <w:rsid w:val="007F0009"/>
    <w:rsid w:val="007F03C1"/>
    <w:rsid w:val="007F0532"/>
    <w:rsid w:val="007F0785"/>
    <w:rsid w:val="007F080E"/>
    <w:rsid w:val="007F0892"/>
    <w:rsid w:val="007F08D9"/>
    <w:rsid w:val="007F08E7"/>
    <w:rsid w:val="007F0D62"/>
    <w:rsid w:val="007F1464"/>
    <w:rsid w:val="007F158B"/>
    <w:rsid w:val="007F15FB"/>
    <w:rsid w:val="007F1658"/>
    <w:rsid w:val="007F1772"/>
    <w:rsid w:val="007F18D1"/>
    <w:rsid w:val="007F1A0D"/>
    <w:rsid w:val="007F1ABD"/>
    <w:rsid w:val="007F1B43"/>
    <w:rsid w:val="007F1E65"/>
    <w:rsid w:val="007F1F97"/>
    <w:rsid w:val="007F2027"/>
    <w:rsid w:val="007F23A6"/>
    <w:rsid w:val="007F29CE"/>
    <w:rsid w:val="007F2A43"/>
    <w:rsid w:val="007F2F62"/>
    <w:rsid w:val="007F3161"/>
    <w:rsid w:val="007F316F"/>
    <w:rsid w:val="007F329C"/>
    <w:rsid w:val="007F3733"/>
    <w:rsid w:val="007F3D74"/>
    <w:rsid w:val="007F470B"/>
    <w:rsid w:val="007F470C"/>
    <w:rsid w:val="007F492D"/>
    <w:rsid w:val="007F4C94"/>
    <w:rsid w:val="007F4CC3"/>
    <w:rsid w:val="007F6A95"/>
    <w:rsid w:val="007F6CEE"/>
    <w:rsid w:val="007F6DA2"/>
    <w:rsid w:val="007F741F"/>
    <w:rsid w:val="007F74D1"/>
    <w:rsid w:val="007F7532"/>
    <w:rsid w:val="007F7941"/>
    <w:rsid w:val="007F7B2C"/>
    <w:rsid w:val="007F7C6D"/>
    <w:rsid w:val="007F7D5C"/>
    <w:rsid w:val="00800136"/>
    <w:rsid w:val="0080032A"/>
    <w:rsid w:val="00800364"/>
    <w:rsid w:val="008004AB"/>
    <w:rsid w:val="00800BF5"/>
    <w:rsid w:val="00800D3E"/>
    <w:rsid w:val="00800D72"/>
    <w:rsid w:val="0080139A"/>
    <w:rsid w:val="008013DD"/>
    <w:rsid w:val="0080158A"/>
    <w:rsid w:val="008019D2"/>
    <w:rsid w:val="00801EC7"/>
    <w:rsid w:val="00802244"/>
    <w:rsid w:val="00802406"/>
    <w:rsid w:val="0080253C"/>
    <w:rsid w:val="00802577"/>
    <w:rsid w:val="00802831"/>
    <w:rsid w:val="00802894"/>
    <w:rsid w:val="00802980"/>
    <w:rsid w:val="00802D70"/>
    <w:rsid w:val="00802F5C"/>
    <w:rsid w:val="008033A4"/>
    <w:rsid w:val="008033E6"/>
    <w:rsid w:val="008037A7"/>
    <w:rsid w:val="00803A6B"/>
    <w:rsid w:val="00803E36"/>
    <w:rsid w:val="00803F3F"/>
    <w:rsid w:val="00804192"/>
    <w:rsid w:val="008041DC"/>
    <w:rsid w:val="008041FF"/>
    <w:rsid w:val="00804562"/>
    <w:rsid w:val="008045B2"/>
    <w:rsid w:val="00804C1D"/>
    <w:rsid w:val="00804CCE"/>
    <w:rsid w:val="00804CFB"/>
    <w:rsid w:val="00804DB6"/>
    <w:rsid w:val="00804F2E"/>
    <w:rsid w:val="00805269"/>
    <w:rsid w:val="0080573F"/>
    <w:rsid w:val="00805A4A"/>
    <w:rsid w:val="00805E82"/>
    <w:rsid w:val="00805F86"/>
    <w:rsid w:val="008061BA"/>
    <w:rsid w:val="00806699"/>
    <w:rsid w:val="00806701"/>
    <w:rsid w:val="0080685F"/>
    <w:rsid w:val="0080694A"/>
    <w:rsid w:val="00806B92"/>
    <w:rsid w:val="00806C8E"/>
    <w:rsid w:val="00806CE8"/>
    <w:rsid w:val="00806E0B"/>
    <w:rsid w:val="00806F29"/>
    <w:rsid w:val="00807118"/>
    <w:rsid w:val="008072D6"/>
    <w:rsid w:val="008072E8"/>
    <w:rsid w:val="00807C7C"/>
    <w:rsid w:val="00807CA4"/>
    <w:rsid w:val="00807E0E"/>
    <w:rsid w:val="00807F7D"/>
    <w:rsid w:val="0081046A"/>
    <w:rsid w:val="008104C7"/>
    <w:rsid w:val="008106AD"/>
    <w:rsid w:val="00810789"/>
    <w:rsid w:val="00810823"/>
    <w:rsid w:val="00810AA8"/>
    <w:rsid w:val="00810B96"/>
    <w:rsid w:val="00810CED"/>
    <w:rsid w:val="00810D35"/>
    <w:rsid w:val="00811095"/>
    <w:rsid w:val="008110C1"/>
    <w:rsid w:val="0081143A"/>
    <w:rsid w:val="008117F4"/>
    <w:rsid w:val="00811997"/>
    <w:rsid w:val="00811B15"/>
    <w:rsid w:val="00811BB9"/>
    <w:rsid w:val="00811F32"/>
    <w:rsid w:val="00812133"/>
    <w:rsid w:val="00812147"/>
    <w:rsid w:val="008121DA"/>
    <w:rsid w:val="00812417"/>
    <w:rsid w:val="008126B0"/>
    <w:rsid w:val="0081271F"/>
    <w:rsid w:val="0081294F"/>
    <w:rsid w:val="00812C15"/>
    <w:rsid w:val="00812CD3"/>
    <w:rsid w:val="008130F7"/>
    <w:rsid w:val="0081310F"/>
    <w:rsid w:val="0081317D"/>
    <w:rsid w:val="00813352"/>
    <w:rsid w:val="00813375"/>
    <w:rsid w:val="008137BB"/>
    <w:rsid w:val="0081389D"/>
    <w:rsid w:val="008138F9"/>
    <w:rsid w:val="00813AAC"/>
    <w:rsid w:val="00813F09"/>
    <w:rsid w:val="008142B4"/>
    <w:rsid w:val="00814366"/>
    <w:rsid w:val="00814ADE"/>
    <w:rsid w:val="00814E17"/>
    <w:rsid w:val="00814FC4"/>
    <w:rsid w:val="00815289"/>
    <w:rsid w:val="008156DD"/>
    <w:rsid w:val="008158A4"/>
    <w:rsid w:val="00816133"/>
    <w:rsid w:val="00816841"/>
    <w:rsid w:val="00816A33"/>
    <w:rsid w:val="00816D01"/>
    <w:rsid w:val="008171DE"/>
    <w:rsid w:val="0081778E"/>
    <w:rsid w:val="008177CC"/>
    <w:rsid w:val="00817BAF"/>
    <w:rsid w:val="00817BB4"/>
    <w:rsid w:val="00817C09"/>
    <w:rsid w:val="00817DE1"/>
    <w:rsid w:val="00817E53"/>
    <w:rsid w:val="00817EE6"/>
    <w:rsid w:val="008203F4"/>
    <w:rsid w:val="0082045B"/>
    <w:rsid w:val="008208D2"/>
    <w:rsid w:val="0082090E"/>
    <w:rsid w:val="0082118E"/>
    <w:rsid w:val="00821195"/>
    <w:rsid w:val="0082138E"/>
    <w:rsid w:val="00821F68"/>
    <w:rsid w:val="0082242A"/>
    <w:rsid w:val="0082251B"/>
    <w:rsid w:val="0082292E"/>
    <w:rsid w:val="0082297C"/>
    <w:rsid w:val="0082303E"/>
    <w:rsid w:val="00823231"/>
    <w:rsid w:val="00823296"/>
    <w:rsid w:val="00823C02"/>
    <w:rsid w:val="00823CFA"/>
    <w:rsid w:val="00823D51"/>
    <w:rsid w:val="00824036"/>
    <w:rsid w:val="008240DA"/>
    <w:rsid w:val="00824228"/>
    <w:rsid w:val="00824310"/>
    <w:rsid w:val="00824386"/>
    <w:rsid w:val="00824E54"/>
    <w:rsid w:val="008251FD"/>
    <w:rsid w:val="00825565"/>
    <w:rsid w:val="00825583"/>
    <w:rsid w:val="0082571B"/>
    <w:rsid w:val="00825A1F"/>
    <w:rsid w:val="00825B11"/>
    <w:rsid w:val="00825F73"/>
    <w:rsid w:val="008260F1"/>
    <w:rsid w:val="00826441"/>
    <w:rsid w:val="008267C0"/>
    <w:rsid w:val="008268CF"/>
    <w:rsid w:val="00826902"/>
    <w:rsid w:val="008269BC"/>
    <w:rsid w:val="00826C80"/>
    <w:rsid w:val="00826EB2"/>
    <w:rsid w:val="0082772E"/>
    <w:rsid w:val="0082777D"/>
    <w:rsid w:val="0082781E"/>
    <w:rsid w:val="008302B7"/>
    <w:rsid w:val="00830917"/>
    <w:rsid w:val="00830C21"/>
    <w:rsid w:val="00830D2C"/>
    <w:rsid w:val="00830D48"/>
    <w:rsid w:val="00830DE9"/>
    <w:rsid w:val="00830E71"/>
    <w:rsid w:val="00830FEB"/>
    <w:rsid w:val="00831004"/>
    <w:rsid w:val="0083125A"/>
    <w:rsid w:val="00831607"/>
    <w:rsid w:val="008317C4"/>
    <w:rsid w:val="00831E78"/>
    <w:rsid w:val="008320D9"/>
    <w:rsid w:val="00832749"/>
    <w:rsid w:val="008329FA"/>
    <w:rsid w:val="00832A05"/>
    <w:rsid w:val="00832C40"/>
    <w:rsid w:val="00832C61"/>
    <w:rsid w:val="00832FF1"/>
    <w:rsid w:val="0083303C"/>
    <w:rsid w:val="00833057"/>
    <w:rsid w:val="00833413"/>
    <w:rsid w:val="00833963"/>
    <w:rsid w:val="00833B9B"/>
    <w:rsid w:val="00833CDB"/>
    <w:rsid w:val="00833D98"/>
    <w:rsid w:val="00833DDC"/>
    <w:rsid w:val="00833DE4"/>
    <w:rsid w:val="00833EFD"/>
    <w:rsid w:val="0083404E"/>
    <w:rsid w:val="00834316"/>
    <w:rsid w:val="008343A2"/>
    <w:rsid w:val="008345F6"/>
    <w:rsid w:val="0083472D"/>
    <w:rsid w:val="0083475C"/>
    <w:rsid w:val="00834863"/>
    <w:rsid w:val="00834899"/>
    <w:rsid w:val="00834AE4"/>
    <w:rsid w:val="00834E18"/>
    <w:rsid w:val="0083560C"/>
    <w:rsid w:val="008357C4"/>
    <w:rsid w:val="0083586B"/>
    <w:rsid w:val="00835A57"/>
    <w:rsid w:val="00835DC5"/>
    <w:rsid w:val="00836060"/>
    <w:rsid w:val="0083608F"/>
    <w:rsid w:val="008360E9"/>
    <w:rsid w:val="00836327"/>
    <w:rsid w:val="008368BB"/>
    <w:rsid w:val="00836BF0"/>
    <w:rsid w:val="00836E05"/>
    <w:rsid w:val="00836FB2"/>
    <w:rsid w:val="008371F1"/>
    <w:rsid w:val="00837343"/>
    <w:rsid w:val="00837E15"/>
    <w:rsid w:val="00837E22"/>
    <w:rsid w:val="0084013D"/>
    <w:rsid w:val="00840197"/>
    <w:rsid w:val="00840427"/>
    <w:rsid w:val="008407E3"/>
    <w:rsid w:val="00840801"/>
    <w:rsid w:val="008408CF"/>
    <w:rsid w:val="00840A89"/>
    <w:rsid w:val="00840AB8"/>
    <w:rsid w:val="00840B3B"/>
    <w:rsid w:val="00840B82"/>
    <w:rsid w:val="008411BF"/>
    <w:rsid w:val="008413C4"/>
    <w:rsid w:val="00841533"/>
    <w:rsid w:val="00841577"/>
    <w:rsid w:val="00841629"/>
    <w:rsid w:val="00841A29"/>
    <w:rsid w:val="00841CBC"/>
    <w:rsid w:val="008420DD"/>
    <w:rsid w:val="008422A0"/>
    <w:rsid w:val="008422C4"/>
    <w:rsid w:val="00842488"/>
    <w:rsid w:val="00842697"/>
    <w:rsid w:val="008428D2"/>
    <w:rsid w:val="0084313F"/>
    <w:rsid w:val="0084321C"/>
    <w:rsid w:val="008434BF"/>
    <w:rsid w:val="00843593"/>
    <w:rsid w:val="00843763"/>
    <w:rsid w:val="00843D58"/>
    <w:rsid w:val="0084404E"/>
    <w:rsid w:val="008444B6"/>
    <w:rsid w:val="00844513"/>
    <w:rsid w:val="0084479B"/>
    <w:rsid w:val="0084506C"/>
    <w:rsid w:val="00845207"/>
    <w:rsid w:val="00845D54"/>
    <w:rsid w:val="00845DF8"/>
    <w:rsid w:val="0084618A"/>
    <w:rsid w:val="008462AD"/>
    <w:rsid w:val="0084647D"/>
    <w:rsid w:val="008465C1"/>
    <w:rsid w:val="00846627"/>
    <w:rsid w:val="00846659"/>
    <w:rsid w:val="00846B85"/>
    <w:rsid w:val="00846BB8"/>
    <w:rsid w:val="00846F03"/>
    <w:rsid w:val="00847045"/>
    <w:rsid w:val="00847154"/>
    <w:rsid w:val="0084718B"/>
    <w:rsid w:val="00847437"/>
    <w:rsid w:val="0084793E"/>
    <w:rsid w:val="00847B82"/>
    <w:rsid w:val="00847E2B"/>
    <w:rsid w:val="00847EA7"/>
    <w:rsid w:val="008501EB"/>
    <w:rsid w:val="00850293"/>
    <w:rsid w:val="008502D8"/>
    <w:rsid w:val="00850417"/>
    <w:rsid w:val="008505D7"/>
    <w:rsid w:val="008508A2"/>
    <w:rsid w:val="00850A33"/>
    <w:rsid w:val="00850EF1"/>
    <w:rsid w:val="00850FDC"/>
    <w:rsid w:val="0085117D"/>
    <w:rsid w:val="0085143F"/>
    <w:rsid w:val="00851823"/>
    <w:rsid w:val="00851EEB"/>
    <w:rsid w:val="00852100"/>
    <w:rsid w:val="00852324"/>
    <w:rsid w:val="00852470"/>
    <w:rsid w:val="008525AC"/>
    <w:rsid w:val="0085267D"/>
    <w:rsid w:val="00852800"/>
    <w:rsid w:val="00852826"/>
    <w:rsid w:val="00852E03"/>
    <w:rsid w:val="0085343A"/>
    <w:rsid w:val="008536A6"/>
    <w:rsid w:val="008536D5"/>
    <w:rsid w:val="00853934"/>
    <w:rsid w:val="0085396D"/>
    <w:rsid w:val="00853A90"/>
    <w:rsid w:val="00853B80"/>
    <w:rsid w:val="00853BC4"/>
    <w:rsid w:val="00853C23"/>
    <w:rsid w:val="008540EF"/>
    <w:rsid w:val="008541EF"/>
    <w:rsid w:val="0085431A"/>
    <w:rsid w:val="00855123"/>
    <w:rsid w:val="00855296"/>
    <w:rsid w:val="008553B9"/>
    <w:rsid w:val="00855491"/>
    <w:rsid w:val="00855CB6"/>
    <w:rsid w:val="00855E6D"/>
    <w:rsid w:val="00856053"/>
    <w:rsid w:val="0085648E"/>
    <w:rsid w:val="008566B7"/>
    <w:rsid w:val="0085698B"/>
    <w:rsid w:val="00856B25"/>
    <w:rsid w:val="00856DEE"/>
    <w:rsid w:val="00856F67"/>
    <w:rsid w:val="00857033"/>
    <w:rsid w:val="00857183"/>
    <w:rsid w:val="008571E2"/>
    <w:rsid w:val="0085728F"/>
    <w:rsid w:val="008572DD"/>
    <w:rsid w:val="008575AB"/>
    <w:rsid w:val="00857628"/>
    <w:rsid w:val="00857673"/>
    <w:rsid w:val="00857746"/>
    <w:rsid w:val="00857959"/>
    <w:rsid w:val="00857B70"/>
    <w:rsid w:val="00857F95"/>
    <w:rsid w:val="00860011"/>
    <w:rsid w:val="00860379"/>
    <w:rsid w:val="008603D4"/>
    <w:rsid w:val="00860A32"/>
    <w:rsid w:val="00860B68"/>
    <w:rsid w:val="00860C4D"/>
    <w:rsid w:val="00860EC0"/>
    <w:rsid w:val="00860F01"/>
    <w:rsid w:val="00860F36"/>
    <w:rsid w:val="00861476"/>
    <w:rsid w:val="00861984"/>
    <w:rsid w:val="00861B9F"/>
    <w:rsid w:val="00861C3C"/>
    <w:rsid w:val="00861E2B"/>
    <w:rsid w:val="00862140"/>
    <w:rsid w:val="0086228E"/>
    <w:rsid w:val="0086246E"/>
    <w:rsid w:val="008624A3"/>
    <w:rsid w:val="008626AE"/>
    <w:rsid w:val="00862A81"/>
    <w:rsid w:val="0086379E"/>
    <w:rsid w:val="00863827"/>
    <w:rsid w:val="0086392A"/>
    <w:rsid w:val="00863E86"/>
    <w:rsid w:val="00864192"/>
    <w:rsid w:val="0086444A"/>
    <w:rsid w:val="00864637"/>
    <w:rsid w:val="008649C1"/>
    <w:rsid w:val="00864AEF"/>
    <w:rsid w:val="00864C0B"/>
    <w:rsid w:val="00864DFB"/>
    <w:rsid w:val="00864E41"/>
    <w:rsid w:val="0086508D"/>
    <w:rsid w:val="00865178"/>
    <w:rsid w:val="00865276"/>
    <w:rsid w:val="008655D2"/>
    <w:rsid w:val="00865638"/>
    <w:rsid w:val="008656A7"/>
    <w:rsid w:val="00865786"/>
    <w:rsid w:val="00865968"/>
    <w:rsid w:val="00865CE6"/>
    <w:rsid w:val="00865D34"/>
    <w:rsid w:val="0086614D"/>
    <w:rsid w:val="00866409"/>
    <w:rsid w:val="00866625"/>
    <w:rsid w:val="00866782"/>
    <w:rsid w:val="00866798"/>
    <w:rsid w:val="0086695C"/>
    <w:rsid w:val="00866BEF"/>
    <w:rsid w:val="00866D33"/>
    <w:rsid w:val="00866DB6"/>
    <w:rsid w:val="00866E83"/>
    <w:rsid w:val="00866E96"/>
    <w:rsid w:val="00867366"/>
    <w:rsid w:val="00867462"/>
    <w:rsid w:val="0086780F"/>
    <w:rsid w:val="00867968"/>
    <w:rsid w:val="00867A5A"/>
    <w:rsid w:val="00867D63"/>
    <w:rsid w:val="00867E30"/>
    <w:rsid w:val="008700D3"/>
    <w:rsid w:val="0087016F"/>
    <w:rsid w:val="0087061E"/>
    <w:rsid w:val="00870815"/>
    <w:rsid w:val="00870B69"/>
    <w:rsid w:val="00870C1C"/>
    <w:rsid w:val="00870CBD"/>
    <w:rsid w:val="00870ED8"/>
    <w:rsid w:val="00870FDC"/>
    <w:rsid w:val="00871161"/>
    <w:rsid w:val="008711A3"/>
    <w:rsid w:val="008712A7"/>
    <w:rsid w:val="008713FC"/>
    <w:rsid w:val="0087149E"/>
    <w:rsid w:val="00871585"/>
    <w:rsid w:val="00871962"/>
    <w:rsid w:val="008719E2"/>
    <w:rsid w:val="00871A10"/>
    <w:rsid w:val="00871BFA"/>
    <w:rsid w:val="00871D7D"/>
    <w:rsid w:val="00871DFC"/>
    <w:rsid w:val="00871EE0"/>
    <w:rsid w:val="00871FB6"/>
    <w:rsid w:val="008722B0"/>
    <w:rsid w:val="008723AB"/>
    <w:rsid w:val="00872CF3"/>
    <w:rsid w:val="00872D04"/>
    <w:rsid w:val="00872E92"/>
    <w:rsid w:val="0087345E"/>
    <w:rsid w:val="00873665"/>
    <w:rsid w:val="008736E7"/>
    <w:rsid w:val="00874082"/>
    <w:rsid w:val="00874091"/>
    <w:rsid w:val="00874111"/>
    <w:rsid w:val="008744A3"/>
    <w:rsid w:val="00874510"/>
    <w:rsid w:val="00874551"/>
    <w:rsid w:val="008748E6"/>
    <w:rsid w:val="00875473"/>
    <w:rsid w:val="00875594"/>
    <w:rsid w:val="008756EB"/>
    <w:rsid w:val="008756F2"/>
    <w:rsid w:val="008757EC"/>
    <w:rsid w:val="00875A1C"/>
    <w:rsid w:val="00875C4E"/>
    <w:rsid w:val="00875F62"/>
    <w:rsid w:val="00875F85"/>
    <w:rsid w:val="00875FEF"/>
    <w:rsid w:val="0087613B"/>
    <w:rsid w:val="0087625B"/>
    <w:rsid w:val="008762AB"/>
    <w:rsid w:val="0087679F"/>
    <w:rsid w:val="008767BA"/>
    <w:rsid w:val="00876A5D"/>
    <w:rsid w:val="00876C37"/>
    <w:rsid w:val="00876C7A"/>
    <w:rsid w:val="008773A8"/>
    <w:rsid w:val="008775CB"/>
    <w:rsid w:val="0087781F"/>
    <w:rsid w:val="00877B8E"/>
    <w:rsid w:val="00877CBA"/>
    <w:rsid w:val="00877D65"/>
    <w:rsid w:val="00877E66"/>
    <w:rsid w:val="00877EDC"/>
    <w:rsid w:val="00877F70"/>
    <w:rsid w:val="00880641"/>
    <w:rsid w:val="00880B51"/>
    <w:rsid w:val="00880EE9"/>
    <w:rsid w:val="00880F09"/>
    <w:rsid w:val="00881159"/>
    <w:rsid w:val="00881746"/>
    <w:rsid w:val="008818A0"/>
    <w:rsid w:val="008819F0"/>
    <w:rsid w:val="00881A02"/>
    <w:rsid w:val="00881AEE"/>
    <w:rsid w:val="00881D72"/>
    <w:rsid w:val="00881F0B"/>
    <w:rsid w:val="00882025"/>
    <w:rsid w:val="008822DE"/>
    <w:rsid w:val="008826D6"/>
    <w:rsid w:val="00883754"/>
    <w:rsid w:val="008837F8"/>
    <w:rsid w:val="008839C9"/>
    <w:rsid w:val="00884057"/>
    <w:rsid w:val="00884761"/>
    <w:rsid w:val="00884901"/>
    <w:rsid w:val="00884A03"/>
    <w:rsid w:val="00884ABC"/>
    <w:rsid w:val="00884FBF"/>
    <w:rsid w:val="008851FB"/>
    <w:rsid w:val="00885526"/>
    <w:rsid w:val="00885B5E"/>
    <w:rsid w:val="00885DB5"/>
    <w:rsid w:val="0088600A"/>
    <w:rsid w:val="008861CA"/>
    <w:rsid w:val="00886316"/>
    <w:rsid w:val="008866FC"/>
    <w:rsid w:val="0088680B"/>
    <w:rsid w:val="008868D9"/>
    <w:rsid w:val="00886A4A"/>
    <w:rsid w:val="00886A64"/>
    <w:rsid w:val="00886E5B"/>
    <w:rsid w:val="00886F49"/>
    <w:rsid w:val="008870E8"/>
    <w:rsid w:val="008875C2"/>
    <w:rsid w:val="00887713"/>
    <w:rsid w:val="0088786B"/>
    <w:rsid w:val="00887901"/>
    <w:rsid w:val="0088794E"/>
    <w:rsid w:val="00887AB1"/>
    <w:rsid w:val="008901A5"/>
    <w:rsid w:val="008901F2"/>
    <w:rsid w:val="0089042E"/>
    <w:rsid w:val="008904AC"/>
    <w:rsid w:val="00890A16"/>
    <w:rsid w:val="00890A93"/>
    <w:rsid w:val="00890E4B"/>
    <w:rsid w:val="00891125"/>
    <w:rsid w:val="00891667"/>
    <w:rsid w:val="00891A55"/>
    <w:rsid w:val="00891CDE"/>
    <w:rsid w:val="008924D9"/>
    <w:rsid w:val="008926FD"/>
    <w:rsid w:val="008929C6"/>
    <w:rsid w:val="00892F31"/>
    <w:rsid w:val="00893193"/>
    <w:rsid w:val="0089320C"/>
    <w:rsid w:val="0089324C"/>
    <w:rsid w:val="008934EA"/>
    <w:rsid w:val="008935E3"/>
    <w:rsid w:val="00893801"/>
    <w:rsid w:val="008939D0"/>
    <w:rsid w:val="00893AAC"/>
    <w:rsid w:val="00893DB0"/>
    <w:rsid w:val="00893F5B"/>
    <w:rsid w:val="00893FC8"/>
    <w:rsid w:val="00894286"/>
    <w:rsid w:val="00894407"/>
    <w:rsid w:val="0089440B"/>
    <w:rsid w:val="0089468F"/>
    <w:rsid w:val="0089469C"/>
    <w:rsid w:val="008946CA"/>
    <w:rsid w:val="008947E5"/>
    <w:rsid w:val="00894978"/>
    <w:rsid w:val="00894A80"/>
    <w:rsid w:val="00894ADF"/>
    <w:rsid w:val="008959C1"/>
    <w:rsid w:val="00895A73"/>
    <w:rsid w:val="00895A7E"/>
    <w:rsid w:val="00895BED"/>
    <w:rsid w:val="00895EFA"/>
    <w:rsid w:val="00895EFB"/>
    <w:rsid w:val="0089601B"/>
    <w:rsid w:val="00896398"/>
    <w:rsid w:val="0089642B"/>
    <w:rsid w:val="008965F8"/>
    <w:rsid w:val="0089667A"/>
    <w:rsid w:val="00896D29"/>
    <w:rsid w:val="00897134"/>
    <w:rsid w:val="008971EB"/>
    <w:rsid w:val="00897254"/>
    <w:rsid w:val="00897430"/>
    <w:rsid w:val="008978AA"/>
    <w:rsid w:val="008978AD"/>
    <w:rsid w:val="00897B37"/>
    <w:rsid w:val="008A00E9"/>
    <w:rsid w:val="008A0279"/>
    <w:rsid w:val="008A02AF"/>
    <w:rsid w:val="008A05AC"/>
    <w:rsid w:val="008A0896"/>
    <w:rsid w:val="008A0946"/>
    <w:rsid w:val="008A0A69"/>
    <w:rsid w:val="008A0BE2"/>
    <w:rsid w:val="008A0C33"/>
    <w:rsid w:val="008A107F"/>
    <w:rsid w:val="008A14E7"/>
    <w:rsid w:val="008A1548"/>
    <w:rsid w:val="008A1656"/>
    <w:rsid w:val="008A1676"/>
    <w:rsid w:val="008A17EB"/>
    <w:rsid w:val="008A1A57"/>
    <w:rsid w:val="008A1B94"/>
    <w:rsid w:val="008A1D0B"/>
    <w:rsid w:val="008A27E6"/>
    <w:rsid w:val="008A2937"/>
    <w:rsid w:val="008A2A33"/>
    <w:rsid w:val="008A2D7C"/>
    <w:rsid w:val="008A31D4"/>
    <w:rsid w:val="008A31EF"/>
    <w:rsid w:val="008A3248"/>
    <w:rsid w:val="008A3307"/>
    <w:rsid w:val="008A3828"/>
    <w:rsid w:val="008A38B3"/>
    <w:rsid w:val="008A3917"/>
    <w:rsid w:val="008A3AA8"/>
    <w:rsid w:val="008A3AF7"/>
    <w:rsid w:val="008A3B93"/>
    <w:rsid w:val="008A3D07"/>
    <w:rsid w:val="008A40B5"/>
    <w:rsid w:val="008A40EE"/>
    <w:rsid w:val="008A4156"/>
    <w:rsid w:val="008A41AB"/>
    <w:rsid w:val="008A4426"/>
    <w:rsid w:val="008A47F1"/>
    <w:rsid w:val="008A4BA9"/>
    <w:rsid w:val="008A4C55"/>
    <w:rsid w:val="008A4DC6"/>
    <w:rsid w:val="008A55D0"/>
    <w:rsid w:val="008A582A"/>
    <w:rsid w:val="008A5C35"/>
    <w:rsid w:val="008A5DD6"/>
    <w:rsid w:val="008A6093"/>
    <w:rsid w:val="008A65C0"/>
    <w:rsid w:val="008A6627"/>
    <w:rsid w:val="008A664A"/>
    <w:rsid w:val="008A67BB"/>
    <w:rsid w:val="008A68A3"/>
    <w:rsid w:val="008A6BBB"/>
    <w:rsid w:val="008A6D4C"/>
    <w:rsid w:val="008A76B5"/>
    <w:rsid w:val="008A7B25"/>
    <w:rsid w:val="008A7B72"/>
    <w:rsid w:val="008B0202"/>
    <w:rsid w:val="008B0254"/>
    <w:rsid w:val="008B08E4"/>
    <w:rsid w:val="008B0971"/>
    <w:rsid w:val="008B136C"/>
    <w:rsid w:val="008B149E"/>
    <w:rsid w:val="008B14B7"/>
    <w:rsid w:val="008B154A"/>
    <w:rsid w:val="008B1611"/>
    <w:rsid w:val="008B1A1C"/>
    <w:rsid w:val="008B20D2"/>
    <w:rsid w:val="008B24AF"/>
    <w:rsid w:val="008B27A0"/>
    <w:rsid w:val="008B2AA5"/>
    <w:rsid w:val="008B2D46"/>
    <w:rsid w:val="008B2F42"/>
    <w:rsid w:val="008B3136"/>
    <w:rsid w:val="008B3358"/>
    <w:rsid w:val="008B365C"/>
    <w:rsid w:val="008B376C"/>
    <w:rsid w:val="008B3802"/>
    <w:rsid w:val="008B3CBA"/>
    <w:rsid w:val="008B3F35"/>
    <w:rsid w:val="008B3F50"/>
    <w:rsid w:val="008B3FDA"/>
    <w:rsid w:val="008B400E"/>
    <w:rsid w:val="008B41D1"/>
    <w:rsid w:val="008B424F"/>
    <w:rsid w:val="008B4333"/>
    <w:rsid w:val="008B4399"/>
    <w:rsid w:val="008B450C"/>
    <w:rsid w:val="008B4732"/>
    <w:rsid w:val="008B47C5"/>
    <w:rsid w:val="008B492A"/>
    <w:rsid w:val="008B4B44"/>
    <w:rsid w:val="008B519B"/>
    <w:rsid w:val="008B5274"/>
    <w:rsid w:val="008B5416"/>
    <w:rsid w:val="008B5670"/>
    <w:rsid w:val="008B5B24"/>
    <w:rsid w:val="008B5CD6"/>
    <w:rsid w:val="008B6735"/>
    <w:rsid w:val="008B68AD"/>
    <w:rsid w:val="008B6D3D"/>
    <w:rsid w:val="008B6E3B"/>
    <w:rsid w:val="008B6F3A"/>
    <w:rsid w:val="008B742E"/>
    <w:rsid w:val="008B74CB"/>
    <w:rsid w:val="008B7B01"/>
    <w:rsid w:val="008B7C5C"/>
    <w:rsid w:val="008B7CA4"/>
    <w:rsid w:val="008B7D96"/>
    <w:rsid w:val="008C0123"/>
    <w:rsid w:val="008C03B2"/>
    <w:rsid w:val="008C04A7"/>
    <w:rsid w:val="008C0625"/>
    <w:rsid w:val="008C066B"/>
    <w:rsid w:val="008C0779"/>
    <w:rsid w:val="008C082A"/>
    <w:rsid w:val="008C086B"/>
    <w:rsid w:val="008C08DD"/>
    <w:rsid w:val="008C0BAC"/>
    <w:rsid w:val="008C0E4C"/>
    <w:rsid w:val="008C12CA"/>
    <w:rsid w:val="008C14DE"/>
    <w:rsid w:val="008C1773"/>
    <w:rsid w:val="008C18D3"/>
    <w:rsid w:val="008C194A"/>
    <w:rsid w:val="008C1990"/>
    <w:rsid w:val="008C1A39"/>
    <w:rsid w:val="008C1AD8"/>
    <w:rsid w:val="008C1B6D"/>
    <w:rsid w:val="008C2161"/>
    <w:rsid w:val="008C2348"/>
    <w:rsid w:val="008C23B5"/>
    <w:rsid w:val="008C2629"/>
    <w:rsid w:val="008C2695"/>
    <w:rsid w:val="008C26E7"/>
    <w:rsid w:val="008C27D7"/>
    <w:rsid w:val="008C29B3"/>
    <w:rsid w:val="008C2D6F"/>
    <w:rsid w:val="008C2F14"/>
    <w:rsid w:val="008C3121"/>
    <w:rsid w:val="008C33B8"/>
    <w:rsid w:val="008C342F"/>
    <w:rsid w:val="008C35B8"/>
    <w:rsid w:val="008C3830"/>
    <w:rsid w:val="008C38C0"/>
    <w:rsid w:val="008C3973"/>
    <w:rsid w:val="008C4059"/>
    <w:rsid w:val="008C40D4"/>
    <w:rsid w:val="008C42A6"/>
    <w:rsid w:val="008C4797"/>
    <w:rsid w:val="008C492C"/>
    <w:rsid w:val="008C4CAE"/>
    <w:rsid w:val="008C4D1A"/>
    <w:rsid w:val="008C4D8C"/>
    <w:rsid w:val="008C4E0E"/>
    <w:rsid w:val="008C508A"/>
    <w:rsid w:val="008C51E1"/>
    <w:rsid w:val="008C58CB"/>
    <w:rsid w:val="008C59C0"/>
    <w:rsid w:val="008C5F72"/>
    <w:rsid w:val="008C5FD8"/>
    <w:rsid w:val="008C61E7"/>
    <w:rsid w:val="008C63B3"/>
    <w:rsid w:val="008C6524"/>
    <w:rsid w:val="008C68FB"/>
    <w:rsid w:val="008C6B4A"/>
    <w:rsid w:val="008C6C29"/>
    <w:rsid w:val="008C6FBD"/>
    <w:rsid w:val="008C74A5"/>
    <w:rsid w:val="008C7539"/>
    <w:rsid w:val="008C79C9"/>
    <w:rsid w:val="008C7A51"/>
    <w:rsid w:val="008C7A6E"/>
    <w:rsid w:val="008C7CB2"/>
    <w:rsid w:val="008C7E96"/>
    <w:rsid w:val="008C7F20"/>
    <w:rsid w:val="008C7FBE"/>
    <w:rsid w:val="008D0205"/>
    <w:rsid w:val="008D0525"/>
    <w:rsid w:val="008D08DA"/>
    <w:rsid w:val="008D0935"/>
    <w:rsid w:val="008D0A9B"/>
    <w:rsid w:val="008D0ADD"/>
    <w:rsid w:val="008D0B02"/>
    <w:rsid w:val="008D0C3A"/>
    <w:rsid w:val="008D0E1A"/>
    <w:rsid w:val="008D0E56"/>
    <w:rsid w:val="008D17E5"/>
    <w:rsid w:val="008D1969"/>
    <w:rsid w:val="008D199D"/>
    <w:rsid w:val="008D1DD7"/>
    <w:rsid w:val="008D1F37"/>
    <w:rsid w:val="008D2522"/>
    <w:rsid w:val="008D2712"/>
    <w:rsid w:val="008D28DA"/>
    <w:rsid w:val="008D28E8"/>
    <w:rsid w:val="008D2A20"/>
    <w:rsid w:val="008D2A90"/>
    <w:rsid w:val="008D2BFB"/>
    <w:rsid w:val="008D2C24"/>
    <w:rsid w:val="008D2C29"/>
    <w:rsid w:val="008D2C92"/>
    <w:rsid w:val="008D2CB3"/>
    <w:rsid w:val="008D2CFD"/>
    <w:rsid w:val="008D2DA4"/>
    <w:rsid w:val="008D2E1C"/>
    <w:rsid w:val="008D2E8F"/>
    <w:rsid w:val="008D2F5D"/>
    <w:rsid w:val="008D2FE4"/>
    <w:rsid w:val="008D304E"/>
    <w:rsid w:val="008D329C"/>
    <w:rsid w:val="008D3379"/>
    <w:rsid w:val="008D356F"/>
    <w:rsid w:val="008D3626"/>
    <w:rsid w:val="008D3739"/>
    <w:rsid w:val="008D3B20"/>
    <w:rsid w:val="008D428D"/>
    <w:rsid w:val="008D4729"/>
    <w:rsid w:val="008D4790"/>
    <w:rsid w:val="008D490F"/>
    <w:rsid w:val="008D4984"/>
    <w:rsid w:val="008D4D65"/>
    <w:rsid w:val="008D4E13"/>
    <w:rsid w:val="008D50B4"/>
    <w:rsid w:val="008D53CD"/>
    <w:rsid w:val="008D53E3"/>
    <w:rsid w:val="008D54F2"/>
    <w:rsid w:val="008D550C"/>
    <w:rsid w:val="008D5567"/>
    <w:rsid w:val="008D589F"/>
    <w:rsid w:val="008D59FC"/>
    <w:rsid w:val="008D5A5F"/>
    <w:rsid w:val="008D5AE0"/>
    <w:rsid w:val="008D5DDE"/>
    <w:rsid w:val="008D5DF6"/>
    <w:rsid w:val="008D5F67"/>
    <w:rsid w:val="008D64D5"/>
    <w:rsid w:val="008D6954"/>
    <w:rsid w:val="008D6E59"/>
    <w:rsid w:val="008D70C2"/>
    <w:rsid w:val="008D72C6"/>
    <w:rsid w:val="008D750E"/>
    <w:rsid w:val="008D7538"/>
    <w:rsid w:val="008D765E"/>
    <w:rsid w:val="008D79E5"/>
    <w:rsid w:val="008D7DD9"/>
    <w:rsid w:val="008D7ED0"/>
    <w:rsid w:val="008D92A1"/>
    <w:rsid w:val="008E01EC"/>
    <w:rsid w:val="008E06A5"/>
    <w:rsid w:val="008E08E3"/>
    <w:rsid w:val="008E09CF"/>
    <w:rsid w:val="008E0B51"/>
    <w:rsid w:val="008E0C9E"/>
    <w:rsid w:val="008E0CD8"/>
    <w:rsid w:val="008E0F1F"/>
    <w:rsid w:val="008E1629"/>
    <w:rsid w:val="008E1BDC"/>
    <w:rsid w:val="008E21F3"/>
    <w:rsid w:val="008E2304"/>
    <w:rsid w:val="008E25DD"/>
    <w:rsid w:val="008E297D"/>
    <w:rsid w:val="008E29BC"/>
    <w:rsid w:val="008E2E26"/>
    <w:rsid w:val="008E2E47"/>
    <w:rsid w:val="008E3115"/>
    <w:rsid w:val="008E3171"/>
    <w:rsid w:val="008E317C"/>
    <w:rsid w:val="008E326A"/>
    <w:rsid w:val="008E33F9"/>
    <w:rsid w:val="008E3A5C"/>
    <w:rsid w:val="008E3AB7"/>
    <w:rsid w:val="008E3B4B"/>
    <w:rsid w:val="008E3C12"/>
    <w:rsid w:val="008E3F60"/>
    <w:rsid w:val="008E4A26"/>
    <w:rsid w:val="008E4A71"/>
    <w:rsid w:val="008E4C64"/>
    <w:rsid w:val="008E4F09"/>
    <w:rsid w:val="008E50A4"/>
    <w:rsid w:val="008E5E41"/>
    <w:rsid w:val="008E5F12"/>
    <w:rsid w:val="008E61AF"/>
    <w:rsid w:val="008E64DF"/>
    <w:rsid w:val="008E6712"/>
    <w:rsid w:val="008E6776"/>
    <w:rsid w:val="008E67E7"/>
    <w:rsid w:val="008E69E6"/>
    <w:rsid w:val="008E6E83"/>
    <w:rsid w:val="008E6EC3"/>
    <w:rsid w:val="008E6EDC"/>
    <w:rsid w:val="008E6F97"/>
    <w:rsid w:val="008E7076"/>
    <w:rsid w:val="008E726E"/>
    <w:rsid w:val="008E74A6"/>
    <w:rsid w:val="008E7586"/>
    <w:rsid w:val="008E7837"/>
    <w:rsid w:val="008E7839"/>
    <w:rsid w:val="008E79FB"/>
    <w:rsid w:val="008E7B49"/>
    <w:rsid w:val="008E7BB7"/>
    <w:rsid w:val="008E7DAA"/>
    <w:rsid w:val="008E7E98"/>
    <w:rsid w:val="008F0140"/>
    <w:rsid w:val="008F0503"/>
    <w:rsid w:val="008F0548"/>
    <w:rsid w:val="008F058A"/>
    <w:rsid w:val="008F058E"/>
    <w:rsid w:val="008F0647"/>
    <w:rsid w:val="008F0A26"/>
    <w:rsid w:val="008F0AE5"/>
    <w:rsid w:val="008F0B01"/>
    <w:rsid w:val="008F0BE0"/>
    <w:rsid w:val="008F0E82"/>
    <w:rsid w:val="008F2055"/>
    <w:rsid w:val="008F23D1"/>
    <w:rsid w:val="008F24C4"/>
    <w:rsid w:val="008F26B2"/>
    <w:rsid w:val="008F27A5"/>
    <w:rsid w:val="008F2938"/>
    <w:rsid w:val="008F293D"/>
    <w:rsid w:val="008F2C77"/>
    <w:rsid w:val="008F30AC"/>
    <w:rsid w:val="008F3452"/>
    <w:rsid w:val="008F36EB"/>
    <w:rsid w:val="008F3871"/>
    <w:rsid w:val="008F4155"/>
    <w:rsid w:val="008F45AB"/>
    <w:rsid w:val="008F468E"/>
    <w:rsid w:val="008F46AB"/>
    <w:rsid w:val="008F475A"/>
    <w:rsid w:val="008F4A05"/>
    <w:rsid w:val="008F4C53"/>
    <w:rsid w:val="008F4E3B"/>
    <w:rsid w:val="008F5067"/>
    <w:rsid w:val="008F511F"/>
    <w:rsid w:val="008F51C5"/>
    <w:rsid w:val="008F5443"/>
    <w:rsid w:val="008F5603"/>
    <w:rsid w:val="008F5889"/>
    <w:rsid w:val="008F5D5F"/>
    <w:rsid w:val="008F5DFA"/>
    <w:rsid w:val="008F645A"/>
    <w:rsid w:val="008F665A"/>
    <w:rsid w:val="008F6DFC"/>
    <w:rsid w:val="008F6E13"/>
    <w:rsid w:val="008F7149"/>
    <w:rsid w:val="008F7398"/>
    <w:rsid w:val="008F77B5"/>
    <w:rsid w:val="008F7816"/>
    <w:rsid w:val="008F78DF"/>
    <w:rsid w:val="008F7A5B"/>
    <w:rsid w:val="008F7B25"/>
    <w:rsid w:val="008F7CE2"/>
    <w:rsid w:val="008F7F64"/>
    <w:rsid w:val="009000C0"/>
    <w:rsid w:val="0090027A"/>
    <w:rsid w:val="009003C6"/>
    <w:rsid w:val="0090127C"/>
    <w:rsid w:val="00901289"/>
    <w:rsid w:val="009013CB"/>
    <w:rsid w:val="00901556"/>
    <w:rsid w:val="0090176E"/>
    <w:rsid w:val="009019CD"/>
    <w:rsid w:val="00901BD8"/>
    <w:rsid w:val="00901F47"/>
    <w:rsid w:val="0090233F"/>
    <w:rsid w:val="009023CD"/>
    <w:rsid w:val="00902FE7"/>
    <w:rsid w:val="00902FF8"/>
    <w:rsid w:val="00903866"/>
    <w:rsid w:val="00903AF8"/>
    <w:rsid w:val="00903D78"/>
    <w:rsid w:val="00903E9F"/>
    <w:rsid w:val="00904610"/>
    <w:rsid w:val="00904855"/>
    <w:rsid w:val="00904857"/>
    <w:rsid w:val="009049AA"/>
    <w:rsid w:val="00904B2C"/>
    <w:rsid w:val="00904BDF"/>
    <w:rsid w:val="00904CFC"/>
    <w:rsid w:val="00904E46"/>
    <w:rsid w:val="00904F01"/>
    <w:rsid w:val="009052BB"/>
    <w:rsid w:val="009053AB"/>
    <w:rsid w:val="009054FD"/>
    <w:rsid w:val="009057BB"/>
    <w:rsid w:val="009057CB"/>
    <w:rsid w:val="00905812"/>
    <w:rsid w:val="00905873"/>
    <w:rsid w:val="00905B26"/>
    <w:rsid w:val="00905BDA"/>
    <w:rsid w:val="00905D36"/>
    <w:rsid w:val="00906005"/>
    <w:rsid w:val="00906187"/>
    <w:rsid w:val="00906246"/>
    <w:rsid w:val="009063A4"/>
    <w:rsid w:val="00906562"/>
    <w:rsid w:val="00906675"/>
    <w:rsid w:val="009066BA"/>
    <w:rsid w:val="00906C54"/>
    <w:rsid w:val="0090777C"/>
    <w:rsid w:val="00907789"/>
    <w:rsid w:val="00907AE8"/>
    <w:rsid w:val="00907BEF"/>
    <w:rsid w:val="00910011"/>
    <w:rsid w:val="009102CD"/>
    <w:rsid w:val="009106BC"/>
    <w:rsid w:val="00910B07"/>
    <w:rsid w:val="00910CF7"/>
    <w:rsid w:val="00910E6F"/>
    <w:rsid w:val="00911077"/>
    <w:rsid w:val="0091162B"/>
    <w:rsid w:val="0091176D"/>
    <w:rsid w:val="009117A9"/>
    <w:rsid w:val="009117AE"/>
    <w:rsid w:val="0091197F"/>
    <w:rsid w:val="009119DF"/>
    <w:rsid w:val="00911C01"/>
    <w:rsid w:val="00912251"/>
    <w:rsid w:val="009124A1"/>
    <w:rsid w:val="009127C8"/>
    <w:rsid w:val="00912B71"/>
    <w:rsid w:val="00912BF5"/>
    <w:rsid w:val="00913013"/>
    <w:rsid w:val="00913215"/>
    <w:rsid w:val="009137E6"/>
    <w:rsid w:val="009138F4"/>
    <w:rsid w:val="009139A9"/>
    <w:rsid w:val="00913D7B"/>
    <w:rsid w:val="0091407F"/>
    <w:rsid w:val="009142A2"/>
    <w:rsid w:val="00914314"/>
    <w:rsid w:val="00915241"/>
    <w:rsid w:val="00915457"/>
    <w:rsid w:val="00915494"/>
    <w:rsid w:val="009155B9"/>
    <w:rsid w:val="00915FFE"/>
    <w:rsid w:val="00916008"/>
    <w:rsid w:val="00916052"/>
    <w:rsid w:val="009160EE"/>
    <w:rsid w:val="00916311"/>
    <w:rsid w:val="0091634F"/>
    <w:rsid w:val="00916414"/>
    <w:rsid w:val="00916813"/>
    <w:rsid w:val="0091685B"/>
    <w:rsid w:val="00916904"/>
    <w:rsid w:val="00916984"/>
    <w:rsid w:val="009169E2"/>
    <w:rsid w:val="009169F7"/>
    <w:rsid w:val="00916F45"/>
    <w:rsid w:val="00917060"/>
    <w:rsid w:val="009173EA"/>
    <w:rsid w:val="0091784D"/>
    <w:rsid w:val="009178CC"/>
    <w:rsid w:val="00917B58"/>
    <w:rsid w:val="00917BFA"/>
    <w:rsid w:val="00917D66"/>
    <w:rsid w:val="00917FAF"/>
    <w:rsid w:val="00920804"/>
    <w:rsid w:val="00920902"/>
    <w:rsid w:val="0092093C"/>
    <w:rsid w:val="00920ABA"/>
    <w:rsid w:val="00920D92"/>
    <w:rsid w:val="00921560"/>
    <w:rsid w:val="0092187D"/>
    <w:rsid w:val="0092195B"/>
    <w:rsid w:val="00921A99"/>
    <w:rsid w:val="00921DD0"/>
    <w:rsid w:val="00921E32"/>
    <w:rsid w:val="00921EEB"/>
    <w:rsid w:val="009223BE"/>
    <w:rsid w:val="0092271C"/>
    <w:rsid w:val="00922787"/>
    <w:rsid w:val="00922798"/>
    <w:rsid w:val="00922AEB"/>
    <w:rsid w:val="0092302C"/>
    <w:rsid w:val="0092303A"/>
    <w:rsid w:val="009230EA"/>
    <w:rsid w:val="009234E9"/>
    <w:rsid w:val="009239B6"/>
    <w:rsid w:val="00923BD1"/>
    <w:rsid w:val="00923D4A"/>
    <w:rsid w:val="00923E0A"/>
    <w:rsid w:val="0092456F"/>
    <w:rsid w:val="0092480D"/>
    <w:rsid w:val="00924823"/>
    <w:rsid w:val="0092499B"/>
    <w:rsid w:val="00924AFE"/>
    <w:rsid w:val="00924BA3"/>
    <w:rsid w:val="00924C12"/>
    <w:rsid w:val="00924D78"/>
    <w:rsid w:val="00924E2E"/>
    <w:rsid w:val="009252A1"/>
    <w:rsid w:val="009252C8"/>
    <w:rsid w:val="00925407"/>
    <w:rsid w:val="00925482"/>
    <w:rsid w:val="0092562F"/>
    <w:rsid w:val="00925817"/>
    <w:rsid w:val="00925869"/>
    <w:rsid w:val="00925948"/>
    <w:rsid w:val="00925DB0"/>
    <w:rsid w:val="00926035"/>
    <w:rsid w:val="0092635C"/>
    <w:rsid w:val="00926712"/>
    <w:rsid w:val="00926986"/>
    <w:rsid w:val="00926B12"/>
    <w:rsid w:val="00926B71"/>
    <w:rsid w:val="00926D4D"/>
    <w:rsid w:val="00926E50"/>
    <w:rsid w:val="00926E8C"/>
    <w:rsid w:val="00927136"/>
    <w:rsid w:val="00927199"/>
    <w:rsid w:val="009274FE"/>
    <w:rsid w:val="0092751E"/>
    <w:rsid w:val="0092755E"/>
    <w:rsid w:val="009276F0"/>
    <w:rsid w:val="00927800"/>
    <w:rsid w:val="00927F27"/>
    <w:rsid w:val="0092A2B4"/>
    <w:rsid w:val="00930231"/>
    <w:rsid w:val="009302F0"/>
    <w:rsid w:val="0093067E"/>
    <w:rsid w:val="009307B0"/>
    <w:rsid w:val="009307C0"/>
    <w:rsid w:val="00930828"/>
    <w:rsid w:val="009309A5"/>
    <w:rsid w:val="00930B43"/>
    <w:rsid w:val="00930BCA"/>
    <w:rsid w:val="00930CD0"/>
    <w:rsid w:val="00930D7E"/>
    <w:rsid w:val="0093113A"/>
    <w:rsid w:val="009311A0"/>
    <w:rsid w:val="009316C1"/>
    <w:rsid w:val="009316D3"/>
    <w:rsid w:val="009319B4"/>
    <w:rsid w:val="00931AB4"/>
    <w:rsid w:val="00931D0D"/>
    <w:rsid w:val="00932441"/>
    <w:rsid w:val="009325FF"/>
    <w:rsid w:val="00932707"/>
    <w:rsid w:val="00932833"/>
    <w:rsid w:val="00932D14"/>
    <w:rsid w:val="00932D7E"/>
    <w:rsid w:val="00932ED1"/>
    <w:rsid w:val="00933281"/>
    <w:rsid w:val="009333D1"/>
    <w:rsid w:val="0093358C"/>
    <w:rsid w:val="00933631"/>
    <w:rsid w:val="009337A1"/>
    <w:rsid w:val="00933DCC"/>
    <w:rsid w:val="00933F9C"/>
    <w:rsid w:val="009341AB"/>
    <w:rsid w:val="00934349"/>
    <w:rsid w:val="00934826"/>
    <w:rsid w:val="00934C51"/>
    <w:rsid w:val="00934EAE"/>
    <w:rsid w:val="009350E5"/>
    <w:rsid w:val="0093579D"/>
    <w:rsid w:val="009357B0"/>
    <w:rsid w:val="009359CC"/>
    <w:rsid w:val="00935A4C"/>
    <w:rsid w:val="00935BB7"/>
    <w:rsid w:val="00935D3A"/>
    <w:rsid w:val="0093608E"/>
    <w:rsid w:val="0093614C"/>
    <w:rsid w:val="0093630F"/>
    <w:rsid w:val="0093634F"/>
    <w:rsid w:val="009366C5"/>
    <w:rsid w:val="0093674A"/>
    <w:rsid w:val="00936914"/>
    <w:rsid w:val="00936BEE"/>
    <w:rsid w:val="00936E20"/>
    <w:rsid w:val="00936EA9"/>
    <w:rsid w:val="009370DE"/>
    <w:rsid w:val="0093725B"/>
    <w:rsid w:val="009372BD"/>
    <w:rsid w:val="00937467"/>
    <w:rsid w:val="009374A4"/>
    <w:rsid w:val="009375D6"/>
    <w:rsid w:val="00937922"/>
    <w:rsid w:val="00937926"/>
    <w:rsid w:val="009379D5"/>
    <w:rsid w:val="00937ADE"/>
    <w:rsid w:val="00937C9A"/>
    <w:rsid w:val="00937EB3"/>
    <w:rsid w:val="009400B8"/>
    <w:rsid w:val="0094042A"/>
    <w:rsid w:val="00940453"/>
    <w:rsid w:val="009407BF"/>
    <w:rsid w:val="009408CE"/>
    <w:rsid w:val="009409AF"/>
    <w:rsid w:val="009412B0"/>
    <w:rsid w:val="00941572"/>
    <w:rsid w:val="00941819"/>
    <w:rsid w:val="00941D46"/>
    <w:rsid w:val="00941E12"/>
    <w:rsid w:val="00942117"/>
    <w:rsid w:val="0094226F"/>
    <w:rsid w:val="009422A4"/>
    <w:rsid w:val="009423B7"/>
    <w:rsid w:val="00942461"/>
    <w:rsid w:val="009424CA"/>
    <w:rsid w:val="009428DD"/>
    <w:rsid w:val="0094340B"/>
    <w:rsid w:val="009436D2"/>
    <w:rsid w:val="0094396F"/>
    <w:rsid w:val="00943B20"/>
    <w:rsid w:val="00943BE4"/>
    <w:rsid w:val="00943DBF"/>
    <w:rsid w:val="00943E1B"/>
    <w:rsid w:val="00943E90"/>
    <w:rsid w:val="00944009"/>
    <w:rsid w:val="009442AB"/>
    <w:rsid w:val="009442FD"/>
    <w:rsid w:val="0094444F"/>
    <w:rsid w:val="00944A3A"/>
    <w:rsid w:val="00944A8E"/>
    <w:rsid w:val="00945069"/>
    <w:rsid w:val="00945191"/>
    <w:rsid w:val="009454A2"/>
    <w:rsid w:val="009455AA"/>
    <w:rsid w:val="009456D0"/>
    <w:rsid w:val="00945783"/>
    <w:rsid w:val="00945AC3"/>
    <w:rsid w:val="00945BF0"/>
    <w:rsid w:val="00945C14"/>
    <w:rsid w:val="009461BE"/>
    <w:rsid w:val="0094647C"/>
    <w:rsid w:val="009464F7"/>
    <w:rsid w:val="009464FB"/>
    <w:rsid w:val="009467BB"/>
    <w:rsid w:val="00946818"/>
    <w:rsid w:val="00946AF5"/>
    <w:rsid w:val="00946CEE"/>
    <w:rsid w:val="00946D66"/>
    <w:rsid w:val="00946D82"/>
    <w:rsid w:val="00946EFC"/>
    <w:rsid w:val="00946F06"/>
    <w:rsid w:val="0094738C"/>
    <w:rsid w:val="0094740B"/>
    <w:rsid w:val="00947597"/>
    <w:rsid w:val="009475C6"/>
    <w:rsid w:val="00947937"/>
    <w:rsid w:val="00947A8D"/>
    <w:rsid w:val="00947B78"/>
    <w:rsid w:val="0095033E"/>
    <w:rsid w:val="00950BCD"/>
    <w:rsid w:val="00950FF6"/>
    <w:rsid w:val="0095101E"/>
    <w:rsid w:val="009510CB"/>
    <w:rsid w:val="009511C6"/>
    <w:rsid w:val="009514B4"/>
    <w:rsid w:val="009516E5"/>
    <w:rsid w:val="00951AA0"/>
    <w:rsid w:val="009521A9"/>
    <w:rsid w:val="009521B8"/>
    <w:rsid w:val="00952202"/>
    <w:rsid w:val="00952512"/>
    <w:rsid w:val="009528C2"/>
    <w:rsid w:val="00952926"/>
    <w:rsid w:val="00952EDD"/>
    <w:rsid w:val="0095323A"/>
    <w:rsid w:val="009538C9"/>
    <w:rsid w:val="00953964"/>
    <w:rsid w:val="00953A3A"/>
    <w:rsid w:val="00953A50"/>
    <w:rsid w:val="00953C5D"/>
    <w:rsid w:val="00953CA1"/>
    <w:rsid w:val="009540E6"/>
    <w:rsid w:val="00954470"/>
    <w:rsid w:val="00954AA9"/>
    <w:rsid w:val="00954F9E"/>
    <w:rsid w:val="00955138"/>
    <w:rsid w:val="009554DD"/>
    <w:rsid w:val="0095550D"/>
    <w:rsid w:val="00955559"/>
    <w:rsid w:val="009555C4"/>
    <w:rsid w:val="00955764"/>
    <w:rsid w:val="0095578F"/>
    <w:rsid w:val="009557EA"/>
    <w:rsid w:val="00955BD9"/>
    <w:rsid w:val="00955F17"/>
    <w:rsid w:val="00955F3A"/>
    <w:rsid w:val="00955F75"/>
    <w:rsid w:val="00956116"/>
    <w:rsid w:val="0095622E"/>
    <w:rsid w:val="009565DB"/>
    <w:rsid w:val="00956969"/>
    <w:rsid w:val="00956B0F"/>
    <w:rsid w:val="00956D93"/>
    <w:rsid w:val="00956FA2"/>
    <w:rsid w:val="00957152"/>
    <w:rsid w:val="009571BC"/>
    <w:rsid w:val="009578EE"/>
    <w:rsid w:val="00957B48"/>
    <w:rsid w:val="00957B52"/>
    <w:rsid w:val="00957D4E"/>
    <w:rsid w:val="00957F1F"/>
    <w:rsid w:val="009600F7"/>
    <w:rsid w:val="0096032E"/>
    <w:rsid w:val="0096068B"/>
    <w:rsid w:val="009608C8"/>
    <w:rsid w:val="00960966"/>
    <w:rsid w:val="00960970"/>
    <w:rsid w:val="009609BC"/>
    <w:rsid w:val="00960C7F"/>
    <w:rsid w:val="00960E66"/>
    <w:rsid w:val="00960E82"/>
    <w:rsid w:val="00960FE3"/>
    <w:rsid w:val="009611F9"/>
    <w:rsid w:val="009614F1"/>
    <w:rsid w:val="009616E6"/>
    <w:rsid w:val="0096196A"/>
    <w:rsid w:val="00961A7F"/>
    <w:rsid w:val="00961F6B"/>
    <w:rsid w:val="00962500"/>
    <w:rsid w:val="00962914"/>
    <w:rsid w:val="00962A8E"/>
    <w:rsid w:val="00962E37"/>
    <w:rsid w:val="00963002"/>
    <w:rsid w:val="009630C3"/>
    <w:rsid w:val="0096342C"/>
    <w:rsid w:val="009634DA"/>
    <w:rsid w:val="00963534"/>
    <w:rsid w:val="0096361C"/>
    <w:rsid w:val="0096369B"/>
    <w:rsid w:val="0096392C"/>
    <w:rsid w:val="00963A6B"/>
    <w:rsid w:val="00963B41"/>
    <w:rsid w:val="00963C0C"/>
    <w:rsid w:val="009641AA"/>
    <w:rsid w:val="0096428A"/>
    <w:rsid w:val="009644B6"/>
    <w:rsid w:val="0096455E"/>
    <w:rsid w:val="00964898"/>
    <w:rsid w:val="00964DDC"/>
    <w:rsid w:val="0096535A"/>
    <w:rsid w:val="0096535F"/>
    <w:rsid w:val="00965476"/>
    <w:rsid w:val="00965A1B"/>
    <w:rsid w:val="00965C5B"/>
    <w:rsid w:val="00965CF9"/>
    <w:rsid w:val="00965E3B"/>
    <w:rsid w:val="00965F86"/>
    <w:rsid w:val="00965FFD"/>
    <w:rsid w:val="0096616E"/>
    <w:rsid w:val="009661E3"/>
    <w:rsid w:val="00966519"/>
    <w:rsid w:val="00966C57"/>
    <w:rsid w:val="00966EE0"/>
    <w:rsid w:val="00966FB8"/>
    <w:rsid w:val="00967036"/>
    <w:rsid w:val="00967038"/>
    <w:rsid w:val="00967127"/>
    <w:rsid w:val="009671B7"/>
    <w:rsid w:val="009676E0"/>
    <w:rsid w:val="00967776"/>
    <w:rsid w:val="009701B9"/>
    <w:rsid w:val="00970241"/>
    <w:rsid w:val="00970440"/>
    <w:rsid w:val="00970442"/>
    <w:rsid w:val="009704A8"/>
    <w:rsid w:val="009705BA"/>
    <w:rsid w:val="0097079E"/>
    <w:rsid w:val="00970AA2"/>
    <w:rsid w:val="00970B14"/>
    <w:rsid w:val="00970B61"/>
    <w:rsid w:val="00970FCD"/>
    <w:rsid w:val="009711B9"/>
    <w:rsid w:val="00971256"/>
    <w:rsid w:val="009713C2"/>
    <w:rsid w:val="0097185E"/>
    <w:rsid w:val="00971869"/>
    <w:rsid w:val="009719DF"/>
    <w:rsid w:val="00971A73"/>
    <w:rsid w:val="00971AF4"/>
    <w:rsid w:val="00971BA5"/>
    <w:rsid w:val="00971DB0"/>
    <w:rsid w:val="00972516"/>
    <w:rsid w:val="00972744"/>
    <w:rsid w:val="00972BD5"/>
    <w:rsid w:val="00972C25"/>
    <w:rsid w:val="00972C45"/>
    <w:rsid w:val="00972D55"/>
    <w:rsid w:val="00972F2E"/>
    <w:rsid w:val="00973441"/>
    <w:rsid w:val="00973681"/>
    <w:rsid w:val="0097369D"/>
    <w:rsid w:val="00973CE4"/>
    <w:rsid w:val="009746B6"/>
    <w:rsid w:val="009748EE"/>
    <w:rsid w:val="00974F22"/>
    <w:rsid w:val="00974FC8"/>
    <w:rsid w:val="00975D05"/>
    <w:rsid w:val="00975D44"/>
    <w:rsid w:val="0097699C"/>
    <w:rsid w:val="00976CFB"/>
    <w:rsid w:val="00976D15"/>
    <w:rsid w:val="00976F78"/>
    <w:rsid w:val="0097740D"/>
    <w:rsid w:val="009777E2"/>
    <w:rsid w:val="00977B25"/>
    <w:rsid w:val="00977BDD"/>
    <w:rsid w:val="00977DB8"/>
    <w:rsid w:val="00977F09"/>
    <w:rsid w:val="009800A5"/>
    <w:rsid w:val="009801A0"/>
    <w:rsid w:val="009804AA"/>
    <w:rsid w:val="0098066B"/>
    <w:rsid w:val="00980914"/>
    <w:rsid w:val="00980DC0"/>
    <w:rsid w:val="00980E13"/>
    <w:rsid w:val="00981164"/>
    <w:rsid w:val="009813F1"/>
    <w:rsid w:val="00981A3A"/>
    <w:rsid w:val="00981D8B"/>
    <w:rsid w:val="00981E92"/>
    <w:rsid w:val="00981EBE"/>
    <w:rsid w:val="0098266F"/>
    <w:rsid w:val="009826C6"/>
    <w:rsid w:val="00982D3A"/>
    <w:rsid w:val="00982F9B"/>
    <w:rsid w:val="0098374F"/>
    <w:rsid w:val="0098384A"/>
    <w:rsid w:val="00983B1E"/>
    <w:rsid w:val="00983B33"/>
    <w:rsid w:val="009844CE"/>
    <w:rsid w:val="00984563"/>
    <w:rsid w:val="00984911"/>
    <w:rsid w:val="00984AC6"/>
    <w:rsid w:val="00984B9F"/>
    <w:rsid w:val="00984CDE"/>
    <w:rsid w:val="00984E8B"/>
    <w:rsid w:val="00984EDA"/>
    <w:rsid w:val="00985113"/>
    <w:rsid w:val="009851D0"/>
    <w:rsid w:val="00985498"/>
    <w:rsid w:val="009855FF"/>
    <w:rsid w:val="00985666"/>
    <w:rsid w:val="00985D23"/>
    <w:rsid w:val="009860D2"/>
    <w:rsid w:val="00986239"/>
    <w:rsid w:val="009865B2"/>
    <w:rsid w:val="0098698F"/>
    <w:rsid w:val="00986D09"/>
    <w:rsid w:val="0098727F"/>
    <w:rsid w:val="009878E5"/>
    <w:rsid w:val="00987AD4"/>
    <w:rsid w:val="0099032C"/>
    <w:rsid w:val="0099077F"/>
    <w:rsid w:val="009911C6"/>
    <w:rsid w:val="009914B3"/>
    <w:rsid w:val="009914C1"/>
    <w:rsid w:val="00991557"/>
    <w:rsid w:val="00991DDF"/>
    <w:rsid w:val="0099230C"/>
    <w:rsid w:val="0099236A"/>
    <w:rsid w:val="00992484"/>
    <w:rsid w:val="0099263A"/>
    <w:rsid w:val="0099266F"/>
    <w:rsid w:val="00992802"/>
    <w:rsid w:val="00992DBB"/>
    <w:rsid w:val="00993075"/>
    <w:rsid w:val="00993156"/>
    <w:rsid w:val="009931F8"/>
    <w:rsid w:val="0099385E"/>
    <w:rsid w:val="0099399F"/>
    <w:rsid w:val="009939DD"/>
    <w:rsid w:val="00993C84"/>
    <w:rsid w:val="00993CD9"/>
    <w:rsid w:val="00993D49"/>
    <w:rsid w:val="00993ECB"/>
    <w:rsid w:val="00993ECD"/>
    <w:rsid w:val="009940E9"/>
    <w:rsid w:val="00994186"/>
    <w:rsid w:val="0099427C"/>
    <w:rsid w:val="00994336"/>
    <w:rsid w:val="0099440E"/>
    <w:rsid w:val="009944CB"/>
    <w:rsid w:val="0099472F"/>
    <w:rsid w:val="00994CD3"/>
    <w:rsid w:val="00994F05"/>
    <w:rsid w:val="009951F5"/>
    <w:rsid w:val="00995366"/>
    <w:rsid w:val="009957CB"/>
    <w:rsid w:val="009957D1"/>
    <w:rsid w:val="0099586B"/>
    <w:rsid w:val="00995BE9"/>
    <w:rsid w:val="00995D9E"/>
    <w:rsid w:val="00995E73"/>
    <w:rsid w:val="00996312"/>
    <w:rsid w:val="0099632D"/>
    <w:rsid w:val="009968AB"/>
    <w:rsid w:val="00996FEE"/>
    <w:rsid w:val="00997255"/>
    <w:rsid w:val="009974C8"/>
    <w:rsid w:val="009974D1"/>
    <w:rsid w:val="00997AA0"/>
    <w:rsid w:val="00997AE9"/>
    <w:rsid w:val="00997E1F"/>
    <w:rsid w:val="009A01A4"/>
    <w:rsid w:val="009A02D9"/>
    <w:rsid w:val="009A069C"/>
    <w:rsid w:val="009A08C9"/>
    <w:rsid w:val="009A09B7"/>
    <w:rsid w:val="009A09D1"/>
    <w:rsid w:val="009A0AE0"/>
    <w:rsid w:val="009A0B5F"/>
    <w:rsid w:val="009A0FB1"/>
    <w:rsid w:val="009A0FE9"/>
    <w:rsid w:val="009A1103"/>
    <w:rsid w:val="009A12B7"/>
    <w:rsid w:val="009A16F9"/>
    <w:rsid w:val="009A1913"/>
    <w:rsid w:val="009A1C2B"/>
    <w:rsid w:val="009A2091"/>
    <w:rsid w:val="009A23D3"/>
    <w:rsid w:val="009A24AB"/>
    <w:rsid w:val="009A26FB"/>
    <w:rsid w:val="009A2BD1"/>
    <w:rsid w:val="009A304C"/>
    <w:rsid w:val="009A3178"/>
    <w:rsid w:val="009A3217"/>
    <w:rsid w:val="009A32F9"/>
    <w:rsid w:val="009A3412"/>
    <w:rsid w:val="009A3708"/>
    <w:rsid w:val="009A3D0F"/>
    <w:rsid w:val="009A3DEA"/>
    <w:rsid w:val="009A400D"/>
    <w:rsid w:val="009A4253"/>
    <w:rsid w:val="009A4305"/>
    <w:rsid w:val="009A4329"/>
    <w:rsid w:val="009A47B9"/>
    <w:rsid w:val="009A4A0C"/>
    <w:rsid w:val="009A4A28"/>
    <w:rsid w:val="009A4FDB"/>
    <w:rsid w:val="009A5678"/>
    <w:rsid w:val="009A5870"/>
    <w:rsid w:val="009A59AE"/>
    <w:rsid w:val="009A5B0B"/>
    <w:rsid w:val="009A5FBF"/>
    <w:rsid w:val="009A6053"/>
    <w:rsid w:val="009A61C0"/>
    <w:rsid w:val="009A6306"/>
    <w:rsid w:val="009A6565"/>
    <w:rsid w:val="009A65A8"/>
    <w:rsid w:val="009A65EC"/>
    <w:rsid w:val="009A66D4"/>
    <w:rsid w:val="009A66DB"/>
    <w:rsid w:val="009A67EC"/>
    <w:rsid w:val="009A6F26"/>
    <w:rsid w:val="009A70BC"/>
    <w:rsid w:val="009A718E"/>
    <w:rsid w:val="009A7344"/>
    <w:rsid w:val="009A784C"/>
    <w:rsid w:val="009A7851"/>
    <w:rsid w:val="009A78F9"/>
    <w:rsid w:val="009A7DA7"/>
    <w:rsid w:val="009A7FAC"/>
    <w:rsid w:val="009B0147"/>
    <w:rsid w:val="009B01FD"/>
    <w:rsid w:val="009B0B2D"/>
    <w:rsid w:val="009B0CD4"/>
    <w:rsid w:val="009B0D7D"/>
    <w:rsid w:val="009B106F"/>
    <w:rsid w:val="009B112C"/>
    <w:rsid w:val="009B13FA"/>
    <w:rsid w:val="009B15B7"/>
    <w:rsid w:val="009B16C5"/>
    <w:rsid w:val="009B17BA"/>
    <w:rsid w:val="009B1B48"/>
    <w:rsid w:val="009B1B59"/>
    <w:rsid w:val="009B1B99"/>
    <w:rsid w:val="009B1DC7"/>
    <w:rsid w:val="009B1F0F"/>
    <w:rsid w:val="009B1F79"/>
    <w:rsid w:val="009B21D0"/>
    <w:rsid w:val="009B22DE"/>
    <w:rsid w:val="009B239F"/>
    <w:rsid w:val="009B2656"/>
    <w:rsid w:val="009B294E"/>
    <w:rsid w:val="009B29D9"/>
    <w:rsid w:val="009B2B09"/>
    <w:rsid w:val="009B2C3E"/>
    <w:rsid w:val="009B2C5E"/>
    <w:rsid w:val="009B2E79"/>
    <w:rsid w:val="009B2F97"/>
    <w:rsid w:val="009B2FE4"/>
    <w:rsid w:val="009B3051"/>
    <w:rsid w:val="009B31D4"/>
    <w:rsid w:val="009B31EE"/>
    <w:rsid w:val="009B33C6"/>
    <w:rsid w:val="009B33DB"/>
    <w:rsid w:val="009B35BD"/>
    <w:rsid w:val="009B35FA"/>
    <w:rsid w:val="009B3A59"/>
    <w:rsid w:val="009B3D74"/>
    <w:rsid w:val="009B424F"/>
    <w:rsid w:val="009B4595"/>
    <w:rsid w:val="009B48B5"/>
    <w:rsid w:val="009B4957"/>
    <w:rsid w:val="009B4A58"/>
    <w:rsid w:val="009B4AB7"/>
    <w:rsid w:val="009B4D48"/>
    <w:rsid w:val="009B4D69"/>
    <w:rsid w:val="009B4E54"/>
    <w:rsid w:val="009B5190"/>
    <w:rsid w:val="009B51E9"/>
    <w:rsid w:val="009B526E"/>
    <w:rsid w:val="009B52D7"/>
    <w:rsid w:val="009B536D"/>
    <w:rsid w:val="009B57EB"/>
    <w:rsid w:val="009B5B2A"/>
    <w:rsid w:val="009B5C5D"/>
    <w:rsid w:val="009B5E65"/>
    <w:rsid w:val="009B611B"/>
    <w:rsid w:val="009B6351"/>
    <w:rsid w:val="009B67CE"/>
    <w:rsid w:val="009B6B12"/>
    <w:rsid w:val="009B6BCB"/>
    <w:rsid w:val="009B7452"/>
    <w:rsid w:val="009B74B0"/>
    <w:rsid w:val="009B7683"/>
    <w:rsid w:val="009B786A"/>
    <w:rsid w:val="009B7AE4"/>
    <w:rsid w:val="009B7DEE"/>
    <w:rsid w:val="009C02CA"/>
    <w:rsid w:val="009C037F"/>
    <w:rsid w:val="009C05CF"/>
    <w:rsid w:val="009C0CEE"/>
    <w:rsid w:val="009C0E2F"/>
    <w:rsid w:val="009C0E8B"/>
    <w:rsid w:val="009C0FDC"/>
    <w:rsid w:val="009C1236"/>
    <w:rsid w:val="009C12EC"/>
    <w:rsid w:val="009C1897"/>
    <w:rsid w:val="009C1921"/>
    <w:rsid w:val="009C1B4B"/>
    <w:rsid w:val="009C2170"/>
    <w:rsid w:val="009C2439"/>
    <w:rsid w:val="009C2705"/>
    <w:rsid w:val="009C2CC6"/>
    <w:rsid w:val="009C2F6D"/>
    <w:rsid w:val="009C310E"/>
    <w:rsid w:val="009C3130"/>
    <w:rsid w:val="009C323A"/>
    <w:rsid w:val="009C326C"/>
    <w:rsid w:val="009C3346"/>
    <w:rsid w:val="009C3632"/>
    <w:rsid w:val="009C381A"/>
    <w:rsid w:val="009C3917"/>
    <w:rsid w:val="009C3918"/>
    <w:rsid w:val="009C3A21"/>
    <w:rsid w:val="009C3C34"/>
    <w:rsid w:val="009C3E9A"/>
    <w:rsid w:val="009C3EA5"/>
    <w:rsid w:val="009C3F2B"/>
    <w:rsid w:val="009C3F87"/>
    <w:rsid w:val="009C459A"/>
    <w:rsid w:val="009C46D4"/>
    <w:rsid w:val="009C4B8A"/>
    <w:rsid w:val="009C4C50"/>
    <w:rsid w:val="009C4DFD"/>
    <w:rsid w:val="009C5130"/>
    <w:rsid w:val="009C5172"/>
    <w:rsid w:val="009C51E9"/>
    <w:rsid w:val="009C541F"/>
    <w:rsid w:val="009C5457"/>
    <w:rsid w:val="009C5574"/>
    <w:rsid w:val="009C5976"/>
    <w:rsid w:val="009C5A54"/>
    <w:rsid w:val="009C6411"/>
    <w:rsid w:val="009C66A7"/>
    <w:rsid w:val="009C67B4"/>
    <w:rsid w:val="009C68B3"/>
    <w:rsid w:val="009C6A1C"/>
    <w:rsid w:val="009C6E51"/>
    <w:rsid w:val="009C6F08"/>
    <w:rsid w:val="009C7619"/>
    <w:rsid w:val="009C7752"/>
    <w:rsid w:val="009C7E55"/>
    <w:rsid w:val="009D045E"/>
    <w:rsid w:val="009D04CC"/>
    <w:rsid w:val="009D0557"/>
    <w:rsid w:val="009D05CC"/>
    <w:rsid w:val="009D0751"/>
    <w:rsid w:val="009D0DF0"/>
    <w:rsid w:val="009D11CA"/>
    <w:rsid w:val="009D1488"/>
    <w:rsid w:val="009D1515"/>
    <w:rsid w:val="009D1EA3"/>
    <w:rsid w:val="009D22C2"/>
    <w:rsid w:val="009D2302"/>
    <w:rsid w:val="009D231C"/>
    <w:rsid w:val="009D27EE"/>
    <w:rsid w:val="009D2DBD"/>
    <w:rsid w:val="009D2E3C"/>
    <w:rsid w:val="009D2E83"/>
    <w:rsid w:val="009D2FB8"/>
    <w:rsid w:val="009D3A1E"/>
    <w:rsid w:val="009D3FE1"/>
    <w:rsid w:val="009D405B"/>
    <w:rsid w:val="009D41C4"/>
    <w:rsid w:val="009D421A"/>
    <w:rsid w:val="009D43A8"/>
    <w:rsid w:val="009D4564"/>
    <w:rsid w:val="009D45D4"/>
    <w:rsid w:val="009D4615"/>
    <w:rsid w:val="009D47B9"/>
    <w:rsid w:val="009D5381"/>
    <w:rsid w:val="009D54FC"/>
    <w:rsid w:val="009D558A"/>
    <w:rsid w:val="009D57BC"/>
    <w:rsid w:val="009D5819"/>
    <w:rsid w:val="009D59DB"/>
    <w:rsid w:val="009D5C39"/>
    <w:rsid w:val="009D5E96"/>
    <w:rsid w:val="009D5EA0"/>
    <w:rsid w:val="009D60F8"/>
    <w:rsid w:val="009D61B5"/>
    <w:rsid w:val="009D68BA"/>
    <w:rsid w:val="009D6AB2"/>
    <w:rsid w:val="009D6ABF"/>
    <w:rsid w:val="009D6B98"/>
    <w:rsid w:val="009D6E66"/>
    <w:rsid w:val="009D6F62"/>
    <w:rsid w:val="009D746B"/>
    <w:rsid w:val="009D7AB9"/>
    <w:rsid w:val="009D7DA1"/>
    <w:rsid w:val="009E00F6"/>
    <w:rsid w:val="009E018B"/>
    <w:rsid w:val="009E02AD"/>
    <w:rsid w:val="009E02CB"/>
    <w:rsid w:val="009E036D"/>
    <w:rsid w:val="009E0BA4"/>
    <w:rsid w:val="009E0BD8"/>
    <w:rsid w:val="009E0D0A"/>
    <w:rsid w:val="009E0D2D"/>
    <w:rsid w:val="009E0FCA"/>
    <w:rsid w:val="009E19D8"/>
    <w:rsid w:val="009E1AC4"/>
    <w:rsid w:val="009E1B0E"/>
    <w:rsid w:val="009E1B61"/>
    <w:rsid w:val="009E1DF4"/>
    <w:rsid w:val="009E2209"/>
    <w:rsid w:val="009E246B"/>
    <w:rsid w:val="009E256F"/>
    <w:rsid w:val="009E2623"/>
    <w:rsid w:val="009E27C7"/>
    <w:rsid w:val="009E2A9E"/>
    <w:rsid w:val="009E32E4"/>
    <w:rsid w:val="009E32F4"/>
    <w:rsid w:val="009E3599"/>
    <w:rsid w:val="009E38CD"/>
    <w:rsid w:val="009E3B53"/>
    <w:rsid w:val="009E3CFE"/>
    <w:rsid w:val="009E3D29"/>
    <w:rsid w:val="009E3F34"/>
    <w:rsid w:val="009E419D"/>
    <w:rsid w:val="009E4312"/>
    <w:rsid w:val="009E43D3"/>
    <w:rsid w:val="009E46E3"/>
    <w:rsid w:val="009E4786"/>
    <w:rsid w:val="009E47B1"/>
    <w:rsid w:val="009E48C3"/>
    <w:rsid w:val="009E4C00"/>
    <w:rsid w:val="009E4DA8"/>
    <w:rsid w:val="009E4E4F"/>
    <w:rsid w:val="009E4FFB"/>
    <w:rsid w:val="009E538B"/>
    <w:rsid w:val="009E5D7C"/>
    <w:rsid w:val="009E5DE8"/>
    <w:rsid w:val="009E60EA"/>
    <w:rsid w:val="009E620C"/>
    <w:rsid w:val="009E6260"/>
    <w:rsid w:val="009E6270"/>
    <w:rsid w:val="009E6491"/>
    <w:rsid w:val="009E65FF"/>
    <w:rsid w:val="009E679A"/>
    <w:rsid w:val="009E6D33"/>
    <w:rsid w:val="009E7529"/>
    <w:rsid w:val="009E7629"/>
    <w:rsid w:val="009E7659"/>
    <w:rsid w:val="009E7AD3"/>
    <w:rsid w:val="009F0287"/>
    <w:rsid w:val="009F02DC"/>
    <w:rsid w:val="009F0987"/>
    <w:rsid w:val="009F0A29"/>
    <w:rsid w:val="009F0BD4"/>
    <w:rsid w:val="009F0D81"/>
    <w:rsid w:val="009F0FA9"/>
    <w:rsid w:val="009F0FCE"/>
    <w:rsid w:val="009F1242"/>
    <w:rsid w:val="009F1642"/>
    <w:rsid w:val="009F17F6"/>
    <w:rsid w:val="009F1931"/>
    <w:rsid w:val="009F1B0E"/>
    <w:rsid w:val="009F1CA0"/>
    <w:rsid w:val="009F1CFB"/>
    <w:rsid w:val="009F1EA8"/>
    <w:rsid w:val="009F1F55"/>
    <w:rsid w:val="009F1FD0"/>
    <w:rsid w:val="009F2372"/>
    <w:rsid w:val="009F23B2"/>
    <w:rsid w:val="009F264F"/>
    <w:rsid w:val="009F266F"/>
    <w:rsid w:val="009F26CC"/>
    <w:rsid w:val="009F2798"/>
    <w:rsid w:val="009F2975"/>
    <w:rsid w:val="009F29EE"/>
    <w:rsid w:val="009F2DA1"/>
    <w:rsid w:val="009F2DF2"/>
    <w:rsid w:val="009F3004"/>
    <w:rsid w:val="009F31A0"/>
    <w:rsid w:val="009F32C6"/>
    <w:rsid w:val="009F3D79"/>
    <w:rsid w:val="009F3EEC"/>
    <w:rsid w:val="009F3F68"/>
    <w:rsid w:val="009F4156"/>
    <w:rsid w:val="009F43D8"/>
    <w:rsid w:val="009F440B"/>
    <w:rsid w:val="009F44B5"/>
    <w:rsid w:val="009F460B"/>
    <w:rsid w:val="009F4669"/>
    <w:rsid w:val="009F49C1"/>
    <w:rsid w:val="009F4A2B"/>
    <w:rsid w:val="009F4BBC"/>
    <w:rsid w:val="009F4C05"/>
    <w:rsid w:val="009F510D"/>
    <w:rsid w:val="009F5296"/>
    <w:rsid w:val="009F57B6"/>
    <w:rsid w:val="009F5817"/>
    <w:rsid w:val="009F5BFC"/>
    <w:rsid w:val="009F5C74"/>
    <w:rsid w:val="009F5EB2"/>
    <w:rsid w:val="009F5EB4"/>
    <w:rsid w:val="009F6120"/>
    <w:rsid w:val="009F647D"/>
    <w:rsid w:val="009F65EB"/>
    <w:rsid w:val="009F6A3F"/>
    <w:rsid w:val="009F6AB1"/>
    <w:rsid w:val="009F6ADC"/>
    <w:rsid w:val="009F6B1D"/>
    <w:rsid w:val="009F6BC1"/>
    <w:rsid w:val="009F6D0D"/>
    <w:rsid w:val="009F71B3"/>
    <w:rsid w:val="009F77C8"/>
    <w:rsid w:val="009F7954"/>
    <w:rsid w:val="009F7A81"/>
    <w:rsid w:val="009F7D74"/>
    <w:rsid w:val="00A00304"/>
    <w:rsid w:val="00A003C7"/>
    <w:rsid w:val="00A003D5"/>
    <w:rsid w:val="00A0068D"/>
    <w:rsid w:val="00A00A39"/>
    <w:rsid w:val="00A00BD8"/>
    <w:rsid w:val="00A01108"/>
    <w:rsid w:val="00A01331"/>
    <w:rsid w:val="00A01415"/>
    <w:rsid w:val="00A0143C"/>
    <w:rsid w:val="00A01C13"/>
    <w:rsid w:val="00A01E9A"/>
    <w:rsid w:val="00A021DB"/>
    <w:rsid w:val="00A022B0"/>
    <w:rsid w:val="00A028E9"/>
    <w:rsid w:val="00A02A08"/>
    <w:rsid w:val="00A02A21"/>
    <w:rsid w:val="00A02B46"/>
    <w:rsid w:val="00A02C88"/>
    <w:rsid w:val="00A02E29"/>
    <w:rsid w:val="00A0317D"/>
    <w:rsid w:val="00A03B2B"/>
    <w:rsid w:val="00A03B64"/>
    <w:rsid w:val="00A03F2C"/>
    <w:rsid w:val="00A04149"/>
    <w:rsid w:val="00A04172"/>
    <w:rsid w:val="00A045FD"/>
    <w:rsid w:val="00A045FF"/>
    <w:rsid w:val="00A046A2"/>
    <w:rsid w:val="00A04A9F"/>
    <w:rsid w:val="00A04CBA"/>
    <w:rsid w:val="00A04DC7"/>
    <w:rsid w:val="00A04FD7"/>
    <w:rsid w:val="00A0501E"/>
    <w:rsid w:val="00A050D6"/>
    <w:rsid w:val="00A050F9"/>
    <w:rsid w:val="00A05459"/>
    <w:rsid w:val="00A05671"/>
    <w:rsid w:val="00A05818"/>
    <w:rsid w:val="00A05A4E"/>
    <w:rsid w:val="00A05C28"/>
    <w:rsid w:val="00A06196"/>
    <w:rsid w:val="00A06553"/>
    <w:rsid w:val="00A06653"/>
    <w:rsid w:val="00A068B7"/>
    <w:rsid w:val="00A0691A"/>
    <w:rsid w:val="00A06D46"/>
    <w:rsid w:val="00A06E09"/>
    <w:rsid w:val="00A06FF0"/>
    <w:rsid w:val="00A0713C"/>
    <w:rsid w:val="00A071A3"/>
    <w:rsid w:val="00A0744C"/>
    <w:rsid w:val="00A075AD"/>
    <w:rsid w:val="00A07793"/>
    <w:rsid w:val="00A07B8D"/>
    <w:rsid w:val="00A07D87"/>
    <w:rsid w:val="00A07DA6"/>
    <w:rsid w:val="00A07F85"/>
    <w:rsid w:val="00A1020B"/>
    <w:rsid w:val="00A1043E"/>
    <w:rsid w:val="00A10C22"/>
    <w:rsid w:val="00A110A8"/>
    <w:rsid w:val="00A110D5"/>
    <w:rsid w:val="00A1138D"/>
    <w:rsid w:val="00A114E8"/>
    <w:rsid w:val="00A116AA"/>
    <w:rsid w:val="00A117F3"/>
    <w:rsid w:val="00A11A3A"/>
    <w:rsid w:val="00A11B69"/>
    <w:rsid w:val="00A11BEA"/>
    <w:rsid w:val="00A12584"/>
    <w:rsid w:val="00A125DA"/>
    <w:rsid w:val="00A12680"/>
    <w:rsid w:val="00A128C3"/>
    <w:rsid w:val="00A12B30"/>
    <w:rsid w:val="00A12C12"/>
    <w:rsid w:val="00A12FE6"/>
    <w:rsid w:val="00A135F6"/>
    <w:rsid w:val="00A13AF4"/>
    <w:rsid w:val="00A13C9B"/>
    <w:rsid w:val="00A13CFC"/>
    <w:rsid w:val="00A13DAD"/>
    <w:rsid w:val="00A13FF4"/>
    <w:rsid w:val="00A1431A"/>
    <w:rsid w:val="00A1445A"/>
    <w:rsid w:val="00A146EB"/>
    <w:rsid w:val="00A14DE9"/>
    <w:rsid w:val="00A14F13"/>
    <w:rsid w:val="00A150AA"/>
    <w:rsid w:val="00A1536C"/>
    <w:rsid w:val="00A15C58"/>
    <w:rsid w:val="00A16203"/>
    <w:rsid w:val="00A16921"/>
    <w:rsid w:val="00A1699A"/>
    <w:rsid w:val="00A16C7D"/>
    <w:rsid w:val="00A16D16"/>
    <w:rsid w:val="00A1712E"/>
    <w:rsid w:val="00A1714B"/>
    <w:rsid w:val="00A1728B"/>
    <w:rsid w:val="00A17525"/>
    <w:rsid w:val="00A1758E"/>
    <w:rsid w:val="00A177DC"/>
    <w:rsid w:val="00A1793D"/>
    <w:rsid w:val="00A17DA8"/>
    <w:rsid w:val="00A17DC4"/>
    <w:rsid w:val="00A17DF7"/>
    <w:rsid w:val="00A17F2A"/>
    <w:rsid w:val="00A20565"/>
    <w:rsid w:val="00A209DD"/>
    <w:rsid w:val="00A20C82"/>
    <w:rsid w:val="00A20D04"/>
    <w:rsid w:val="00A20E45"/>
    <w:rsid w:val="00A213F8"/>
    <w:rsid w:val="00A21843"/>
    <w:rsid w:val="00A21A7A"/>
    <w:rsid w:val="00A21C31"/>
    <w:rsid w:val="00A21F24"/>
    <w:rsid w:val="00A22235"/>
    <w:rsid w:val="00A2287F"/>
    <w:rsid w:val="00A22A28"/>
    <w:rsid w:val="00A22BBE"/>
    <w:rsid w:val="00A22D0E"/>
    <w:rsid w:val="00A23220"/>
    <w:rsid w:val="00A2363B"/>
    <w:rsid w:val="00A236E7"/>
    <w:rsid w:val="00A237C9"/>
    <w:rsid w:val="00A23CD7"/>
    <w:rsid w:val="00A23D9E"/>
    <w:rsid w:val="00A23EF1"/>
    <w:rsid w:val="00A24224"/>
    <w:rsid w:val="00A24293"/>
    <w:rsid w:val="00A245F9"/>
    <w:rsid w:val="00A246EE"/>
    <w:rsid w:val="00A24890"/>
    <w:rsid w:val="00A24912"/>
    <w:rsid w:val="00A24967"/>
    <w:rsid w:val="00A24A00"/>
    <w:rsid w:val="00A24D1B"/>
    <w:rsid w:val="00A24FBA"/>
    <w:rsid w:val="00A253A8"/>
    <w:rsid w:val="00A25512"/>
    <w:rsid w:val="00A25EF7"/>
    <w:rsid w:val="00A2604A"/>
    <w:rsid w:val="00A26200"/>
    <w:rsid w:val="00A2641C"/>
    <w:rsid w:val="00A26425"/>
    <w:rsid w:val="00A2678E"/>
    <w:rsid w:val="00A26BBC"/>
    <w:rsid w:val="00A26D0C"/>
    <w:rsid w:val="00A26DA0"/>
    <w:rsid w:val="00A26E4B"/>
    <w:rsid w:val="00A27068"/>
    <w:rsid w:val="00A270B4"/>
    <w:rsid w:val="00A27326"/>
    <w:rsid w:val="00A27373"/>
    <w:rsid w:val="00A274A8"/>
    <w:rsid w:val="00A27758"/>
    <w:rsid w:val="00A2789D"/>
    <w:rsid w:val="00A279DF"/>
    <w:rsid w:val="00A27E87"/>
    <w:rsid w:val="00A27F9E"/>
    <w:rsid w:val="00A306EF"/>
    <w:rsid w:val="00A308A9"/>
    <w:rsid w:val="00A31237"/>
    <w:rsid w:val="00A3128C"/>
    <w:rsid w:val="00A312C5"/>
    <w:rsid w:val="00A31497"/>
    <w:rsid w:val="00A31514"/>
    <w:rsid w:val="00A3155F"/>
    <w:rsid w:val="00A31C17"/>
    <w:rsid w:val="00A31D72"/>
    <w:rsid w:val="00A31E29"/>
    <w:rsid w:val="00A320B7"/>
    <w:rsid w:val="00A328F6"/>
    <w:rsid w:val="00A32E19"/>
    <w:rsid w:val="00A32E98"/>
    <w:rsid w:val="00A33326"/>
    <w:rsid w:val="00A33633"/>
    <w:rsid w:val="00A33732"/>
    <w:rsid w:val="00A33805"/>
    <w:rsid w:val="00A33CAA"/>
    <w:rsid w:val="00A33D69"/>
    <w:rsid w:val="00A3402A"/>
    <w:rsid w:val="00A34057"/>
    <w:rsid w:val="00A34557"/>
    <w:rsid w:val="00A34A77"/>
    <w:rsid w:val="00A34E60"/>
    <w:rsid w:val="00A354E8"/>
    <w:rsid w:val="00A35591"/>
    <w:rsid w:val="00A35A4B"/>
    <w:rsid w:val="00A35C79"/>
    <w:rsid w:val="00A35CD7"/>
    <w:rsid w:val="00A36056"/>
    <w:rsid w:val="00A3608F"/>
    <w:rsid w:val="00A36299"/>
    <w:rsid w:val="00A36308"/>
    <w:rsid w:val="00A36479"/>
    <w:rsid w:val="00A36723"/>
    <w:rsid w:val="00A36A61"/>
    <w:rsid w:val="00A36BD1"/>
    <w:rsid w:val="00A36C4F"/>
    <w:rsid w:val="00A37374"/>
    <w:rsid w:val="00A375E3"/>
    <w:rsid w:val="00A37651"/>
    <w:rsid w:val="00A377E6"/>
    <w:rsid w:val="00A37859"/>
    <w:rsid w:val="00A37C1A"/>
    <w:rsid w:val="00A37CA4"/>
    <w:rsid w:val="00A37E96"/>
    <w:rsid w:val="00A4007F"/>
    <w:rsid w:val="00A40432"/>
    <w:rsid w:val="00A405C5"/>
    <w:rsid w:val="00A407CC"/>
    <w:rsid w:val="00A40CD9"/>
    <w:rsid w:val="00A40E55"/>
    <w:rsid w:val="00A40E60"/>
    <w:rsid w:val="00A40FF6"/>
    <w:rsid w:val="00A41170"/>
    <w:rsid w:val="00A41312"/>
    <w:rsid w:val="00A414F2"/>
    <w:rsid w:val="00A419DB"/>
    <w:rsid w:val="00A41A88"/>
    <w:rsid w:val="00A41BDF"/>
    <w:rsid w:val="00A41E35"/>
    <w:rsid w:val="00A41E52"/>
    <w:rsid w:val="00A42166"/>
    <w:rsid w:val="00A424DE"/>
    <w:rsid w:val="00A42609"/>
    <w:rsid w:val="00A4296E"/>
    <w:rsid w:val="00A4306D"/>
    <w:rsid w:val="00A432C2"/>
    <w:rsid w:val="00A435C4"/>
    <w:rsid w:val="00A4388F"/>
    <w:rsid w:val="00A43A2C"/>
    <w:rsid w:val="00A43BEF"/>
    <w:rsid w:val="00A43C44"/>
    <w:rsid w:val="00A43DD3"/>
    <w:rsid w:val="00A43E14"/>
    <w:rsid w:val="00A43EF7"/>
    <w:rsid w:val="00A43F99"/>
    <w:rsid w:val="00A4422F"/>
    <w:rsid w:val="00A4431D"/>
    <w:rsid w:val="00A443DC"/>
    <w:rsid w:val="00A44647"/>
    <w:rsid w:val="00A4464E"/>
    <w:rsid w:val="00A4493C"/>
    <w:rsid w:val="00A449AD"/>
    <w:rsid w:val="00A44A35"/>
    <w:rsid w:val="00A44C89"/>
    <w:rsid w:val="00A44E7B"/>
    <w:rsid w:val="00A451E3"/>
    <w:rsid w:val="00A4522A"/>
    <w:rsid w:val="00A4564F"/>
    <w:rsid w:val="00A45A2D"/>
    <w:rsid w:val="00A45DF9"/>
    <w:rsid w:val="00A45FAA"/>
    <w:rsid w:val="00A46368"/>
    <w:rsid w:val="00A464C8"/>
    <w:rsid w:val="00A466AE"/>
    <w:rsid w:val="00A4670A"/>
    <w:rsid w:val="00A468AF"/>
    <w:rsid w:val="00A469AB"/>
    <w:rsid w:val="00A46EFE"/>
    <w:rsid w:val="00A4768D"/>
    <w:rsid w:val="00A479A0"/>
    <w:rsid w:val="00A47BBB"/>
    <w:rsid w:val="00A47DBF"/>
    <w:rsid w:val="00A47E38"/>
    <w:rsid w:val="00A47E9F"/>
    <w:rsid w:val="00A50448"/>
    <w:rsid w:val="00A50867"/>
    <w:rsid w:val="00A50B9D"/>
    <w:rsid w:val="00A5102F"/>
    <w:rsid w:val="00A51032"/>
    <w:rsid w:val="00A512DD"/>
    <w:rsid w:val="00A514EF"/>
    <w:rsid w:val="00A51565"/>
    <w:rsid w:val="00A515EF"/>
    <w:rsid w:val="00A51AB6"/>
    <w:rsid w:val="00A51AD5"/>
    <w:rsid w:val="00A52048"/>
    <w:rsid w:val="00A521FD"/>
    <w:rsid w:val="00A5230F"/>
    <w:rsid w:val="00A52B0F"/>
    <w:rsid w:val="00A53239"/>
    <w:rsid w:val="00A5349D"/>
    <w:rsid w:val="00A534CB"/>
    <w:rsid w:val="00A535C0"/>
    <w:rsid w:val="00A535DB"/>
    <w:rsid w:val="00A5364F"/>
    <w:rsid w:val="00A536BF"/>
    <w:rsid w:val="00A53960"/>
    <w:rsid w:val="00A53C00"/>
    <w:rsid w:val="00A5402E"/>
    <w:rsid w:val="00A54509"/>
    <w:rsid w:val="00A54A97"/>
    <w:rsid w:val="00A54CA1"/>
    <w:rsid w:val="00A55089"/>
    <w:rsid w:val="00A55144"/>
    <w:rsid w:val="00A55556"/>
    <w:rsid w:val="00A55569"/>
    <w:rsid w:val="00A557E0"/>
    <w:rsid w:val="00A558E5"/>
    <w:rsid w:val="00A55DF9"/>
    <w:rsid w:val="00A55F93"/>
    <w:rsid w:val="00A5616B"/>
    <w:rsid w:val="00A562DF"/>
    <w:rsid w:val="00A563ED"/>
    <w:rsid w:val="00A56A66"/>
    <w:rsid w:val="00A56EF5"/>
    <w:rsid w:val="00A56FBA"/>
    <w:rsid w:val="00A571BF"/>
    <w:rsid w:val="00A57729"/>
    <w:rsid w:val="00A577DB"/>
    <w:rsid w:val="00A5785C"/>
    <w:rsid w:val="00A579A3"/>
    <w:rsid w:val="00A57A4D"/>
    <w:rsid w:val="00A57A75"/>
    <w:rsid w:val="00A57B22"/>
    <w:rsid w:val="00A57CCB"/>
    <w:rsid w:val="00A57D4A"/>
    <w:rsid w:val="00A57ED3"/>
    <w:rsid w:val="00A60585"/>
    <w:rsid w:val="00A6110D"/>
    <w:rsid w:val="00A611B4"/>
    <w:rsid w:val="00A611EF"/>
    <w:rsid w:val="00A6135B"/>
    <w:rsid w:val="00A61871"/>
    <w:rsid w:val="00A6198A"/>
    <w:rsid w:val="00A619A7"/>
    <w:rsid w:val="00A61E46"/>
    <w:rsid w:val="00A62688"/>
    <w:rsid w:val="00A629FC"/>
    <w:rsid w:val="00A62A3C"/>
    <w:rsid w:val="00A6303C"/>
    <w:rsid w:val="00A63180"/>
    <w:rsid w:val="00A6349D"/>
    <w:rsid w:val="00A6365A"/>
    <w:rsid w:val="00A63B36"/>
    <w:rsid w:val="00A63E05"/>
    <w:rsid w:val="00A63E39"/>
    <w:rsid w:val="00A63E5E"/>
    <w:rsid w:val="00A63F87"/>
    <w:rsid w:val="00A64348"/>
    <w:rsid w:val="00A64371"/>
    <w:rsid w:val="00A647CB"/>
    <w:rsid w:val="00A64865"/>
    <w:rsid w:val="00A64893"/>
    <w:rsid w:val="00A64993"/>
    <w:rsid w:val="00A649A6"/>
    <w:rsid w:val="00A64A79"/>
    <w:rsid w:val="00A64B7A"/>
    <w:rsid w:val="00A64E24"/>
    <w:rsid w:val="00A65038"/>
    <w:rsid w:val="00A65060"/>
    <w:rsid w:val="00A65246"/>
    <w:rsid w:val="00A65AEC"/>
    <w:rsid w:val="00A66026"/>
    <w:rsid w:val="00A66101"/>
    <w:rsid w:val="00A66198"/>
    <w:rsid w:val="00A66419"/>
    <w:rsid w:val="00A665E9"/>
    <w:rsid w:val="00A66686"/>
    <w:rsid w:val="00A66965"/>
    <w:rsid w:val="00A66D74"/>
    <w:rsid w:val="00A66EE4"/>
    <w:rsid w:val="00A66FE6"/>
    <w:rsid w:val="00A6701A"/>
    <w:rsid w:val="00A6726B"/>
    <w:rsid w:val="00A67369"/>
    <w:rsid w:val="00A675EF"/>
    <w:rsid w:val="00A67657"/>
    <w:rsid w:val="00A67947"/>
    <w:rsid w:val="00A67B26"/>
    <w:rsid w:val="00A67BBB"/>
    <w:rsid w:val="00A67D64"/>
    <w:rsid w:val="00A67F5D"/>
    <w:rsid w:val="00A7058C"/>
    <w:rsid w:val="00A7097E"/>
    <w:rsid w:val="00A70DEC"/>
    <w:rsid w:val="00A71432"/>
    <w:rsid w:val="00A7155E"/>
    <w:rsid w:val="00A71C6D"/>
    <w:rsid w:val="00A71DA5"/>
    <w:rsid w:val="00A72CFF"/>
    <w:rsid w:val="00A73007"/>
    <w:rsid w:val="00A730C6"/>
    <w:rsid w:val="00A73154"/>
    <w:rsid w:val="00A7393F"/>
    <w:rsid w:val="00A73BB4"/>
    <w:rsid w:val="00A73CE2"/>
    <w:rsid w:val="00A73E3E"/>
    <w:rsid w:val="00A73E97"/>
    <w:rsid w:val="00A742F2"/>
    <w:rsid w:val="00A74C59"/>
    <w:rsid w:val="00A74DC7"/>
    <w:rsid w:val="00A757D5"/>
    <w:rsid w:val="00A7591F"/>
    <w:rsid w:val="00A75B7E"/>
    <w:rsid w:val="00A75DCA"/>
    <w:rsid w:val="00A7622D"/>
    <w:rsid w:val="00A76395"/>
    <w:rsid w:val="00A7640B"/>
    <w:rsid w:val="00A76554"/>
    <w:rsid w:val="00A76AD0"/>
    <w:rsid w:val="00A76BBE"/>
    <w:rsid w:val="00A7722D"/>
    <w:rsid w:val="00A773BE"/>
    <w:rsid w:val="00A777A6"/>
    <w:rsid w:val="00A77A13"/>
    <w:rsid w:val="00A77CB2"/>
    <w:rsid w:val="00A80D0C"/>
    <w:rsid w:val="00A810E1"/>
    <w:rsid w:val="00A8122A"/>
    <w:rsid w:val="00A81428"/>
    <w:rsid w:val="00A81527"/>
    <w:rsid w:val="00A816B2"/>
    <w:rsid w:val="00A8174C"/>
    <w:rsid w:val="00A81C05"/>
    <w:rsid w:val="00A81F00"/>
    <w:rsid w:val="00A82228"/>
    <w:rsid w:val="00A822A8"/>
    <w:rsid w:val="00A82458"/>
    <w:rsid w:val="00A827A6"/>
    <w:rsid w:val="00A829A6"/>
    <w:rsid w:val="00A829EE"/>
    <w:rsid w:val="00A82B9E"/>
    <w:rsid w:val="00A82CEF"/>
    <w:rsid w:val="00A83076"/>
    <w:rsid w:val="00A83926"/>
    <w:rsid w:val="00A83AE4"/>
    <w:rsid w:val="00A83AE7"/>
    <w:rsid w:val="00A83B4E"/>
    <w:rsid w:val="00A83CE1"/>
    <w:rsid w:val="00A83DC7"/>
    <w:rsid w:val="00A83DFF"/>
    <w:rsid w:val="00A83F04"/>
    <w:rsid w:val="00A83F09"/>
    <w:rsid w:val="00A83F12"/>
    <w:rsid w:val="00A84048"/>
    <w:rsid w:val="00A8404D"/>
    <w:rsid w:val="00A840A7"/>
    <w:rsid w:val="00A840B1"/>
    <w:rsid w:val="00A8411E"/>
    <w:rsid w:val="00A84330"/>
    <w:rsid w:val="00A84462"/>
    <w:rsid w:val="00A8446F"/>
    <w:rsid w:val="00A84562"/>
    <w:rsid w:val="00A84BBB"/>
    <w:rsid w:val="00A84C4F"/>
    <w:rsid w:val="00A84EF1"/>
    <w:rsid w:val="00A85137"/>
    <w:rsid w:val="00A852E3"/>
    <w:rsid w:val="00A85857"/>
    <w:rsid w:val="00A859FA"/>
    <w:rsid w:val="00A85B07"/>
    <w:rsid w:val="00A85C62"/>
    <w:rsid w:val="00A85C99"/>
    <w:rsid w:val="00A85F6D"/>
    <w:rsid w:val="00A86310"/>
    <w:rsid w:val="00A864C9"/>
    <w:rsid w:val="00A868C3"/>
    <w:rsid w:val="00A868FF"/>
    <w:rsid w:val="00A8698F"/>
    <w:rsid w:val="00A869C7"/>
    <w:rsid w:val="00A86BD1"/>
    <w:rsid w:val="00A86DF3"/>
    <w:rsid w:val="00A86E66"/>
    <w:rsid w:val="00A86ECB"/>
    <w:rsid w:val="00A86ED5"/>
    <w:rsid w:val="00A87272"/>
    <w:rsid w:val="00A87536"/>
    <w:rsid w:val="00A87761"/>
    <w:rsid w:val="00A87826"/>
    <w:rsid w:val="00A87D66"/>
    <w:rsid w:val="00A87D82"/>
    <w:rsid w:val="00A901A8"/>
    <w:rsid w:val="00A90CF4"/>
    <w:rsid w:val="00A90D25"/>
    <w:rsid w:val="00A9106B"/>
    <w:rsid w:val="00A91144"/>
    <w:rsid w:val="00A913D2"/>
    <w:rsid w:val="00A9147D"/>
    <w:rsid w:val="00A91782"/>
    <w:rsid w:val="00A91854"/>
    <w:rsid w:val="00A918E6"/>
    <w:rsid w:val="00A92365"/>
    <w:rsid w:val="00A923AE"/>
    <w:rsid w:val="00A92504"/>
    <w:rsid w:val="00A92630"/>
    <w:rsid w:val="00A927C7"/>
    <w:rsid w:val="00A928E6"/>
    <w:rsid w:val="00A92AB8"/>
    <w:rsid w:val="00A92AD3"/>
    <w:rsid w:val="00A92B39"/>
    <w:rsid w:val="00A92B66"/>
    <w:rsid w:val="00A92C1B"/>
    <w:rsid w:val="00A92D0B"/>
    <w:rsid w:val="00A92D77"/>
    <w:rsid w:val="00A92D78"/>
    <w:rsid w:val="00A92D7C"/>
    <w:rsid w:val="00A92EDB"/>
    <w:rsid w:val="00A92FC5"/>
    <w:rsid w:val="00A930BF"/>
    <w:rsid w:val="00A931A2"/>
    <w:rsid w:val="00A932F6"/>
    <w:rsid w:val="00A933AA"/>
    <w:rsid w:val="00A93DBC"/>
    <w:rsid w:val="00A93FE5"/>
    <w:rsid w:val="00A94089"/>
    <w:rsid w:val="00A94113"/>
    <w:rsid w:val="00A94192"/>
    <w:rsid w:val="00A94517"/>
    <w:rsid w:val="00A94618"/>
    <w:rsid w:val="00A949C0"/>
    <w:rsid w:val="00A94BE8"/>
    <w:rsid w:val="00A95507"/>
    <w:rsid w:val="00A957C6"/>
    <w:rsid w:val="00A9589D"/>
    <w:rsid w:val="00A958D3"/>
    <w:rsid w:val="00A95B33"/>
    <w:rsid w:val="00A96162"/>
    <w:rsid w:val="00A963CF"/>
    <w:rsid w:val="00A970FD"/>
    <w:rsid w:val="00A97496"/>
    <w:rsid w:val="00A978C5"/>
    <w:rsid w:val="00A97AAE"/>
    <w:rsid w:val="00A97C15"/>
    <w:rsid w:val="00A97C95"/>
    <w:rsid w:val="00A97D5E"/>
    <w:rsid w:val="00A97DBA"/>
    <w:rsid w:val="00A97E3C"/>
    <w:rsid w:val="00AA0371"/>
    <w:rsid w:val="00AA0684"/>
    <w:rsid w:val="00AA06FB"/>
    <w:rsid w:val="00AA07BF"/>
    <w:rsid w:val="00AA09BF"/>
    <w:rsid w:val="00AA0C78"/>
    <w:rsid w:val="00AA0E9F"/>
    <w:rsid w:val="00AA0EC1"/>
    <w:rsid w:val="00AA0FA2"/>
    <w:rsid w:val="00AA0FD3"/>
    <w:rsid w:val="00AA1615"/>
    <w:rsid w:val="00AA186B"/>
    <w:rsid w:val="00AA18F7"/>
    <w:rsid w:val="00AA19B2"/>
    <w:rsid w:val="00AA1AD2"/>
    <w:rsid w:val="00AA1B8D"/>
    <w:rsid w:val="00AA1EDE"/>
    <w:rsid w:val="00AA1F1C"/>
    <w:rsid w:val="00AA20A6"/>
    <w:rsid w:val="00AA2438"/>
    <w:rsid w:val="00AA26D4"/>
    <w:rsid w:val="00AA26DA"/>
    <w:rsid w:val="00AA295A"/>
    <w:rsid w:val="00AA2F05"/>
    <w:rsid w:val="00AA3106"/>
    <w:rsid w:val="00AA32F9"/>
    <w:rsid w:val="00AA33FB"/>
    <w:rsid w:val="00AA3914"/>
    <w:rsid w:val="00AA3922"/>
    <w:rsid w:val="00AA3A5C"/>
    <w:rsid w:val="00AA3D3E"/>
    <w:rsid w:val="00AA4134"/>
    <w:rsid w:val="00AA43FE"/>
    <w:rsid w:val="00AA47A0"/>
    <w:rsid w:val="00AA4823"/>
    <w:rsid w:val="00AA49A3"/>
    <w:rsid w:val="00AA4BCE"/>
    <w:rsid w:val="00AA4C52"/>
    <w:rsid w:val="00AA5097"/>
    <w:rsid w:val="00AA525F"/>
    <w:rsid w:val="00AA54AF"/>
    <w:rsid w:val="00AA5702"/>
    <w:rsid w:val="00AA5A69"/>
    <w:rsid w:val="00AA5ACE"/>
    <w:rsid w:val="00AA5B68"/>
    <w:rsid w:val="00AA5CF2"/>
    <w:rsid w:val="00AA6317"/>
    <w:rsid w:val="00AA6592"/>
    <w:rsid w:val="00AA68B4"/>
    <w:rsid w:val="00AA6D53"/>
    <w:rsid w:val="00AA6EE3"/>
    <w:rsid w:val="00AA70CA"/>
    <w:rsid w:val="00AA71F2"/>
    <w:rsid w:val="00AA7507"/>
    <w:rsid w:val="00AA7A28"/>
    <w:rsid w:val="00AA7A7F"/>
    <w:rsid w:val="00AA7E34"/>
    <w:rsid w:val="00AA7EDE"/>
    <w:rsid w:val="00AA7EFC"/>
    <w:rsid w:val="00AB0948"/>
    <w:rsid w:val="00AB10DE"/>
    <w:rsid w:val="00AB1455"/>
    <w:rsid w:val="00AB18CA"/>
    <w:rsid w:val="00AB1A22"/>
    <w:rsid w:val="00AB1E62"/>
    <w:rsid w:val="00AB2001"/>
    <w:rsid w:val="00AB2096"/>
    <w:rsid w:val="00AB269F"/>
    <w:rsid w:val="00AB26B7"/>
    <w:rsid w:val="00AB26F1"/>
    <w:rsid w:val="00AB2701"/>
    <w:rsid w:val="00AB2704"/>
    <w:rsid w:val="00AB29D5"/>
    <w:rsid w:val="00AB2B5D"/>
    <w:rsid w:val="00AB2FCE"/>
    <w:rsid w:val="00AB321D"/>
    <w:rsid w:val="00AB3343"/>
    <w:rsid w:val="00AB337F"/>
    <w:rsid w:val="00AB342E"/>
    <w:rsid w:val="00AB3485"/>
    <w:rsid w:val="00AB37AB"/>
    <w:rsid w:val="00AB37FB"/>
    <w:rsid w:val="00AB3CB1"/>
    <w:rsid w:val="00AB3D61"/>
    <w:rsid w:val="00AB3DC0"/>
    <w:rsid w:val="00AB3E95"/>
    <w:rsid w:val="00AB3F58"/>
    <w:rsid w:val="00AB3FE3"/>
    <w:rsid w:val="00AB4014"/>
    <w:rsid w:val="00AB441C"/>
    <w:rsid w:val="00AB470F"/>
    <w:rsid w:val="00AB4895"/>
    <w:rsid w:val="00AB4A71"/>
    <w:rsid w:val="00AB4E2E"/>
    <w:rsid w:val="00AB50D1"/>
    <w:rsid w:val="00AB54B3"/>
    <w:rsid w:val="00AB5AEE"/>
    <w:rsid w:val="00AB5BA8"/>
    <w:rsid w:val="00AB5D05"/>
    <w:rsid w:val="00AB5DAD"/>
    <w:rsid w:val="00AB5EB9"/>
    <w:rsid w:val="00AB6171"/>
    <w:rsid w:val="00AB657D"/>
    <w:rsid w:val="00AB6EA3"/>
    <w:rsid w:val="00AB71C1"/>
    <w:rsid w:val="00AB7218"/>
    <w:rsid w:val="00AB727A"/>
    <w:rsid w:val="00AB736C"/>
    <w:rsid w:val="00AB73EF"/>
    <w:rsid w:val="00AB7446"/>
    <w:rsid w:val="00AB7679"/>
    <w:rsid w:val="00AB7A0D"/>
    <w:rsid w:val="00AB7D8E"/>
    <w:rsid w:val="00AB7EEC"/>
    <w:rsid w:val="00AC0402"/>
    <w:rsid w:val="00AC0681"/>
    <w:rsid w:val="00AC0731"/>
    <w:rsid w:val="00AC0897"/>
    <w:rsid w:val="00AC08FB"/>
    <w:rsid w:val="00AC1085"/>
    <w:rsid w:val="00AC11AB"/>
    <w:rsid w:val="00AC11FE"/>
    <w:rsid w:val="00AC19A2"/>
    <w:rsid w:val="00AC1A1F"/>
    <w:rsid w:val="00AC1CBB"/>
    <w:rsid w:val="00AC1D29"/>
    <w:rsid w:val="00AC1E54"/>
    <w:rsid w:val="00AC1ED1"/>
    <w:rsid w:val="00AC2644"/>
    <w:rsid w:val="00AC2B9F"/>
    <w:rsid w:val="00AC2C03"/>
    <w:rsid w:val="00AC2D53"/>
    <w:rsid w:val="00AC3104"/>
    <w:rsid w:val="00AC324E"/>
    <w:rsid w:val="00AC3336"/>
    <w:rsid w:val="00AC38F2"/>
    <w:rsid w:val="00AC3964"/>
    <w:rsid w:val="00AC3BDC"/>
    <w:rsid w:val="00AC3C69"/>
    <w:rsid w:val="00AC3EA1"/>
    <w:rsid w:val="00AC3F2D"/>
    <w:rsid w:val="00AC3FB9"/>
    <w:rsid w:val="00AC498B"/>
    <w:rsid w:val="00AC4A36"/>
    <w:rsid w:val="00AC5435"/>
    <w:rsid w:val="00AC551D"/>
    <w:rsid w:val="00AC55F1"/>
    <w:rsid w:val="00AC5896"/>
    <w:rsid w:val="00AC59A9"/>
    <w:rsid w:val="00AC5DC7"/>
    <w:rsid w:val="00AC5E9A"/>
    <w:rsid w:val="00AC5EF0"/>
    <w:rsid w:val="00AC5F3F"/>
    <w:rsid w:val="00AC6FB9"/>
    <w:rsid w:val="00AC6FFE"/>
    <w:rsid w:val="00AC7020"/>
    <w:rsid w:val="00AC711D"/>
    <w:rsid w:val="00AC71B7"/>
    <w:rsid w:val="00AC7612"/>
    <w:rsid w:val="00AC7728"/>
    <w:rsid w:val="00AC77B6"/>
    <w:rsid w:val="00AC7CF7"/>
    <w:rsid w:val="00AD00B5"/>
    <w:rsid w:val="00AD016E"/>
    <w:rsid w:val="00AD0563"/>
    <w:rsid w:val="00AD058F"/>
    <w:rsid w:val="00AD08B0"/>
    <w:rsid w:val="00AD0A00"/>
    <w:rsid w:val="00AD0B37"/>
    <w:rsid w:val="00AD0CAB"/>
    <w:rsid w:val="00AD1003"/>
    <w:rsid w:val="00AD1449"/>
    <w:rsid w:val="00AD16C3"/>
    <w:rsid w:val="00AD1710"/>
    <w:rsid w:val="00AD18F3"/>
    <w:rsid w:val="00AD1A94"/>
    <w:rsid w:val="00AD1ED3"/>
    <w:rsid w:val="00AD1EF4"/>
    <w:rsid w:val="00AD20B7"/>
    <w:rsid w:val="00AD21EF"/>
    <w:rsid w:val="00AD23F5"/>
    <w:rsid w:val="00AD2404"/>
    <w:rsid w:val="00AD24C5"/>
    <w:rsid w:val="00AD24C7"/>
    <w:rsid w:val="00AD267D"/>
    <w:rsid w:val="00AD28AB"/>
    <w:rsid w:val="00AD291E"/>
    <w:rsid w:val="00AD2CF7"/>
    <w:rsid w:val="00AD2DEA"/>
    <w:rsid w:val="00AD2E48"/>
    <w:rsid w:val="00AD2E62"/>
    <w:rsid w:val="00AD3591"/>
    <w:rsid w:val="00AD371B"/>
    <w:rsid w:val="00AD3A4C"/>
    <w:rsid w:val="00AD3DA0"/>
    <w:rsid w:val="00AD4250"/>
    <w:rsid w:val="00AD4B11"/>
    <w:rsid w:val="00AD4C08"/>
    <w:rsid w:val="00AD4E77"/>
    <w:rsid w:val="00AD5109"/>
    <w:rsid w:val="00AD52BC"/>
    <w:rsid w:val="00AD5628"/>
    <w:rsid w:val="00AD56B4"/>
    <w:rsid w:val="00AD5EDD"/>
    <w:rsid w:val="00AD5FF1"/>
    <w:rsid w:val="00AD630D"/>
    <w:rsid w:val="00AD6733"/>
    <w:rsid w:val="00AD6D35"/>
    <w:rsid w:val="00AD6EA2"/>
    <w:rsid w:val="00AD6EA7"/>
    <w:rsid w:val="00AD705B"/>
    <w:rsid w:val="00AD7397"/>
    <w:rsid w:val="00AD75C0"/>
    <w:rsid w:val="00AD76AA"/>
    <w:rsid w:val="00AD7B5D"/>
    <w:rsid w:val="00AD7DD8"/>
    <w:rsid w:val="00AE0111"/>
    <w:rsid w:val="00AE0175"/>
    <w:rsid w:val="00AE0280"/>
    <w:rsid w:val="00AE0690"/>
    <w:rsid w:val="00AE0709"/>
    <w:rsid w:val="00AE075C"/>
    <w:rsid w:val="00AE0A36"/>
    <w:rsid w:val="00AE2184"/>
    <w:rsid w:val="00AE22E8"/>
    <w:rsid w:val="00AE2319"/>
    <w:rsid w:val="00AE2387"/>
    <w:rsid w:val="00AE2784"/>
    <w:rsid w:val="00AE2828"/>
    <w:rsid w:val="00AE28C2"/>
    <w:rsid w:val="00AE28C8"/>
    <w:rsid w:val="00AE2D07"/>
    <w:rsid w:val="00AE2DB7"/>
    <w:rsid w:val="00AE2DE6"/>
    <w:rsid w:val="00AE2EE0"/>
    <w:rsid w:val="00AE3012"/>
    <w:rsid w:val="00AE3733"/>
    <w:rsid w:val="00AE378F"/>
    <w:rsid w:val="00AE382E"/>
    <w:rsid w:val="00AE38AA"/>
    <w:rsid w:val="00AE40CC"/>
    <w:rsid w:val="00AE40DD"/>
    <w:rsid w:val="00AE4168"/>
    <w:rsid w:val="00AE4281"/>
    <w:rsid w:val="00AE4373"/>
    <w:rsid w:val="00AE4478"/>
    <w:rsid w:val="00AE44D2"/>
    <w:rsid w:val="00AE4578"/>
    <w:rsid w:val="00AE45BE"/>
    <w:rsid w:val="00AE470D"/>
    <w:rsid w:val="00AE55A5"/>
    <w:rsid w:val="00AE5BD3"/>
    <w:rsid w:val="00AE5E49"/>
    <w:rsid w:val="00AE6570"/>
    <w:rsid w:val="00AE6D0B"/>
    <w:rsid w:val="00AE6EBD"/>
    <w:rsid w:val="00AE6ED4"/>
    <w:rsid w:val="00AE6F7E"/>
    <w:rsid w:val="00AE71A9"/>
    <w:rsid w:val="00AE733D"/>
    <w:rsid w:val="00AE7457"/>
    <w:rsid w:val="00AE74AF"/>
    <w:rsid w:val="00AE754C"/>
    <w:rsid w:val="00AE76C4"/>
    <w:rsid w:val="00AE76D3"/>
    <w:rsid w:val="00AE7868"/>
    <w:rsid w:val="00AE7E9C"/>
    <w:rsid w:val="00AF00CC"/>
    <w:rsid w:val="00AF06E6"/>
    <w:rsid w:val="00AF0718"/>
    <w:rsid w:val="00AF0D88"/>
    <w:rsid w:val="00AF0DBD"/>
    <w:rsid w:val="00AF101C"/>
    <w:rsid w:val="00AF11FB"/>
    <w:rsid w:val="00AF1266"/>
    <w:rsid w:val="00AF14D4"/>
    <w:rsid w:val="00AF1750"/>
    <w:rsid w:val="00AF1825"/>
    <w:rsid w:val="00AF18B1"/>
    <w:rsid w:val="00AF1AB1"/>
    <w:rsid w:val="00AF1AB3"/>
    <w:rsid w:val="00AF1BB3"/>
    <w:rsid w:val="00AF1C68"/>
    <w:rsid w:val="00AF1CDF"/>
    <w:rsid w:val="00AF1D1E"/>
    <w:rsid w:val="00AF1E16"/>
    <w:rsid w:val="00AF20B5"/>
    <w:rsid w:val="00AF2731"/>
    <w:rsid w:val="00AF2B29"/>
    <w:rsid w:val="00AF2F0F"/>
    <w:rsid w:val="00AF312C"/>
    <w:rsid w:val="00AF3166"/>
    <w:rsid w:val="00AF3197"/>
    <w:rsid w:val="00AF3C01"/>
    <w:rsid w:val="00AF407F"/>
    <w:rsid w:val="00AF4139"/>
    <w:rsid w:val="00AF413A"/>
    <w:rsid w:val="00AF4622"/>
    <w:rsid w:val="00AF46D1"/>
    <w:rsid w:val="00AF49B4"/>
    <w:rsid w:val="00AF4A04"/>
    <w:rsid w:val="00AF4A97"/>
    <w:rsid w:val="00AF4BCD"/>
    <w:rsid w:val="00AF4D99"/>
    <w:rsid w:val="00AF4F79"/>
    <w:rsid w:val="00AF4FA5"/>
    <w:rsid w:val="00AF522A"/>
    <w:rsid w:val="00AF53F4"/>
    <w:rsid w:val="00AF55C2"/>
    <w:rsid w:val="00AF5823"/>
    <w:rsid w:val="00AF5AD4"/>
    <w:rsid w:val="00AF5C81"/>
    <w:rsid w:val="00AF6489"/>
    <w:rsid w:val="00AF653A"/>
    <w:rsid w:val="00AF7136"/>
    <w:rsid w:val="00AF71BD"/>
    <w:rsid w:val="00AF7372"/>
    <w:rsid w:val="00AF75A8"/>
    <w:rsid w:val="00AF76C0"/>
    <w:rsid w:val="00AF77B3"/>
    <w:rsid w:val="00B0018F"/>
    <w:rsid w:val="00B002F0"/>
    <w:rsid w:val="00B00D88"/>
    <w:rsid w:val="00B00EB5"/>
    <w:rsid w:val="00B01175"/>
    <w:rsid w:val="00B017A8"/>
    <w:rsid w:val="00B02344"/>
    <w:rsid w:val="00B024E3"/>
    <w:rsid w:val="00B026BF"/>
    <w:rsid w:val="00B02707"/>
    <w:rsid w:val="00B02ABD"/>
    <w:rsid w:val="00B02BF1"/>
    <w:rsid w:val="00B02C0E"/>
    <w:rsid w:val="00B02D83"/>
    <w:rsid w:val="00B02E2D"/>
    <w:rsid w:val="00B02E9D"/>
    <w:rsid w:val="00B0361D"/>
    <w:rsid w:val="00B0375C"/>
    <w:rsid w:val="00B0387D"/>
    <w:rsid w:val="00B038E3"/>
    <w:rsid w:val="00B03955"/>
    <w:rsid w:val="00B039B3"/>
    <w:rsid w:val="00B039BC"/>
    <w:rsid w:val="00B03B12"/>
    <w:rsid w:val="00B03CF5"/>
    <w:rsid w:val="00B04060"/>
    <w:rsid w:val="00B040A3"/>
    <w:rsid w:val="00B0440A"/>
    <w:rsid w:val="00B04465"/>
    <w:rsid w:val="00B0471A"/>
    <w:rsid w:val="00B04A84"/>
    <w:rsid w:val="00B04ABB"/>
    <w:rsid w:val="00B04D22"/>
    <w:rsid w:val="00B04D60"/>
    <w:rsid w:val="00B04DE6"/>
    <w:rsid w:val="00B04E4B"/>
    <w:rsid w:val="00B05200"/>
    <w:rsid w:val="00B0542D"/>
    <w:rsid w:val="00B057C7"/>
    <w:rsid w:val="00B05A00"/>
    <w:rsid w:val="00B05F1D"/>
    <w:rsid w:val="00B0603D"/>
    <w:rsid w:val="00B06228"/>
    <w:rsid w:val="00B06243"/>
    <w:rsid w:val="00B06375"/>
    <w:rsid w:val="00B066B4"/>
    <w:rsid w:val="00B06C17"/>
    <w:rsid w:val="00B0758C"/>
    <w:rsid w:val="00B07662"/>
    <w:rsid w:val="00B07708"/>
    <w:rsid w:val="00B0779C"/>
    <w:rsid w:val="00B07BEC"/>
    <w:rsid w:val="00B07D39"/>
    <w:rsid w:val="00B07D3D"/>
    <w:rsid w:val="00B07D91"/>
    <w:rsid w:val="00B07E65"/>
    <w:rsid w:val="00B10066"/>
    <w:rsid w:val="00B103E9"/>
    <w:rsid w:val="00B10523"/>
    <w:rsid w:val="00B1068A"/>
    <w:rsid w:val="00B109CF"/>
    <w:rsid w:val="00B10EDE"/>
    <w:rsid w:val="00B11054"/>
    <w:rsid w:val="00B112AB"/>
    <w:rsid w:val="00B11656"/>
    <w:rsid w:val="00B1169F"/>
    <w:rsid w:val="00B11C73"/>
    <w:rsid w:val="00B11EFD"/>
    <w:rsid w:val="00B1209F"/>
    <w:rsid w:val="00B122DA"/>
    <w:rsid w:val="00B125A2"/>
    <w:rsid w:val="00B126C4"/>
    <w:rsid w:val="00B12726"/>
    <w:rsid w:val="00B12986"/>
    <w:rsid w:val="00B12B26"/>
    <w:rsid w:val="00B12E00"/>
    <w:rsid w:val="00B12E18"/>
    <w:rsid w:val="00B12F67"/>
    <w:rsid w:val="00B13890"/>
    <w:rsid w:val="00B13CB1"/>
    <w:rsid w:val="00B1422D"/>
    <w:rsid w:val="00B14352"/>
    <w:rsid w:val="00B14A28"/>
    <w:rsid w:val="00B14A8D"/>
    <w:rsid w:val="00B14D31"/>
    <w:rsid w:val="00B14DB8"/>
    <w:rsid w:val="00B14F13"/>
    <w:rsid w:val="00B152AC"/>
    <w:rsid w:val="00B157EC"/>
    <w:rsid w:val="00B15973"/>
    <w:rsid w:val="00B15B8F"/>
    <w:rsid w:val="00B15BE4"/>
    <w:rsid w:val="00B15C24"/>
    <w:rsid w:val="00B15C49"/>
    <w:rsid w:val="00B16380"/>
    <w:rsid w:val="00B16454"/>
    <w:rsid w:val="00B16886"/>
    <w:rsid w:val="00B16B21"/>
    <w:rsid w:val="00B1724E"/>
    <w:rsid w:val="00B174AC"/>
    <w:rsid w:val="00B17603"/>
    <w:rsid w:val="00B176E6"/>
    <w:rsid w:val="00B17AA8"/>
    <w:rsid w:val="00B201C0"/>
    <w:rsid w:val="00B201D9"/>
    <w:rsid w:val="00B2032C"/>
    <w:rsid w:val="00B2055B"/>
    <w:rsid w:val="00B2056B"/>
    <w:rsid w:val="00B20964"/>
    <w:rsid w:val="00B20B77"/>
    <w:rsid w:val="00B20D79"/>
    <w:rsid w:val="00B212C0"/>
    <w:rsid w:val="00B212F2"/>
    <w:rsid w:val="00B213C6"/>
    <w:rsid w:val="00B215DC"/>
    <w:rsid w:val="00B21A34"/>
    <w:rsid w:val="00B21AB1"/>
    <w:rsid w:val="00B21D73"/>
    <w:rsid w:val="00B22717"/>
    <w:rsid w:val="00B22881"/>
    <w:rsid w:val="00B2289D"/>
    <w:rsid w:val="00B22D0E"/>
    <w:rsid w:val="00B2354A"/>
    <w:rsid w:val="00B23D5C"/>
    <w:rsid w:val="00B23E90"/>
    <w:rsid w:val="00B23FD3"/>
    <w:rsid w:val="00B24164"/>
    <w:rsid w:val="00B241C2"/>
    <w:rsid w:val="00B24451"/>
    <w:rsid w:val="00B24758"/>
    <w:rsid w:val="00B248D8"/>
    <w:rsid w:val="00B249F8"/>
    <w:rsid w:val="00B24F89"/>
    <w:rsid w:val="00B2507C"/>
    <w:rsid w:val="00B250C8"/>
    <w:rsid w:val="00B255AF"/>
    <w:rsid w:val="00B25793"/>
    <w:rsid w:val="00B25BE1"/>
    <w:rsid w:val="00B25E13"/>
    <w:rsid w:val="00B260F1"/>
    <w:rsid w:val="00B26262"/>
    <w:rsid w:val="00B2626C"/>
    <w:rsid w:val="00B26472"/>
    <w:rsid w:val="00B266DD"/>
    <w:rsid w:val="00B2677F"/>
    <w:rsid w:val="00B268D4"/>
    <w:rsid w:val="00B26DBF"/>
    <w:rsid w:val="00B2748D"/>
    <w:rsid w:val="00B27641"/>
    <w:rsid w:val="00B2777A"/>
    <w:rsid w:val="00B277A8"/>
    <w:rsid w:val="00B277E3"/>
    <w:rsid w:val="00B27930"/>
    <w:rsid w:val="00B27999"/>
    <w:rsid w:val="00B27A6A"/>
    <w:rsid w:val="00B27F60"/>
    <w:rsid w:val="00B30005"/>
    <w:rsid w:val="00B3037F"/>
    <w:rsid w:val="00B3061E"/>
    <w:rsid w:val="00B307B1"/>
    <w:rsid w:val="00B308D1"/>
    <w:rsid w:val="00B30A52"/>
    <w:rsid w:val="00B30FA7"/>
    <w:rsid w:val="00B312D6"/>
    <w:rsid w:val="00B3149C"/>
    <w:rsid w:val="00B316F9"/>
    <w:rsid w:val="00B31A99"/>
    <w:rsid w:val="00B3249C"/>
    <w:rsid w:val="00B327FB"/>
    <w:rsid w:val="00B32A63"/>
    <w:rsid w:val="00B32BF7"/>
    <w:rsid w:val="00B32D04"/>
    <w:rsid w:val="00B32FBC"/>
    <w:rsid w:val="00B33054"/>
    <w:rsid w:val="00B33347"/>
    <w:rsid w:val="00B334F3"/>
    <w:rsid w:val="00B336EB"/>
    <w:rsid w:val="00B33B83"/>
    <w:rsid w:val="00B33B91"/>
    <w:rsid w:val="00B33E38"/>
    <w:rsid w:val="00B33E61"/>
    <w:rsid w:val="00B34015"/>
    <w:rsid w:val="00B3403A"/>
    <w:rsid w:val="00B3431F"/>
    <w:rsid w:val="00B343DA"/>
    <w:rsid w:val="00B344A8"/>
    <w:rsid w:val="00B34572"/>
    <w:rsid w:val="00B34624"/>
    <w:rsid w:val="00B3489D"/>
    <w:rsid w:val="00B349B4"/>
    <w:rsid w:val="00B34A5B"/>
    <w:rsid w:val="00B34E38"/>
    <w:rsid w:val="00B3527D"/>
    <w:rsid w:val="00B35830"/>
    <w:rsid w:val="00B35D4A"/>
    <w:rsid w:val="00B3645C"/>
    <w:rsid w:val="00B368CF"/>
    <w:rsid w:val="00B36AF2"/>
    <w:rsid w:val="00B36F2E"/>
    <w:rsid w:val="00B377A6"/>
    <w:rsid w:val="00B37904"/>
    <w:rsid w:val="00B379FC"/>
    <w:rsid w:val="00B37A37"/>
    <w:rsid w:val="00B37BF9"/>
    <w:rsid w:val="00B37D15"/>
    <w:rsid w:val="00B37E02"/>
    <w:rsid w:val="00B37E08"/>
    <w:rsid w:val="00B40153"/>
    <w:rsid w:val="00B401BE"/>
    <w:rsid w:val="00B40525"/>
    <w:rsid w:val="00B405E9"/>
    <w:rsid w:val="00B406BA"/>
    <w:rsid w:val="00B407AA"/>
    <w:rsid w:val="00B4083E"/>
    <w:rsid w:val="00B409BC"/>
    <w:rsid w:val="00B40A32"/>
    <w:rsid w:val="00B40BC3"/>
    <w:rsid w:val="00B41549"/>
    <w:rsid w:val="00B415F7"/>
    <w:rsid w:val="00B416F0"/>
    <w:rsid w:val="00B4171B"/>
    <w:rsid w:val="00B41C73"/>
    <w:rsid w:val="00B41DF0"/>
    <w:rsid w:val="00B41F35"/>
    <w:rsid w:val="00B4206B"/>
    <w:rsid w:val="00B420CF"/>
    <w:rsid w:val="00B424ED"/>
    <w:rsid w:val="00B4258B"/>
    <w:rsid w:val="00B42661"/>
    <w:rsid w:val="00B4336D"/>
    <w:rsid w:val="00B44530"/>
    <w:rsid w:val="00B44901"/>
    <w:rsid w:val="00B44942"/>
    <w:rsid w:val="00B44B3D"/>
    <w:rsid w:val="00B44CDC"/>
    <w:rsid w:val="00B44CF5"/>
    <w:rsid w:val="00B45018"/>
    <w:rsid w:val="00B4520D"/>
    <w:rsid w:val="00B4537D"/>
    <w:rsid w:val="00B454EE"/>
    <w:rsid w:val="00B4567D"/>
    <w:rsid w:val="00B45B9A"/>
    <w:rsid w:val="00B45CB4"/>
    <w:rsid w:val="00B45DD5"/>
    <w:rsid w:val="00B45F34"/>
    <w:rsid w:val="00B46447"/>
    <w:rsid w:val="00B464DE"/>
    <w:rsid w:val="00B46885"/>
    <w:rsid w:val="00B46AA9"/>
    <w:rsid w:val="00B46AE1"/>
    <w:rsid w:val="00B46BC1"/>
    <w:rsid w:val="00B46C52"/>
    <w:rsid w:val="00B46D8F"/>
    <w:rsid w:val="00B474F5"/>
    <w:rsid w:val="00B47501"/>
    <w:rsid w:val="00B47721"/>
    <w:rsid w:val="00B47B2D"/>
    <w:rsid w:val="00B47C66"/>
    <w:rsid w:val="00B47EBE"/>
    <w:rsid w:val="00B50195"/>
    <w:rsid w:val="00B5029E"/>
    <w:rsid w:val="00B5081D"/>
    <w:rsid w:val="00B508DF"/>
    <w:rsid w:val="00B508FA"/>
    <w:rsid w:val="00B50901"/>
    <w:rsid w:val="00B50CBA"/>
    <w:rsid w:val="00B5110C"/>
    <w:rsid w:val="00B5159E"/>
    <w:rsid w:val="00B51600"/>
    <w:rsid w:val="00B51685"/>
    <w:rsid w:val="00B51B4D"/>
    <w:rsid w:val="00B51C0B"/>
    <w:rsid w:val="00B51C36"/>
    <w:rsid w:val="00B51D2C"/>
    <w:rsid w:val="00B52091"/>
    <w:rsid w:val="00B523E7"/>
    <w:rsid w:val="00B52F5A"/>
    <w:rsid w:val="00B5330A"/>
    <w:rsid w:val="00B535BA"/>
    <w:rsid w:val="00B5381D"/>
    <w:rsid w:val="00B53A6E"/>
    <w:rsid w:val="00B53CE9"/>
    <w:rsid w:val="00B53E61"/>
    <w:rsid w:val="00B53EBE"/>
    <w:rsid w:val="00B540D4"/>
    <w:rsid w:val="00B54551"/>
    <w:rsid w:val="00B54A57"/>
    <w:rsid w:val="00B54C2C"/>
    <w:rsid w:val="00B54FFE"/>
    <w:rsid w:val="00B5514D"/>
    <w:rsid w:val="00B55172"/>
    <w:rsid w:val="00B551A4"/>
    <w:rsid w:val="00B551DD"/>
    <w:rsid w:val="00B552AA"/>
    <w:rsid w:val="00B55394"/>
    <w:rsid w:val="00B55538"/>
    <w:rsid w:val="00B555A5"/>
    <w:rsid w:val="00B5567C"/>
    <w:rsid w:val="00B556CA"/>
    <w:rsid w:val="00B55998"/>
    <w:rsid w:val="00B55DFD"/>
    <w:rsid w:val="00B55E06"/>
    <w:rsid w:val="00B55F89"/>
    <w:rsid w:val="00B55FBE"/>
    <w:rsid w:val="00B5624A"/>
    <w:rsid w:val="00B5631D"/>
    <w:rsid w:val="00B563B8"/>
    <w:rsid w:val="00B5651C"/>
    <w:rsid w:val="00B565F3"/>
    <w:rsid w:val="00B5680F"/>
    <w:rsid w:val="00B569F4"/>
    <w:rsid w:val="00B56A6A"/>
    <w:rsid w:val="00B56D1C"/>
    <w:rsid w:val="00B56E54"/>
    <w:rsid w:val="00B56F01"/>
    <w:rsid w:val="00B56F0F"/>
    <w:rsid w:val="00B57592"/>
    <w:rsid w:val="00B577DB"/>
    <w:rsid w:val="00B57841"/>
    <w:rsid w:val="00B578B3"/>
    <w:rsid w:val="00B57A31"/>
    <w:rsid w:val="00B57C8E"/>
    <w:rsid w:val="00B6001F"/>
    <w:rsid w:val="00B604EC"/>
    <w:rsid w:val="00B607B9"/>
    <w:rsid w:val="00B60870"/>
    <w:rsid w:val="00B610D2"/>
    <w:rsid w:val="00B61353"/>
    <w:rsid w:val="00B61A6A"/>
    <w:rsid w:val="00B61B7B"/>
    <w:rsid w:val="00B61C34"/>
    <w:rsid w:val="00B61D41"/>
    <w:rsid w:val="00B61FCF"/>
    <w:rsid w:val="00B625BB"/>
    <w:rsid w:val="00B62A6B"/>
    <w:rsid w:val="00B62E36"/>
    <w:rsid w:val="00B63066"/>
    <w:rsid w:val="00B630AF"/>
    <w:rsid w:val="00B63367"/>
    <w:rsid w:val="00B63B65"/>
    <w:rsid w:val="00B63C55"/>
    <w:rsid w:val="00B63CD1"/>
    <w:rsid w:val="00B63F72"/>
    <w:rsid w:val="00B64B63"/>
    <w:rsid w:val="00B6502B"/>
    <w:rsid w:val="00B6506E"/>
    <w:rsid w:val="00B6539B"/>
    <w:rsid w:val="00B653E5"/>
    <w:rsid w:val="00B656D6"/>
    <w:rsid w:val="00B657C8"/>
    <w:rsid w:val="00B65B2F"/>
    <w:rsid w:val="00B6601E"/>
    <w:rsid w:val="00B664C7"/>
    <w:rsid w:val="00B66527"/>
    <w:rsid w:val="00B669B8"/>
    <w:rsid w:val="00B66D56"/>
    <w:rsid w:val="00B66E2C"/>
    <w:rsid w:val="00B6711B"/>
    <w:rsid w:val="00B67698"/>
    <w:rsid w:val="00B67ACD"/>
    <w:rsid w:val="00B67ADA"/>
    <w:rsid w:val="00B67B52"/>
    <w:rsid w:val="00B67C68"/>
    <w:rsid w:val="00B67CD1"/>
    <w:rsid w:val="00B67D4F"/>
    <w:rsid w:val="00B67E11"/>
    <w:rsid w:val="00B67E9C"/>
    <w:rsid w:val="00B7015C"/>
    <w:rsid w:val="00B702CD"/>
    <w:rsid w:val="00B70581"/>
    <w:rsid w:val="00B70BD5"/>
    <w:rsid w:val="00B713A8"/>
    <w:rsid w:val="00B716DF"/>
    <w:rsid w:val="00B716E8"/>
    <w:rsid w:val="00B717DE"/>
    <w:rsid w:val="00B71CA1"/>
    <w:rsid w:val="00B71D69"/>
    <w:rsid w:val="00B71DFE"/>
    <w:rsid w:val="00B72221"/>
    <w:rsid w:val="00B72225"/>
    <w:rsid w:val="00B72723"/>
    <w:rsid w:val="00B72796"/>
    <w:rsid w:val="00B727C6"/>
    <w:rsid w:val="00B728BD"/>
    <w:rsid w:val="00B72984"/>
    <w:rsid w:val="00B72AA8"/>
    <w:rsid w:val="00B72B53"/>
    <w:rsid w:val="00B72F8D"/>
    <w:rsid w:val="00B73253"/>
    <w:rsid w:val="00B73613"/>
    <w:rsid w:val="00B73B52"/>
    <w:rsid w:val="00B73BA7"/>
    <w:rsid w:val="00B73E7A"/>
    <w:rsid w:val="00B74373"/>
    <w:rsid w:val="00B7450F"/>
    <w:rsid w:val="00B7455A"/>
    <w:rsid w:val="00B749E3"/>
    <w:rsid w:val="00B74B34"/>
    <w:rsid w:val="00B74F27"/>
    <w:rsid w:val="00B74FF1"/>
    <w:rsid w:val="00B751D4"/>
    <w:rsid w:val="00B75C4F"/>
    <w:rsid w:val="00B75F43"/>
    <w:rsid w:val="00B764B6"/>
    <w:rsid w:val="00B765C1"/>
    <w:rsid w:val="00B765E7"/>
    <w:rsid w:val="00B768E6"/>
    <w:rsid w:val="00B769C9"/>
    <w:rsid w:val="00B76AD8"/>
    <w:rsid w:val="00B76D87"/>
    <w:rsid w:val="00B76FD2"/>
    <w:rsid w:val="00B771B0"/>
    <w:rsid w:val="00B772B1"/>
    <w:rsid w:val="00B775E7"/>
    <w:rsid w:val="00B7797E"/>
    <w:rsid w:val="00B77A1F"/>
    <w:rsid w:val="00B77A74"/>
    <w:rsid w:val="00B77AC7"/>
    <w:rsid w:val="00B77BB3"/>
    <w:rsid w:val="00B77C84"/>
    <w:rsid w:val="00B77E5D"/>
    <w:rsid w:val="00B80121"/>
    <w:rsid w:val="00B80265"/>
    <w:rsid w:val="00B80769"/>
    <w:rsid w:val="00B80C27"/>
    <w:rsid w:val="00B80FFD"/>
    <w:rsid w:val="00B8118E"/>
    <w:rsid w:val="00B815FE"/>
    <w:rsid w:val="00B816F3"/>
    <w:rsid w:val="00B819B3"/>
    <w:rsid w:val="00B81A3F"/>
    <w:rsid w:val="00B81E68"/>
    <w:rsid w:val="00B81EFD"/>
    <w:rsid w:val="00B81F0A"/>
    <w:rsid w:val="00B81FE3"/>
    <w:rsid w:val="00B820BE"/>
    <w:rsid w:val="00B826EC"/>
    <w:rsid w:val="00B82ADF"/>
    <w:rsid w:val="00B82C0B"/>
    <w:rsid w:val="00B82C3E"/>
    <w:rsid w:val="00B82C81"/>
    <w:rsid w:val="00B82D56"/>
    <w:rsid w:val="00B82EED"/>
    <w:rsid w:val="00B830F0"/>
    <w:rsid w:val="00B83161"/>
    <w:rsid w:val="00B8337A"/>
    <w:rsid w:val="00B83ABF"/>
    <w:rsid w:val="00B83D23"/>
    <w:rsid w:val="00B83F9E"/>
    <w:rsid w:val="00B84311"/>
    <w:rsid w:val="00B8432D"/>
    <w:rsid w:val="00B843AB"/>
    <w:rsid w:val="00B84697"/>
    <w:rsid w:val="00B84749"/>
    <w:rsid w:val="00B8489A"/>
    <w:rsid w:val="00B8491C"/>
    <w:rsid w:val="00B84B2D"/>
    <w:rsid w:val="00B84B6C"/>
    <w:rsid w:val="00B84C07"/>
    <w:rsid w:val="00B850C0"/>
    <w:rsid w:val="00B85395"/>
    <w:rsid w:val="00B85844"/>
    <w:rsid w:val="00B858C4"/>
    <w:rsid w:val="00B85933"/>
    <w:rsid w:val="00B85AA6"/>
    <w:rsid w:val="00B85B28"/>
    <w:rsid w:val="00B85C4E"/>
    <w:rsid w:val="00B85EC4"/>
    <w:rsid w:val="00B8611B"/>
    <w:rsid w:val="00B861CC"/>
    <w:rsid w:val="00B86791"/>
    <w:rsid w:val="00B87000"/>
    <w:rsid w:val="00B8715F"/>
    <w:rsid w:val="00B874DF"/>
    <w:rsid w:val="00B8795A"/>
    <w:rsid w:val="00B87BCB"/>
    <w:rsid w:val="00B87EDF"/>
    <w:rsid w:val="00B90196"/>
    <w:rsid w:val="00B902AF"/>
    <w:rsid w:val="00B902CD"/>
    <w:rsid w:val="00B90784"/>
    <w:rsid w:val="00B90D41"/>
    <w:rsid w:val="00B90D58"/>
    <w:rsid w:val="00B90E35"/>
    <w:rsid w:val="00B913C1"/>
    <w:rsid w:val="00B91415"/>
    <w:rsid w:val="00B914B0"/>
    <w:rsid w:val="00B91621"/>
    <w:rsid w:val="00B916D9"/>
    <w:rsid w:val="00B917BB"/>
    <w:rsid w:val="00B91AF0"/>
    <w:rsid w:val="00B91D16"/>
    <w:rsid w:val="00B92191"/>
    <w:rsid w:val="00B92447"/>
    <w:rsid w:val="00B92680"/>
    <w:rsid w:val="00B92B12"/>
    <w:rsid w:val="00B92E3C"/>
    <w:rsid w:val="00B9329A"/>
    <w:rsid w:val="00B933AB"/>
    <w:rsid w:val="00B93597"/>
    <w:rsid w:val="00B935AE"/>
    <w:rsid w:val="00B93997"/>
    <w:rsid w:val="00B93AF2"/>
    <w:rsid w:val="00B941AA"/>
    <w:rsid w:val="00B94459"/>
    <w:rsid w:val="00B946B0"/>
    <w:rsid w:val="00B947E7"/>
    <w:rsid w:val="00B94864"/>
    <w:rsid w:val="00B94FE2"/>
    <w:rsid w:val="00B95108"/>
    <w:rsid w:val="00B958A0"/>
    <w:rsid w:val="00B958C0"/>
    <w:rsid w:val="00B958CD"/>
    <w:rsid w:val="00B9598C"/>
    <w:rsid w:val="00B95A21"/>
    <w:rsid w:val="00B95A92"/>
    <w:rsid w:val="00B95DAB"/>
    <w:rsid w:val="00B960F1"/>
    <w:rsid w:val="00B96691"/>
    <w:rsid w:val="00B966C9"/>
    <w:rsid w:val="00B96BE9"/>
    <w:rsid w:val="00B96C74"/>
    <w:rsid w:val="00B96DBA"/>
    <w:rsid w:val="00B96EC4"/>
    <w:rsid w:val="00B96F24"/>
    <w:rsid w:val="00B972FB"/>
    <w:rsid w:val="00B97501"/>
    <w:rsid w:val="00B97AA2"/>
    <w:rsid w:val="00B97D7A"/>
    <w:rsid w:val="00B97EF1"/>
    <w:rsid w:val="00BA0078"/>
    <w:rsid w:val="00BA00A6"/>
    <w:rsid w:val="00BA0272"/>
    <w:rsid w:val="00BA044B"/>
    <w:rsid w:val="00BA0579"/>
    <w:rsid w:val="00BA0790"/>
    <w:rsid w:val="00BA08CE"/>
    <w:rsid w:val="00BA0B93"/>
    <w:rsid w:val="00BA0DF3"/>
    <w:rsid w:val="00BA10BE"/>
    <w:rsid w:val="00BA153A"/>
    <w:rsid w:val="00BA162B"/>
    <w:rsid w:val="00BA169E"/>
    <w:rsid w:val="00BA17F4"/>
    <w:rsid w:val="00BA1AB3"/>
    <w:rsid w:val="00BA1F07"/>
    <w:rsid w:val="00BA240A"/>
    <w:rsid w:val="00BA2479"/>
    <w:rsid w:val="00BA24FA"/>
    <w:rsid w:val="00BA2613"/>
    <w:rsid w:val="00BA264F"/>
    <w:rsid w:val="00BA2ABC"/>
    <w:rsid w:val="00BA2C40"/>
    <w:rsid w:val="00BA3414"/>
    <w:rsid w:val="00BA343B"/>
    <w:rsid w:val="00BA36F1"/>
    <w:rsid w:val="00BA3704"/>
    <w:rsid w:val="00BA39DE"/>
    <w:rsid w:val="00BA3ACF"/>
    <w:rsid w:val="00BA3C4F"/>
    <w:rsid w:val="00BA3D06"/>
    <w:rsid w:val="00BA3F45"/>
    <w:rsid w:val="00BA3F67"/>
    <w:rsid w:val="00BA4445"/>
    <w:rsid w:val="00BA4D50"/>
    <w:rsid w:val="00BA4E02"/>
    <w:rsid w:val="00BA5432"/>
    <w:rsid w:val="00BA5478"/>
    <w:rsid w:val="00BA5981"/>
    <w:rsid w:val="00BA59DB"/>
    <w:rsid w:val="00BA5ADF"/>
    <w:rsid w:val="00BA5CCC"/>
    <w:rsid w:val="00BA5CF4"/>
    <w:rsid w:val="00BA5E64"/>
    <w:rsid w:val="00BA5F33"/>
    <w:rsid w:val="00BA6591"/>
    <w:rsid w:val="00BA6B3E"/>
    <w:rsid w:val="00BA6BE7"/>
    <w:rsid w:val="00BA6CF5"/>
    <w:rsid w:val="00BA708C"/>
    <w:rsid w:val="00BA72D8"/>
    <w:rsid w:val="00BA74BE"/>
    <w:rsid w:val="00BA754F"/>
    <w:rsid w:val="00BA7629"/>
    <w:rsid w:val="00BA7E67"/>
    <w:rsid w:val="00BB0006"/>
    <w:rsid w:val="00BB003E"/>
    <w:rsid w:val="00BB00D3"/>
    <w:rsid w:val="00BB0133"/>
    <w:rsid w:val="00BB0309"/>
    <w:rsid w:val="00BB0450"/>
    <w:rsid w:val="00BB070C"/>
    <w:rsid w:val="00BB088D"/>
    <w:rsid w:val="00BB0CE5"/>
    <w:rsid w:val="00BB0D0A"/>
    <w:rsid w:val="00BB0E86"/>
    <w:rsid w:val="00BB1383"/>
    <w:rsid w:val="00BB1624"/>
    <w:rsid w:val="00BB1E3F"/>
    <w:rsid w:val="00BB2048"/>
    <w:rsid w:val="00BB20AA"/>
    <w:rsid w:val="00BB223F"/>
    <w:rsid w:val="00BB28C2"/>
    <w:rsid w:val="00BB28D5"/>
    <w:rsid w:val="00BB2B79"/>
    <w:rsid w:val="00BB2CFE"/>
    <w:rsid w:val="00BB2D40"/>
    <w:rsid w:val="00BB30B9"/>
    <w:rsid w:val="00BB327C"/>
    <w:rsid w:val="00BB3288"/>
    <w:rsid w:val="00BB345F"/>
    <w:rsid w:val="00BB38B9"/>
    <w:rsid w:val="00BB3A04"/>
    <w:rsid w:val="00BB3EE0"/>
    <w:rsid w:val="00BB3F55"/>
    <w:rsid w:val="00BB46FB"/>
    <w:rsid w:val="00BB4A80"/>
    <w:rsid w:val="00BB4EED"/>
    <w:rsid w:val="00BB4FBF"/>
    <w:rsid w:val="00BB4FC1"/>
    <w:rsid w:val="00BB5071"/>
    <w:rsid w:val="00BB5153"/>
    <w:rsid w:val="00BB5212"/>
    <w:rsid w:val="00BB57E2"/>
    <w:rsid w:val="00BB5B14"/>
    <w:rsid w:val="00BB5CAF"/>
    <w:rsid w:val="00BB5E51"/>
    <w:rsid w:val="00BB5FCF"/>
    <w:rsid w:val="00BB615E"/>
    <w:rsid w:val="00BB6247"/>
    <w:rsid w:val="00BB6356"/>
    <w:rsid w:val="00BB646E"/>
    <w:rsid w:val="00BB67EB"/>
    <w:rsid w:val="00BB6902"/>
    <w:rsid w:val="00BB6A47"/>
    <w:rsid w:val="00BB6D85"/>
    <w:rsid w:val="00BB6F61"/>
    <w:rsid w:val="00BB6F6E"/>
    <w:rsid w:val="00BB753D"/>
    <w:rsid w:val="00BB7969"/>
    <w:rsid w:val="00BB7A06"/>
    <w:rsid w:val="00BB7D89"/>
    <w:rsid w:val="00BC01AC"/>
    <w:rsid w:val="00BC0A4A"/>
    <w:rsid w:val="00BC0BA6"/>
    <w:rsid w:val="00BC1071"/>
    <w:rsid w:val="00BC11B5"/>
    <w:rsid w:val="00BC145B"/>
    <w:rsid w:val="00BC1A6C"/>
    <w:rsid w:val="00BC1AC8"/>
    <w:rsid w:val="00BC1FAF"/>
    <w:rsid w:val="00BC216B"/>
    <w:rsid w:val="00BC22D6"/>
    <w:rsid w:val="00BC24C6"/>
    <w:rsid w:val="00BC2648"/>
    <w:rsid w:val="00BC28F8"/>
    <w:rsid w:val="00BC2A59"/>
    <w:rsid w:val="00BC2E0F"/>
    <w:rsid w:val="00BC3050"/>
    <w:rsid w:val="00BC320B"/>
    <w:rsid w:val="00BC3621"/>
    <w:rsid w:val="00BC367C"/>
    <w:rsid w:val="00BC39BD"/>
    <w:rsid w:val="00BC3B01"/>
    <w:rsid w:val="00BC41B6"/>
    <w:rsid w:val="00BC46AF"/>
    <w:rsid w:val="00BC4849"/>
    <w:rsid w:val="00BC4C1B"/>
    <w:rsid w:val="00BC4D09"/>
    <w:rsid w:val="00BC50EB"/>
    <w:rsid w:val="00BC5137"/>
    <w:rsid w:val="00BC51A4"/>
    <w:rsid w:val="00BC52BC"/>
    <w:rsid w:val="00BC5319"/>
    <w:rsid w:val="00BC5515"/>
    <w:rsid w:val="00BC5657"/>
    <w:rsid w:val="00BC5670"/>
    <w:rsid w:val="00BC5B91"/>
    <w:rsid w:val="00BC5E0B"/>
    <w:rsid w:val="00BC5ECA"/>
    <w:rsid w:val="00BC5EDB"/>
    <w:rsid w:val="00BC5F8C"/>
    <w:rsid w:val="00BC61A2"/>
    <w:rsid w:val="00BC6371"/>
    <w:rsid w:val="00BC6630"/>
    <w:rsid w:val="00BC6A8B"/>
    <w:rsid w:val="00BC70D0"/>
    <w:rsid w:val="00BC76F0"/>
    <w:rsid w:val="00BC77E5"/>
    <w:rsid w:val="00BC7F92"/>
    <w:rsid w:val="00BD01D4"/>
    <w:rsid w:val="00BD0760"/>
    <w:rsid w:val="00BD0905"/>
    <w:rsid w:val="00BD0A2D"/>
    <w:rsid w:val="00BD0B7E"/>
    <w:rsid w:val="00BD0BDC"/>
    <w:rsid w:val="00BD0EF3"/>
    <w:rsid w:val="00BD10F6"/>
    <w:rsid w:val="00BD132D"/>
    <w:rsid w:val="00BD14DA"/>
    <w:rsid w:val="00BD1757"/>
    <w:rsid w:val="00BD177B"/>
    <w:rsid w:val="00BD19E5"/>
    <w:rsid w:val="00BD1B8D"/>
    <w:rsid w:val="00BD253E"/>
    <w:rsid w:val="00BD25F2"/>
    <w:rsid w:val="00BD270A"/>
    <w:rsid w:val="00BD291D"/>
    <w:rsid w:val="00BD29D6"/>
    <w:rsid w:val="00BD2AFB"/>
    <w:rsid w:val="00BD2F06"/>
    <w:rsid w:val="00BD332A"/>
    <w:rsid w:val="00BD35D2"/>
    <w:rsid w:val="00BD3F31"/>
    <w:rsid w:val="00BD423E"/>
    <w:rsid w:val="00BD44AC"/>
    <w:rsid w:val="00BD45D7"/>
    <w:rsid w:val="00BD4832"/>
    <w:rsid w:val="00BD48F8"/>
    <w:rsid w:val="00BD4BB9"/>
    <w:rsid w:val="00BD4C48"/>
    <w:rsid w:val="00BD4C6E"/>
    <w:rsid w:val="00BD551B"/>
    <w:rsid w:val="00BD5582"/>
    <w:rsid w:val="00BD5941"/>
    <w:rsid w:val="00BD5A9E"/>
    <w:rsid w:val="00BD5B75"/>
    <w:rsid w:val="00BD633A"/>
    <w:rsid w:val="00BD648E"/>
    <w:rsid w:val="00BD6998"/>
    <w:rsid w:val="00BD6BD4"/>
    <w:rsid w:val="00BD6CE8"/>
    <w:rsid w:val="00BD6F6C"/>
    <w:rsid w:val="00BD7111"/>
    <w:rsid w:val="00BD7116"/>
    <w:rsid w:val="00BD71AC"/>
    <w:rsid w:val="00BD7822"/>
    <w:rsid w:val="00BD7CBD"/>
    <w:rsid w:val="00BD7D28"/>
    <w:rsid w:val="00BD7DCC"/>
    <w:rsid w:val="00BE0523"/>
    <w:rsid w:val="00BE09ED"/>
    <w:rsid w:val="00BE0A4F"/>
    <w:rsid w:val="00BE1068"/>
    <w:rsid w:val="00BE1183"/>
    <w:rsid w:val="00BE1293"/>
    <w:rsid w:val="00BE154D"/>
    <w:rsid w:val="00BE1603"/>
    <w:rsid w:val="00BE1780"/>
    <w:rsid w:val="00BE17A9"/>
    <w:rsid w:val="00BE1D72"/>
    <w:rsid w:val="00BE1FCD"/>
    <w:rsid w:val="00BE24D6"/>
    <w:rsid w:val="00BE2533"/>
    <w:rsid w:val="00BE262B"/>
    <w:rsid w:val="00BE2AA8"/>
    <w:rsid w:val="00BE2C1D"/>
    <w:rsid w:val="00BE3206"/>
    <w:rsid w:val="00BE3460"/>
    <w:rsid w:val="00BE3B95"/>
    <w:rsid w:val="00BE3F40"/>
    <w:rsid w:val="00BE3F98"/>
    <w:rsid w:val="00BE412A"/>
    <w:rsid w:val="00BE42F0"/>
    <w:rsid w:val="00BE4363"/>
    <w:rsid w:val="00BE4604"/>
    <w:rsid w:val="00BE4643"/>
    <w:rsid w:val="00BE47CC"/>
    <w:rsid w:val="00BE4965"/>
    <w:rsid w:val="00BE4A39"/>
    <w:rsid w:val="00BE4C28"/>
    <w:rsid w:val="00BE4F2D"/>
    <w:rsid w:val="00BE5077"/>
    <w:rsid w:val="00BE560B"/>
    <w:rsid w:val="00BE56AD"/>
    <w:rsid w:val="00BE5742"/>
    <w:rsid w:val="00BE5916"/>
    <w:rsid w:val="00BE5959"/>
    <w:rsid w:val="00BE59DE"/>
    <w:rsid w:val="00BE5AEF"/>
    <w:rsid w:val="00BE6208"/>
    <w:rsid w:val="00BE6336"/>
    <w:rsid w:val="00BE6340"/>
    <w:rsid w:val="00BE657D"/>
    <w:rsid w:val="00BE6672"/>
    <w:rsid w:val="00BE6685"/>
    <w:rsid w:val="00BE67BA"/>
    <w:rsid w:val="00BE6807"/>
    <w:rsid w:val="00BE6AAD"/>
    <w:rsid w:val="00BE6B34"/>
    <w:rsid w:val="00BE7217"/>
    <w:rsid w:val="00BE727C"/>
    <w:rsid w:val="00BE7282"/>
    <w:rsid w:val="00BE734F"/>
    <w:rsid w:val="00BE766B"/>
    <w:rsid w:val="00BE7AAF"/>
    <w:rsid w:val="00BE7E10"/>
    <w:rsid w:val="00BF00DD"/>
    <w:rsid w:val="00BF0277"/>
    <w:rsid w:val="00BF0325"/>
    <w:rsid w:val="00BF047F"/>
    <w:rsid w:val="00BF09D6"/>
    <w:rsid w:val="00BF10F1"/>
    <w:rsid w:val="00BF119D"/>
    <w:rsid w:val="00BF120F"/>
    <w:rsid w:val="00BF13A5"/>
    <w:rsid w:val="00BF1406"/>
    <w:rsid w:val="00BF147F"/>
    <w:rsid w:val="00BF14FD"/>
    <w:rsid w:val="00BF152D"/>
    <w:rsid w:val="00BF16A8"/>
    <w:rsid w:val="00BF180C"/>
    <w:rsid w:val="00BF1989"/>
    <w:rsid w:val="00BF1B37"/>
    <w:rsid w:val="00BF1BEE"/>
    <w:rsid w:val="00BF1D7E"/>
    <w:rsid w:val="00BF2103"/>
    <w:rsid w:val="00BF22B3"/>
    <w:rsid w:val="00BF26DB"/>
    <w:rsid w:val="00BF2D86"/>
    <w:rsid w:val="00BF2E75"/>
    <w:rsid w:val="00BF2EE4"/>
    <w:rsid w:val="00BF31A1"/>
    <w:rsid w:val="00BF32E4"/>
    <w:rsid w:val="00BF338F"/>
    <w:rsid w:val="00BF34F0"/>
    <w:rsid w:val="00BF380F"/>
    <w:rsid w:val="00BF3A43"/>
    <w:rsid w:val="00BF3AE2"/>
    <w:rsid w:val="00BF3B2E"/>
    <w:rsid w:val="00BF3BBA"/>
    <w:rsid w:val="00BF3C4A"/>
    <w:rsid w:val="00BF3E78"/>
    <w:rsid w:val="00BF41CA"/>
    <w:rsid w:val="00BF426A"/>
    <w:rsid w:val="00BF4582"/>
    <w:rsid w:val="00BF4E1F"/>
    <w:rsid w:val="00BF4F01"/>
    <w:rsid w:val="00BF5422"/>
    <w:rsid w:val="00BF588A"/>
    <w:rsid w:val="00BF5C86"/>
    <w:rsid w:val="00BF5EE6"/>
    <w:rsid w:val="00BF5FF7"/>
    <w:rsid w:val="00BF6401"/>
    <w:rsid w:val="00BF6730"/>
    <w:rsid w:val="00BF675B"/>
    <w:rsid w:val="00BF6964"/>
    <w:rsid w:val="00BF6A87"/>
    <w:rsid w:val="00BF6C9C"/>
    <w:rsid w:val="00BF6FC9"/>
    <w:rsid w:val="00BF70C4"/>
    <w:rsid w:val="00BF7196"/>
    <w:rsid w:val="00BF7485"/>
    <w:rsid w:val="00BF7966"/>
    <w:rsid w:val="00BF7A25"/>
    <w:rsid w:val="00BF7C34"/>
    <w:rsid w:val="00BF7E6A"/>
    <w:rsid w:val="00BF7E80"/>
    <w:rsid w:val="00C000D7"/>
    <w:rsid w:val="00C00116"/>
    <w:rsid w:val="00C00243"/>
    <w:rsid w:val="00C00578"/>
    <w:rsid w:val="00C005E1"/>
    <w:rsid w:val="00C0075F"/>
    <w:rsid w:val="00C007E9"/>
    <w:rsid w:val="00C009DB"/>
    <w:rsid w:val="00C00AA5"/>
    <w:rsid w:val="00C00AFB"/>
    <w:rsid w:val="00C00CA1"/>
    <w:rsid w:val="00C00E12"/>
    <w:rsid w:val="00C00FE1"/>
    <w:rsid w:val="00C01071"/>
    <w:rsid w:val="00C0115A"/>
    <w:rsid w:val="00C012CF"/>
    <w:rsid w:val="00C012F5"/>
    <w:rsid w:val="00C01375"/>
    <w:rsid w:val="00C013BE"/>
    <w:rsid w:val="00C015E7"/>
    <w:rsid w:val="00C0172E"/>
    <w:rsid w:val="00C01B80"/>
    <w:rsid w:val="00C01CA5"/>
    <w:rsid w:val="00C01EE0"/>
    <w:rsid w:val="00C02099"/>
    <w:rsid w:val="00C024D8"/>
    <w:rsid w:val="00C027A0"/>
    <w:rsid w:val="00C0289B"/>
    <w:rsid w:val="00C02ACD"/>
    <w:rsid w:val="00C02D26"/>
    <w:rsid w:val="00C02E0E"/>
    <w:rsid w:val="00C02E67"/>
    <w:rsid w:val="00C03046"/>
    <w:rsid w:val="00C0304A"/>
    <w:rsid w:val="00C03731"/>
    <w:rsid w:val="00C03956"/>
    <w:rsid w:val="00C0397A"/>
    <w:rsid w:val="00C03990"/>
    <w:rsid w:val="00C039E3"/>
    <w:rsid w:val="00C03A1C"/>
    <w:rsid w:val="00C03CC2"/>
    <w:rsid w:val="00C03F43"/>
    <w:rsid w:val="00C0410D"/>
    <w:rsid w:val="00C044A3"/>
    <w:rsid w:val="00C0452C"/>
    <w:rsid w:val="00C04EE5"/>
    <w:rsid w:val="00C04F4B"/>
    <w:rsid w:val="00C04FCA"/>
    <w:rsid w:val="00C052F4"/>
    <w:rsid w:val="00C054EE"/>
    <w:rsid w:val="00C05832"/>
    <w:rsid w:val="00C059AA"/>
    <w:rsid w:val="00C059F0"/>
    <w:rsid w:val="00C05AB8"/>
    <w:rsid w:val="00C05AC0"/>
    <w:rsid w:val="00C05AD9"/>
    <w:rsid w:val="00C05E3B"/>
    <w:rsid w:val="00C05F2E"/>
    <w:rsid w:val="00C05FA1"/>
    <w:rsid w:val="00C068A8"/>
    <w:rsid w:val="00C0697D"/>
    <w:rsid w:val="00C06A16"/>
    <w:rsid w:val="00C06DA6"/>
    <w:rsid w:val="00C06E03"/>
    <w:rsid w:val="00C06E5D"/>
    <w:rsid w:val="00C070BA"/>
    <w:rsid w:val="00C070ED"/>
    <w:rsid w:val="00C0726B"/>
    <w:rsid w:val="00C074B7"/>
    <w:rsid w:val="00C0773B"/>
    <w:rsid w:val="00C077D7"/>
    <w:rsid w:val="00C07A44"/>
    <w:rsid w:val="00C07ADB"/>
    <w:rsid w:val="00C07C7A"/>
    <w:rsid w:val="00C07D31"/>
    <w:rsid w:val="00C07DE0"/>
    <w:rsid w:val="00C07F2B"/>
    <w:rsid w:val="00C10035"/>
    <w:rsid w:val="00C106D1"/>
    <w:rsid w:val="00C107ED"/>
    <w:rsid w:val="00C10BDE"/>
    <w:rsid w:val="00C10C58"/>
    <w:rsid w:val="00C10DDC"/>
    <w:rsid w:val="00C10FD8"/>
    <w:rsid w:val="00C1107C"/>
    <w:rsid w:val="00C11153"/>
    <w:rsid w:val="00C114DB"/>
    <w:rsid w:val="00C11839"/>
    <w:rsid w:val="00C1197E"/>
    <w:rsid w:val="00C11C30"/>
    <w:rsid w:val="00C11F25"/>
    <w:rsid w:val="00C12110"/>
    <w:rsid w:val="00C12166"/>
    <w:rsid w:val="00C12B06"/>
    <w:rsid w:val="00C12B58"/>
    <w:rsid w:val="00C12BEA"/>
    <w:rsid w:val="00C12D63"/>
    <w:rsid w:val="00C1306D"/>
    <w:rsid w:val="00C131D4"/>
    <w:rsid w:val="00C13450"/>
    <w:rsid w:val="00C135E1"/>
    <w:rsid w:val="00C1389B"/>
    <w:rsid w:val="00C13B57"/>
    <w:rsid w:val="00C13EEB"/>
    <w:rsid w:val="00C13F6F"/>
    <w:rsid w:val="00C140F2"/>
    <w:rsid w:val="00C14445"/>
    <w:rsid w:val="00C14556"/>
    <w:rsid w:val="00C1457B"/>
    <w:rsid w:val="00C14661"/>
    <w:rsid w:val="00C146EF"/>
    <w:rsid w:val="00C147B6"/>
    <w:rsid w:val="00C14869"/>
    <w:rsid w:val="00C14C91"/>
    <w:rsid w:val="00C14FE7"/>
    <w:rsid w:val="00C15576"/>
    <w:rsid w:val="00C155E9"/>
    <w:rsid w:val="00C15675"/>
    <w:rsid w:val="00C15AA1"/>
    <w:rsid w:val="00C15C9D"/>
    <w:rsid w:val="00C16195"/>
    <w:rsid w:val="00C163C1"/>
    <w:rsid w:val="00C16436"/>
    <w:rsid w:val="00C165CF"/>
    <w:rsid w:val="00C1671C"/>
    <w:rsid w:val="00C16A23"/>
    <w:rsid w:val="00C16C84"/>
    <w:rsid w:val="00C16E9E"/>
    <w:rsid w:val="00C1714E"/>
    <w:rsid w:val="00C171F4"/>
    <w:rsid w:val="00C172DD"/>
    <w:rsid w:val="00C17359"/>
    <w:rsid w:val="00C173EB"/>
    <w:rsid w:val="00C174EC"/>
    <w:rsid w:val="00C176D8"/>
    <w:rsid w:val="00C17802"/>
    <w:rsid w:val="00C17956"/>
    <w:rsid w:val="00C17DF3"/>
    <w:rsid w:val="00C20142"/>
    <w:rsid w:val="00C20178"/>
    <w:rsid w:val="00C2044C"/>
    <w:rsid w:val="00C204EC"/>
    <w:rsid w:val="00C20869"/>
    <w:rsid w:val="00C20B33"/>
    <w:rsid w:val="00C21219"/>
    <w:rsid w:val="00C212C7"/>
    <w:rsid w:val="00C21334"/>
    <w:rsid w:val="00C213AA"/>
    <w:rsid w:val="00C2145C"/>
    <w:rsid w:val="00C2164C"/>
    <w:rsid w:val="00C219CB"/>
    <w:rsid w:val="00C21AB3"/>
    <w:rsid w:val="00C21BAD"/>
    <w:rsid w:val="00C21BED"/>
    <w:rsid w:val="00C21DC4"/>
    <w:rsid w:val="00C21DD5"/>
    <w:rsid w:val="00C22AD9"/>
    <w:rsid w:val="00C22AFA"/>
    <w:rsid w:val="00C22C3E"/>
    <w:rsid w:val="00C22D36"/>
    <w:rsid w:val="00C22D79"/>
    <w:rsid w:val="00C22F07"/>
    <w:rsid w:val="00C23081"/>
    <w:rsid w:val="00C2312F"/>
    <w:rsid w:val="00C2332B"/>
    <w:rsid w:val="00C23758"/>
    <w:rsid w:val="00C23B46"/>
    <w:rsid w:val="00C23C23"/>
    <w:rsid w:val="00C244FE"/>
    <w:rsid w:val="00C245E4"/>
    <w:rsid w:val="00C24721"/>
    <w:rsid w:val="00C2479A"/>
    <w:rsid w:val="00C24A9F"/>
    <w:rsid w:val="00C24BED"/>
    <w:rsid w:val="00C2508D"/>
    <w:rsid w:val="00C254C8"/>
    <w:rsid w:val="00C25670"/>
    <w:rsid w:val="00C25848"/>
    <w:rsid w:val="00C25861"/>
    <w:rsid w:val="00C25B51"/>
    <w:rsid w:val="00C25D40"/>
    <w:rsid w:val="00C25E59"/>
    <w:rsid w:val="00C25F13"/>
    <w:rsid w:val="00C25F1B"/>
    <w:rsid w:val="00C25F99"/>
    <w:rsid w:val="00C2610C"/>
    <w:rsid w:val="00C263ED"/>
    <w:rsid w:val="00C269E5"/>
    <w:rsid w:val="00C276C3"/>
    <w:rsid w:val="00C27A19"/>
    <w:rsid w:val="00C27B2E"/>
    <w:rsid w:val="00C27C7F"/>
    <w:rsid w:val="00C27D4F"/>
    <w:rsid w:val="00C27DB6"/>
    <w:rsid w:val="00C27EA6"/>
    <w:rsid w:val="00C27FF4"/>
    <w:rsid w:val="00C30147"/>
    <w:rsid w:val="00C30416"/>
    <w:rsid w:val="00C30D74"/>
    <w:rsid w:val="00C30D7F"/>
    <w:rsid w:val="00C30E7D"/>
    <w:rsid w:val="00C31005"/>
    <w:rsid w:val="00C3115E"/>
    <w:rsid w:val="00C315D9"/>
    <w:rsid w:val="00C316D8"/>
    <w:rsid w:val="00C31C0D"/>
    <w:rsid w:val="00C31CCD"/>
    <w:rsid w:val="00C31E05"/>
    <w:rsid w:val="00C3217D"/>
    <w:rsid w:val="00C3217F"/>
    <w:rsid w:val="00C32EB2"/>
    <w:rsid w:val="00C330CC"/>
    <w:rsid w:val="00C333A5"/>
    <w:rsid w:val="00C33419"/>
    <w:rsid w:val="00C33493"/>
    <w:rsid w:val="00C334E0"/>
    <w:rsid w:val="00C33652"/>
    <w:rsid w:val="00C3383E"/>
    <w:rsid w:val="00C338B2"/>
    <w:rsid w:val="00C33A18"/>
    <w:rsid w:val="00C33ACA"/>
    <w:rsid w:val="00C33DA9"/>
    <w:rsid w:val="00C33ED9"/>
    <w:rsid w:val="00C34025"/>
    <w:rsid w:val="00C341C7"/>
    <w:rsid w:val="00C341D2"/>
    <w:rsid w:val="00C343DF"/>
    <w:rsid w:val="00C3479A"/>
    <w:rsid w:val="00C349BB"/>
    <w:rsid w:val="00C34FE9"/>
    <w:rsid w:val="00C353E6"/>
    <w:rsid w:val="00C35B0D"/>
    <w:rsid w:val="00C35E99"/>
    <w:rsid w:val="00C36400"/>
    <w:rsid w:val="00C364A8"/>
    <w:rsid w:val="00C3654A"/>
    <w:rsid w:val="00C36751"/>
    <w:rsid w:val="00C36851"/>
    <w:rsid w:val="00C36982"/>
    <w:rsid w:val="00C3717B"/>
    <w:rsid w:val="00C372CC"/>
    <w:rsid w:val="00C37876"/>
    <w:rsid w:val="00C378FE"/>
    <w:rsid w:val="00C37AD3"/>
    <w:rsid w:val="00C37BCE"/>
    <w:rsid w:val="00C400BE"/>
    <w:rsid w:val="00C4018F"/>
    <w:rsid w:val="00C40246"/>
    <w:rsid w:val="00C4030C"/>
    <w:rsid w:val="00C406AD"/>
    <w:rsid w:val="00C40C43"/>
    <w:rsid w:val="00C40D30"/>
    <w:rsid w:val="00C40F78"/>
    <w:rsid w:val="00C40FE9"/>
    <w:rsid w:val="00C41206"/>
    <w:rsid w:val="00C41210"/>
    <w:rsid w:val="00C41299"/>
    <w:rsid w:val="00C412EA"/>
    <w:rsid w:val="00C414C9"/>
    <w:rsid w:val="00C417EC"/>
    <w:rsid w:val="00C42013"/>
    <w:rsid w:val="00C42247"/>
    <w:rsid w:val="00C4226E"/>
    <w:rsid w:val="00C42512"/>
    <w:rsid w:val="00C42648"/>
    <w:rsid w:val="00C42908"/>
    <w:rsid w:val="00C42EF9"/>
    <w:rsid w:val="00C42F13"/>
    <w:rsid w:val="00C434D1"/>
    <w:rsid w:val="00C436BD"/>
    <w:rsid w:val="00C437BA"/>
    <w:rsid w:val="00C43B27"/>
    <w:rsid w:val="00C43D86"/>
    <w:rsid w:val="00C4415B"/>
    <w:rsid w:val="00C441D0"/>
    <w:rsid w:val="00C44286"/>
    <w:rsid w:val="00C4441F"/>
    <w:rsid w:val="00C44753"/>
    <w:rsid w:val="00C44772"/>
    <w:rsid w:val="00C44A30"/>
    <w:rsid w:val="00C44B72"/>
    <w:rsid w:val="00C44BDD"/>
    <w:rsid w:val="00C45048"/>
    <w:rsid w:val="00C45062"/>
    <w:rsid w:val="00C450AF"/>
    <w:rsid w:val="00C45112"/>
    <w:rsid w:val="00C452AC"/>
    <w:rsid w:val="00C45A85"/>
    <w:rsid w:val="00C45B40"/>
    <w:rsid w:val="00C45D9B"/>
    <w:rsid w:val="00C45DB1"/>
    <w:rsid w:val="00C45F03"/>
    <w:rsid w:val="00C461A1"/>
    <w:rsid w:val="00C461BB"/>
    <w:rsid w:val="00C46212"/>
    <w:rsid w:val="00C463DD"/>
    <w:rsid w:val="00C465F4"/>
    <w:rsid w:val="00C466E0"/>
    <w:rsid w:val="00C46941"/>
    <w:rsid w:val="00C46A20"/>
    <w:rsid w:val="00C46D47"/>
    <w:rsid w:val="00C47006"/>
    <w:rsid w:val="00C472C4"/>
    <w:rsid w:val="00C47518"/>
    <w:rsid w:val="00C47683"/>
    <w:rsid w:val="00C479FB"/>
    <w:rsid w:val="00C47B98"/>
    <w:rsid w:val="00C47C5E"/>
    <w:rsid w:val="00C47C7F"/>
    <w:rsid w:val="00C47F73"/>
    <w:rsid w:val="00C47F9D"/>
    <w:rsid w:val="00C5016A"/>
    <w:rsid w:val="00C5057F"/>
    <w:rsid w:val="00C50AA2"/>
    <w:rsid w:val="00C50D5B"/>
    <w:rsid w:val="00C5108A"/>
    <w:rsid w:val="00C5125A"/>
    <w:rsid w:val="00C51385"/>
    <w:rsid w:val="00C51723"/>
    <w:rsid w:val="00C51886"/>
    <w:rsid w:val="00C51AE4"/>
    <w:rsid w:val="00C51E5E"/>
    <w:rsid w:val="00C51FD5"/>
    <w:rsid w:val="00C52106"/>
    <w:rsid w:val="00C528A4"/>
    <w:rsid w:val="00C528F6"/>
    <w:rsid w:val="00C52D5B"/>
    <w:rsid w:val="00C536E2"/>
    <w:rsid w:val="00C53ABF"/>
    <w:rsid w:val="00C53BE1"/>
    <w:rsid w:val="00C53BE3"/>
    <w:rsid w:val="00C53BFC"/>
    <w:rsid w:val="00C53C35"/>
    <w:rsid w:val="00C53DB3"/>
    <w:rsid w:val="00C54031"/>
    <w:rsid w:val="00C54191"/>
    <w:rsid w:val="00C5426F"/>
    <w:rsid w:val="00C54326"/>
    <w:rsid w:val="00C54441"/>
    <w:rsid w:val="00C54473"/>
    <w:rsid w:val="00C54739"/>
    <w:rsid w:val="00C5497C"/>
    <w:rsid w:val="00C5499B"/>
    <w:rsid w:val="00C54ADD"/>
    <w:rsid w:val="00C54AE1"/>
    <w:rsid w:val="00C54DF8"/>
    <w:rsid w:val="00C54F6B"/>
    <w:rsid w:val="00C55010"/>
    <w:rsid w:val="00C551A0"/>
    <w:rsid w:val="00C552C9"/>
    <w:rsid w:val="00C556E8"/>
    <w:rsid w:val="00C557D5"/>
    <w:rsid w:val="00C55B9F"/>
    <w:rsid w:val="00C55CA8"/>
    <w:rsid w:val="00C56B2F"/>
    <w:rsid w:val="00C57060"/>
    <w:rsid w:val="00C573FA"/>
    <w:rsid w:val="00C57729"/>
    <w:rsid w:val="00C6005E"/>
    <w:rsid w:val="00C604F0"/>
    <w:rsid w:val="00C6056C"/>
    <w:rsid w:val="00C6070E"/>
    <w:rsid w:val="00C60772"/>
    <w:rsid w:val="00C6091C"/>
    <w:rsid w:val="00C60C75"/>
    <w:rsid w:val="00C60EC9"/>
    <w:rsid w:val="00C6120F"/>
    <w:rsid w:val="00C6123D"/>
    <w:rsid w:val="00C61861"/>
    <w:rsid w:val="00C61BEA"/>
    <w:rsid w:val="00C623B5"/>
    <w:rsid w:val="00C6248B"/>
    <w:rsid w:val="00C624CB"/>
    <w:rsid w:val="00C625D1"/>
    <w:rsid w:val="00C62779"/>
    <w:rsid w:val="00C6291E"/>
    <w:rsid w:val="00C62949"/>
    <w:rsid w:val="00C629F0"/>
    <w:rsid w:val="00C62B89"/>
    <w:rsid w:val="00C62CBF"/>
    <w:rsid w:val="00C62E66"/>
    <w:rsid w:val="00C62F1F"/>
    <w:rsid w:val="00C63407"/>
    <w:rsid w:val="00C635C5"/>
    <w:rsid w:val="00C63662"/>
    <w:rsid w:val="00C637CE"/>
    <w:rsid w:val="00C63ACF"/>
    <w:rsid w:val="00C63B0D"/>
    <w:rsid w:val="00C64057"/>
    <w:rsid w:val="00C6470B"/>
    <w:rsid w:val="00C647F8"/>
    <w:rsid w:val="00C64F42"/>
    <w:rsid w:val="00C65343"/>
    <w:rsid w:val="00C654B9"/>
    <w:rsid w:val="00C6554D"/>
    <w:rsid w:val="00C657C5"/>
    <w:rsid w:val="00C657DB"/>
    <w:rsid w:val="00C658A3"/>
    <w:rsid w:val="00C658F7"/>
    <w:rsid w:val="00C6645D"/>
    <w:rsid w:val="00C665FF"/>
    <w:rsid w:val="00C66617"/>
    <w:rsid w:val="00C66661"/>
    <w:rsid w:val="00C667E3"/>
    <w:rsid w:val="00C66C40"/>
    <w:rsid w:val="00C66D30"/>
    <w:rsid w:val="00C66D84"/>
    <w:rsid w:val="00C66F44"/>
    <w:rsid w:val="00C670E5"/>
    <w:rsid w:val="00C672F4"/>
    <w:rsid w:val="00C67372"/>
    <w:rsid w:val="00C6742C"/>
    <w:rsid w:val="00C674DC"/>
    <w:rsid w:val="00C678B7"/>
    <w:rsid w:val="00C7031B"/>
    <w:rsid w:val="00C709AA"/>
    <w:rsid w:val="00C70E6C"/>
    <w:rsid w:val="00C7139F"/>
    <w:rsid w:val="00C714D9"/>
    <w:rsid w:val="00C716F0"/>
    <w:rsid w:val="00C71B30"/>
    <w:rsid w:val="00C71BE7"/>
    <w:rsid w:val="00C71F69"/>
    <w:rsid w:val="00C728F6"/>
    <w:rsid w:val="00C72DF1"/>
    <w:rsid w:val="00C73081"/>
    <w:rsid w:val="00C7335A"/>
    <w:rsid w:val="00C73414"/>
    <w:rsid w:val="00C738AD"/>
    <w:rsid w:val="00C73A23"/>
    <w:rsid w:val="00C73B2F"/>
    <w:rsid w:val="00C73B3C"/>
    <w:rsid w:val="00C73F81"/>
    <w:rsid w:val="00C740F4"/>
    <w:rsid w:val="00C742BD"/>
    <w:rsid w:val="00C7432C"/>
    <w:rsid w:val="00C7472E"/>
    <w:rsid w:val="00C74791"/>
    <w:rsid w:val="00C748EE"/>
    <w:rsid w:val="00C74935"/>
    <w:rsid w:val="00C74E73"/>
    <w:rsid w:val="00C750F3"/>
    <w:rsid w:val="00C753B3"/>
    <w:rsid w:val="00C7544A"/>
    <w:rsid w:val="00C759BD"/>
    <w:rsid w:val="00C759CE"/>
    <w:rsid w:val="00C75B49"/>
    <w:rsid w:val="00C75FB9"/>
    <w:rsid w:val="00C76257"/>
    <w:rsid w:val="00C764D7"/>
    <w:rsid w:val="00C766E2"/>
    <w:rsid w:val="00C76869"/>
    <w:rsid w:val="00C769EC"/>
    <w:rsid w:val="00C77067"/>
    <w:rsid w:val="00C77113"/>
    <w:rsid w:val="00C774A5"/>
    <w:rsid w:val="00C774CE"/>
    <w:rsid w:val="00C7779B"/>
    <w:rsid w:val="00C778AD"/>
    <w:rsid w:val="00C7794F"/>
    <w:rsid w:val="00C77C09"/>
    <w:rsid w:val="00C77E73"/>
    <w:rsid w:val="00C805C0"/>
    <w:rsid w:val="00C806B8"/>
    <w:rsid w:val="00C806BA"/>
    <w:rsid w:val="00C80802"/>
    <w:rsid w:val="00C80A6F"/>
    <w:rsid w:val="00C80D2C"/>
    <w:rsid w:val="00C80DBD"/>
    <w:rsid w:val="00C8122A"/>
    <w:rsid w:val="00C812B2"/>
    <w:rsid w:val="00C8130B"/>
    <w:rsid w:val="00C81387"/>
    <w:rsid w:val="00C81558"/>
    <w:rsid w:val="00C81609"/>
    <w:rsid w:val="00C81792"/>
    <w:rsid w:val="00C81800"/>
    <w:rsid w:val="00C81DA6"/>
    <w:rsid w:val="00C81EC2"/>
    <w:rsid w:val="00C81F11"/>
    <w:rsid w:val="00C81F1D"/>
    <w:rsid w:val="00C81F59"/>
    <w:rsid w:val="00C8218A"/>
    <w:rsid w:val="00C82318"/>
    <w:rsid w:val="00C82485"/>
    <w:rsid w:val="00C8261E"/>
    <w:rsid w:val="00C827E4"/>
    <w:rsid w:val="00C830B1"/>
    <w:rsid w:val="00C8347E"/>
    <w:rsid w:val="00C83551"/>
    <w:rsid w:val="00C837AE"/>
    <w:rsid w:val="00C83A78"/>
    <w:rsid w:val="00C83D00"/>
    <w:rsid w:val="00C83D53"/>
    <w:rsid w:val="00C84030"/>
    <w:rsid w:val="00C8425B"/>
    <w:rsid w:val="00C843B6"/>
    <w:rsid w:val="00C84B38"/>
    <w:rsid w:val="00C84D0F"/>
    <w:rsid w:val="00C85009"/>
    <w:rsid w:val="00C85322"/>
    <w:rsid w:val="00C855FE"/>
    <w:rsid w:val="00C857CC"/>
    <w:rsid w:val="00C85B53"/>
    <w:rsid w:val="00C864F2"/>
    <w:rsid w:val="00C86680"/>
    <w:rsid w:val="00C86B0B"/>
    <w:rsid w:val="00C86D7C"/>
    <w:rsid w:val="00C86E0C"/>
    <w:rsid w:val="00C86FAA"/>
    <w:rsid w:val="00C871C5"/>
    <w:rsid w:val="00C872A7"/>
    <w:rsid w:val="00C872F8"/>
    <w:rsid w:val="00C874C5"/>
    <w:rsid w:val="00C877CC"/>
    <w:rsid w:val="00C879C7"/>
    <w:rsid w:val="00C901D8"/>
    <w:rsid w:val="00C90245"/>
    <w:rsid w:val="00C90722"/>
    <w:rsid w:val="00C908C1"/>
    <w:rsid w:val="00C90CF8"/>
    <w:rsid w:val="00C91056"/>
    <w:rsid w:val="00C910B6"/>
    <w:rsid w:val="00C91140"/>
    <w:rsid w:val="00C91159"/>
    <w:rsid w:val="00C9117D"/>
    <w:rsid w:val="00C9132B"/>
    <w:rsid w:val="00C916FC"/>
    <w:rsid w:val="00C91915"/>
    <w:rsid w:val="00C91C2A"/>
    <w:rsid w:val="00C91E87"/>
    <w:rsid w:val="00C91EDC"/>
    <w:rsid w:val="00C91FCC"/>
    <w:rsid w:val="00C92178"/>
    <w:rsid w:val="00C923DF"/>
    <w:rsid w:val="00C92514"/>
    <w:rsid w:val="00C9277D"/>
    <w:rsid w:val="00C92820"/>
    <w:rsid w:val="00C92860"/>
    <w:rsid w:val="00C92C29"/>
    <w:rsid w:val="00C92E32"/>
    <w:rsid w:val="00C92E88"/>
    <w:rsid w:val="00C93308"/>
    <w:rsid w:val="00C93493"/>
    <w:rsid w:val="00C937FC"/>
    <w:rsid w:val="00C939A2"/>
    <w:rsid w:val="00C93B03"/>
    <w:rsid w:val="00C93DA8"/>
    <w:rsid w:val="00C93DB7"/>
    <w:rsid w:val="00C93E7F"/>
    <w:rsid w:val="00C9431A"/>
    <w:rsid w:val="00C9434F"/>
    <w:rsid w:val="00C944E0"/>
    <w:rsid w:val="00C945B2"/>
    <w:rsid w:val="00C94831"/>
    <w:rsid w:val="00C948FE"/>
    <w:rsid w:val="00C94EAB"/>
    <w:rsid w:val="00C95069"/>
    <w:rsid w:val="00C95668"/>
    <w:rsid w:val="00C95A20"/>
    <w:rsid w:val="00C95C98"/>
    <w:rsid w:val="00C95D00"/>
    <w:rsid w:val="00C95EB2"/>
    <w:rsid w:val="00C96119"/>
    <w:rsid w:val="00C961B1"/>
    <w:rsid w:val="00C96434"/>
    <w:rsid w:val="00C966F0"/>
    <w:rsid w:val="00C96ABE"/>
    <w:rsid w:val="00C96D02"/>
    <w:rsid w:val="00C96D3E"/>
    <w:rsid w:val="00C96D41"/>
    <w:rsid w:val="00C96D9D"/>
    <w:rsid w:val="00C9729B"/>
    <w:rsid w:val="00C973E5"/>
    <w:rsid w:val="00C97B24"/>
    <w:rsid w:val="00C97F27"/>
    <w:rsid w:val="00C9BE24"/>
    <w:rsid w:val="00C9FC33"/>
    <w:rsid w:val="00CA0344"/>
    <w:rsid w:val="00CA0450"/>
    <w:rsid w:val="00CA0452"/>
    <w:rsid w:val="00CA04A1"/>
    <w:rsid w:val="00CA0557"/>
    <w:rsid w:val="00CA0633"/>
    <w:rsid w:val="00CA0BDE"/>
    <w:rsid w:val="00CA0C52"/>
    <w:rsid w:val="00CA0D45"/>
    <w:rsid w:val="00CA0DB4"/>
    <w:rsid w:val="00CA0E70"/>
    <w:rsid w:val="00CA1005"/>
    <w:rsid w:val="00CA10BA"/>
    <w:rsid w:val="00CA144B"/>
    <w:rsid w:val="00CA166E"/>
    <w:rsid w:val="00CA18D7"/>
    <w:rsid w:val="00CA1B9B"/>
    <w:rsid w:val="00CA1CEB"/>
    <w:rsid w:val="00CA1D13"/>
    <w:rsid w:val="00CA2767"/>
    <w:rsid w:val="00CA2976"/>
    <w:rsid w:val="00CA2A42"/>
    <w:rsid w:val="00CA2B15"/>
    <w:rsid w:val="00CA2CAA"/>
    <w:rsid w:val="00CA34E2"/>
    <w:rsid w:val="00CA37C8"/>
    <w:rsid w:val="00CA38AB"/>
    <w:rsid w:val="00CA3B49"/>
    <w:rsid w:val="00CA3C05"/>
    <w:rsid w:val="00CA3F3E"/>
    <w:rsid w:val="00CA3FC6"/>
    <w:rsid w:val="00CA4744"/>
    <w:rsid w:val="00CA4924"/>
    <w:rsid w:val="00CA4D34"/>
    <w:rsid w:val="00CA4D8B"/>
    <w:rsid w:val="00CA4E65"/>
    <w:rsid w:val="00CA5057"/>
    <w:rsid w:val="00CA5224"/>
    <w:rsid w:val="00CA5379"/>
    <w:rsid w:val="00CA53B1"/>
    <w:rsid w:val="00CA5572"/>
    <w:rsid w:val="00CA582A"/>
    <w:rsid w:val="00CA5B5F"/>
    <w:rsid w:val="00CA5CD6"/>
    <w:rsid w:val="00CA60F2"/>
    <w:rsid w:val="00CA611A"/>
    <w:rsid w:val="00CA6AB9"/>
    <w:rsid w:val="00CA6D05"/>
    <w:rsid w:val="00CA6FD3"/>
    <w:rsid w:val="00CA7AF3"/>
    <w:rsid w:val="00CA7D44"/>
    <w:rsid w:val="00CA7F9F"/>
    <w:rsid w:val="00CB03B7"/>
    <w:rsid w:val="00CB0AA2"/>
    <w:rsid w:val="00CB0ADF"/>
    <w:rsid w:val="00CB0BCF"/>
    <w:rsid w:val="00CB0BD1"/>
    <w:rsid w:val="00CB13AD"/>
    <w:rsid w:val="00CB1B3A"/>
    <w:rsid w:val="00CB22C2"/>
    <w:rsid w:val="00CB24E5"/>
    <w:rsid w:val="00CB2574"/>
    <w:rsid w:val="00CB2C4C"/>
    <w:rsid w:val="00CB2EB5"/>
    <w:rsid w:val="00CB2F9A"/>
    <w:rsid w:val="00CB30F3"/>
    <w:rsid w:val="00CB3316"/>
    <w:rsid w:val="00CB3799"/>
    <w:rsid w:val="00CB384F"/>
    <w:rsid w:val="00CB388D"/>
    <w:rsid w:val="00CB3CC9"/>
    <w:rsid w:val="00CB3DE6"/>
    <w:rsid w:val="00CB40CF"/>
    <w:rsid w:val="00CB43BD"/>
    <w:rsid w:val="00CB43FA"/>
    <w:rsid w:val="00CB4478"/>
    <w:rsid w:val="00CB46A9"/>
    <w:rsid w:val="00CB47A7"/>
    <w:rsid w:val="00CB4AA8"/>
    <w:rsid w:val="00CB4DC7"/>
    <w:rsid w:val="00CB4F57"/>
    <w:rsid w:val="00CB505D"/>
    <w:rsid w:val="00CB54C7"/>
    <w:rsid w:val="00CB588B"/>
    <w:rsid w:val="00CB5E3E"/>
    <w:rsid w:val="00CB665F"/>
    <w:rsid w:val="00CB67B7"/>
    <w:rsid w:val="00CB6A94"/>
    <w:rsid w:val="00CB6AE5"/>
    <w:rsid w:val="00CB6D72"/>
    <w:rsid w:val="00CB6DE6"/>
    <w:rsid w:val="00CB6F47"/>
    <w:rsid w:val="00CB6FA5"/>
    <w:rsid w:val="00CB7003"/>
    <w:rsid w:val="00CB70FE"/>
    <w:rsid w:val="00CB7231"/>
    <w:rsid w:val="00CB74FE"/>
    <w:rsid w:val="00CB783A"/>
    <w:rsid w:val="00CB7962"/>
    <w:rsid w:val="00CB7C30"/>
    <w:rsid w:val="00CB7FE8"/>
    <w:rsid w:val="00CC0107"/>
    <w:rsid w:val="00CC01A5"/>
    <w:rsid w:val="00CC0549"/>
    <w:rsid w:val="00CC08A4"/>
    <w:rsid w:val="00CC094B"/>
    <w:rsid w:val="00CC1027"/>
    <w:rsid w:val="00CC1233"/>
    <w:rsid w:val="00CC1325"/>
    <w:rsid w:val="00CC133B"/>
    <w:rsid w:val="00CC19A3"/>
    <w:rsid w:val="00CC1C38"/>
    <w:rsid w:val="00CC1DF0"/>
    <w:rsid w:val="00CC1FE5"/>
    <w:rsid w:val="00CC217A"/>
    <w:rsid w:val="00CC2225"/>
    <w:rsid w:val="00CC230B"/>
    <w:rsid w:val="00CC26DC"/>
    <w:rsid w:val="00CC2899"/>
    <w:rsid w:val="00CC28D6"/>
    <w:rsid w:val="00CC2B71"/>
    <w:rsid w:val="00CC30CA"/>
    <w:rsid w:val="00CC342C"/>
    <w:rsid w:val="00CC355A"/>
    <w:rsid w:val="00CC3560"/>
    <w:rsid w:val="00CC358C"/>
    <w:rsid w:val="00CC35EE"/>
    <w:rsid w:val="00CC3697"/>
    <w:rsid w:val="00CC3795"/>
    <w:rsid w:val="00CC38A2"/>
    <w:rsid w:val="00CC3A25"/>
    <w:rsid w:val="00CC4395"/>
    <w:rsid w:val="00CC44BD"/>
    <w:rsid w:val="00CC478D"/>
    <w:rsid w:val="00CC4A40"/>
    <w:rsid w:val="00CC4D69"/>
    <w:rsid w:val="00CC4D8D"/>
    <w:rsid w:val="00CC4E7A"/>
    <w:rsid w:val="00CC4F27"/>
    <w:rsid w:val="00CC53FB"/>
    <w:rsid w:val="00CC5413"/>
    <w:rsid w:val="00CC56D3"/>
    <w:rsid w:val="00CC57BC"/>
    <w:rsid w:val="00CC57D6"/>
    <w:rsid w:val="00CC5D66"/>
    <w:rsid w:val="00CC5FE3"/>
    <w:rsid w:val="00CC5FF1"/>
    <w:rsid w:val="00CC6062"/>
    <w:rsid w:val="00CC60B2"/>
    <w:rsid w:val="00CC638F"/>
    <w:rsid w:val="00CC67EA"/>
    <w:rsid w:val="00CC6D64"/>
    <w:rsid w:val="00CC6F29"/>
    <w:rsid w:val="00CC6F9C"/>
    <w:rsid w:val="00CC7045"/>
    <w:rsid w:val="00CC70C0"/>
    <w:rsid w:val="00CC73E3"/>
    <w:rsid w:val="00CC773C"/>
    <w:rsid w:val="00CC7A41"/>
    <w:rsid w:val="00CC7BC5"/>
    <w:rsid w:val="00CC7E54"/>
    <w:rsid w:val="00CC7E99"/>
    <w:rsid w:val="00CC7EA1"/>
    <w:rsid w:val="00CC7EBB"/>
    <w:rsid w:val="00CD030A"/>
    <w:rsid w:val="00CD0312"/>
    <w:rsid w:val="00CD044D"/>
    <w:rsid w:val="00CD05E3"/>
    <w:rsid w:val="00CD0862"/>
    <w:rsid w:val="00CD0D68"/>
    <w:rsid w:val="00CD1050"/>
    <w:rsid w:val="00CD11F1"/>
    <w:rsid w:val="00CD141A"/>
    <w:rsid w:val="00CD1677"/>
    <w:rsid w:val="00CD19AA"/>
    <w:rsid w:val="00CD1B18"/>
    <w:rsid w:val="00CD1DFA"/>
    <w:rsid w:val="00CD219D"/>
    <w:rsid w:val="00CD2352"/>
    <w:rsid w:val="00CD2468"/>
    <w:rsid w:val="00CD2634"/>
    <w:rsid w:val="00CD2699"/>
    <w:rsid w:val="00CD2A08"/>
    <w:rsid w:val="00CD2B5F"/>
    <w:rsid w:val="00CD2DAE"/>
    <w:rsid w:val="00CD301F"/>
    <w:rsid w:val="00CD3234"/>
    <w:rsid w:val="00CD34FD"/>
    <w:rsid w:val="00CD3543"/>
    <w:rsid w:val="00CD37AF"/>
    <w:rsid w:val="00CD3944"/>
    <w:rsid w:val="00CD3B8C"/>
    <w:rsid w:val="00CD3D97"/>
    <w:rsid w:val="00CD3DC0"/>
    <w:rsid w:val="00CD3E19"/>
    <w:rsid w:val="00CD3EFB"/>
    <w:rsid w:val="00CD3F82"/>
    <w:rsid w:val="00CD3FA1"/>
    <w:rsid w:val="00CD402B"/>
    <w:rsid w:val="00CD496B"/>
    <w:rsid w:val="00CD49A7"/>
    <w:rsid w:val="00CD4E3A"/>
    <w:rsid w:val="00CD4E41"/>
    <w:rsid w:val="00CD50F0"/>
    <w:rsid w:val="00CD5312"/>
    <w:rsid w:val="00CD542C"/>
    <w:rsid w:val="00CD555A"/>
    <w:rsid w:val="00CD56AA"/>
    <w:rsid w:val="00CD5935"/>
    <w:rsid w:val="00CD5938"/>
    <w:rsid w:val="00CD5967"/>
    <w:rsid w:val="00CD616B"/>
    <w:rsid w:val="00CD62C4"/>
    <w:rsid w:val="00CD648D"/>
    <w:rsid w:val="00CD6527"/>
    <w:rsid w:val="00CD6689"/>
    <w:rsid w:val="00CD672E"/>
    <w:rsid w:val="00CD6919"/>
    <w:rsid w:val="00CD7796"/>
    <w:rsid w:val="00CD7F8F"/>
    <w:rsid w:val="00CE0037"/>
    <w:rsid w:val="00CE041E"/>
    <w:rsid w:val="00CE0424"/>
    <w:rsid w:val="00CE0493"/>
    <w:rsid w:val="00CE0A6E"/>
    <w:rsid w:val="00CE0B87"/>
    <w:rsid w:val="00CE0C97"/>
    <w:rsid w:val="00CE0D54"/>
    <w:rsid w:val="00CE116B"/>
    <w:rsid w:val="00CE1552"/>
    <w:rsid w:val="00CE1572"/>
    <w:rsid w:val="00CE1869"/>
    <w:rsid w:val="00CE1C29"/>
    <w:rsid w:val="00CE1F68"/>
    <w:rsid w:val="00CE20A9"/>
    <w:rsid w:val="00CE216F"/>
    <w:rsid w:val="00CE262D"/>
    <w:rsid w:val="00CE2BBF"/>
    <w:rsid w:val="00CE2E51"/>
    <w:rsid w:val="00CE2E52"/>
    <w:rsid w:val="00CE2F0F"/>
    <w:rsid w:val="00CE3000"/>
    <w:rsid w:val="00CE301A"/>
    <w:rsid w:val="00CE36D8"/>
    <w:rsid w:val="00CE36DE"/>
    <w:rsid w:val="00CE41A3"/>
    <w:rsid w:val="00CE4265"/>
    <w:rsid w:val="00CE43B7"/>
    <w:rsid w:val="00CE440A"/>
    <w:rsid w:val="00CE49CD"/>
    <w:rsid w:val="00CE4A8E"/>
    <w:rsid w:val="00CE4EF0"/>
    <w:rsid w:val="00CE52A5"/>
    <w:rsid w:val="00CE5820"/>
    <w:rsid w:val="00CE5B5D"/>
    <w:rsid w:val="00CE5D8C"/>
    <w:rsid w:val="00CE694A"/>
    <w:rsid w:val="00CE6A37"/>
    <w:rsid w:val="00CE6F59"/>
    <w:rsid w:val="00CE72CE"/>
    <w:rsid w:val="00CE740A"/>
    <w:rsid w:val="00CE7468"/>
    <w:rsid w:val="00CE794F"/>
    <w:rsid w:val="00CE7AFF"/>
    <w:rsid w:val="00CE7B17"/>
    <w:rsid w:val="00CE7BAD"/>
    <w:rsid w:val="00CE7E46"/>
    <w:rsid w:val="00CF015A"/>
    <w:rsid w:val="00CF01F2"/>
    <w:rsid w:val="00CF06F7"/>
    <w:rsid w:val="00CF09C2"/>
    <w:rsid w:val="00CF0B45"/>
    <w:rsid w:val="00CF0E33"/>
    <w:rsid w:val="00CF0FD2"/>
    <w:rsid w:val="00CF12A9"/>
    <w:rsid w:val="00CF12DF"/>
    <w:rsid w:val="00CF19B3"/>
    <w:rsid w:val="00CF1EA4"/>
    <w:rsid w:val="00CF1FFD"/>
    <w:rsid w:val="00CF201D"/>
    <w:rsid w:val="00CF20D8"/>
    <w:rsid w:val="00CF2332"/>
    <w:rsid w:val="00CF233F"/>
    <w:rsid w:val="00CF2403"/>
    <w:rsid w:val="00CF2532"/>
    <w:rsid w:val="00CF2584"/>
    <w:rsid w:val="00CF27CB"/>
    <w:rsid w:val="00CF2CCE"/>
    <w:rsid w:val="00CF2F04"/>
    <w:rsid w:val="00CF2F11"/>
    <w:rsid w:val="00CF3165"/>
    <w:rsid w:val="00CF326A"/>
    <w:rsid w:val="00CF36E0"/>
    <w:rsid w:val="00CF3842"/>
    <w:rsid w:val="00CF3CE2"/>
    <w:rsid w:val="00CF3D0B"/>
    <w:rsid w:val="00CF3EB5"/>
    <w:rsid w:val="00CF4420"/>
    <w:rsid w:val="00CF466C"/>
    <w:rsid w:val="00CF48EB"/>
    <w:rsid w:val="00CF4B56"/>
    <w:rsid w:val="00CF4BE8"/>
    <w:rsid w:val="00CF531E"/>
    <w:rsid w:val="00CF547E"/>
    <w:rsid w:val="00CF54A0"/>
    <w:rsid w:val="00CF5649"/>
    <w:rsid w:val="00CF5780"/>
    <w:rsid w:val="00CF5AAA"/>
    <w:rsid w:val="00CF5AB3"/>
    <w:rsid w:val="00CF5B78"/>
    <w:rsid w:val="00CF5C50"/>
    <w:rsid w:val="00CF5D46"/>
    <w:rsid w:val="00CF6116"/>
    <w:rsid w:val="00CF6776"/>
    <w:rsid w:val="00CF688D"/>
    <w:rsid w:val="00CF68B3"/>
    <w:rsid w:val="00CF6945"/>
    <w:rsid w:val="00CF6AF0"/>
    <w:rsid w:val="00CF6C71"/>
    <w:rsid w:val="00CF6C8F"/>
    <w:rsid w:val="00CF6E49"/>
    <w:rsid w:val="00CF731F"/>
    <w:rsid w:val="00CF735E"/>
    <w:rsid w:val="00CF7C54"/>
    <w:rsid w:val="00D00351"/>
    <w:rsid w:val="00D0039B"/>
    <w:rsid w:val="00D004E0"/>
    <w:rsid w:val="00D00784"/>
    <w:rsid w:val="00D00B32"/>
    <w:rsid w:val="00D00F74"/>
    <w:rsid w:val="00D00FEE"/>
    <w:rsid w:val="00D01450"/>
    <w:rsid w:val="00D0147A"/>
    <w:rsid w:val="00D01573"/>
    <w:rsid w:val="00D017ED"/>
    <w:rsid w:val="00D019F8"/>
    <w:rsid w:val="00D01A34"/>
    <w:rsid w:val="00D01D02"/>
    <w:rsid w:val="00D01D4D"/>
    <w:rsid w:val="00D01F11"/>
    <w:rsid w:val="00D0203D"/>
    <w:rsid w:val="00D020A7"/>
    <w:rsid w:val="00D023B7"/>
    <w:rsid w:val="00D028B3"/>
    <w:rsid w:val="00D029CD"/>
    <w:rsid w:val="00D02ABB"/>
    <w:rsid w:val="00D02B23"/>
    <w:rsid w:val="00D031C8"/>
    <w:rsid w:val="00D03252"/>
    <w:rsid w:val="00D03492"/>
    <w:rsid w:val="00D035D7"/>
    <w:rsid w:val="00D03633"/>
    <w:rsid w:val="00D03B5E"/>
    <w:rsid w:val="00D03D02"/>
    <w:rsid w:val="00D03E48"/>
    <w:rsid w:val="00D040E9"/>
    <w:rsid w:val="00D04DC3"/>
    <w:rsid w:val="00D050FF"/>
    <w:rsid w:val="00D051CB"/>
    <w:rsid w:val="00D0562B"/>
    <w:rsid w:val="00D0587F"/>
    <w:rsid w:val="00D05AAB"/>
    <w:rsid w:val="00D05B80"/>
    <w:rsid w:val="00D05BD6"/>
    <w:rsid w:val="00D062F9"/>
    <w:rsid w:val="00D06CD0"/>
    <w:rsid w:val="00D0701A"/>
    <w:rsid w:val="00D07358"/>
    <w:rsid w:val="00D0750F"/>
    <w:rsid w:val="00D0767F"/>
    <w:rsid w:val="00D07725"/>
    <w:rsid w:val="00D07ACA"/>
    <w:rsid w:val="00D07AD9"/>
    <w:rsid w:val="00D07BEE"/>
    <w:rsid w:val="00D07C48"/>
    <w:rsid w:val="00D1040C"/>
    <w:rsid w:val="00D10734"/>
    <w:rsid w:val="00D10B5A"/>
    <w:rsid w:val="00D10C96"/>
    <w:rsid w:val="00D11085"/>
    <w:rsid w:val="00D113C9"/>
    <w:rsid w:val="00D11661"/>
    <w:rsid w:val="00D116D3"/>
    <w:rsid w:val="00D1179F"/>
    <w:rsid w:val="00D11816"/>
    <w:rsid w:val="00D11B99"/>
    <w:rsid w:val="00D11BB0"/>
    <w:rsid w:val="00D11CBF"/>
    <w:rsid w:val="00D11CCA"/>
    <w:rsid w:val="00D11EA0"/>
    <w:rsid w:val="00D12022"/>
    <w:rsid w:val="00D12283"/>
    <w:rsid w:val="00D126E9"/>
    <w:rsid w:val="00D12871"/>
    <w:rsid w:val="00D128BE"/>
    <w:rsid w:val="00D12992"/>
    <w:rsid w:val="00D12A35"/>
    <w:rsid w:val="00D12BAB"/>
    <w:rsid w:val="00D12C86"/>
    <w:rsid w:val="00D12F99"/>
    <w:rsid w:val="00D1302D"/>
    <w:rsid w:val="00D1385B"/>
    <w:rsid w:val="00D13869"/>
    <w:rsid w:val="00D138C4"/>
    <w:rsid w:val="00D13C10"/>
    <w:rsid w:val="00D13F95"/>
    <w:rsid w:val="00D141F7"/>
    <w:rsid w:val="00D142EE"/>
    <w:rsid w:val="00D147F0"/>
    <w:rsid w:val="00D14BB8"/>
    <w:rsid w:val="00D14BBD"/>
    <w:rsid w:val="00D14BD3"/>
    <w:rsid w:val="00D14F7C"/>
    <w:rsid w:val="00D15432"/>
    <w:rsid w:val="00D154AD"/>
    <w:rsid w:val="00D15524"/>
    <w:rsid w:val="00D15837"/>
    <w:rsid w:val="00D158AF"/>
    <w:rsid w:val="00D159DA"/>
    <w:rsid w:val="00D159DC"/>
    <w:rsid w:val="00D159FF"/>
    <w:rsid w:val="00D15BF8"/>
    <w:rsid w:val="00D15CF4"/>
    <w:rsid w:val="00D15EA2"/>
    <w:rsid w:val="00D160A3"/>
    <w:rsid w:val="00D16309"/>
    <w:rsid w:val="00D16DF0"/>
    <w:rsid w:val="00D16EA1"/>
    <w:rsid w:val="00D16EA5"/>
    <w:rsid w:val="00D16F5A"/>
    <w:rsid w:val="00D16FA2"/>
    <w:rsid w:val="00D170BC"/>
    <w:rsid w:val="00D17152"/>
    <w:rsid w:val="00D17622"/>
    <w:rsid w:val="00D1767A"/>
    <w:rsid w:val="00D1769E"/>
    <w:rsid w:val="00D177F1"/>
    <w:rsid w:val="00D179D5"/>
    <w:rsid w:val="00D17ACD"/>
    <w:rsid w:val="00D17C0E"/>
    <w:rsid w:val="00D17DFD"/>
    <w:rsid w:val="00D2004E"/>
    <w:rsid w:val="00D20455"/>
    <w:rsid w:val="00D204C9"/>
    <w:rsid w:val="00D2050D"/>
    <w:rsid w:val="00D20552"/>
    <w:rsid w:val="00D2061B"/>
    <w:rsid w:val="00D20750"/>
    <w:rsid w:val="00D20923"/>
    <w:rsid w:val="00D20A61"/>
    <w:rsid w:val="00D20B18"/>
    <w:rsid w:val="00D20D6B"/>
    <w:rsid w:val="00D20E61"/>
    <w:rsid w:val="00D2105F"/>
    <w:rsid w:val="00D21839"/>
    <w:rsid w:val="00D21E88"/>
    <w:rsid w:val="00D2232C"/>
    <w:rsid w:val="00D227AD"/>
    <w:rsid w:val="00D22A32"/>
    <w:rsid w:val="00D2309A"/>
    <w:rsid w:val="00D232C8"/>
    <w:rsid w:val="00D2340D"/>
    <w:rsid w:val="00D23421"/>
    <w:rsid w:val="00D23CFC"/>
    <w:rsid w:val="00D23F64"/>
    <w:rsid w:val="00D241DC"/>
    <w:rsid w:val="00D241E7"/>
    <w:rsid w:val="00D2449D"/>
    <w:rsid w:val="00D245E6"/>
    <w:rsid w:val="00D24743"/>
    <w:rsid w:val="00D24971"/>
    <w:rsid w:val="00D24BC7"/>
    <w:rsid w:val="00D24F14"/>
    <w:rsid w:val="00D251A1"/>
    <w:rsid w:val="00D252B3"/>
    <w:rsid w:val="00D25302"/>
    <w:rsid w:val="00D2560D"/>
    <w:rsid w:val="00D25AA3"/>
    <w:rsid w:val="00D25B8E"/>
    <w:rsid w:val="00D25CFF"/>
    <w:rsid w:val="00D25D0B"/>
    <w:rsid w:val="00D2620F"/>
    <w:rsid w:val="00D26843"/>
    <w:rsid w:val="00D26864"/>
    <w:rsid w:val="00D26914"/>
    <w:rsid w:val="00D26C4D"/>
    <w:rsid w:val="00D26C64"/>
    <w:rsid w:val="00D27301"/>
    <w:rsid w:val="00D27493"/>
    <w:rsid w:val="00D27658"/>
    <w:rsid w:val="00D2769A"/>
    <w:rsid w:val="00D27A53"/>
    <w:rsid w:val="00D27C37"/>
    <w:rsid w:val="00D27FF1"/>
    <w:rsid w:val="00D30266"/>
    <w:rsid w:val="00D30962"/>
    <w:rsid w:val="00D30A6E"/>
    <w:rsid w:val="00D30E1E"/>
    <w:rsid w:val="00D30E38"/>
    <w:rsid w:val="00D30FE6"/>
    <w:rsid w:val="00D311F4"/>
    <w:rsid w:val="00D314AC"/>
    <w:rsid w:val="00D314BE"/>
    <w:rsid w:val="00D3159D"/>
    <w:rsid w:val="00D31792"/>
    <w:rsid w:val="00D3199D"/>
    <w:rsid w:val="00D31C2B"/>
    <w:rsid w:val="00D31F9E"/>
    <w:rsid w:val="00D3202D"/>
    <w:rsid w:val="00D32073"/>
    <w:rsid w:val="00D3208A"/>
    <w:rsid w:val="00D322A9"/>
    <w:rsid w:val="00D323FB"/>
    <w:rsid w:val="00D327DD"/>
    <w:rsid w:val="00D32F20"/>
    <w:rsid w:val="00D32F4D"/>
    <w:rsid w:val="00D32F89"/>
    <w:rsid w:val="00D33178"/>
    <w:rsid w:val="00D3382E"/>
    <w:rsid w:val="00D33CA5"/>
    <w:rsid w:val="00D342CB"/>
    <w:rsid w:val="00D343E7"/>
    <w:rsid w:val="00D3471E"/>
    <w:rsid w:val="00D34846"/>
    <w:rsid w:val="00D348F8"/>
    <w:rsid w:val="00D35393"/>
    <w:rsid w:val="00D35455"/>
    <w:rsid w:val="00D35722"/>
    <w:rsid w:val="00D35791"/>
    <w:rsid w:val="00D35ADB"/>
    <w:rsid w:val="00D35EA3"/>
    <w:rsid w:val="00D368DF"/>
    <w:rsid w:val="00D368E9"/>
    <w:rsid w:val="00D3691F"/>
    <w:rsid w:val="00D36A58"/>
    <w:rsid w:val="00D36D08"/>
    <w:rsid w:val="00D36DB0"/>
    <w:rsid w:val="00D37182"/>
    <w:rsid w:val="00D37269"/>
    <w:rsid w:val="00D372FF"/>
    <w:rsid w:val="00D37345"/>
    <w:rsid w:val="00D37441"/>
    <w:rsid w:val="00D37567"/>
    <w:rsid w:val="00D37E47"/>
    <w:rsid w:val="00D37F3A"/>
    <w:rsid w:val="00D37F5F"/>
    <w:rsid w:val="00D401C9"/>
    <w:rsid w:val="00D406A2"/>
    <w:rsid w:val="00D40931"/>
    <w:rsid w:val="00D409BE"/>
    <w:rsid w:val="00D40A0B"/>
    <w:rsid w:val="00D4129F"/>
    <w:rsid w:val="00D412B6"/>
    <w:rsid w:val="00D4140F"/>
    <w:rsid w:val="00D41740"/>
    <w:rsid w:val="00D41AE0"/>
    <w:rsid w:val="00D41BF8"/>
    <w:rsid w:val="00D420D8"/>
    <w:rsid w:val="00D421D1"/>
    <w:rsid w:val="00D4231F"/>
    <w:rsid w:val="00D42344"/>
    <w:rsid w:val="00D4257A"/>
    <w:rsid w:val="00D42807"/>
    <w:rsid w:val="00D428A2"/>
    <w:rsid w:val="00D42AAD"/>
    <w:rsid w:val="00D42C46"/>
    <w:rsid w:val="00D42DD1"/>
    <w:rsid w:val="00D42DF2"/>
    <w:rsid w:val="00D4306B"/>
    <w:rsid w:val="00D430C2"/>
    <w:rsid w:val="00D4344B"/>
    <w:rsid w:val="00D4377E"/>
    <w:rsid w:val="00D438B6"/>
    <w:rsid w:val="00D43AE2"/>
    <w:rsid w:val="00D43BBA"/>
    <w:rsid w:val="00D43C49"/>
    <w:rsid w:val="00D43DFC"/>
    <w:rsid w:val="00D43ECF"/>
    <w:rsid w:val="00D44152"/>
    <w:rsid w:val="00D4425B"/>
    <w:rsid w:val="00D44354"/>
    <w:rsid w:val="00D44471"/>
    <w:rsid w:val="00D44571"/>
    <w:rsid w:val="00D4462A"/>
    <w:rsid w:val="00D44748"/>
    <w:rsid w:val="00D44B10"/>
    <w:rsid w:val="00D450CD"/>
    <w:rsid w:val="00D4541F"/>
    <w:rsid w:val="00D455BB"/>
    <w:rsid w:val="00D4582D"/>
    <w:rsid w:val="00D4589B"/>
    <w:rsid w:val="00D458F4"/>
    <w:rsid w:val="00D45A16"/>
    <w:rsid w:val="00D45CCE"/>
    <w:rsid w:val="00D45EE3"/>
    <w:rsid w:val="00D461D9"/>
    <w:rsid w:val="00D463C8"/>
    <w:rsid w:val="00D46709"/>
    <w:rsid w:val="00D4683A"/>
    <w:rsid w:val="00D47108"/>
    <w:rsid w:val="00D4749A"/>
    <w:rsid w:val="00D478C0"/>
    <w:rsid w:val="00D47988"/>
    <w:rsid w:val="00D47C7E"/>
    <w:rsid w:val="00D47E01"/>
    <w:rsid w:val="00D47EBB"/>
    <w:rsid w:val="00D50021"/>
    <w:rsid w:val="00D500F0"/>
    <w:rsid w:val="00D50625"/>
    <w:rsid w:val="00D5081B"/>
    <w:rsid w:val="00D50B6A"/>
    <w:rsid w:val="00D50CD3"/>
    <w:rsid w:val="00D50E87"/>
    <w:rsid w:val="00D50F05"/>
    <w:rsid w:val="00D51A8A"/>
    <w:rsid w:val="00D51D5F"/>
    <w:rsid w:val="00D51F50"/>
    <w:rsid w:val="00D521B4"/>
    <w:rsid w:val="00D522E9"/>
    <w:rsid w:val="00D52357"/>
    <w:rsid w:val="00D52440"/>
    <w:rsid w:val="00D52652"/>
    <w:rsid w:val="00D5268A"/>
    <w:rsid w:val="00D527BB"/>
    <w:rsid w:val="00D52D1A"/>
    <w:rsid w:val="00D52DB7"/>
    <w:rsid w:val="00D52E45"/>
    <w:rsid w:val="00D52F17"/>
    <w:rsid w:val="00D52F2E"/>
    <w:rsid w:val="00D52F9C"/>
    <w:rsid w:val="00D530BC"/>
    <w:rsid w:val="00D53230"/>
    <w:rsid w:val="00D53294"/>
    <w:rsid w:val="00D53306"/>
    <w:rsid w:val="00D533C2"/>
    <w:rsid w:val="00D53403"/>
    <w:rsid w:val="00D53457"/>
    <w:rsid w:val="00D53488"/>
    <w:rsid w:val="00D53A5C"/>
    <w:rsid w:val="00D53C0C"/>
    <w:rsid w:val="00D53FCA"/>
    <w:rsid w:val="00D5406A"/>
    <w:rsid w:val="00D543B4"/>
    <w:rsid w:val="00D54487"/>
    <w:rsid w:val="00D544F6"/>
    <w:rsid w:val="00D54975"/>
    <w:rsid w:val="00D54EA7"/>
    <w:rsid w:val="00D55053"/>
    <w:rsid w:val="00D555E8"/>
    <w:rsid w:val="00D55650"/>
    <w:rsid w:val="00D55D1F"/>
    <w:rsid w:val="00D563FD"/>
    <w:rsid w:val="00D564C8"/>
    <w:rsid w:val="00D565B0"/>
    <w:rsid w:val="00D566C2"/>
    <w:rsid w:val="00D56717"/>
    <w:rsid w:val="00D568C0"/>
    <w:rsid w:val="00D56CDC"/>
    <w:rsid w:val="00D56CE4"/>
    <w:rsid w:val="00D5715F"/>
    <w:rsid w:val="00D5732B"/>
    <w:rsid w:val="00D5737C"/>
    <w:rsid w:val="00D578DF"/>
    <w:rsid w:val="00D57AE7"/>
    <w:rsid w:val="00D57B90"/>
    <w:rsid w:val="00D57DE2"/>
    <w:rsid w:val="00D57F22"/>
    <w:rsid w:val="00D57F6E"/>
    <w:rsid w:val="00D600FE"/>
    <w:rsid w:val="00D604F0"/>
    <w:rsid w:val="00D604F2"/>
    <w:rsid w:val="00D6097B"/>
    <w:rsid w:val="00D60AD9"/>
    <w:rsid w:val="00D60F46"/>
    <w:rsid w:val="00D61017"/>
    <w:rsid w:val="00D612C8"/>
    <w:rsid w:val="00D6156E"/>
    <w:rsid w:val="00D61704"/>
    <w:rsid w:val="00D619F6"/>
    <w:rsid w:val="00D61AC0"/>
    <w:rsid w:val="00D61B55"/>
    <w:rsid w:val="00D61D6A"/>
    <w:rsid w:val="00D61E9E"/>
    <w:rsid w:val="00D62615"/>
    <w:rsid w:val="00D62844"/>
    <w:rsid w:val="00D6292C"/>
    <w:rsid w:val="00D62B5B"/>
    <w:rsid w:val="00D62DFC"/>
    <w:rsid w:val="00D62F09"/>
    <w:rsid w:val="00D63D03"/>
    <w:rsid w:val="00D63E91"/>
    <w:rsid w:val="00D6412D"/>
    <w:rsid w:val="00D643C0"/>
    <w:rsid w:val="00D6451F"/>
    <w:rsid w:val="00D646BF"/>
    <w:rsid w:val="00D64740"/>
    <w:rsid w:val="00D64844"/>
    <w:rsid w:val="00D649E9"/>
    <w:rsid w:val="00D64BA9"/>
    <w:rsid w:val="00D64C4D"/>
    <w:rsid w:val="00D64EF5"/>
    <w:rsid w:val="00D652DF"/>
    <w:rsid w:val="00D656A9"/>
    <w:rsid w:val="00D65791"/>
    <w:rsid w:val="00D657BB"/>
    <w:rsid w:val="00D658D0"/>
    <w:rsid w:val="00D65A20"/>
    <w:rsid w:val="00D65C81"/>
    <w:rsid w:val="00D66229"/>
    <w:rsid w:val="00D66901"/>
    <w:rsid w:val="00D66902"/>
    <w:rsid w:val="00D66970"/>
    <w:rsid w:val="00D66CEE"/>
    <w:rsid w:val="00D66E93"/>
    <w:rsid w:val="00D673FD"/>
    <w:rsid w:val="00D67673"/>
    <w:rsid w:val="00D67A31"/>
    <w:rsid w:val="00D67B2E"/>
    <w:rsid w:val="00D67D48"/>
    <w:rsid w:val="00D70282"/>
    <w:rsid w:val="00D7063B"/>
    <w:rsid w:val="00D706CA"/>
    <w:rsid w:val="00D709B1"/>
    <w:rsid w:val="00D709F0"/>
    <w:rsid w:val="00D70EB7"/>
    <w:rsid w:val="00D70FB9"/>
    <w:rsid w:val="00D711EC"/>
    <w:rsid w:val="00D71335"/>
    <w:rsid w:val="00D716E1"/>
    <w:rsid w:val="00D718EC"/>
    <w:rsid w:val="00D71953"/>
    <w:rsid w:val="00D7216B"/>
    <w:rsid w:val="00D722A0"/>
    <w:rsid w:val="00D72369"/>
    <w:rsid w:val="00D72383"/>
    <w:rsid w:val="00D7248D"/>
    <w:rsid w:val="00D7251F"/>
    <w:rsid w:val="00D7257D"/>
    <w:rsid w:val="00D727A2"/>
    <w:rsid w:val="00D7298D"/>
    <w:rsid w:val="00D72C71"/>
    <w:rsid w:val="00D72D67"/>
    <w:rsid w:val="00D73230"/>
    <w:rsid w:val="00D73656"/>
    <w:rsid w:val="00D738BD"/>
    <w:rsid w:val="00D738CA"/>
    <w:rsid w:val="00D73E59"/>
    <w:rsid w:val="00D74124"/>
    <w:rsid w:val="00D74352"/>
    <w:rsid w:val="00D74BE7"/>
    <w:rsid w:val="00D74F98"/>
    <w:rsid w:val="00D755B1"/>
    <w:rsid w:val="00D75759"/>
    <w:rsid w:val="00D75813"/>
    <w:rsid w:val="00D75B39"/>
    <w:rsid w:val="00D75E4A"/>
    <w:rsid w:val="00D75F12"/>
    <w:rsid w:val="00D760F0"/>
    <w:rsid w:val="00D76182"/>
    <w:rsid w:val="00D7618C"/>
    <w:rsid w:val="00D7621E"/>
    <w:rsid w:val="00D76698"/>
    <w:rsid w:val="00D7688F"/>
    <w:rsid w:val="00D773A4"/>
    <w:rsid w:val="00D7771A"/>
    <w:rsid w:val="00D77BE6"/>
    <w:rsid w:val="00D77DE3"/>
    <w:rsid w:val="00D803A9"/>
    <w:rsid w:val="00D806ED"/>
    <w:rsid w:val="00D80736"/>
    <w:rsid w:val="00D80A02"/>
    <w:rsid w:val="00D80E3E"/>
    <w:rsid w:val="00D810CA"/>
    <w:rsid w:val="00D81106"/>
    <w:rsid w:val="00D81608"/>
    <w:rsid w:val="00D81A50"/>
    <w:rsid w:val="00D81C5E"/>
    <w:rsid w:val="00D820F9"/>
    <w:rsid w:val="00D82E5E"/>
    <w:rsid w:val="00D83056"/>
    <w:rsid w:val="00D83097"/>
    <w:rsid w:val="00D83325"/>
    <w:rsid w:val="00D833AA"/>
    <w:rsid w:val="00D833FE"/>
    <w:rsid w:val="00D8340F"/>
    <w:rsid w:val="00D8354C"/>
    <w:rsid w:val="00D8375A"/>
    <w:rsid w:val="00D839FC"/>
    <w:rsid w:val="00D83C1D"/>
    <w:rsid w:val="00D83C4B"/>
    <w:rsid w:val="00D83F01"/>
    <w:rsid w:val="00D83F77"/>
    <w:rsid w:val="00D84315"/>
    <w:rsid w:val="00D8435B"/>
    <w:rsid w:val="00D847E8"/>
    <w:rsid w:val="00D84B7C"/>
    <w:rsid w:val="00D84C12"/>
    <w:rsid w:val="00D84D56"/>
    <w:rsid w:val="00D84F4C"/>
    <w:rsid w:val="00D8529D"/>
    <w:rsid w:val="00D85320"/>
    <w:rsid w:val="00D85586"/>
    <w:rsid w:val="00D859AB"/>
    <w:rsid w:val="00D85B1B"/>
    <w:rsid w:val="00D85B75"/>
    <w:rsid w:val="00D85C2C"/>
    <w:rsid w:val="00D85CC3"/>
    <w:rsid w:val="00D85D26"/>
    <w:rsid w:val="00D85E76"/>
    <w:rsid w:val="00D86356"/>
    <w:rsid w:val="00D86438"/>
    <w:rsid w:val="00D86509"/>
    <w:rsid w:val="00D86513"/>
    <w:rsid w:val="00D868AC"/>
    <w:rsid w:val="00D86DEC"/>
    <w:rsid w:val="00D872D5"/>
    <w:rsid w:val="00D87583"/>
    <w:rsid w:val="00D8770A"/>
    <w:rsid w:val="00D8783F"/>
    <w:rsid w:val="00D8788C"/>
    <w:rsid w:val="00D87B21"/>
    <w:rsid w:val="00D87FC4"/>
    <w:rsid w:val="00D903F2"/>
    <w:rsid w:val="00D90AD4"/>
    <w:rsid w:val="00D90B5B"/>
    <w:rsid w:val="00D90D72"/>
    <w:rsid w:val="00D90F64"/>
    <w:rsid w:val="00D9172E"/>
    <w:rsid w:val="00D91818"/>
    <w:rsid w:val="00D9183B"/>
    <w:rsid w:val="00D918DE"/>
    <w:rsid w:val="00D91978"/>
    <w:rsid w:val="00D91990"/>
    <w:rsid w:val="00D91A95"/>
    <w:rsid w:val="00D91C15"/>
    <w:rsid w:val="00D91E6E"/>
    <w:rsid w:val="00D921FB"/>
    <w:rsid w:val="00D9285B"/>
    <w:rsid w:val="00D92940"/>
    <w:rsid w:val="00D929D3"/>
    <w:rsid w:val="00D92A12"/>
    <w:rsid w:val="00D92EDE"/>
    <w:rsid w:val="00D92FFF"/>
    <w:rsid w:val="00D930AC"/>
    <w:rsid w:val="00D930AF"/>
    <w:rsid w:val="00D93169"/>
    <w:rsid w:val="00D934BD"/>
    <w:rsid w:val="00D938B9"/>
    <w:rsid w:val="00D93A8E"/>
    <w:rsid w:val="00D93C55"/>
    <w:rsid w:val="00D9422F"/>
    <w:rsid w:val="00D94761"/>
    <w:rsid w:val="00D949CB"/>
    <w:rsid w:val="00D951AE"/>
    <w:rsid w:val="00D9548B"/>
    <w:rsid w:val="00D954CB"/>
    <w:rsid w:val="00D9552A"/>
    <w:rsid w:val="00D95545"/>
    <w:rsid w:val="00D955A0"/>
    <w:rsid w:val="00D95969"/>
    <w:rsid w:val="00D95B0C"/>
    <w:rsid w:val="00D95B4D"/>
    <w:rsid w:val="00D95CAD"/>
    <w:rsid w:val="00D964E8"/>
    <w:rsid w:val="00D96840"/>
    <w:rsid w:val="00D96921"/>
    <w:rsid w:val="00D96D9B"/>
    <w:rsid w:val="00D97130"/>
    <w:rsid w:val="00D9726F"/>
    <w:rsid w:val="00D9741C"/>
    <w:rsid w:val="00D97F08"/>
    <w:rsid w:val="00DA0078"/>
    <w:rsid w:val="00DA080D"/>
    <w:rsid w:val="00DA0A1E"/>
    <w:rsid w:val="00DA0B2C"/>
    <w:rsid w:val="00DA0B94"/>
    <w:rsid w:val="00DA1080"/>
    <w:rsid w:val="00DA1466"/>
    <w:rsid w:val="00DA14FE"/>
    <w:rsid w:val="00DA1CB1"/>
    <w:rsid w:val="00DA1EF4"/>
    <w:rsid w:val="00DA261B"/>
    <w:rsid w:val="00DA2673"/>
    <w:rsid w:val="00DA26E5"/>
    <w:rsid w:val="00DA27B9"/>
    <w:rsid w:val="00DA2A4C"/>
    <w:rsid w:val="00DA2BE3"/>
    <w:rsid w:val="00DA2C6A"/>
    <w:rsid w:val="00DA3144"/>
    <w:rsid w:val="00DA3146"/>
    <w:rsid w:val="00DA37B1"/>
    <w:rsid w:val="00DA3C76"/>
    <w:rsid w:val="00DA3CEC"/>
    <w:rsid w:val="00DA3D92"/>
    <w:rsid w:val="00DA4197"/>
    <w:rsid w:val="00DA42DC"/>
    <w:rsid w:val="00DA4399"/>
    <w:rsid w:val="00DA443B"/>
    <w:rsid w:val="00DA4AE1"/>
    <w:rsid w:val="00DA4C06"/>
    <w:rsid w:val="00DA5074"/>
    <w:rsid w:val="00DA5300"/>
    <w:rsid w:val="00DA58E8"/>
    <w:rsid w:val="00DA5C72"/>
    <w:rsid w:val="00DA5CD2"/>
    <w:rsid w:val="00DA5FF9"/>
    <w:rsid w:val="00DA60E2"/>
    <w:rsid w:val="00DA62D1"/>
    <w:rsid w:val="00DA6EFC"/>
    <w:rsid w:val="00DA6FB5"/>
    <w:rsid w:val="00DA7310"/>
    <w:rsid w:val="00DA7458"/>
    <w:rsid w:val="00DA74A2"/>
    <w:rsid w:val="00DA7558"/>
    <w:rsid w:val="00DA764C"/>
    <w:rsid w:val="00DA7701"/>
    <w:rsid w:val="00DA7977"/>
    <w:rsid w:val="00DA79C4"/>
    <w:rsid w:val="00DA7D79"/>
    <w:rsid w:val="00DB027A"/>
    <w:rsid w:val="00DB02A1"/>
    <w:rsid w:val="00DB03CA"/>
    <w:rsid w:val="00DB0712"/>
    <w:rsid w:val="00DB07E6"/>
    <w:rsid w:val="00DB09CA"/>
    <w:rsid w:val="00DB09E9"/>
    <w:rsid w:val="00DB0A20"/>
    <w:rsid w:val="00DB0A85"/>
    <w:rsid w:val="00DB1023"/>
    <w:rsid w:val="00DB11AA"/>
    <w:rsid w:val="00DB125A"/>
    <w:rsid w:val="00DB1F68"/>
    <w:rsid w:val="00DB1F6C"/>
    <w:rsid w:val="00DB21DC"/>
    <w:rsid w:val="00DB2498"/>
    <w:rsid w:val="00DB251A"/>
    <w:rsid w:val="00DB26AD"/>
    <w:rsid w:val="00DB27D1"/>
    <w:rsid w:val="00DB2F73"/>
    <w:rsid w:val="00DB37B7"/>
    <w:rsid w:val="00DB3A1F"/>
    <w:rsid w:val="00DB3E74"/>
    <w:rsid w:val="00DB4046"/>
    <w:rsid w:val="00DB4055"/>
    <w:rsid w:val="00DB4291"/>
    <w:rsid w:val="00DB4562"/>
    <w:rsid w:val="00DB4BDF"/>
    <w:rsid w:val="00DB5053"/>
    <w:rsid w:val="00DB519A"/>
    <w:rsid w:val="00DB51A5"/>
    <w:rsid w:val="00DB5251"/>
    <w:rsid w:val="00DB5365"/>
    <w:rsid w:val="00DB5479"/>
    <w:rsid w:val="00DB5541"/>
    <w:rsid w:val="00DB5DCB"/>
    <w:rsid w:val="00DB6183"/>
    <w:rsid w:val="00DB61A3"/>
    <w:rsid w:val="00DB627A"/>
    <w:rsid w:val="00DB6665"/>
    <w:rsid w:val="00DB6A4A"/>
    <w:rsid w:val="00DB6A92"/>
    <w:rsid w:val="00DB6CB5"/>
    <w:rsid w:val="00DB704F"/>
    <w:rsid w:val="00DB7082"/>
    <w:rsid w:val="00DB7257"/>
    <w:rsid w:val="00DB7372"/>
    <w:rsid w:val="00DB746F"/>
    <w:rsid w:val="00DB7480"/>
    <w:rsid w:val="00DB748B"/>
    <w:rsid w:val="00DB7C64"/>
    <w:rsid w:val="00DB7F8A"/>
    <w:rsid w:val="00DC0692"/>
    <w:rsid w:val="00DC0889"/>
    <w:rsid w:val="00DC09B8"/>
    <w:rsid w:val="00DC0A5C"/>
    <w:rsid w:val="00DC0E5E"/>
    <w:rsid w:val="00DC1010"/>
    <w:rsid w:val="00DC1217"/>
    <w:rsid w:val="00DC14F0"/>
    <w:rsid w:val="00DC1728"/>
    <w:rsid w:val="00DC190C"/>
    <w:rsid w:val="00DC1ACC"/>
    <w:rsid w:val="00DC1B31"/>
    <w:rsid w:val="00DC1BC1"/>
    <w:rsid w:val="00DC1BF7"/>
    <w:rsid w:val="00DC1D0A"/>
    <w:rsid w:val="00DC1E19"/>
    <w:rsid w:val="00DC232E"/>
    <w:rsid w:val="00DC2683"/>
    <w:rsid w:val="00DC2EAE"/>
    <w:rsid w:val="00DC3092"/>
    <w:rsid w:val="00DC3577"/>
    <w:rsid w:val="00DC35ED"/>
    <w:rsid w:val="00DC36C3"/>
    <w:rsid w:val="00DC385B"/>
    <w:rsid w:val="00DC3C99"/>
    <w:rsid w:val="00DC4183"/>
    <w:rsid w:val="00DC42F1"/>
    <w:rsid w:val="00DC436A"/>
    <w:rsid w:val="00DC4494"/>
    <w:rsid w:val="00DC4695"/>
    <w:rsid w:val="00DC471C"/>
    <w:rsid w:val="00DC48A5"/>
    <w:rsid w:val="00DC4B2F"/>
    <w:rsid w:val="00DC500A"/>
    <w:rsid w:val="00DC5106"/>
    <w:rsid w:val="00DC53E2"/>
    <w:rsid w:val="00DC5AB8"/>
    <w:rsid w:val="00DC5AEB"/>
    <w:rsid w:val="00DC5CF9"/>
    <w:rsid w:val="00DC6342"/>
    <w:rsid w:val="00DC6373"/>
    <w:rsid w:val="00DC69C7"/>
    <w:rsid w:val="00DC6EFA"/>
    <w:rsid w:val="00DC6FF1"/>
    <w:rsid w:val="00DC70B7"/>
    <w:rsid w:val="00DC711E"/>
    <w:rsid w:val="00DC798B"/>
    <w:rsid w:val="00DC7AF2"/>
    <w:rsid w:val="00DC7BB7"/>
    <w:rsid w:val="00DC7F61"/>
    <w:rsid w:val="00DD00FF"/>
    <w:rsid w:val="00DD026C"/>
    <w:rsid w:val="00DD06B4"/>
    <w:rsid w:val="00DD0951"/>
    <w:rsid w:val="00DD0BDC"/>
    <w:rsid w:val="00DD0DEF"/>
    <w:rsid w:val="00DD0EA1"/>
    <w:rsid w:val="00DD158F"/>
    <w:rsid w:val="00DD168D"/>
    <w:rsid w:val="00DD1758"/>
    <w:rsid w:val="00DD1869"/>
    <w:rsid w:val="00DD1941"/>
    <w:rsid w:val="00DD1BAA"/>
    <w:rsid w:val="00DD1BF6"/>
    <w:rsid w:val="00DD1C45"/>
    <w:rsid w:val="00DD247A"/>
    <w:rsid w:val="00DD24FB"/>
    <w:rsid w:val="00DD2583"/>
    <w:rsid w:val="00DD2D74"/>
    <w:rsid w:val="00DD2E1B"/>
    <w:rsid w:val="00DD3197"/>
    <w:rsid w:val="00DD33A5"/>
    <w:rsid w:val="00DD375C"/>
    <w:rsid w:val="00DD400F"/>
    <w:rsid w:val="00DD413D"/>
    <w:rsid w:val="00DD43BA"/>
    <w:rsid w:val="00DD45F2"/>
    <w:rsid w:val="00DD4813"/>
    <w:rsid w:val="00DD489F"/>
    <w:rsid w:val="00DD4954"/>
    <w:rsid w:val="00DD4B45"/>
    <w:rsid w:val="00DD4B9D"/>
    <w:rsid w:val="00DD4DD6"/>
    <w:rsid w:val="00DD5111"/>
    <w:rsid w:val="00DD5172"/>
    <w:rsid w:val="00DD5924"/>
    <w:rsid w:val="00DD5953"/>
    <w:rsid w:val="00DD5C06"/>
    <w:rsid w:val="00DD5D04"/>
    <w:rsid w:val="00DD5D26"/>
    <w:rsid w:val="00DD5FD6"/>
    <w:rsid w:val="00DD61BE"/>
    <w:rsid w:val="00DD6360"/>
    <w:rsid w:val="00DD65AC"/>
    <w:rsid w:val="00DD687F"/>
    <w:rsid w:val="00DD6A95"/>
    <w:rsid w:val="00DD6CCC"/>
    <w:rsid w:val="00DD7018"/>
    <w:rsid w:val="00DD7021"/>
    <w:rsid w:val="00DD7033"/>
    <w:rsid w:val="00DD70AA"/>
    <w:rsid w:val="00DD7377"/>
    <w:rsid w:val="00DD763F"/>
    <w:rsid w:val="00DD7690"/>
    <w:rsid w:val="00DDB81F"/>
    <w:rsid w:val="00DE00B8"/>
    <w:rsid w:val="00DE01D9"/>
    <w:rsid w:val="00DE03A0"/>
    <w:rsid w:val="00DE053C"/>
    <w:rsid w:val="00DE0B45"/>
    <w:rsid w:val="00DE0CC1"/>
    <w:rsid w:val="00DE0D77"/>
    <w:rsid w:val="00DE0E4A"/>
    <w:rsid w:val="00DE1221"/>
    <w:rsid w:val="00DE1718"/>
    <w:rsid w:val="00DE1C26"/>
    <w:rsid w:val="00DE22D1"/>
    <w:rsid w:val="00DE2636"/>
    <w:rsid w:val="00DE2C94"/>
    <w:rsid w:val="00DE2E8B"/>
    <w:rsid w:val="00DE3059"/>
    <w:rsid w:val="00DE310D"/>
    <w:rsid w:val="00DE3261"/>
    <w:rsid w:val="00DE3271"/>
    <w:rsid w:val="00DE351C"/>
    <w:rsid w:val="00DE38EF"/>
    <w:rsid w:val="00DE3916"/>
    <w:rsid w:val="00DE3B51"/>
    <w:rsid w:val="00DE3C39"/>
    <w:rsid w:val="00DE3D5D"/>
    <w:rsid w:val="00DE4168"/>
    <w:rsid w:val="00DE41F3"/>
    <w:rsid w:val="00DE436A"/>
    <w:rsid w:val="00DE49E4"/>
    <w:rsid w:val="00DE4B54"/>
    <w:rsid w:val="00DE4D72"/>
    <w:rsid w:val="00DE4D9E"/>
    <w:rsid w:val="00DE5078"/>
    <w:rsid w:val="00DE509E"/>
    <w:rsid w:val="00DE52EB"/>
    <w:rsid w:val="00DE5362"/>
    <w:rsid w:val="00DE56E7"/>
    <w:rsid w:val="00DE5B6C"/>
    <w:rsid w:val="00DE6299"/>
    <w:rsid w:val="00DE6632"/>
    <w:rsid w:val="00DE6777"/>
    <w:rsid w:val="00DE6A34"/>
    <w:rsid w:val="00DE6CF8"/>
    <w:rsid w:val="00DE71B6"/>
    <w:rsid w:val="00DE7A31"/>
    <w:rsid w:val="00DE7A66"/>
    <w:rsid w:val="00DE7A77"/>
    <w:rsid w:val="00DE7C20"/>
    <w:rsid w:val="00DE7C81"/>
    <w:rsid w:val="00DE7C9B"/>
    <w:rsid w:val="00DE7E0F"/>
    <w:rsid w:val="00DF0209"/>
    <w:rsid w:val="00DF07CD"/>
    <w:rsid w:val="00DF0957"/>
    <w:rsid w:val="00DF099A"/>
    <w:rsid w:val="00DF0B22"/>
    <w:rsid w:val="00DF0C68"/>
    <w:rsid w:val="00DF0CE3"/>
    <w:rsid w:val="00DF0D84"/>
    <w:rsid w:val="00DF0EAF"/>
    <w:rsid w:val="00DF0F97"/>
    <w:rsid w:val="00DF1169"/>
    <w:rsid w:val="00DF11CA"/>
    <w:rsid w:val="00DF185B"/>
    <w:rsid w:val="00DF18EF"/>
    <w:rsid w:val="00DF1B1B"/>
    <w:rsid w:val="00DF2149"/>
    <w:rsid w:val="00DF2152"/>
    <w:rsid w:val="00DF2947"/>
    <w:rsid w:val="00DF2974"/>
    <w:rsid w:val="00DF2B4B"/>
    <w:rsid w:val="00DF2B9E"/>
    <w:rsid w:val="00DF2D49"/>
    <w:rsid w:val="00DF2D4F"/>
    <w:rsid w:val="00DF2DCE"/>
    <w:rsid w:val="00DF3005"/>
    <w:rsid w:val="00DF30BA"/>
    <w:rsid w:val="00DF324C"/>
    <w:rsid w:val="00DF35C3"/>
    <w:rsid w:val="00DF3D3F"/>
    <w:rsid w:val="00DF3FEC"/>
    <w:rsid w:val="00DF40A2"/>
    <w:rsid w:val="00DF45B6"/>
    <w:rsid w:val="00DF49CC"/>
    <w:rsid w:val="00DF4C89"/>
    <w:rsid w:val="00DF4CC2"/>
    <w:rsid w:val="00DF4D11"/>
    <w:rsid w:val="00DF4FE5"/>
    <w:rsid w:val="00DF5189"/>
    <w:rsid w:val="00DF51C2"/>
    <w:rsid w:val="00DF5354"/>
    <w:rsid w:val="00DF560E"/>
    <w:rsid w:val="00DF5835"/>
    <w:rsid w:val="00DF5A67"/>
    <w:rsid w:val="00DF5C52"/>
    <w:rsid w:val="00DF5F19"/>
    <w:rsid w:val="00DF60CE"/>
    <w:rsid w:val="00DF6339"/>
    <w:rsid w:val="00DF647A"/>
    <w:rsid w:val="00DF652E"/>
    <w:rsid w:val="00DF66C7"/>
    <w:rsid w:val="00DF68D1"/>
    <w:rsid w:val="00DF6CE3"/>
    <w:rsid w:val="00DF6F6B"/>
    <w:rsid w:val="00DF7143"/>
    <w:rsid w:val="00DF7521"/>
    <w:rsid w:val="00DF7614"/>
    <w:rsid w:val="00DF7778"/>
    <w:rsid w:val="00DF7CF7"/>
    <w:rsid w:val="00E005F6"/>
    <w:rsid w:val="00E00929"/>
    <w:rsid w:val="00E00952"/>
    <w:rsid w:val="00E00A81"/>
    <w:rsid w:val="00E00DD5"/>
    <w:rsid w:val="00E00F45"/>
    <w:rsid w:val="00E00FAE"/>
    <w:rsid w:val="00E012DF"/>
    <w:rsid w:val="00E015B2"/>
    <w:rsid w:val="00E01E79"/>
    <w:rsid w:val="00E022DC"/>
    <w:rsid w:val="00E02356"/>
    <w:rsid w:val="00E028A6"/>
    <w:rsid w:val="00E0290E"/>
    <w:rsid w:val="00E029C1"/>
    <w:rsid w:val="00E02C8B"/>
    <w:rsid w:val="00E02D20"/>
    <w:rsid w:val="00E02EBC"/>
    <w:rsid w:val="00E030FC"/>
    <w:rsid w:val="00E03216"/>
    <w:rsid w:val="00E03470"/>
    <w:rsid w:val="00E036A0"/>
    <w:rsid w:val="00E03757"/>
    <w:rsid w:val="00E0384C"/>
    <w:rsid w:val="00E03BEB"/>
    <w:rsid w:val="00E03D63"/>
    <w:rsid w:val="00E03D8A"/>
    <w:rsid w:val="00E03DC3"/>
    <w:rsid w:val="00E03EDD"/>
    <w:rsid w:val="00E03F6C"/>
    <w:rsid w:val="00E04048"/>
    <w:rsid w:val="00E040C6"/>
    <w:rsid w:val="00E040FA"/>
    <w:rsid w:val="00E0437F"/>
    <w:rsid w:val="00E0438C"/>
    <w:rsid w:val="00E049FC"/>
    <w:rsid w:val="00E04A5A"/>
    <w:rsid w:val="00E04D3C"/>
    <w:rsid w:val="00E04DCB"/>
    <w:rsid w:val="00E04F4F"/>
    <w:rsid w:val="00E04F66"/>
    <w:rsid w:val="00E04F72"/>
    <w:rsid w:val="00E05060"/>
    <w:rsid w:val="00E05163"/>
    <w:rsid w:val="00E05376"/>
    <w:rsid w:val="00E055E0"/>
    <w:rsid w:val="00E05985"/>
    <w:rsid w:val="00E05C9E"/>
    <w:rsid w:val="00E05CD1"/>
    <w:rsid w:val="00E05FA3"/>
    <w:rsid w:val="00E064E0"/>
    <w:rsid w:val="00E0695D"/>
    <w:rsid w:val="00E06D10"/>
    <w:rsid w:val="00E06DD5"/>
    <w:rsid w:val="00E070B6"/>
    <w:rsid w:val="00E074E8"/>
    <w:rsid w:val="00E0762D"/>
    <w:rsid w:val="00E076A9"/>
    <w:rsid w:val="00E07767"/>
    <w:rsid w:val="00E07AAD"/>
    <w:rsid w:val="00E07D67"/>
    <w:rsid w:val="00E07E54"/>
    <w:rsid w:val="00E1015A"/>
    <w:rsid w:val="00E102BC"/>
    <w:rsid w:val="00E10628"/>
    <w:rsid w:val="00E106B2"/>
    <w:rsid w:val="00E108D5"/>
    <w:rsid w:val="00E10C0A"/>
    <w:rsid w:val="00E10D09"/>
    <w:rsid w:val="00E10D77"/>
    <w:rsid w:val="00E10D86"/>
    <w:rsid w:val="00E10DBC"/>
    <w:rsid w:val="00E111E3"/>
    <w:rsid w:val="00E11428"/>
    <w:rsid w:val="00E114E3"/>
    <w:rsid w:val="00E116E8"/>
    <w:rsid w:val="00E1185E"/>
    <w:rsid w:val="00E119A2"/>
    <w:rsid w:val="00E11C2C"/>
    <w:rsid w:val="00E11D6B"/>
    <w:rsid w:val="00E1205C"/>
    <w:rsid w:val="00E122A3"/>
    <w:rsid w:val="00E12449"/>
    <w:rsid w:val="00E1245C"/>
    <w:rsid w:val="00E12A57"/>
    <w:rsid w:val="00E12B9D"/>
    <w:rsid w:val="00E12ED6"/>
    <w:rsid w:val="00E12FFF"/>
    <w:rsid w:val="00E135A4"/>
    <w:rsid w:val="00E1378E"/>
    <w:rsid w:val="00E13B02"/>
    <w:rsid w:val="00E13F17"/>
    <w:rsid w:val="00E14073"/>
    <w:rsid w:val="00E14134"/>
    <w:rsid w:val="00E14397"/>
    <w:rsid w:val="00E145E5"/>
    <w:rsid w:val="00E1463A"/>
    <w:rsid w:val="00E147C7"/>
    <w:rsid w:val="00E14809"/>
    <w:rsid w:val="00E14860"/>
    <w:rsid w:val="00E149CC"/>
    <w:rsid w:val="00E149E6"/>
    <w:rsid w:val="00E14AB5"/>
    <w:rsid w:val="00E14BE6"/>
    <w:rsid w:val="00E14D97"/>
    <w:rsid w:val="00E14E0A"/>
    <w:rsid w:val="00E15149"/>
    <w:rsid w:val="00E15483"/>
    <w:rsid w:val="00E155A3"/>
    <w:rsid w:val="00E156B1"/>
    <w:rsid w:val="00E156D3"/>
    <w:rsid w:val="00E15945"/>
    <w:rsid w:val="00E15E8E"/>
    <w:rsid w:val="00E15FC0"/>
    <w:rsid w:val="00E16035"/>
    <w:rsid w:val="00E1659E"/>
    <w:rsid w:val="00E16661"/>
    <w:rsid w:val="00E16800"/>
    <w:rsid w:val="00E16B03"/>
    <w:rsid w:val="00E16DA2"/>
    <w:rsid w:val="00E17150"/>
    <w:rsid w:val="00E1715A"/>
    <w:rsid w:val="00E172A3"/>
    <w:rsid w:val="00E17872"/>
    <w:rsid w:val="00E179D5"/>
    <w:rsid w:val="00E17A98"/>
    <w:rsid w:val="00E201BB"/>
    <w:rsid w:val="00E20269"/>
    <w:rsid w:val="00E20776"/>
    <w:rsid w:val="00E2079D"/>
    <w:rsid w:val="00E20879"/>
    <w:rsid w:val="00E211D8"/>
    <w:rsid w:val="00E21FDD"/>
    <w:rsid w:val="00E224CB"/>
    <w:rsid w:val="00E22789"/>
    <w:rsid w:val="00E22AFE"/>
    <w:rsid w:val="00E22C9B"/>
    <w:rsid w:val="00E23046"/>
    <w:rsid w:val="00E23457"/>
    <w:rsid w:val="00E234D9"/>
    <w:rsid w:val="00E23610"/>
    <w:rsid w:val="00E23A6C"/>
    <w:rsid w:val="00E23C0C"/>
    <w:rsid w:val="00E23F72"/>
    <w:rsid w:val="00E241FD"/>
    <w:rsid w:val="00E246C7"/>
    <w:rsid w:val="00E2472D"/>
    <w:rsid w:val="00E2486B"/>
    <w:rsid w:val="00E24D84"/>
    <w:rsid w:val="00E25188"/>
    <w:rsid w:val="00E252CF"/>
    <w:rsid w:val="00E25DF2"/>
    <w:rsid w:val="00E25E4A"/>
    <w:rsid w:val="00E26089"/>
    <w:rsid w:val="00E2626E"/>
    <w:rsid w:val="00E2644A"/>
    <w:rsid w:val="00E264EA"/>
    <w:rsid w:val="00E264F6"/>
    <w:rsid w:val="00E26AC0"/>
    <w:rsid w:val="00E26B8B"/>
    <w:rsid w:val="00E26B8F"/>
    <w:rsid w:val="00E26C8D"/>
    <w:rsid w:val="00E26FB5"/>
    <w:rsid w:val="00E270B9"/>
    <w:rsid w:val="00E270EC"/>
    <w:rsid w:val="00E271A9"/>
    <w:rsid w:val="00E277BE"/>
    <w:rsid w:val="00E27AE2"/>
    <w:rsid w:val="00E27B43"/>
    <w:rsid w:val="00E27B75"/>
    <w:rsid w:val="00E27E5F"/>
    <w:rsid w:val="00E27EFF"/>
    <w:rsid w:val="00E30075"/>
    <w:rsid w:val="00E300B4"/>
    <w:rsid w:val="00E3011C"/>
    <w:rsid w:val="00E3064C"/>
    <w:rsid w:val="00E30A40"/>
    <w:rsid w:val="00E30C1D"/>
    <w:rsid w:val="00E31062"/>
    <w:rsid w:val="00E3108B"/>
    <w:rsid w:val="00E31092"/>
    <w:rsid w:val="00E31167"/>
    <w:rsid w:val="00E314FB"/>
    <w:rsid w:val="00E31542"/>
    <w:rsid w:val="00E315BC"/>
    <w:rsid w:val="00E315D5"/>
    <w:rsid w:val="00E315E7"/>
    <w:rsid w:val="00E31620"/>
    <w:rsid w:val="00E3166F"/>
    <w:rsid w:val="00E317D2"/>
    <w:rsid w:val="00E31896"/>
    <w:rsid w:val="00E318D7"/>
    <w:rsid w:val="00E318EE"/>
    <w:rsid w:val="00E3230B"/>
    <w:rsid w:val="00E325C3"/>
    <w:rsid w:val="00E327C2"/>
    <w:rsid w:val="00E3285D"/>
    <w:rsid w:val="00E328C7"/>
    <w:rsid w:val="00E32DED"/>
    <w:rsid w:val="00E32E72"/>
    <w:rsid w:val="00E331FE"/>
    <w:rsid w:val="00E332D5"/>
    <w:rsid w:val="00E335DF"/>
    <w:rsid w:val="00E33601"/>
    <w:rsid w:val="00E33630"/>
    <w:rsid w:val="00E3370A"/>
    <w:rsid w:val="00E33A44"/>
    <w:rsid w:val="00E33A66"/>
    <w:rsid w:val="00E33B8A"/>
    <w:rsid w:val="00E33E0F"/>
    <w:rsid w:val="00E33F10"/>
    <w:rsid w:val="00E33F39"/>
    <w:rsid w:val="00E342EB"/>
    <w:rsid w:val="00E34591"/>
    <w:rsid w:val="00E34982"/>
    <w:rsid w:val="00E34AA0"/>
    <w:rsid w:val="00E35193"/>
    <w:rsid w:val="00E35258"/>
    <w:rsid w:val="00E35337"/>
    <w:rsid w:val="00E354A7"/>
    <w:rsid w:val="00E35537"/>
    <w:rsid w:val="00E35696"/>
    <w:rsid w:val="00E357DD"/>
    <w:rsid w:val="00E35937"/>
    <w:rsid w:val="00E359AF"/>
    <w:rsid w:val="00E35F27"/>
    <w:rsid w:val="00E35FA0"/>
    <w:rsid w:val="00E36292"/>
    <w:rsid w:val="00E364AD"/>
    <w:rsid w:val="00E36512"/>
    <w:rsid w:val="00E3691E"/>
    <w:rsid w:val="00E36E0E"/>
    <w:rsid w:val="00E3732B"/>
    <w:rsid w:val="00E3756A"/>
    <w:rsid w:val="00E37601"/>
    <w:rsid w:val="00E376B4"/>
    <w:rsid w:val="00E37779"/>
    <w:rsid w:val="00E37832"/>
    <w:rsid w:val="00E37B45"/>
    <w:rsid w:val="00E37C72"/>
    <w:rsid w:val="00E37F68"/>
    <w:rsid w:val="00E37FC5"/>
    <w:rsid w:val="00E40362"/>
    <w:rsid w:val="00E40507"/>
    <w:rsid w:val="00E40667"/>
    <w:rsid w:val="00E408AE"/>
    <w:rsid w:val="00E408D7"/>
    <w:rsid w:val="00E40E90"/>
    <w:rsid w:val="00E41117"/>
    <w:rsid w:val="00E411B9"/>
    <w:rsid w:val="00E412F2"/>
    <w:rsid w:val="00E41483"/>
    <w:rsid w:val="00E4149A"/>
    <w:rsid w:val="00E4158A"/>
    <w:rsid w:val="00E415DD"/>
    <w:rsid w:val="00E416A3"/>
    <w:rsid w:val="00E41719"/>
    <w:rsid w:val="00E418F4"/>
    <w:rsid w:val="00E41E04"/>
    <w:rsid w:val="00E42028"/>
    <w:rsid w:val="00E4231B"/>
    <w:rsid w:val="00E426F4"/>
    <w:rsid w:val="00E428B4"/>
    <w:rsid w:val="00E429CE"/>
    <w:rsid w:val="00E42A0A"/>
    <w:rsid w:val="00E42B16"/>
    <w:rsid w:val="00E42DAF"/>
    <w:rsid w:val="00E42F0D"/>
    <w:rsid w:val="00E430D0"/>
    <w:rsid w:val="00E43152"/>
    <w:rsid w:val="00E4388C"/>
    <w:rsid w:val="00E43BB2"/>
    <w:rsid w:val="00E43BF5"/>
    <w:rsid w:val="00E43C03"/>
    <w:rsid w:val="00E43CB8"/>
    <w:rsid w:val="00E43D08"/>
    <w:rsid w:val="00E43D2A"/>
    <w:rsid w:val="00E44598"/>
    <w:rsid w:val="00E44B83"/>
    <w:rsid w:val="00E451C2"/>
    <w:rsid w:val="00E451C5"/>
    <w:rsid w:val="00E452F2"/>
    <w:rsid w:val="00E45598"/>
    <w:rsid w:val="00E455C2"/>
    <w:rsid w:val="00E45E6B"/>
    <w:rsid w:val="00E4609E"/>
    <w:rsid w:val="00E460D4"/>
    <w:rsid w:val="00E461BA"/>
    <w:rsid w:val="00E462F0"/>
    <w:rsid w:val="00E462F8"/>
    <w:rsid w:val="00E463BB"/>
    <w:rsid w:val="00E46597"/>
    <w:rsid w:val="00E468B4"/>
    <w:rsid w:val="00E468CD"/>
    <w:rsid w:val="00E469C4"/>
    <w:rsid w:val="00E46A4F"/>
    <w:rsid w:val="00E46CD1"/>
    <w:rsid w:val="00E46CE8"/>
    <w:rsid w:val="00E46E5A"/>
    <w:rsid w:val="00E46F12"/>
    <w:rsid w:val="00E4713E"/>
    <w:rsid w:val="00E4758F"/>
    <w:rsid w:val="00E475B8"/>
    <w:rsid w:val="00E476DB"/>
    <w:rsid w:val="00E478F5"/>
    <w:rsid w:val="00E47AB3"/>
    <w:rsid w:val="00E47AFA"/>
    <w:rsid w:val="00E47FA6"/>
    <w:rsid w:val="00E5000B"/>
    <w:rsid w:val="00E5015E"/>
    <w:rsid w:val="00E501A0"/>
    <w:rsid w:val="00E5077F"/>
    <w:rsid w:val="00E509C6"/>
    <w:rsid w:val="00E50ACD"/>
    <w:rsid w:val="00E50BC2"/>
    <w:rsid w:val="00E50DA9"/>
    <w:rsid w:val="00E50E9C"/>
    <w:rsid w:val="00E512E8"/>
    <w:rsid w:val="00E513D0"/>
    <w:rsid w:val="00E5174C"/>
    <w:rsid w:val="00E51E17"/>
    <w:rsid w:val="00E520E7"/>
    <w:rsid w:val="00E52112"/>
    <w:rsid w:val="00E5218A"/>
    <w:rsid w:val="00E52198"/>
    <w:rsid w:val="00E5224F"/>
    <w:rsid w:val="00E5234C"/>
    <w:rsid w:val="00E5268C"/>
    <w:rsid w:val="00E526D7"/>
    <w:rsid w:val="00E52727"/>
    <w:rsid w:val="00E53516"/>
    <w:rsid w:val="00E53823"/>
    <w:rsid w:val="00E5382D"/>
    <w:rsid w:val="00E53B8C"/>
    <w:rsid w:val="00E540A3"/>
    <w:rsid w:val="00E542AA"/>
    <w:rsid w:val="00E542DA"/>
    <w:rsid w:val="00E546EB"/>
    <w:rsid w:val="00E547B7"/>
    <w:rsid w:val="00E5494B"/>
    <w:rsid w:val="00E54B4A"/>
    <w:rsid w:val="00E54D68"/>
    <w:rsid w:val="00E54DFF"/>
    <w:rsid w:val="00E550BC"/>
    <w:rsid w:val="00E5511E"/>
    <w:rsid w:val="00E554E3"/>
    <w:rsid w:val="00E558FD"/>
    <w:rsid w:val="00E55A6D"/>
    <w:rsid w:val="00E55AC1"/>
    <w:rsid w:val="00E55CC5"/>
    <w:rsid w:val="00E55CD7"/>
    <w:rsid w:val="00E55DE9"/>
    <w:rsid w:val="00E56480"/>
    <w:rsid w:val="00E568C0"/>
    <w:rsid w:val="00E56AA5"/>
    <w:rsid w:val="00E56B02"/>
    <w:rsid w:val="00E56C27"/>
    <w:rsid w:val="00E56ECA"/>
    <w:rsid w:val="00E57173"/>
    <w:rsid w:val="00E5733C"/>
    <w:rsid w:val="00E573D4"/>
    <w:rsid w:val="00E60142"/>
    <w:rsid w:val="00E6015F"/>
    <w:rsid w:val="00E60348"/>
    <w:rsid w:val="00E6035C"/>
    <w:rsid w:val="00E60536"/>
    <w:rsid w:val="00E60663"/>
    <w:rsid w:val="00E607B7"/>
    <w:rsid w:val="00E607BF"/>
    <w:rsid w:val="00E608BD"/>
    <w:rsid w:val="00E60B72"/>
    <w:rsid w:val="00E60D96"/>
    <w:rsid w:val="00E60F0F"/>
    <w:rsid w:val="00E60F52"/>
    <w:rsid w:val="00E61097"/>
    <w:rsid w:val="00E6118D"/>
    <w:rsid w:val="00E61DEC"/>
    <w:rsid w:val="00E62139"/>
    <w:rsid w:val="00E62271"/>
    <w:rsid w:val="00E62841"/>
    <w:rsid w:val="00E63007"/>
    <w:rsid w:val="00E639A9"/>
    <w:rsid w:val="00E63A8E"/>
    <w:rsid w:val="00E63CE0"/>
    <w:rsid w:val="00E63EDA"/>
    <w:rsid w:val="00E6410E"/>
    <w:rsid w:val="00E641C4"/>
    <w:rsid w:val="00E64311"/>
    <w:rsid w:val="00E647B8"/>
    <w:rsid w:val="00E64848"/>
    <w:rsid w:val="00E64CED"/>
    <w:rsid w:val="00E64D50"/>
    <w:rsid w:val="00E64E90"/>
    <w:rsid w:val="00E64F63"/>
    <w:rsid w:val="00E656A0"/>
    <w:rsid w:val="00E656FB"/>
    <w:rsid w:val="00E65872"/>
    <w:rsid w:val="00E65A17"/>
    <w:rsid w:val="00E65E49"/>
    <w:rsid w:val="00E65EC4"/>
    <w:rsid w:val="00E662FE"/>
    <w:rsid w:val="00E665EF"/>
    <w:rsid w:val="00E66834"/>
    <w:rsid w:val="00E66BFA"/>
    <w:rsid w:val="00E66D92"/>
    <w:rsid w:val="00E66F89"/>
    <w:rsid w:val="00E6703F"/>
    <w:rsid w:val="00E67197"/>
    <w:rsid w:val="00E67328"/>
    <w:rsid w:val="00E676DC"/>
    <w:rsid w:val="00E6770F"/>
    <w:rsid w:val="00E67721"/>
    <w:rsid w:val="00E6786D"/>
    <w:rsid w:val="00E678D8"/>
    <w:rsid w:val="00E67953"/>
    <w:rsid w:val="00E67B86"/>
    <w:rsid w:val="00E67CEE"/>
    <w:rsid w:val="00E67D60"/>
    <w:rsid w:val="00E7000A"/>
    <w:rsid w:val="00E700F3"/>
    <w:rsid w:val="00E7019A"/>
    <w:rsid w:val="00E7061B"/>
    <w:rsid w:val="00E706B2"/>
    <w:rsid w:val="00E70B83"/>
    <w:rsid w:val="00E713E4"/>
    <w:rsid w:val="00E71455"/>
    <w:rsid w:val="00E7146E"/>
    <w:rsid w:val="00E71541"/>
    <w:rsid w:val="00E716B1"/>
    <w:rsid w:val="00E7184D"/>
    <w:rsid w:val="00E71871"/>
    <w:rsid w:val="00E7188A"/>
    <w:rsid w:val="00E71B99"/>
    <w:rsid w:val="00E71BFC"/>
    <w:rsid w:val="00E71F9A"/>
    <w:rsid w:val="00E720FC"/>
    <w:rsid w:val="00E72151"/>
    <w:rsid w:val="00E7247C"/>
    <w:rsid w:val="00E7275B"/>
    <w:rsid w:val="00E72D6D"/>
    <w:rsid w:val="00E736AF"/>
    <w:rsid w:val="00E73FA7"/>
    <w:rsid w:val="00E74A5A"/>
    <w:rsid w:val="00E74CB2"/>
    <w:rsid w:val="00E74DC9"/>
    <w:rsid w:val="00E74DFE"/>
    <w:rsid w:val="00E751DE"/>
    <w:rsid w:val="00E7529D"/>
    <w:rsid w:val="00E75301"/>
    <w:rsid w:val="00E754D8"/>
    <w:rsid w:val="00E758E9"/>
    <w:rsid w:val="00E759BF"/>
    <w:rsid w:val="00E75A61"/>
    <w:rsid w:val="00E75C60"/>
    <w:rsid w:val="00E75F6A"/>
    <w:rsid w:val="00E76081"/>
    <w:rsid w:val="00E766D4"/>
    <w:rsid w:val="00E769E4"/>
    <w:rsid w:val="00E76A4C"/>
    <w:rsid w:val="00E76B77"/>
    <w:rsid w:val="00E76C48"/>
    <w:rsid w:val="00E76D4E"/>
    <w:rsid w:val="00E76F0F"/>
    <w:rsid w:val="00E76F28"/>
    <w:rsid w:val="00E76F3A"/>
    <w:rsid w:val="00E76F71"/>
    <w:rsid w:val="00E77116"/>
    <w:rsid w:val="00E775B2"/>
    <w:rsid w:val="00E776EA"/>
    <w:rsid w:val="00E77949"/>
    <w:rsid w:val="00E77A41"/>
    <w:rsid w:val="00E77A4C"/>
    <w:rsid w:val="00E77A93"/>
    <w:rsid w:val="00E77D0A"/>
    <w:rsid w:val="00E801BF"/>
    <w:rsid w:val="00E8055B"/>
    <w:rsid w:val="00E80611"/>
    <w:rsid w:val="00E8074D"/>
    <w:rsid w:val="00E809FA"/>
    <w:rsid w:val="00E80BC9"/>
    <w:rsid w:val="00E80DE0"/>
    <w:rsid w:val="00E81004"/>
    <w:rsid w:val="00E81072"/>
    <w:rsid w:val="00E812BE"/>
    <w:rsid w:val="00E816A6"/>
    <w:rsid w:val="00E81A09"/>
    <w:rsid w:val="00E81E83"/>
    <w:rsid w:val="00E81E8E"/>
    <w:rsid w:val="00E824CD"/>
    <w:rsid w:val="00E826BD"/>
    <w:rsid w:val="00E82D35"/>
    <w:rsid w:val="00E8330D"/>
    <w:rsid w:val="00E83339"/>
    <w:rsid w:val="00E83517"/>
    <w:rsid w:val="00E835D3"/>
    <w:rsid w:val="00E83B9D"/>
    <w:rsid w:val="00E83C07"/>
    <w:rsid w:val="00E83EF3"/>
    <w:rsid w:val="00E83FE0"/>
    <w:rsid w:val="00E840EE"/>
    <w:rsid w:val="00E841ED"/>
    <w:rsid w:val="00E84311"/>
    <w:rsid w:val="00E8445F"/>
    <w:rsid w:val="00E84576"/>
    <w:rsid w:val="00E84586"/>
    <w:rsid w:val="00E84A1E"/>
    <w:rsid w:val="00E84A77"/>
    <w:rsid w:val="00E84C9C"/>
    <w:rsid w:val="00E84CB9"/>
    <w:rsid w:val="00E84FEE"/>
    <w:rsid w:val="00E85205"/>
    <w:rsid w:val="00E85B70"/>
    <w:rsid w:val="00E85C70"/>
    <w:rsid w:val="00E8613B"/>
    <w:rsid w:val="00E8642A"/>
    <w:rsid w:val="00E866EF"/>
    <w:rsid w:val="00E86710"/>
    <w:rsid w:val="00E86949"/>
    <w:rsid w:val="00E87000"/>
    <w:rsid w:val="00E8710E"/>
    <w:rsid w:val="00E87240"/>
    <w:rsid w:val="00E8724C"/>
    <w:rsid w:val="00E8750B"/>
    <w:rsid w:val="00E87791"/>
    <w:rsid w:val="00E87815"/>
    <w:rsid w:val="00E878F8"/>
    <w:rsid w:val="00E879AE"/>
    <w:rsid w:val="00E87B12"/>
    <w:rsid w:val="00E87F4F"/>
    <w:rsid w:val="00E87FAD"/>
    <w:rsid w:val="00E87FC9"/>
    <w:rsid w:val="00E90331"/>
    <w:rsid w:val="00E9052A"/>
    <w:rsid w:val="00E905FA"/>
    <w:rsid w:val="00E90877"/>
    <w:rsid w:val="00E90933"/>
    <w:rsid w:val="00E90ADE"/>
    <w:rsid w:val="00E90B73"/>
    <w:rsid w:val="00E90E57"/>
    <w:rsid w:val="00E91051"/>
    <w:rsid w:val="00E91152"/>
    <w:rsid w:val="00E9141C"/>
    <w:rsid w:val="00E91FD4"/>
    <w:rsid w:val="00E92223"/>
    <w:rsid w:val="00E92365"/>
    <w:rsid w:val="00E92805"/>
    <w:rsid w:val="00E928CC"/>
    <w:rsid w:val="00E9295E"/>
    <w:rsid w:val="00E9297F"/>
    <w:rsid w:val="00E935B7"/>
    <w:rsid w:val="00E935BF"/>
    <w:rsid w:val="00E93EE0"/>
    <w:rsid w:val="00E942D2"/>
    <w:rsid w:val="00E943EC"/>
    <w:rsid w:val="00E94752"/>
    <w:rsid w:val="00E94D93"/>
    <w:rsid w:val="00E951C9"/>
    <w:rsid w:val="00E9574A"/>
    <w:rsid w:val="00E958F0"/>
    <w:rsid w:val="00E95F07"/>
    <w:rsid w:val="00E96481"/>
    <w:rsid w:val="00E96494"/>
    <w:rsid w:val="00E96A93"/>
    <w:rsid w:val="00E96FF4"/>
    <w:rsid w:val="00E970DE"/>
    <w:rsid w:val="00E975A5"/>
    <w:rsid w:val="00E976B5"/>
    <w:rsid w:val="00E97C82"/>
    <w:rsid w:val="00E97DC5"/>
    <w:rsid w:val="00E97FC1"/>
    <w:rsid w:val="00E9B8BE"/>
    <w:rsid w:val="00EA02AB"/>
    <w:rsid w:val="00EA0439"/>
    <w:rsid w:val="00EA043F"/>
    <w:rsid w:val="00EA0686"/>
    <w:rsid w:val="00EA081B"/>
    <w:rsid w:val="00EA0B92"/>
    <w:rsid w:val="00EA144C"/>
    <w:rsid w:val="00EA195A"/>
    <w:rsid w:val="00EA1D02"/>
    <w:rsid w:val="00EA1DF5"/>
    <w:rsid w:val="00EA22AE"/>
    <w:rsid w:val="00EA241E"/>
    <w:rsid w:val="00EA2D99"/>
    <w:rsid w:val="00EA2F3E"/>
    <w:rsid w:val="00EA321C"/>
    <w:rsid w:val="00EA3232"/>
    <w:rsid w:val="00EA32BA"/>
    <w:rsid w:val="00EA341E"/>
    <w:rsid w:val="00EA3697"/>
    <w:rsid w:val="00EA37F8"/>
    <w:rsid w:val="00EA38AF"/>
    <w:rsid w:val="00EA3BC7"/>
    <w:rsid w:val="00EA3F31"/>
    <w:rsid w:val="00EA3FA2"/>
    <w:rsid w:val="00EA471A"/>
    <w:rsid w:val="00EA4870"/>
    <w:rsid w:val="00EA491A"/>
    <w:rsid w:val="00EA49E3"/>
    <w:rsid w:val="00EA4B12"/>
    <w:rsid w:val="00EA4E07"/>
    <w:rsid w:val="00EA4F26"/>
    <w:rsid w:val="00EA5029"/>
    <w:rsid w:val="00EA50F2"/>
    <w:rsid w:val="00EA5203"/>
    <w:rsid w:val="00EA537A"/>
    <w:rsid w:val="00EA5690"/>
    <w:rsid w:val="00EA58BC"/>
    <w:rsid w:val="00EA5DF9"/>
    <w:rsid w:val="00EA6198"/>
    <w:rsid w:val="00EA6766"/>
    <w:rsid w:val="00EA68B8"/>
    <w:rsid w:val="00EA6994"/>
    <w:rsid w:val="00EA6C93"/>
    <w:rsid w:val="00EA6F2D"/>
    <w:rsid w:val="00EA6F4A"/>
    <w:rsid w:val="00EA6F57"/>
    <w:rsid w:val="00EA6F5E"/>
    <w:rsid w:val="00EA6FBE"/>
    <w:rsid w:val="00EA7056"/>
    <w:rsid w:val="00EA7344"/>
    <w:rsid w:val="00EA79AC"/>
    <w:rsid w:val="00EA7AA5"/>
    <w:rsid w:val="00EA7DFB"/>
    <w:rsid w:val="00EB00CD"/>
    <w:rsid w:val="00EB04C5"/>
    <w:rsid w:val="00EB0A5C"/>
    <w:rsid w:val="00EB1ADC"/>
    <w:rsid w:val="00EB1C30"/>
    <w:rsid w:val="00EB1CF9"/>
    <w:rsid w:val="00EB21D6"/>
    <w:rsid w:val="00EB23F0"/>
    <w:rsid w:val="00EB2441"/>
    <w:rsid w:val="00EB27B1"/>
    <w:rsid w:val="00EB286E"/>
    <w:rsid w:val="00EB2CBA"/>
    <w:rsid w:val="00EB2EBD"/>
    <w:rsid w:val="00EB32EA"/>
    <w:rsid w:val="00EB34A2"/>
    <w:rsid w:val="00EB3675"/>
    <w:rsid w:val="00EB37BA"/>
    <w:rsid w:val="00EB3C3D"/>
    <w:rsid w:val="00EB3D05"/>
    <w:rsid w:val="00EB466D"/>
    <w:rsid w:val="00EB47CE"/>
    <w:rsid w:val="00EB49E4"/>
    <w:rsid w:val="00EB4A60"/>
    <w:rsid w:val="00EB4B2F"/>
    <w:rsid w:val="00EB4D84"/>
    <w:rsid w:val="00EB4EA9"/>
    <w:rsid w:val="00EB5067"/>
    <w:rsid w:val="00EB51AD"/>
    <w:rsid w:val="00EB51CF"/>
    <w:rsid w:val="00EB5697"/>
    <w:rsid w:val="00EB56CE"/>
    <w:rsid w:val="00EB6025"/>
    <w:rsid w:val="00EB628F"/>
    <w:rsid w:val="00EB62E2"/>
    <w:rsid w:val="00EB649D"/>
    <w:rsid w:val="00EB65B4"/>
    <w:rsid w:val="00EB6813"/>
    <w:rsid w:val="00EB687C"/>
    <w:rsid w:val="00EB6AC0"/>
    <w:rsid w:val="00EB7208"/>
    <w:rsid w:val="00EB7242"/>
    <w:rsid w:val="00EB73A9"/>
    <w:rsid w:val="00EB73FD"/>
    <w:rsid w:val="00EB746B"/>
    <w:rsid w:val="00EB7786"/>
    <w:rsid w:val="00EB77C9"/>
    <w:rsid w:val="00EB787F"/>
    <w:rsid w:val="00EB7B85"/>
    <w:rsid w:val="00EC0144"/>
    <w:rsid w:val="00EC04CF"/>
    <w:rsid w:val="00EC05AA"/>
    <w:rsid w:val="00EC0699"/>
    <w:rsid w:val="00EC0734"/>
    <w:rsid w:val="00EC0C62"/>
    <w:rsid w:val="00EC0CED"/>
    <w:rsid w:val="00EC0F68"/>
    <w:rsid w:val="00EC173C"/>
    <w:rsid w:val="00EC19AF"/>
    <w:rsid w:val="00EC1C8F"/>
    <w:rsid w:val="00EC1DEE"/>
    <w:rsid w:val="00EC1E2C"/>
    <w:rsid w:val="00EC1EF0"/>
    <w:rsid w:val="00EC203C"/>
    <w:rsid w:val="00EC2350"/>
    <w:rsid w:val="00EC2383"/>
    <w:rsid w:val="00EC23BC"/>
    <w:rsid w:val="00EC24CA"/>
    <w:rsid w:val="00EC2DFC"/>
    <w:rsid w:val="00EC300E"/>
    <w:rsid w:val="00EC30E8"/>
    <w:rsid w:val="00EC30F6"/>
    <w:rsid w:val="00EC332A"/>
    <w:rsid w:val="00EC35B0"/>
    <w:rsid w:val="00EC35ED"/>
    <w:rsid w:val="00EC3636"/>
    <w:rsid w:val="00EC380C"/>
    <w:rsid w:val="00EC38E3"/>
    <w:rsid w:val="00EC3C93"/>
    <w:rsid w:val="00EC3D38"/>
    <w:rsid w:val="00EC3DF6"/>
    <w:rsid w:val="00EC3E8D"/>
    <w:rsid w:val="00EC3FEF"/>
    <w:rsid w:val="00EC4162"/>
    <w:rsid w:val="00EC43A8"/>
    <w:rsid w:val="00EC43DC"/>
    <w:rsid w:val="00EC4572"/>
    <w:rsid w:val="00EC45E8"/>
    <w:rsid w:val="00EC4618"/>
    <w:rsid w:val="00EC4624"/>
    <w:rsid w:val="00EC4EF8"/>
    <w:rsid w:val="00EC4F08"/>
    <w:rsid w:val="00EC50BF"/>
    <w:rsid w:val="00EC53B2"/>
    <w:rsid w:val="00EC56F9"/>
    <w:rsid w:val="00EC5742"/>
    <w:rsid w:val="00EC595C"/>
    <w:rsid w:val="00EC5BF4"/>
    <w:rsid w:val="00EC5E6B"/>
    <w:rsid w:val="00EC6088"/>
    <w:rsid w:val="00EC6261"/>
    <w:rsid w:val="00EC6669"/>
    <w:rsid w:val="00EC67FA"/>
    <w:rsid w:val="00EC687A"/>
    <w:rsid w:val="00EC6A5F"/>
    <w:rsid w:val="00EC6BD7"/>
    <w:rsid w:val="00EC6C26"/>
    <w:rsid w:val="00EC6DBE"/>
    <w:rsid w:val="00EC76BB"/>
    <w:rsid w:val="00EC7878"/>
    <w:rsid w:val="00EC78E6"/>
    <w:rsid w:val="00EC7D66"/>
    <w:rsid w:val="00EC7E74"/>
    <w:rsid w:val="00EC7EC4"/>
    <w:rsid w:val="00EC7EC6"/>
    <w:rsid w:val="00ED0363"/>
    <w:rsid w:val="00ED040F"/>
    <w:rsid w:val="00ED0774"/>
    <w:rsid w:val="00ED0D21"/>
    <w:rsid w:val="00ED10D8"/>
    <w:rsid w:val="00ED12BE"/>
    <w:rsid w:val="00ED12CF"/>
    <w:rsid w:val="00ED137D"/>
    <w:rsid w:val="00ED1619"/>
    <w:rsid w:val="00ED19C0"/>
    <w:rsid w:val="00ED1BD9"/>
    <w:rsid w:val="00ED1F48"/>
    <w:rsid w:val="00ED1F87"/>
    <w:rsid w:val="00ED2137"/>
    <w:rsid w:val="00ED2156"/>
    <w:rsid w:val="00ED22DB"/>
    <w:rsid w:val="00ED246F"/>
    <w:rsid w:val="00ED25D5"/>
    <w:rsid w:val="00ED262E"/>
    <w:rsid w:val="00ED26D2"/>
    <w:rsid w:val="00ED2879"/>
    <w:rsid w:val="00ED33CF"/>
    <w:rsid w:val="00ED354A"/>
    <w:rsid w:val="00ED3577"/>
    <w:rsid w:val="00ED35D0"/>
    <w:rsid w:val="00ED3E31"/>
    <w:rsid w:val="00ED3F2F"/>
    <w:rsid w:val="00ED4249"/>
    <w:rsid w:val="00ED4544"/>
    <w:rsid w:val="00ED4657"/>
    <w:rsid w:val="00ED469B"/>
    <w:rsid w:val="00ED46CF"/>
    <w:rsid w:val="00ED473D"/>
    <w:rsid w:val="00ED475E"/>
    <w:rsid w:val="00ED4C04"/>
    <w:rsid w:val="00ED4CE7"/>
    <w:rsid w:val="00ED4D1B"/>
    <w:rsid w:val="00ED50AD"/>
    <w:rsid w:val="00ED58F1"/>
    <w:rsid w:val="00ED59EB"/>
    <w:rsid w:val="00ED5AC8"/>
    <w:rsid w:val="00ED5D26"/>
    <w:rsid w:val="00ED5D8B"/>
    <w:rsid w:val="00ED5E16"/>
    <w:rsid w:val="00ED5E9F"/>
    <w:rsid w:val="00ED5F17"/>
    <w:rsid w:val="00ED5F76"/>
    <w:rsid w:val="00ED61D8"/>
    <w:rsid w:val="00ED6419"/>
    <w:rsid w:val="00ED655D"/>
    <w:rsid w:val="00ED6660"/>
    <w:rsid w:val="00ED6BB0"/>
    <w:rsid w:val="00ED6E2A"/>
    <w:rsid w:val="00ED73A9"/>
    <w:rsid w:val="00ED7447"/>
    <w:rsid w:val="00ED78C8"/>
    <w:rsid w:val="00ED7B89"/>
    <w:rsid w:val="00ED7F77"/>
    <w:rsid w:val="00ED7F8C"/>
    <w:rsid w:val="00EE001B"/>
    <w:rsid w:val="00EE0205"/>
    <w:rsid w:val="00EE0283"/>
    <w:rsid w:val="00EE0863"/>
    <w:rsid w:val="00EE0B10"/>
    <w:rsid w:val="00EE0DEB"/>
    <w:rsid w:val="00EE11BC"/>
    <w:rsid w:val="00EE1217"/>
    <w:rsid w:val="00EE1316"/>
    <w:rsid w:val="00EE14CC"/>
    <w:rsid w:val="00EE160C"/>
    <w:rsid w:val="00EE160F"/>
    <w:rsid w:val="00EE1979"/>
    <w:rsid w:val="00EE1B83"/>
    <w:rsid w:val="00EE1BDC"/>
    <w:rsid w:val="00EE1D49"/>
    <w:rsid w:val="00EE1DB5"/>
    <w:rsid w:val="00EE1DCB"/>
    <w:rsid w:val="00EE1EED"/>
    <w:rsid w:val="00EE1FEC"/>
    <w:rsid w:val="00EE20CD"/>
    <w:rsid w:val="00EE254C"/>
    <w:rsid w:val="00EE25E4"/>
    <w:rsid w:val="00EE2909"/>
    <w:rsid w:val="00EE29AB"/>
    <w:rsid w:val="00EE2CFA"/>
    <w:rsid w:val="00EE2DFD"/>
    <w:rsid w:val="00EE2E4B"/>
    <w:rsid w:val="00EE2EAD"/>
    <w:rsid w:val="00EE2FE4"/>
    <w:rsid w:val="00EE3049"/>
    <w:rsid w:val="00EE307C"/>
    <w:rsid w:val="00EE30D8"/>
    <w:rsid w:val="00EE3167"/>
    <w:rsid w:val="00EE31AB"/>
    <w:rsid w:val="00EE329A"/>
    <w:rsid w:val="00EE34DD"/>
    <w:rsid w:val="00EE36C6"/>
    <w:rsid w:val="00EE3886"/>
    <w:rsid w:val="00EE389C"/>
    <w:rsid w:val="00EE3C9C"/>
    <w:rsid w:val="00EE3D22"/>
    <w:rsid w:val="00EE3F7B"/>
    <w:rsid w:val="00EE3FEC"/>
    <w:rsid w:val="00EE438A"/>
    <w:rsid w:val="00EE4482"/>
    <w:rsid w:val="00EE44FD"/>
    <w:rsid w:val="00EE4521"/>
    <w:rsid w:val="00EE4AA4"/>
    <w:rsid w:val="00EE4B03"/>
    <w:rsid w:val="00EE4C0D"/>
    <w:rsid w:val="00EE4F7C"/>
    <w:rsid w:val="00EE4FB4"/>
    <w:rsid w:val="00EE4FFD"/>
    <w:rsid w:val="00EE5022"/>
    <w:rsid w:val="00EE5047"/>
    <w:rsid w:val="00EE510E"/>
    <w:rsid w:val="00EE5259"/>
    <w:rsid w:val="00EE526E"/>
    <w:rsid w:val="00EE533B"/>
    <w:rsid w:val="00EE5A9D"/>
    <w:rsid w:val="00EE5B39"/>
    <w:rsid w:val="00EE5F79"/>
    <w:rsid w:val="00EE6115"/>
    <w:rsid w:val="00EE658D"/>
    <w:rsid w:val="00EE67AC"/>
    <w:rsid w:val="00EE67E3"/>
    <w:rsid w:val="00EE697A"/>
    <w:rsid w:val="00EE707E"/>
    <w:rsid w:val="00EE710C"/>
    <w:rsid w:val="00EE7196"/>
    <w:rsid w:val="00EE7520"/>
    <w:rsid w:val="00EE7CCB"/>
    <w:rsid w:val="00EE7D26"/>
    <w:rsid w:val="00EF0089"/>
    <w:rsid w:val="00EF08DD"/>
    <w:rsid w:val="00EF0E17"/>
    <w:rsid w:val="00EF0E9A"/>
    <w:rsid w:val="00EF0F58"/>
    <w:rsid w:val="00EF1185"/>
    <w:rsid w:val="00EF1860"/>
    <w:rsid w:val="00EF18D7"/>
    <w:rsid w:val="00EF1F9A"/>
    <w:rsid w:val="00EF2008"/>
    <w:rsid w:val="00EF21F1"/>
    <w:rsid w:val="00EF232E"/>
    <w:rsid w:val="00EF2583"/>
    <w:rsid w:val="00EF291E"/>
    <w:rsid w:val="00EF2BA8"/>
    <w:rsid w:val="00EF2BE1"/>
    <w:rsid w:val="00EF2F90"/>
    <w:rsid w:val="00EF34A6"/>
    <w:rsid w:val="00EF34A9"/>
    <w:rsid w:val="00EF34AB"/>
    <w:rsid w:val="00EF34F1"/>
    <w:rsid w:val="00EF3557"/>
    <w:rsid w:val="00EF37F4"/>
    <w:rsid w:val="00EF3AEE"/>
    <w:rsid w:val="00EF3F6E"/>
    <w:rsid w:val="00EF3FF1"/>
    <w:rsid w:val="00EF4041"/>
    <w:rsid w:val="00EF4238"/>
    <w:rsid w:val="00EF4279"/>
    <w:rsid w:val="00EF42C8"/>
    <w:rsid w:val="00EF434C"/>
    <w:rsid w:val="00EF43A0"/>
    <w:rsid w:val="00EF45F9"/>
    <w:rsid w:val="00EF48DB"/>
    <w:rsid w:val="00EF4B12"/>
    <w:rsid w:val="00EF4B97"/>
    <w:rsid w:val="00EF4D12"/>
    <w:rsid w:val="00EF4DF5"/>
    <w:rsid w:val="00EF4EC8"/>
    <w:rsid w:val="00EF4FC4"/>
    <w:rsid w:val="00EF5214"/>
    <w:rsid w:val="00EF56D9"/>
    <w:rsid w:val="00EF5789"/>
    <w:rsid w:val="00EF5A24"/>
    <w:rsid w:val="00EF5EA7"/>
    <w:rsid w:val="00EF627D"/>
    <w:rsid w:val="00EF64D4"/>
    <w:rsid w:val="00EF6637"/>
    <w:rsid w:val="00EF6655"/>
    <w:rsid w:val="00EF67AF"/>
    <w:rsid w:val="00EF6F35"/>
    <w:rsid w:val="00EF7603"/>
    <w:rsid w:val="00EF76C4"/>
    <w:rsid w:val="00EF7B65"/>
    <w:rsid w:val="00EF7BEB"/>
    <w:rsid w:val="00EF7CD8"/>
    <w:rsid w:val="00EF7FA2"/>
    <w:rsid w:val="00EF7FA4"/>
    <w:rsid w:val="00EF7FE3"/>
    <w:rsid w:val="00F00746"/>
    <w:rsid w:val="00F00B7D"/>
    <w:rsid w:val="00F00BFC"/>
    <w:rsid w:val="00F00D2F"/>
    <w:rsid w:val="00F00E89"/>
    <w:rsid w:val="00F0101E"/>
    <w:rsid w:val="00F012B8"/>
    <w:rsid w:val="00F01447"/>
    <w:rsid w:val="00F014CD"/>
    <w:rsid w:val="00F01605"/>
    <w:rsid w:val="00F019E2"/>
    <w:rsid w:val="00F01A03"/>
    <w:rsid w:val="00F01C5D"/>
    <w:rsid w:val="00F01E09"/>
    <w:rsid w:val="00F01F42"/>
    <w:rsid w:val="00F02006"/>
    <w:rsid w:val="00F0207D"/>
    <w:rsid w:val="00F022E8"/>
    <w:rsid w:val="00F02395"/>
    <w:rsid w:val="00F02407"/>
    <w:rsid w:val="00F024E3"/>
    <w:rsid w:val="00F02529"/>
    <w:rsid w:val="00F025C7"/>
    <w:rsid w:val="00F028AE"/>
    <w:rsid w:val="00F02961"/>
    <w:rsid w:val="00F02A97"/>
    <w:rsid w:val="00F02AE8"/>
    <w:rsid w:val="00F03853"/>
    <w:rsid w:val="00F0385D"/>
    <w:rsid w:val="00F038FD"/>
    <w:rsid w:val="00F03CCC"/>
    <w:rsid w:val="00F03EDE"/>
    <w:rsid w:val="00F03F83"/>
    <w:rsid w:val="00F043AF"/>
    <w:rsid w:val="00F04717"/>
    <w:rsid w:val="00F04878"/>
    <w:rsid w:val="00F04A67"/>
    <w:rsid w:val="00F04E28"/>
    <w:rsid w:val="00F0526D"/>
    <w:rsid w:val="00F0569F"/>
    <w:rsid w:val="00F0573E"/>
    <w:rsid w:val="00F05B74"/>
    <w:rsid w:val="00F06232"/>
    <w:rsid w:val="00F0676D"/>
    <w:rsid w:val="00F0679F"/>
    <w:rsid w:val="00F06972"/>
    <w:rsid w:val="00F069B9"/>
    <w:rsid w:val="00F06AAE"/>
    <w:rsid w:val="00F06FC3"/>
    <w:rsid w:val="00F070E7"/>
    <w:rsid w:val="00F07259"/>
    <w:rsid w:val="00F072CE"/>
    <w:rsid w:val="00F0731D"/>
    <w:rsid w:val="00F074ED"/>
    <w:rsid w:val="00F07B91"/>
    <w:rsid w:val="00F07FA9"/>
    <w:rsid w:val="00F1045F"/>
    <w:rsid w:val="00F10609"/>
    <w:rsid w:val="00F107B9"/>
    <w:rsid w:val="00F1082A"/>
    <w:rsid w:val="00F10BCA"/>
    <w:rsid w:val="00F10C6F"/>
    <w:rsid w:val="00F10EA5"/>
    <w:rsid w:val="00F10EBD"/>
    <w:rsid w:val="00F11073"/>
    <w:rsid w:val="00F11091"/>
    <w:rsid w:val="00F11902"/>
    <w:rsid w:val="00F11B0C"/>
    <w:rsid w:val="00F11CC1"/>
    <w:rsid w:val="00F11D02"/>
    <w:rsid w:val="00F11DC7"/>
    <w:rsid w:val="00F11E58"/>
    <w:rsid w:val="00F120F1"/>
    <w:rsid w:val="00F12284"/>
    <w:rsid w:val="00F122D3"/>
    <w:rsid w:val="00F12594"/>
    <w:rsid w:val="00F125E2"/>
    <w:rsid w:val="00F125F8"/>
    <w:rsid w:val="00F126A1"/>
    <w:rsid w:val="00F126A3"/>
    <w:rsid w:val="00F126DB"/>
    <w:rsid w:val="00F12896"/>
    <w:rsid w:val="00F128CF"/>
    <w:rsid w:val="00F12B39"/>
    <w:rsid w:val="00F12E54"/>
    <w:rsid w:val="00F130C2"/>
    <w:rsid w:val="00F1318D"/>
    <w:rsid w:val="00F13553"/>
    <w:rsid w:val="00F13754"/>
    <w:rsid w:val="00F137BE"/>
    <w:rsid w:val="00F13821"/>
    <w:rsid w:val="00F13A1A"/>
    <w:rsid w:val="00F13E75"/>
    <w:rsid w:val="00F13F3E"/>
    <w:rsid w:val="00F13F42"/>
    <w:rsid w:val="00F14004"/>
    <w:rsid w:val="00F1403B"/>
    <w:rsid w:val="00F1448C"/>
    <w:rsid w:val="00F14716"/>
    <w:rsid w:val="00F14959"/>
    <w:rsid w:val="00F14A5C"/>
    <w:rsid w:val="00F14AA2"/>
    <w:rsid w:val="00F14AF9"/>
    <w:rsid w:val="00F14EED"/>
    <w:rsid w:val="00F15C4B"/>
    <w:rsid w:val="00F16147"/>
    <w:rsid w:val="00F163BD"/>
    <w:rsid w:val="00F16495"/>
    <w:rsid w:val="00F16811"/>
    <w:rsid w:val="00F168F4"/>
    <w:rsid w:val="00F16A2C"/>
    <w:rsid w:val="00F16AE1"/>
    <w:rsid w:val="00F16BB0"/>
    <w:rsid w:val="00F17087"/>
    <w:rsid w:val="00F17146"/>
    <w:rsid w:val="00F17277"/>
    <w:rsid w:val="00F17B20"/>
    <w:rsid w:val="00F17B27"/>
    <w:rsid w:val="00F17DFD"/>
    <w:rsid w:val="00F17E83"/>
    <w:rsid w:val="00F20290"/>
    <w:rsid w:val="00F205F2"/>
    <w:rsid w:val="00F207E9"/>
    <w:rsid w:val="00F2092E"/>
    <w:rsid w:val="00F20B4D"/>
    <w:rsid w:val="00F20E14"/>
    <w:rsid w:val="00F20E72"/>
    <w:rsid w:val="00F21526"/>
    <w:rsid w:val="00F21626"/>
    <w:rsid w:val="00F2179D"/>
    <w:rsid w:val="00F21B3B"/>
    <w:rsid w:val="00F21B94"/>
    <w:rsid w:val="00F21BD1"/>
    <w:rsid w:val="00F221DF"/>
    <w:rsid w:val="00F22205"/>
    <w:rsid w:val="00F2231D"/>
    <w:rsid w:val="00F2262F"/>
    <w:rsid w:val="00F22760"/>
    <w:rsid w:val="00F228BC"/>
    <w:rsid w:val="00F22B6B"/>
    <w:rsid w:val="00F22BCB"/>
    <w:rsid w:val="00F22DDD"/>
    <w:rsid w:val="00F22DE4"/>
    <w:rsid w:val="00F2313B"/>
    <w:rsid w:val="00F23383"/>
    <w:rsid w:val="00F2395E"/>
    <w:rsid w:val="00F2405E"/>
    <w:rsid w:val="00F2436A"/>
    <w:rsid w:val="00F245C4"/>
    <w:rsid w:val="00F24844"/>
    <w:rsid w:val="00F249E9"/>
    <w:rsid w:val="00F249EC"/>
    <w:rsid w:val="00F25277"/>
    <w:rsid w:val="00F25355"/>
    <w:rsid w:val="00F25513"/>
    <w:rsid w:val="00F25959"/>
    <w:rsid w:val="00F2619E"/>
    <w:rsid w:val="00F2629D"/>
    <w:rsid w:val="00F264D2"/>
    <w:rsid w:val="00F26784"/>
    <w:rsid w:val="00F26B5A"/>
    <w:rsid w:val="00F26E56"/>
    <w:rsid w:val="00F26FBE"/>
    <w:rsid w:val="00F27A87"/>
    <w:rsid w:val="00F3007D"/>
    <w:rsid w:val="00F30088"/>
    <w:rsid w:val="00F3028E"/>
    <w:rsid w:val="00F30379"/>
    <w:rsid w:val="00F3047A"/>
    <w:rsid w:val="00F304B9"/>
    <w:rsid w:val="00F306F5"/>
    <w:rsid w:val="00F3073F"/>
    <w:rsid w:val="00F30880"/>
    <w:rsid w:val="00F308BB"/>
    <w:rsid w:val="00F309D9"/>
    <w:rsid w:val="00F30A43"/>
    <w:rsid w:val="00F31051"/>
    <w:rsid w:val="00F3116A"/>
    <w:rsid w:val="00F312BD"/>
    <w:rsid w:val="00F318A9"/>
    <w:rsid w:val="00F31AF6"/>
    <w:rsid w:val="00F31B13"/>
    <w:rsid w:val="00F31B82"/>
    <w:rsid w:val="00F31FA4"/>
    <w:rsid w:val="00F321B3"/>
    <w:rsid w:val="00F32276"/>
    <w:rsid w:val="00F323F5"/>
    <w:rsid w:val="00F32726"/>
    <w:rsid w:val="00F327CC"/>
    <w:rsid w:val="00F328A7"/>
    <w:rsid w:val="00F328AB"/>
    <w:rsid w:val="00F32AAC"/>
    <w:rsid w:val="00F32AD1"/>
    <w:rsid w:val="00F32E3E"/>
    <w:rsid w:val="00F32F07"/>
    <w:rsid w:val="00F32F8E"/>
    <w:rsid w:val="00F33017"/>
    <w:rsid w:val="00F33C4B"/>
    <w:rsid w:val="00F33F48"/>
    <w:rsid w:val="00F340AC"/>
    <w:rsid w:val="00F34205"/>
    <w:rsid w:val="00F344E4"/>
    <w:rsid w:val="00F347D9"/>
    <w:rsid w:val="00F34E2F"/>
    <w:rsid w:val="00F35023"/>
    <w:rsid w:val="00F3506C"/>
    <w:rsid w:val="00F35331"/>
    <w:rsid w:val="00F354BF"/>
    <w:rsid w:val="00F356A4"/>
    <w:rsid w:val="00F35710"/>
    <w:rsid w:val="00F35794"/>
    <w:rsid w:val="00F35812"/>
    <w:rsid w:val="00F3592F"/>
    <w:rsid w:val="00F35ACD"/>
    <w:rsid w:val="00F35EAC"/>
    <w:rsid w:val="00F3618A"/>
    <w:rsid w:val="00F36191"/>
    <w:rsid w:val="00F36405"/>
    <w:rsid w:val="00F36444"/>
    <w:rsid w:val="00F365DA"/>
    <w:rsid w:val="00F3694F"/>
    <w:rsid w:val="00F36B5C"/>
    <w:rsid w:val="00F36C49"/>
    <w:rsid w:val="00F37115"/>
    <w:rsid w:val="00F376EF"/>
    <w:rsid w:val="00F37855"/>
    <w:rsid w:val="00F37BA4"/>
    <w:rsid w:val="00F37D28"/>
    <w:rsid w:val="00F404C1"/>
    <w:rsid w:val="00F406DB"/>
    <w:rsid w:val="00F4078C"/>
    <w:rsid w:val="00F4080F"/>
    <w:rsid w:val="00F409A8"/>
    <w:rsid w:val="00F40AF2"/>
    <w:rsid w:val="00F40B63"/>
    <w:rsid w:val="00F40FE8"/>
    <w:rsid w:val="00F41277"/>
    <w:rsid w:val="00F415D7"/>
    <w:rsid w:val="00F41642"/>
    <w:rsid w:val="00F4166E"/>
    <w:rsid w:val="00F4183F"/>
    <w:rsid w:val="00F4190C"/>
    <w:rsid w:val="00F41D57"/>
    <w:rsid w:val="00F41DD4"/>
    <w:rsid w:val="00F425FF"/>
    <w:rsid w:val="00F4284B"/>
    <w:rsid w:val="00F42B04"/>
    <w:rsid w:val="00F42FF5"/>
    <w:rsid w:val="00F430DC"/>
    <w:rsid w:val="00F4328B"/>
    <w:rsid w:val="00F432B9"/>
    <w:rsid w:val="00F433E6"/>
    <w:rsid w:val="00F4388C"/>
    <w:rsid w:val="00F438DF"/>
    <w:rsid w:val="00F43949"/>
    <w:rsid w:val="00F43A00"/>
    <w:rsid w:val="00F43A4B"/>
    <w:rsid w:val="00F43B6F"/>
    <w:rsid w:val="00F43CDD"/>
    <w:rsid w:val="00F44243"/>
    <w:rsid w:val="00F443C8"/>
    <w:rsid w:val="00F4448B"/>
    <w:rsid w:val="00F44BF9"/>
    <w:rsid w:val="00F45071"/>
    <w:rsid w:val="00F45154"/>
    <w:rsid w:val="00F4523A"/>
    <w:rsid w:val="00F45A5D"/>
    <w:rsid w:val="00F45CAC"/>
    <w:rsid w:val="00F45D77"/>
    <w:rsid w:val="00F46086"/>
    <w:rsid w:val="00F466D8"/>
    <w:rsid w:val="00F46870"/>
    <w:rsid w:val="00F468DE"/>
    <w:rsid w:val="00F46ABF"/>
    <w:rsid w:val="00F46D38"/>
    <w:rsid w:val="00F4700A"/>
    <w:rsid w:val="00F4700D"/>
    <w:rsid w:val="00F47055"/>
    <w:rsid w:val="00F470C4"/>
    <w:rsid w:val="00F472F8"/>
    <w:rsid w:val="00F47624"/>
    <w:rsid w:val="00F47638"/>
    <w:rsid w:val="00F4766C"/>
    <w:rsid w:val="00F47B2E"/>
    <w:rsid w:val="00F47D1D"/>
    <w:rsid w:val="00F47EC7"/>
    <w:rsid w:val="00F47F0D"/>
    <w:rsid w:val="00F47F5E"/>
    <w:rsid w:val="00F500E2"/>
    <w:rsid w:val="00F503BC"/>
    <w:rsid w:val="00F50EAC"/>
    <w:rsid w:val="00F50F12"/>
    <w:rsid w:val="00F50F97"/>
    <w:rsid w:val="00F51126"/>
    <w:rsid w:val="00F5121E"/>
    <w:rsid w:val="00F51690"/>
    <w:rsid w:val="00F51792"/>
    <w:rsid w:val="00F5183B"/>
    <w:rsid w:val="00F51975"/>
    <w:rsid w:val="00F5199E"/>
    <w:rsid w:val="00F52059"/>
    <w:rsid w:val="00F52088"/>
    <w:rsid w:val="00F5243D"/>
    <w:rsid w:val="00F52618"/>
    <w:rsid w:val="00F52623"/>
    <w:rsid w:val="00F52879"/>
    <w:rsid w:val="00F5289B"/>
    <w:rsid w:val="00F52A40"/>
    <w:rsid w:val="00F52F98"/>
    <w:rsid w:val="00F530EE"/>
    <w:rsid w:val="00F5317B"/>
    <w:rsid w:val="00F5340A"/>
    <w:rsid w:val="00F53506"/>
    <w:rsid w:val="00F53515"/>
    <w:rsid w:val="00F537EA"/>
    <w:rsid w:val="00F53C82"/>
    <w:rsid w:val="00F546FD"/>
    <w:rsid w:val="00F54A2E"/>
    <w:rsid w:val="00F54E59"/>
    <w:rsid w:val="00F54E64"/>
    <w:rsid w:val="00F55025"/>
    <w:rsid w:val="00F5509F"/>
    <w:rsid w:val="00F5518D"/>
    <w:rsid w:val="00F556C3"/>
    <w:rsid w:val="00F55C4F"/>
    <w:rsid w:val="00F55FA2"/>
    <w:rsid w:val="00F565D0"/>
    <w:rsid w:val="00F56834"/>
    <w:rsid w:val="00F56D5E"/>
    <w:rsid w:val="00F5711D"/>
    <w:rsid w:val="00F571C5"/>
    <w:rsid w:val="00F5723F"/>
    <w:rsid w:val="00F573B7"/>
    <w:rsid w:val="00F57516"/>
    <w:rsid w:val="00F57745"/>
    <w:rsid w:val="00F57887"/>
    <w:rsid w:val="00F57D27"/>
    <w:rsid w:val="00F57D6E"/>
    <w:rsid w:val="00F57FF7"/>
    <w:rsid w:val="00F603FC"/>
    <w:rsid w:val="00F60877"/>
    <w:rsid w:val="00F60955"/>
    <w:rsid w:val="00F60B8C"/>
    <w:rsid w:val="00F60CE9"/>
    <w:rsid w:val="00F60DAE"/>
    <w:rsid w:val="00F60DB1"/>
    <w:rsid w:val="00F60E17"/>
    <w:rsid w:val="00F61073"/>
    <w:rsid w:val="00F615D3"/>
    <w:rsid w:val="00F61667"/>
    <w:rsid w:val="00F61B6C"/>
    <w:rsid w:val="00F61BBA"/>
    <w:rsid w:val="00F61CCF"/>
    <w:rsid w:val="00F62729"/>
    <w:rsid w:val="00F627B4"/>
    <w:rsid w:val="00F62C56"/>
    <w:rsid w:val="00F62D39"/>
    <w:rsid w:val="00F62EC1"/>
    <w:rsid w:val="00F630BD"/>
    <w:rsid w:val="00F6315C"/>
    <w:rsid w:val="00F633EF"/>
    <w:rsid w:val="00F6358D"/>
    <w:rsid w:val="00F642C7"/>
    <w:rsid w:val="00F643E6"/>
    <w:rsid w:val="00F646F8"/>
    <w:rsid w:val="00F6473E"/>
    <w:rsid w:val="00F6476D"/>
    <w:rsid w:val="00F649C7"/>
    <w:rsid w:val="00F64AF4"/>
    <w:rsid w:val="00F64DF0"/>
    <w:rsid w:val="00F64FF1"/>
    <w:rsid w:val="00F65006"/>
    <w:rsid w:val="00F654BB"/>
    <w:rsid w:val="00F655CE"/>
    <w:rsid w:val="00F65712"/>
    <w:rsid w:val="00F65AE6"/>
    <w:rsid w:val="00F65D06"/>
    <w:rsid w:val="00F65D59"/>
    <w:rsid w:val="00F65E86"/>
    <w:rsid w:val="00F66242"/>
    <w:rsid w:val="00F665B4"/>
    <w:rsid w:val="00F665BE"/>
    <w:rsid w:val="00F665C9"/>
    <w:rsid w:val="00F66BE0"/>
    <w:rsid w:val="00F66C32"/>
    <w:rsid w:val="00F671FD"/>
    <w:rsid w:val="00F673AA"/>
    <w:rsid w:val="00F673AF"/>
    <w:rsid w:val="00F67441"/>
    <w:rsid w:val="00F675B1"/>
    <w:rsid w:val="00F67600"/>
    <w:rsid w:val="00F67892"/>
    <w:rsid w:val="00F67F33"/>
    <w:rsid w:val="00F67F99"/>
    <w:rsid w:val="00F67FCB"/>
    <w:rsid w:val="00F70141"/>
    <w:rsid w:val="00F70286"/>
    <w:rsid w:val="00F702E9"/>
    <w:rsid w:val="00F702F2"/>
    <w:rsid w:val="00F7064D"/>
    <w:rsid w:val="00F70CBD"/>
    <w:rsid w:val="00F70D08"/>
    <w:rsid w:val="00F70D24"/>
    <w:rsid w:val="00F70D90"/>
    <w:rsid w:val="00F71073"/>
    <w:rsid w:val="00F710FF"/>
    <w:rsid w:val="00F71474"/>
    <w:rsid w:val="00F715B8"/>
    <w:rsid w:val="00F719ED"/>
    <w:rsid w:val="00F71DA5"/>
    <w:rsid w:val="00F71E30"/>
    <w:rsid w:val="00F71FEE"/>
    <w:rsid w:val="00F722AB"/>
    <w:rsid w:val="00F72408"/>
    <w:rsid w:val="00F7246F"/>
    <w:rsid w:val="00F724F8"/>
    <w:rsid w:val="00F72BC1"/>
    <w:rsid w:val="00F730D1"/>
    <w:rsid w:val="00F73784"/>
    <w:rsid w:val="00F73D2A"/>
    <w:rsid w:val="00F742EA"/>
    <w:rsid w:val="00F743A3"/>
    <w:rsid w:val="00F7509C"/>
    <w:rsid w:val="00F751EF"/>
    <w:rsid w:val="00F7523C"/>
    <w:rsid w:val="00F7538B"/>
    <w:rsid w:val="00F7564A"/>
    <w:rsid w:val="00F756A1"/>
    <w:rsid w:val="00F7598D"/>
    <w:rsid w:val="00F75A08"/>
    <w:rsid w:val="00F75BA7"/>
    <w:rsid w:val="00F75D37"/>
    <w:rsid w:val="00F75D9D"/>
    <w:rsid w:val="00F7617A"/>
    <w:rsid w:val="00F76400"/>
    <w:rsid w:val="00F764E0"/>
    <w:rsid w:val="00F764E2"/>
    <w:rsid w:val="00F764E4"/>
    <w:rsid w:val="00F76570"/>
    <w:rsid w:val="00F767F7"/>
    <w:rsid w:val="00F76909"/>
    <w:rsid w:val="00F76927"/>
    <w:rsid w:val="00F769A8"/>
    <w:rsid w:val="00F76A11"/>
    <w:rsid w:val="00F76A2A"/>
    <w:rsid w:val="00F76D91"/>
    <w:rsid w:val="00F771F4"/>
    <w:rsid w:val="00F772E0"/>
    <w:rsid w:val="00F77498"/>
    <w:rsid w:val="00F77792"/>
    <w:rsid w:val="00F802B4"/>
    <w:rsid w:val="00F804F2"/>
    <w:rsid w:val="00F80558"/>
    <w:rsid w:val="00F805FB"/>
    <w:rsid w:val="00F80821"/>
    <w:rsid w:val="00F80C07"/>
    <w:rsid w:val="00F811F9"/>
    <w:rsid w:val="00F81234"/>
    <w:rsid w:val="00F81987"/>
    <w:rsid w:val="00F81D4F"/>
    <w:rsid w:val="00F81DD2"/>
    <w:rsid w:val="00F8201D"/>
    <w:rsid w:val="00F82228"/>
    <w:rsid w:val="00F82357"/>
    <w:rsid w:val="00F82A03"/>
    <w:rsid w:val="00F82AAA"/>
    <w:rsid w:val="00F82E3B"/>
    <w:rsid w:val="00F83298"/>
    <w:rsid w:val="00F837E8"/>
    <w:rsid w:val="00F83983"/>
    <w:rsid w:val="00F83E5D"/>
    <w:rsid w:val="00F8419D"/>
    <w:rsid w:val="00F8426E"/>
    <w:rsid w:val="00F844EA"/>
    <w:rsid w:val="00F84829"/>
    <w:rsid w:val="00F848E5"/>
    <w:rsid w:val="00F84A75"/>
    <w:rsid w:val="00F84E3E"/>
    <w:rsid w:val="00F85127"/>
    <w:rsid w:val="00F851DE"/>
    <w:rsid w:val="00F853C8"/>
    <w:rsid w:val="00F853DF"/>
    <w:rsid w:val="00F85569"/>
    <w:rsid w:val="00F859A2"/>
    <w:rsid w:val="00F85CA5"/>
    <w:rsid w:val="00F85D80"/>
    <w:rsid w:val="00F85EDF"/>
    <w:rsid w:val="00F85FA7"/>
    <w:rsid w:val="00F85FBA"/>
    <w:rsid w:val="00F86099"/>
    <w:rsid w:val="00F8611E"/>
    <w:rsid w:val="00F86560"/>
    <w:rsid w:val="00F865A9"/>
    <w:rsid w:val="00F865CA"/>
    <w:rsid w:val="00F86646"/>
    <w:rsid w:val="00F8696A"/>
    <w:rsid w:val="00F86C31"/>
    <w:rsid w:val="00F87037"/>
    <w:rsid w:val="00F8710A"/>
    <w:rsid w:val="00F8719F"/>
    <w:rsid w:val="00F87411"/>
    <w:rsid w:val="00F87530"/>
    <w:rsid w:val="00F87700"/>
    <w:rsid w:val="00F87898"/>
    <w:rsid w:val="00F87AE1"/>
    <w:rsid w:val="00F908BE"/>
    <w:rsid w:val="00F909A4"/>
    <w:rsid w:val="00F90A0E"/>
    <w:rsid w:val="00F90E98"/>
    <w:rsid w:val="00F91200"/>
    <w:rsid w:val="00F91BC6"/>
    <w:rsid w:val="00F91D14"/>
    <w:rsid w:val="00F91F34"/>
    <w:rsid w:val="00F922D9"/>
    <w:rsid w:val="00F923C4"/>
    <w:rsid w:val="00F92984"/>
    <w:rsid w:val="00F92AA6"/>
    <w:rsid w:val="00F92C5D"/>
    <w:rsid w:val="00F930C1"/>
    <w:rsid w:val="00F93653"/>
    <w:rsid w:val="00F93707"/>
    <w:rsid w:val="00F93805"/>
    <w:rsid w:val="00F93E8A"/>
    <w:rsid w:val="00F93EA4"/>
    <w:rsid w:val="00F93F1A"/>
    <w:rsid w:val="00F94132"/>
    <w:rsid w:val="00F94BDB"/>
    <w:rsid w:val="00F9545D"/>
    <w:rsid w:val="00F95B9E"/>
    <w:rsid w:val="00F9617E"/>
    <w:rsid w:val="00F96261"/>
    <w:rsid w:val="00F96492"/>
    <w:rsid w:val="00F964D8"/>
    <w:rsid w:val="00F96885"/>
    <w:rsid w:val="00F96A88"/>
    <w:rsid w:val="00F96CC9"/>
    <w:rsid w:val="00F96F6A"/>
    <w:rsid w:val="00F97073"/>
    <w:rsid w:val="00F9711F"/>
    <w:rsid w:val="00F97169"/>
    <w:rsid w:val="00F97292"/>
    <w:rsid w:val="00F973CF"/>
    <w:rsid w:val="00F9748C"/>
    <w:rsid w:val="00F979D2"/>
    <w:rsid w:val="00F97A96"/>
    <w:rsid w:val="00FA05B3"/>
    <w:rsid w:val="00FA0ADD"/>
    <w:rsid w:val="00FA0E2B"/>
    <w:rsid w:val="00FA0EF3"/>
    <w:rsid w:val="00FA148C"/>
    <w:rsid w:val="00FA16D2"/>
    <w:rsid w:val="00FA1D60"/>
    <w:rsid w:val="00FA1EDC"/>
    <w:rsid w:val="00FA1F46"/>
    <w:rsid w:val="00FA1F9D"/>
    <w:rsid w:val="00FA1FEE"/>
    <w:rsid w:val="00FA2216"/>
    <w:rsid w:val="00FA2321"/>
    <w:rsid w:val="00FA2369"/>
    <w:rsid w:val="00FA27EF"/>
    <w:rsid w:val="00FA2868"/>
    <w:rsid w:val="00FA295D"/>
    <w:rsid w:val="00FA29C5"/>
    <w:rsid w:val="00FA2B81"/>
    <w:rsid w:val="00FA2C36"/>
    <w:rsid w:val="00FA2E4C"/>
    <w:rsid w:val="00FA334A"/>
    <w:rsid w:val="00FA3365"/>
    <w:rsid w:val="00FA3488"/>
    <w:rsid w:val="00FA358C"/>
    <w:rsid w:val="00FA3854"/>
    <w:rsid w:val="00FA3A39"/>
    <w:rsid w:val="00FA3C2D"/>
    <w:rsid w:val="00FA3CE3"/>
    <w:rsid w:val="00FA3D6B"/>
    <w:rsid w:val="00FA42A2"/>
    <w:rsid w:val="00FA4763"/>
    <w:rsid w:val="00FA47C4"/>
    <w:rsid w:val="00FA4F4E"/>
    <w:rsid w:val="00FA5206"/>
    <w:rsid w:val="00FA565E"/>
    <w:rsid w:val="00FA5978"/>
    <w:rsid w:val="00FA5D77"/>
    <w:rsid w:val="00FA5FD4"/>
    <w:rsid w:val="00FA6179"/>
    <w:rsid w:val="00FA6315"/>
    <w:rsid w:val="00FA641C"/>
    <w:rsid w:val="00FA6B59"/>
    <w:rsid w:val="00FA6E51"/>
    <w:rsid w:val="00FA7195"/>
    <w:rsid w:val="00FA731E"/>
    <w:rsid w:val="00FA734C"/>
    <w:rsid w:val="00FA78FA"/>
    <w:rsid w:val="00FA7B94"/>
    <w:rsid w:val="00FA7BC2"/>
    <w:rsid w:val="00FA7E46"/>
    <w:rsid w:val="00FB02B3"/>
    <w:rsid w:val="00FB03F8"/>
    <w:rsid w:val="00FB0446"/>
    <w:rsid w:val="00FB056D"/>
    <w:rsid w:val="00FB069F"/>
    <w:rsid w:val="00FB0ADD"/>
    <w:rsid w:val="00FB0AF6"/>
    <w:rsid w:val="00FB0BF0"/>
    <w:rsid w:val="00FB0CF1"/>
    <w:rsid w:val="00FB1078"/>
    <w:rsid w:val="00FB13CF"/>
    <w:rsid w:val="00FB18C0"/>
    <w:rsid w:val="00FB18C6"/>
    <w:rsid w:val="00FB19F4"/>
    <w:rsid w:val="00FB1B9F"/>
    <w:rsid w:val="00FB1D1A"/>
    <w:rsid w:val="00FB1F52"/>
    <w:rsid w:val="00FB21DD"/>
    <w:rsid w:val="00FB2460"/>
    <w:rsid w:val="00FB24C2"/>
    <w:rsid w:val="00FB27B3"/>
    <w:rsid w:val="00FB281F"/>
    <w:rsid w:val="00FB286B"/>
    <w:rsid w:val="00FB2999"/>
    <w:rsid w:val="00FB2B72"/>
    <w:rsid w:val="00FB2CD7"/>
    <w:rsid w:val="00FB2D3B"/>
    <w:rsid w:val="00FB2E28"/>
    <w:rsid w:val="00FB2F7E"/>
    <w:rsid w:val="00FB2F9D"/>
    <w:rsid w:val="00FB3127"/>
    <w:rsid w:val="00FB3424"/>
    <w:rsid w:val="00FB3679"/>
    <w:rsid w:val="00FB3929"/>
    <w:rsid w:val="00FB3C60"/>
    <w:rsid w:val="00FB3DED"/>
    <w:rsid w:val="00FB3ECE"/>
    <w:rsid w:val="00FB4271"/>
    <w:rsid w:val="00FB428B"/>
    <w:rsid w:val="00FB429C"/>
    <w:rsid w:val="00FB4CB9"/>
    <w:rsid w:val="00FB5252"/>
    <w:rsid w:val="00FB52E2"/>
    <w:rsid w:val="00FB5931"/>
    <w:rsid w:val="00FB5C9E"/>
    <w:rsid w:val="00FB61DF"/>
    <w:rsid w:val="00FB67BD"/>
    <w:rsid w:val="00FB69F8"/>
    <w:rsid w:val="00FB6AC6"/>
    <w:rsid w:val="00FB6F8A"/>
    <w:rsid w:val="00FB6FE2"/>
    <w:rsid w:val="00FB722D"/>
    <w:rsid w:val="00FB72AE"/>
    <w:rsid w:val="00FB750B"/>
    <w:rsid w:val="00FB7783"/>
    <w:rsid w:val="00FB7808"/>
    <w:rsid w:val="00FB78AC"/>
    <w:rsid w:val="00FB7AB7"/>
    <w:rsid w:val="00FB7AC3"/>
    <w:rsid w:val="00FB7CD8"/>
    <w:rsid w:val="00FC0116"/>
    <w:rsid w:val="00FC017B"/>
    <w:rsid w:val="00FC01EC"/>
    <w:rsid w:val="00FC068A"/>
    <w:rsid w:val="00FC07C2"/>
    <w:rsid w:val="00FC0B2B"/>
    <w:rsid w:val="00FC0BB8"/>
    <w:rsid w:val="00FC0C84"/>
    <w:rsid w:val="00FC0DDE"/>
    <w:rsid w:val="00FC0DF1"/>
    <w:rsid w:val="00FC0F70"/>
    <w:rsid w:val="00FC0FD2"/>
    <w:rsid w:val="00FC113D"/>
    <w:rsid w:val="00FC11B9"/>
    <w:rsid w:val="00FC1526"/>
    <w:rsid w:val="00FC1974"/>
    <w:rsid w:val="00FC1C71"/>
    <w:rsid w:val="00FC206E"/>
    <w:rsid w:val="00FC20B6"/>
    <w:rsid w:val="00FC2258"/>
    <w:rsid w:val="00FC22E0"/>
    <w:rsid w:val="00FC2D4B"/>
    <w:rsid w:val="00FC2ED1"/>
    <w:rsid w:val="00FC326F"/>
    <w:rsid w:val="00FC3617"/>
    <w:rsid w:val="00FC3997"/>
    <w:rsid w:val="00FC4102"/>
    <w:rsid w:val="00FC42B5"/>
    <w:rsid w:val="00FC4632"/>
    <w:rsid w:val="00FC4729"/>
    <w:rsid w:val="00FC50E0"/>
    <w:rsid w:val="00FC56AF"/>
    <w:rsid w:val="00FC5881"/>
    <w:rsid w:val="00FC58C6"/>
    <w:rsid w:val="00FC599B"/>
    <w:rsid w:val="00FC5B8D"/>
    <w:rsid w:val="00FC5CAE"/>
    <w:rsid w:val="00FC5E0E"/>
    <w:rsid w:val="00FC609B"/>
    <w:rsid w:val="00FC6353"/>
    <w:rsid w:val="00FC641E"/>
    <w:rsid w:val="00FC6B5E"/>
    <w:rsid w:val="00FC6E59"/>
    <w:rsid w:val="00FC76E8"/>
    <w:rsid w:val="00FC796D"/>
    <w:rsid w:val="00FC7EF6"/>
    <w:rsid w:val="00FD0036"/>
    <w:rsid w:val="00FD03F1"/>
    <w:rsid w:val="00FD0459"/>
    <w:rsid w:val="00FD04FD"/>
    <w:rsid w:val="00FD0581"/>
    <w:rsid w:val="00FD09EF"/>
    <w:rsid w:val="00FD0B08"/>
    <w:rsid w:val="00FD0B55"/>
    <w:rsid w:val="00FD0CF2"/>
    <w:rsid w:val="00FD0EAC"/>
    <w:rsid w:val="00FD0F60"/>
    <w:rsid w:val="00FD12BC"/>
    <w:rsid w:val="00FD14D3"/>
    <w:rsid w:val="00FD1584"/>
    <w:rsid w:val="00FD179D"/>
    <w:rsid w:val="00FD17F8"/>
    <w:rsid w:val="00FD20FD"/>
    <w:rsid w:val="00FD2117"/>
    <w:rsid w:val="00FD288A"/>
    <w:rsid w:val="00FD2C36"/>
    <w:rsid w:val="00FD2D6C"/>
    <w:rsid w:val="00FD2DE4"/>
    <w:rsid w:val="00FD31BE"/>
    <w:rsid w:val="00FD35AB"/>
    <w:rsid w:val="00FD3731"/>
    <w:rsid w:val="00FD3962"/>
    <w:rsid w:val="00FD39B2"/>
    <w:rsid w:val="00FD3A00"/>
    <w:rsid w:val="00FD3C26"/>
    <w:rsid w:val="00FD3D92"/>
    <w:rsid w:val="00FD3F4C"/>
    <w:rsid w:val="00FD404E"/>
    <w:rsid w:val="00FD4427"/>
    <w:rsid w:val="00FD44AB"/>
    <w:rsid w:val="00FD4557"/>
    <w:rsid w:val="00FD4824"/>
    <w:rsid w:val="00FD4978"/>
    <w:rsid w:val="00FD4B92"/>
    <w:rsid w:val="00FD4D5A"/>
    <w:rsid w:val="00FD5069"/>
    <w:rsid w:val="00FD568A"/>
    <w:rsid w:val="00FD5B02"/>
    <w:rsid w:val="00FD5C33"/>
    <w:rsid w:val="00FD5D52"/>
    <w:rsid w:val="00FD5F7A"/>
    <w:rsid w:val="00FD5F83"/>
    <w:rsid w:val="00FD6048"/>
    <w:rsid w:val="00FD60DF"/>
    <w:rsid w:val="00FD6399"/>
    <w:rsid w:val="00FD63EA"/>
    <w:rsid w:val="00FD6459"/>
    <w:rsid w:val="00FD68CF"/>
    <w:rsid w:val="00FD6A35"/>
    <w:rsid w:val="00FD6C63"/>
    <w:rsid w:val="00FD6D1B"/>
    <w:rsid w:val="00FD6E82"/>
    <w:rsid w:val="00FD6F35"/>
    <w:rsid w:val="00FD7162"/>
    <w:rsid w:val="00FD7800"/>
    <w:rsid w:val="00FD7AA5"/>
    <w:rsid w:val="00FD7B13"/>
    <w:rsid w:val="00FE00EB"/>
    <w:rsid w:val="00FE0250"/>
    <w:rsid w:val="00FE02F4"/>
    <w:rsid w:val="00FE0462"/>
    <w:rsid w:val="00FE085F"/>
    <w:rsid w:val="00FE0A92"/>
    <w:rsid w:val="00FE10BA"/>
    <w:rsid w:val="00FE10FF"/>
    <w:rsid w:val="00FE13F5"/>
    <w:rsid w:val="00FE154C"/>
    <w:rsid w:val="00FE168A"/>
    <w:rsid w:val="00FE1736"/>
    <w:rsid w:val="00FE179C"/>
    <w:rsid w:val="00FE20DC"/>
    <w:rsid w:val="00FE2221"/>
    <w:rsid w:val="00FE238E"/>
    <w:rsid w:val="00FE2557"/>
    <w:rsid w:val="00FE29E7"/>
    <w:rsid w:val="00FE2FF7"/>
    <w:rsid w:val="00FE30CC"/>
    <w:rsid w:val="00FE3138"/>
    <w:rsid w:val="00FE34BE"/>
    <w:rsid w:val="00FE3B2D"/>
    <w:rsid w:val="00FE3B7B"/>
    <w:rsid w:val="00FE3C3B"/>
    <w:rsid w:val="00FE3DB3"/>
    <w:rsid w:val="00FE40A3"/>
    <w:rsid w:val="00FE4B80"/>
    <w:rsid w:val="00FE4DCA"/>
    <w:rsid w:val="00FE5262"/>
    <w:rsid w:val="00FE5446"/>
    <w:rsid w:val="00FE5A73"/>
    <w:rsid w:val="00FE5AC4"/>
    <w:rsid w:val="00FE6368"/>
    <w:rsid w:val="00FE6374"/>
    <w:rsid w:val="00FE646C"/>
    <w:rsid w:val="00FE69F8"/>
    <w:rsid w:val="00FE6B21"/>
    <w:rsid w:val="00FE6B7E"/>
    <w:rsid w:val="00FE6DD5"/>
    <w:rsid w:val="00FE6EED"/>
    <w:rsid w:val="00FE6F2C"/>
    <w:rsid w:val="00FE6F57"/>
    <w:rsid w:val="00FE6FAE"/>
    <w:rsid w:val="00FE714C"/>
    <w:rsid w:val="00FE770B"/>
    <w:rsid w:val="00FE7755"/>
    <w:rsid w:val="00FE7A24"/>
    <w:rsid w:val="00FE7D2C"/>
    <w:rsid w:val="00FE7D67"/>
    <w:rsid w:val="00FE7EA4"/>
    <w:rsid w:val="00FE7EB3"/>
    <w:rsid w:val="00FE7F15"/>
    <w:rsid w:val="00FE7F7F"/>
    <w:rsid w:val="00FF02AE"/>
    <w:rsid w:val="00FF042B"/>
    <w:rsid w:val="00FF060D"/>
    <w:rsid w:val="00FF0654"/>
    <w:rsid w:val="00FF08AD"/>
    <w:rsid w:val="00FF0937"/>
    <w:rsid w:val="00FF095D"/>
    <w:rsid w:val="00FF0D4C"/>
    <w:rsid w:val="00FF0E4A"/>
    <w:rsid w:val="00FF0EAA"/>
    <w:rsid w:val="00FF0F6A"/>
    <w:rsid w:val="00FF12AB"/>
    <w:rsid w:val="00FF12B9"/>
    <w:rsid w:val="00FF1609"/>
    <w:rsid w:val="00FF1A79"/>
    <w:rsid w:val="00FF1AD4"/>
    <w:rsid w:val="00FF20FA"/>
    <w:rsid w:val="00FF240E"/>
    <w:rsid w:val="00FF261A"/>
    <w:rsid w:val="00FF2870"/>
    <w:rsid w:val="00FF2CD6"/>
    <w:rsid w:val="00FF2D5A"/>
    <w:rsid w:val="00FF2E1B"/>
    <w:rsid w:val="00FF2EFF"/>
    <w:rsid w:val="00FF2F27"/>
    <w:rsid w:val="00FF30E4"/>
    <w:rsid w:val="00FF319F"/>
    <w:rsid w:val="00FF3259"/>
    <w:rsid w:val="00FF327B"/>
    <w:rsid w:val="00FF3E57"/>
    <w:rsid w:val="00FF3E82"/>
    <w:rsid w:val="00FF3EE7"/>
    <w:rsid w:val="00FF434F"/>
    <w:rsid w:val="00FF470A"/>
    <w:rsid w:val="00FF473E"/>
    <w:rsid w:val="00FF475C"/>
    <w:rsid w:val="00FF482C"/>
    <w:rsid w:val="00FF489B"/>
    <w:rsid w:val="00FF4D38"/>
    <w:rsid w:val="00FF4DE2"/>
    <w:rsid w:val="00FF4EE9"/>
    <w:rsid w:val="00FF5533"/>
    <w:rsid w:val="00FF5585"/>
    <w:rsid w:val="00FF56AB"/>
    <w:rsid w:val="00FF57CE"/>
    <w:rsid w:val="00FF57DA"/>
    <w:rsid w:val="00FF5A40"/>
    <w:rsid w:val="00FF62E5"/>
    <w:rsid w:val="00FF63B2"/>
    <w:rsid w:val="00FF6506"/>
    <w:rsid w:val="00FF6663"/>
    <w:rsid w:val="00FF6717"/>
    <w:rsid w:val="00FF68FE"/>
    <w:rsid w:val="00FF69E7"/>
    <w:rsid w:val="00FF6B43"/>
    <w:rsid w:val="00FF6DB4"/>
    <w:rsid w:val="00FF712E"/>
    <w:rsid w:val="00FF71C0"/>
    <w:rsid w:val="00FF732D"/>
    <w:rsid w:val="00FF74EA"/>
    <w:rsid w:val="00FF7585"/>
    <w:rsid w:val="00FF75C4"/>
    <w:rsid w:val="00FF7A12"/>
    <w:rsid w:val="00FF7AC0"/>
    <w:rsid w:val="00FF7AD4"/>
    <w:rsid w:val="00FF7C77"/>
    <w:rsid w:val="00FF7D76"/>
    <w:rsid w:val="00FF7D77"/>
    <w:rsid w:val="00FF7EAA"/>
    <w:rsid w:val="011946C6"/>
    <w:rsid w:val="0120561C"/>
    <w:rsid w:val="012445C2"/>
    <w:rsid w:val="01265785"/>
    <w:rsid w:val="013351A8"/>
    <w:rsid w:val="0140BBDE"/>
    <w:rsid w:val="0143CB29"/>
    <w:rsid w:val="017F2365"/>
    <w:rsid w:val="0184A918"/>
    <w:rsid w:val="01BBF495"/>
    <w:rsid w:val="01D0D3C4"/>
    <w:rsid w:val="01DCA108"/>
    <w:rsid w:val="01DE0DA2"/>
    <w:rsid w:val="01DE9355"/>
    <w:rsid w:val="01E7841A"/>
    <w:rsid w:val="01EAC72B"/>
    <w:rsid w:val="01FAB308"/>
    <w:rsid w:val="01FB38F6"/>
    <w:rsid w:val="0216484B"/>
    <w:rsid w:val="021D490D"/>
    <w:rsid w:val="0241D861"/>
    <w:rsid w:val="0244ADF3"/>
    <w:rsid w:val="026467AB"/>
    <w:rsid w:val="02801BF9"/>
    <w:rsid w:val="029B95E2"/>
    <w:rsid w:val="029CFDE9"/>
    <w:rsid w:val="02C0DD7B"/>
    <w:rsid w:val="02C1C4D2"/>
    <w:rsid w:val="02DF1880"/>
    <w:rsid w:val="02DF367A"/>
    <w:rsid w:val="02F8FFD6"/>
    <w:rsid w:val="03022206"/>
    <w:rsid w:val="03036D09"/>
    <w:rsid w:val="03110FD2"/>
    <w:rsid w:val="032269A4"/>
    <w:rsid w:val="033198BE"/>
    <w:rsid w:val="0341A73D"/>
    <w:rsid w:val="0347E516"/>
    <w:rsid w:val="0360F8FA"/>
    <w:rsid w:val="037AE7EC"/>
    <w:rsid w:val="0390AC35"/>
    <w:rsid w:val="03ABC57E"/>
    <w:rsid w:val="03E788F0"/>
    <w:rsid w:val="03EAD8DF"/>
    <w:rsid w:val="040091DA"/>
    <w:rsid w:val="04145FCA"/>
    <w:rsid w:val="041C70CC"/>
    <w:rsid w:val="0423D139"/>
    <w:rsid w:val="042BF1F9"/>
    <w:rsid w:val="0450AE7D"/>
    <w:rsid w:val="0475575F"/>
    <w:rsid w:val="0480DECC"/>
    <w:rsid w:val="0496AA31"/>
    <w:rsid w:val="049DF6DC"/>
    <w:rsid w:val="04E44A30"/>
    <w:rsid w:val="04E95591"/>
    <w:rsid w:val="050D8E6B"/>
    <w:rsid w:val="05167A62"/>
    <w:rsid w:val="0524AE48"/>
    <w:rsid w:val="0525CDEE"/>
    <w:rsid w:val="0532BC6E"/>
    <w:rsid w:val="05402549"/>
    <w:rsid w:val="054038B5"/>
    <w:rsid w:val="05474F29"/>
    <w:rsid w:val="054C7DFC"/>
    <w:rsid w:val="05711D47"/>
    <w:rsid w:val="0580F0B1"/>
    <w:rsid w:val="05A1923A"/>
    <w:rsid w:val="05A2F329"/>
    <w:rsid w:val="05BBA160"/>
    <w:rsid w:val="05E79460"/>
    <w:rsid w:val="061AC9B4"/>
    <w:rsid w:val="061AF805"/>
    <w:rsid w:val="0642A9CA"/>
    <w:rsid w:val="06598EA4"/>
    <w:rsid w:val="0669E1F7"/>
    <w:rsid w:val="067CCD9E"/>
    <w:rsid w:val="068069E5"/>
    <w:rsid w:val="06C529D4"/>
    <w:rsid w:val="06D0BBF9"/>
    <w:rsid w:val="06D594F5"/>
    <w:rsid w:val="06DA357C"/>
    <w:rsid w:val="06F20F4E"/>
    <w:rsid w:val="070D9DBB"/>
    <w:rsid w:val="07214C1B"/>
    <w:rsid w:val="076F1A80"/>
    <w:rsid w:val="077E6942"/>
    <w:rsid w:val="077E7FFA"/>
    <w:rsid w:val="079F2362"/>
    <w:rsid w:val="07B48D1B"/>
    <w:rsid w:val="07E2A92D"/>
    <w:rsid w:val="081E0735"/>
    <w:rsid w:val="0835F6E9"/>
    <w:rsid w:val="0836CA49"/>
    <w:rsid w:val="0854560E"/>
    <w:rsid w:val="085FFA1A"/>
    <w:rsid w:val="08662950"/>
    <w:rsid w:val="0887BAFC"/>
    <w:rsid w:val="08A2EC13"/>
    <w:rsid w:val="08DB276C"/>
    <w:rsid w:val="08F087DF"/>
    <w:rsid w:val="08F47C1C"/>
    <w:rsid w:val="08F4EFAE"/>
    <w:rsid w:val="08F8321F"/>
    <w:rsid w:val="0905578D"/>
    <w:rsid w:val="092D438B"/>
    <w:rsid w:val="09432254"/>
    <w:rsid w:val="094C3578"/>
    <w:rsid w:val="094DC100"/>
    <w:rsid w:val="0955F96F"/>
    <w:rsid w:val="0956BFDD"/>
    <w:rsid w:val="095AC9D8"/>
    <w:rsid w:val="095BFCA1"/>
    <w:rsid w:val="096F8206"/>
    <w:rsid w:val="097CF9FC"/>
    <w:rsid w:val="09AD5CDE"/>
    <w:rsid w:val="09C3F0FD"/>
    <w:rsid w:val="09D0C78B"/>
    <w:rsid w:val="09F6CBF1"/>
    <w:rsid w:val="0A0E4599"/>
    <w:rsid w:val="0A1409F6"/>
    <w:rsid w:val="0A2CA78F"/>
    <w:rsid w:val="0A3CB4CD"/>
    <w:rsid w:val="0A42FE86"/>
    <w:rsid w:val="0ABCA6A6"/>
    <w:rsid w:val="0ADB8139"/>
    <w:rsid w:val="0AE1B558"/>
    <w:rsid w:val="0AE2FD54"/>
    <w:rsid w:val="0AEFB0F1"/>
    <w:rsid w:val="0AF7CA3E"/>
    <w:rsid w:val="0B340C74"/>
    <w:rsid w:val="0B478E4E"/>
    <w:rsid w:val="0B7A1D50"/>
    <w:rsid w:val="0B83579E"/>
    <w:rsid w:val="0B915B0F"/>
    <w:rsid w:val="0BAAE321"/>
    <w:rsid w:val="0BC1FE79"/>
    <w:rsid w:val="0BE1A158"/>
    <w:rsid w:val="0C04A7D3"/>
    <w:rsid w:val="0C37F6F4"/>
    <w:rsid w:val="0C40B1D1"/>
    <w:rsid w:val="0C5C55C2"/>
    <w:rsid w:val="0C64D284"/>
    <w:rsid w:val="0C794B74"/>
    <w:rsid w:val="0D093E46"/>
    <w:rsid w:val="0D23A111"/>
    <w:rsid w:val="0D5CF674"/>
    <w:rsid w:val="0D6EC625"/>
    <w:rsid w:val="0DC55072"/>
    <w:rsid w:val="0E13E84C"/>
    <w:rsid w:val="0E334C0C"/>
    <w:rsid w:val="0E372B9A"/>
    <w:rsid w:val="0E5CE53A"/>
    <w:rsid w:val="0E7DA133"/>
    <w:rsid w:val="0E841ECE"/>
    <w:rsid w:val="0E9FC5B2"/>
    <w:rsid w:val="0EBC5F58"/>
    <w:rsid w:val="0EC38B13"/>
    <w:rsid w:val="0F023685"/>
    <w:rsid w:val="0F29C7F1"/>
    <w:rsid w:val="0F48AD9C"/>
    <w:rsid w:val="0F4AF18F"/>
    <w:rsid w:val="0F5E7240"/>
    <w:rsid w:val="0F64133C"/>
    <w:rsid w:val="0F9F2983"/>
    <w:rsid w:val="0FA9F758"/>
    <w:rsid w:val="0FC5F9AD"/>
    <w:rsid w:val="0FC73D3B"/>
    <w:rsid w:val="0FC7AC54"/>
    <w:rsid w:val="0FE356CC"/>
    <w:rsid w:val="1013ADE7"/>
    <w:rsid w:val="101AD944"/>
    <w:rsid w:val="104543A3"/>
    <w:rsid w:val="105BA6FE"/>
    <w:rsid w:val="10635EB0"/>
    <w:rsid w:val="10715F92"/>
    <w:rsid w:val="10743108"/>
    <w:rsid w:val="10D3CC27"/>
    <w:rsid w:val="10E3C60C"/>
    <w:rsid w:val="10F3DB5F"/>
    <w:rsid w:val="10F74032"/>
    <w:rsid w:val="110F2919"/>
    <w:rsid w:val="111E4CDA"/>
    <w:rsid w:val="11380C82"/>
    <w:rsid w:val="11496502"/>
    <w:rsid w:val="1171A3C8"/>
    <w:rsid w:val="1174C7AD"/>
    <w:rsid w:val="11852809"/>
    <w:rsid w:val="11A95578"/>
    <w:rsid w:val="11AD8817"/>
    <w:rsid w:val="11AE201E"/>
    <w:rsid w:val="11CC6C3B"/>
    <w:rsid w:val="1211B9E7"/>
    <w:rsid w:val="12366D36"/>
    <w:rsid w:val="123E374A"/>
    <w:rsid w:val="12540EC7"/>
    <w:rsid w:val="125F5C85"/>
    <w:rsid w:val="1260460A"/>
    <w:rsid w:val="12708D5E"/>
    <w:rsid w:val="12A46ECB"/>
    <w:rsid w:val="12A7264D"/>
    <w:rsid w:val="12B2C137"/>
    <w:rsid w:val="1312DD2C"/>
    <w:rsid w:val="133D9EDF"/>
    <w:rsid w:val="134213D4"/>
    <w:rsid w:val="137A56B5"/>
    <w:rsid w:val="137E70DD"/>
    <w:rsid w:val="1388BD0D"/>
    <w:rsid w:val="13BCEA9F"/>
    <w:rsid w:val="13D462F2"/>
    <w:rsid w:val="13DA10E2"/>
    <w:rsid w:val="14084010"/>
    <w:rsid w:val="141D61BF"/>
    <w:rsid w:val="14347008"/>
    <w:rsid w:val="14650708"/>
    <w:rsid w:val="1494F5D6"/>
    <w:rsid w:val="14B3FB86"/>
    <w:rsid w:val="14B87380"/>
    <w:rsid w:val="14BCDBD8"/>
    <w:rsid w:val="14CA73CC"/>
    <w:rsid w:val="14D71DA2"/>
    <w:rsid w:val="14E3F95C"/>
    <w:rsid w:val="14E78CDC"/>
    <w:rsid w:val="14F76922"/>
    <w:rsid w:val="15088AFC"/>
    <w:rsid w:val="152EABFE"/>
    <w:rsid w:val="155E9F24"/>
    <w:rsid w:val="15625D8F"/>
    <w:rsid w:val="15659F82"/>
    <w:rsid w:val="15864276"/>
    <w:rsid w:val="158E79DA"/>
    <w:rsid w:val="159B83AA"/>
    <w:rsid w:val="15AECF15"/>
    <w:rsid w:val="15BCD5F2"/>
    <w:rsid w:val="15F681DA"/>
    <w:rsid w:val="160643D8"/>
    <w:rsid w:val="16585107"/>
    <w:rsid w:val="166E6107"/>
    <w:rsid w:val="1683D452"/>
    <w:rsid w:val="16B19FED"/>
    <w:rsid w:val="16EBE949"/>
    <w:rsid w:val="16F1945F"/>
    <w:rsid w:val="17038CEB"/>
    <w:rsid w:val="172EE20A"/>
    <w:rsid w:val="17418487"/>
    <w:rsid w:val="176EC404"/>
    <w:rsid w:val="17863784"/>
    <w:rsid w:val="178BC102"/>
    <w:rsid w:val="17A72391"/>
    <w:rsid w:val="17B675CF"/>
    <w:rsid w:val="17C2FA0E"/>
    <w:rsid w:val="17C378A9"/>
    <w:rsid w:val="180F203D"/>
    <w:rsid w:val="18116355"/>
    <w:rsid w:val="1815415B"/>
    <w:rsid w:val="182F3498"/>
    <w:rsid w:val="1858FA84"/>
    <w:rsid w:val="1869A385"/>
    <w:rsid w:val="18930853"/>
    <w:rsid w:val="1895E31F"/>
    <w:rsid w:val="18A20EFF"/>
    <w:rsid w:val="18D05CF3"/>
    <w:rsid w:val="18D40D55"/>
    <w:rsid w:val="195335DF"/>
    <w:rsid w:val="197F7C6C"/>
    <w:rsid w:val="1987351A"/>
    <w:rsid w:val="1994ED14"/>
    <w:rsid w:val="19A71CA8"/>
    <w:rsid w:val="19B54EF5"/>
    <w:rsid w:val="19BF4E5D"/>
    <w:rsid w:val="19D73819"/>
    <w:rsid w:val="19D8A258"/>
    <w:rsid w:val="19DFF5CB"/>
    <w:rsid w:val="19F917DA"/>
    <w:rsid w:val="1A1473D4"/>
    <w:rsid w:val="1A1CD48E"/>
    <w:rsid w:val="1A6DB66D"/>
    <w:rsid w:val="1A802F88"/>
    <w:rsid w:val="1AA0F839"/>
    <w:rsid w:val="1AB1B5A4"/>
    <w:rsid w:val="1AC14AE7"/>
    <w:rsid w:val="1AC3A7B6"/>
    <w:rsid w:val="1AD3278A"/>
    <w:rsid w:val="1AD34113"/>
    <w:rsid w:val="1AF58A91"/>
    <w:rsid w:val="1AF7EA55"/>
    <w:rsid w:val="1AFCAE4A"/>
    <w:rsid w:val="1B2B62F6"/>
    <w:rsid w:val="1B5C7879"/>
    <w:rsid w:val="1B682458"/>
    <w:rsid w:val="1B93E4F7"/>
    <w:rsid w:val="1BAE2705"/>
    <w:rsid w:val="1BD39715"/>
    <w:rsid w:val="1C03709C"/>
    <w:rsid w:val="1C0DBAA4"/>
    <w:rsid w:val="1C19EA78"/>
    <w:rsid w:val="1C1A03F9"/>
    <w:rsid w:val="1C2B6CE9"/>
    <w:rsid w:val="1C471BE2"/>
    <w:rsid w:val="1C529E95"/>
    <w:rsid w:val="1C613F6D"/>
    <w:rsid w:val="1C6AD9B4"/>
    <w:rsid w:val="1C79A204"/>
    <w:rsid w:val="1C80CA25"/>
    <w:rsid w:val="1C84028F"/>
    <w:rsid w:val="1CC0A4E9"/>
    <w:rsid w:val="1CC35577"/>
    <w:rsid w:val="1CCB005F"/>
    <w:rsid w:val="1CCF1B50"/>
    <w:rsid w:val="1D16A1E0"/>
    <w:rsid w:val="1D329F7F"/>
    <w:rsid w:val="1D381F71"/>
    <w:rsid w:val="1D4ADE6B"/>
    <w:rsid w:val="1D55A294"/>
    <w:rsid w:val="1D56D19F"/>
    <w:rsid w:val="1D8B952A"/>
    <w:rsid w:val="1D9C2B7E"/>
    <w:rsid w:val="1DB09ADD"/>
    <w:rsid w:val="1DB54F4F"/>
    <w:rsid w:val="1DC6113C"/>
    <w:rsid w:val="1DC9CBD2"/>
    <w:rsid w:val="1DFEF079"/>
    <w:rsid w:val="1E0028D7"/>
    <w:rsid w:val="1E014830"/>
    <w:rsid w:val="1E0D62A3"/>
    <w:rsid w:val="1E138C7D"/>
    <w:rsid w:val="1E2F7C53"/>
    <w:rsid w:val="1E448228"/>
    <w:rsid w:val="1E6AC2AA"/>
    <w:rsid w:val="1E77C6A6"/>
    <w:rsid w:val="1E844118"/>
    <w:rsid w:val="1EC612E2"/>
    <w:rsid w:val="1ECBA7DA"/>
    <w:rsid w:val="1ED7CB2B"/>
    <w:rsid w:val="1EFA3F56"/>
    <w:rsid w:val="1F08F4E5"/>
    <w:rsid w:val="1F0AF60A"/>
    <w:rsid w:val="1F2DBC0A"/>
    <w:rsid w:val="1F3204A5"/>
    <w:rsid w:val="1F5BB1AF"/>
    <w:rsid w:val="1F5D1E4A"/>
    <w:rsid w:val="1F658C69"/>
    <w:rsid w:val="1F766F6B"/>
    <w:rsid w:val="1F9E4801"/>
    <w:rsid w:val="1FBEB4EB"/>
    <w:rsid w:val="1FE19CC1"/>
    <w:rsid w:val="1FEC3843"/>
    <w:rsid w:val="1FFB26B6"/>
    <w:rsid w:val="1FFBBA6D"/>
    <w:rsid w:val="1FFEE23F"/>
    <w:rsid w:val="2008A4F1"/>
    <w:rsid w:val="200A62EF"/>
    <w:rsid w:val="20599217"/>
    <w:rsid w:val="2059EFA2"/>
    <w:rsid w:val="205A7092"/>
    <w:rsid w:val="20945920"/>
    <w:rsid w:val="2095DA59"/>
    <w:rsid w:val="20B5E057"/>
    <w:rsid w:val="20BBA1E8"/>
    <w:rsid w:val="20BC8CB4"/>
    <w:rsid w:val="20C00218"/>
    <w:rsid w:val="20C13FFD"/>
    <w:rsid w:val="20C46D78"/>
    <w:rsid w:val="20D69C33"/>
    <w:rsid w:val="20D91583"/>
    <w:rsid w:val="20E3AA9C"/>
    <w:rsid w:val="20F4BC82"/>
    <w:rsid w:val="2111AB53"/>
    <w:rsid w:val="21290BBC"/>
    <w:rsid w:val="2137FBF7"/>
    <w:rsid w:val="2155622F"/>
    <w:rsid w:val="2156A26A"/>
    <w:rsid w:val="2180738E"/>
    <w:rsid w:val="2195513B"/>
    <w:rsid w:val="21A5CC39"/>
    <w:rsid w:val="21A61ED9"/>
    <w:rsid w:val="21CC36BC"/>
    <w:rsid w:val="21DEF81C"/>
    <w:rsid w:val="21F409B0"/>
    <w:rsid w:val="21F7FEBD"/>
    <w:rsid w:val="21FD1BD0"/>
    <w:rsid w:val="2207B85B"/>
    <w:rsid w:val="220B2F67"/>
    <w:rsid w:val="2281934C"/>
    <w:rsid w:val="22923E08"/>
    <w:rsid w:val="22BF3002"/>
    <w:rsid w:val="22D39C43"/>
    <w:rsid w:val="22DA125C"/>
    <w:rsid w:val="22FEEB24"/>
    <w:rsid w:val="23141BAE"/>
    <w:rsid w:val="2315D4E7"/>
    <w:rsid w:val="23229808"/>
    <w:rsid w:val="23266058"/>
    <w:rsid w:val="23444392"/>
    <w:rsid w:val="234B99A7"/>
    <w:rsid w:val="23642D10"/>
    <w:rsid w:val="2381C52C"/>
    <w:rsid w:val="238DAA46"/>
    <w:rsid w:val="23A691BA"/>
    <w:rsid w:val="23BC919A"/>
    <w:rsid w:val="23C772D0"/>
    <w:rsid w:val="23D6EC05"/>
    <w:rsid w:val="23FC468F"/>
    <w:rsid w:val="242C3CAA"/>
    <w:rsid w:val="242E767A"/>
    <w:rsid w:val="2440221A"/>
    <w:rsid w:val="244987D9"/>
    <w:rsid w:val="24685287"/>
    <w:rsid w:val="247B3139"/>
    <w:rsid w:val="247FD377"/>
    <w:rsid w:val="24B8A6DA"/>
    <w:rsid w:val="24E10CDA"/>
    <w:rsid w:val="24EA246C"/>
    <w:rsid w:val="250687F8"/>
    <w:rsid w:val="2512A65D"/>
    <w:rsid w:val="252200F0"/>
    <w:rsid w:val="25353DF0"/>
    <w:rsid w:val="253992FC"/>
    <w:rsid w:val="256D6474"/>
    <w:rsid w:val="2579F09E"/>
    <w:rsid w:val="257CD802"/>
    <w:rsid w:val="257E309C"/>
    <w:rsid w:val="25A10EAF"/>
    <w:rsid w:val="25AAA08A"/>
    <w:rsid w:val="25B0E1C2"/>
    <w:rsid w:val="25B53146"/>
    <w:rsid w:val="25B8DD94"/>
    <w:rsid w:val="25C6157F"/>
    <w:rsid w:val="25C9B19B"/>
    <w:rsid w:val="25D02010"/>
    <w:rsid w:val="25E336F2"/>
    <w:rsid w:val="25FE47A0"/>
    <w:rsid w:val="25FF3299"/>
    <w:rsid w:val="2604F1E4"/>
    <w:rsid w:val="260C1F19"/>
    <w:rsid w:val="261C37A6"/>
    <w:rsid w:val="261DA78E"/>
    <w:rsid w:val="26453C7D"/>
    <w:rsid w:val="264C67AB"/>
    <w:rsid w:val="2655C1CC"/>
    <w:rsid w:val="267B4448"/>
    <w:rsid w:val="26E03874"/>
    <w:rsid w:val="26F76DA6"/>
    <w:rsid w:val="26FA05CD"/>
    <w:rsid w:val="26FE6AED"/>
    <w:rsid w:val="270530F1"/>
    <w:rsid w:val="270E9E69"/>
    <w:rsid w:val="271C1F03"/>
    <w:rsid w:val="2728BA23"/>
    <w:rsid w:val="2732078D"/>
    <w:rsid w:val="273ED551"/>
    <w:rsid w:val="276DE165"/>
    <w:rsid w:val="27849480"/>
    <w:rsid w:val="2786711D"/>
    <w:rsid w:val="2797919E"/>
    <w:rsid w:val="27A604CB"/>
    <w:rsid w:val="27CB8DF5"/>
    <w:rsid w:val="27CD3E19"/>
    <w:rsid w:val="28043067"/>
    <w:rsid w:val="284B87EB"/>
    <w:rsid w:val="2854DA0D"/>
    <w:rsid w:val="285AB448"/>
    <w:rsid w:val="286A30A2"/>
    <w:rsid w:val="287B2E82"/>
    <w:rsid w:val="287CE657"/>
    <w:rsid w:val="28825679"/>
    <w:rsid w:val="288A5EEC"/>
    <w:rsid w:val="28A2E0BC"/>
    <w:rsid w:val="28C005F4"/>
    <w:rsid w:val="28D1FDC9"/>
    <w:rsid w:val="28D7173D"/>
    <w:rsid w:val="28E523C8"/>
    <w:rsid w:val="28EAF193"/>
    <w:rsid w:val="28ED253B"/>
    <w:rsid w:val="290C4A94"/>
    <w:rsid w:val="2915EC06"/>
    <w:rsid w:val="2919C6D7"/>
    <w:rsid w:val="292FF249"/>
    <w:rsid w:val="29354374"/>
    <w:rsid w:val="295E204F"/>
    <w:rsid w:val="2964AB73"/>
    <w:rsid w:val="296F9CC9"/>
    <w:rsid w:val="2986E560"/>
    <w:rsid w:val="298EB786"/>
    <w:rsid w:val="29B0F01A"/>
    <w:rsid w:val="29B630DF"/>
    <w:rsid w:val="29C59184"/>
    <w:rsid w:val="29C78ECB"/>
    <w:rsid w:val="29E446E2"/>
    <w:rsid w:val="29E95BE3"/>
    <w:rsid w:val="29EB5425"/>
    <w:rsid w:val="29F217BB"/>
    <w:rsid w:val="2A04DBE5"/>
    <w:rsid w:val="2A2BADEC"/>
    <w:rsid w:val="2A2CE0F1"/>
    <w:rsid w:val="2A3A69F3"/>
    <w:rsid w:val="2A3DE7D2"/>
    <w:rsid w:val="2A8438F3"/>
    <w:rsid w:val="2A974ADA"/>
    <w:rsid w:val="2A9CF3C1"/>
    <w:rsid w:val="2AA5DB8D"/>
    <w:rsid w:val="2AC14F47"/>
    <w:rsid w:val="2AD56BD9"/>
    <w:rsid w:val="2B059AA1"/>
    <w:rsid w:val="2B1A93E6"/>
    <w:rsid w:val="2B4B691A"/>
    <w:rsid w:val="2B585060"/>
    <w:rsid w:val="2B748E32"/>
    <w:rsid w:val="2BCCB835"/>
    <w:rsid w:val="2BFFA1CC"/>
    <w:rsid w:val="2C1FB525"/>
    <w:rsid w:val="2C286EE6"/>
    <w:rsid w:val="2C48FE12"/>
    <w:rsid w:val="2C5CE4D8"/>
    <w:rsid w:val="2C5DFA0F"/>
    <w:rsid w:val="2C73373C"/>
    <w:rsid w:val="2C7931FE"/>
    <w:rsid w:val="2CC63133"/>
    <w:rsid w:val="2CC9CF84"/>
    <w:rsid w:val="2CCEAF65"/>
    <w:rsid w:val="2CDBBEE5"/>
    <w:rsid w:val="2CE240B8"/>
    <w:rsid w:val="2D3A0459"/>
    <w:rsid w:val="2D45AF91"/>
    <w:rsid w:val="2D4AE134"/>
    <w:rsid w:val="2D54FB9F"/>
    <w:rsid w:val="2D691439"/>
    <w:rsid w:val="2D6D1548"/>
    <w:rsid w:val="2D750E96"/>
    <w:rsid w:val="2D77F9D0"/>
    <w:rsid w:val="2D96BA60"/>
    <w:rsid w:val="2DD300B4"/>
    <w:rsid w:val="2E04C502"/>
    <w:rsid w:val="2E106463"/>
    <w:rsid w:val="2E1B0BE5"/>
    <w:rsid w:val="2E1C744B"/>
    <w:rsid w:val="2E4571C8"/>
    <w:rsid w:val="2E640FE8"/>
    <w:rsid w:val="2E8C5B38"/>
    <w:rsid w:val="2EB1DE25"/>
    <w:rsid w:val="2EB2CB94"/>
    <w:rsid w:val="2EE64C2F"/>
    <w:rsid w:val="2EE8832F"/>
    <w:rsid w:val="2EF292EB"/>
    <w:rsid w:val="2EF7315E"/>
    <w:rsid w:val="2EF8FC58"/>
    <w:rsid w:val="2F017C87"/>
    <w:rsid w:val="2F11803B"/>
    <w:rsid w:val="2F11CDC1"/>
    <w:rsid w:val="2F1F7876"/>
    <w:rsid w:val="2F2DCAAE"/>
    <w:rsid w:val="2F4AD46B"/>
    <w:rsid w:val="2F5C5223"/>
    <w:rsid w:val="2F5CF4C8"/>
    <w:rsid w:val="2F5ECA96"/>
    <w:rsid w:val="2F817CC7"/>
    <w:rsid w:val="2F98D180"/>
    <w:rsid w:val="2FAC6B26"/>
    <w:rsid w:val="2FD5A7F0"/>
    <w:rsid w:val="3003DFD0"/>
    <w:rsid w:val="3014CB50"/>
    <w:rsid w:val="302DF1B6"/>
    <w:rsid w:val="30338564"/>
    <w:rsid w:val="303688BE"/>
    <w:rsid w:val="3039F54B"/>
    <w:rsid w:val="30459E09"/>
    <w:rsid w:val="3056B4D8"/>
    <w:rsid w:val="305D545C"/>
    <w:rsid w:val="306A0DFA"/>
    <w:rsid w:val="309361E3"/>
    <w:rsid w:val="309B8C16"/>
    <w:rsid w:val="309C833E"/>
    <w:rsid w:val="30AC025E"/>
    <w:rsid w:val="30BF5C39"/>
    <w:rsid w:val="30CA15E7"/>
    <w:rsid w:val="30D62205"/>
    <w:rsid w:val="30DF37CC"/>
    <w:rsid w:val="30E01F6B"/>
    <w:rsid w:val="30F23E2C"/>
    <w:rsid w:val="3105F5FA"/>
    <w:rsid w:val="310D7E53"/>
    <w:rsid w:val="31404653"/>
    <w:rsid w:val="31585109"/>
    <w:rsid w:val="31660220"/>
    <w:rsid w:val="316D124B"/>
    <w:rsid w:val="31AA6DF2"/>
    <w:rsid w:val="31ACAA56"/>
    <w:rsid w:val="31BB93D6"/>
    <w:rsid w:val="31DF68CE"/>
    <w:rsid w:val="3210C34B"/>
    <w:rsid w:val="3216032B"/>
    <w:rsid w:val="3218DDBD"/>
    <w:rsid w:val="321D20A8"/>
    <w:rsid w:val="322214CE"/>
    <w:rsid w:val="32342236"/>
    <w:rsid w:val="323AEC47"/>
    <w:rsid w:val="324080C7"/>
    <w:rsid w:val="32438560"/>
    <w:rsid w:val="3243CCBA"/>
    <w:rsid w:val="3259C797"/>
    <w:rsid w:val="328BDF5F"/>
    <w:rsid w:val="329153E0"/>
    <w:rsid w:val="329701DE"/>
    <w:rsid w:val="329741B6"/>
    <w:rsid w:val="3299FA16"/>
    <w:rsid w:val="32B33302"/>
    <w:rsid w:val="32C38239"/>
    <w:rsid w:val="32C7AB0D"/>
    <w:rsid w:val="32F15650"/>
    <w:rsid w:val="32F82070"/>
    <w:rsid w:val="331E404C"/>
    <w:rsid w:val="33227E3E"/>
    <w:rsid w:val="3332C625"/>
    <w:rsid w:val="333E55E0"/>
    <w:rsid w:val="3380AD74"/>
    <w:rsid w:val="33CCF371"/>
    <w:rsid w:val="33D194F9"/>
    <w:rsid w:val="33D65F78"/>
    <w:rsid w:val="33FA8E33"/>
    <w:rsid w:val="340C1F10"/>
    <w:rsid w:val="342CA2C8"/>
    <w:rsid w:val="343F8A2E"/>
    <w:rsid w:val="34453368"/>
    <w:rsid w:val="34578F89"/>
    <w:rsid w:val="345BBB6B"/>
    <w:rsid w:val="34950981"/>
    <w:rsid w:val="34BA23D4"/>
    <w:rsid w:val="34BDB729"/>
    <w:rsid w:val="34F247C8"/>
    <w:rsid w:val="34F8E335"/>
    <w:rsid w:val="34FABDE5"/>
    <w:rsid w:val="352C48D2"/>
    <w:rsid w:val="357D68DC"/>
    <w:rsid w:val="3592891F"/>
    <w:rsid w:val="359816CB"/>
    <w:rsid w:val="35AB6857"/>
    <w:rsid w:val="35F1843F"/>
    <w:rsid w:val="35FB1ADE"/>
    <w:rsid w:val="35FEA165"/>
    <w:rsid w:val="360ECB9D"/>
    <w:rsid w:val="3627F19D"/>
    <w:rsid w:val="3631B167"/>
    <w:rsid w:val="3639F8CD"/>
    <w:rsid w:val="363DC3EB"/>
    <w:rsid w:val="367A3B6A"/>
    <w:rsid w:val="36A46031"/>
    <w:rsid w:val="37088019"/>
    <w:rsid w:val="37102A1F"/>
    <w:rsid w:val="371694BB"/>
    <w:rsid w:val="37183976"/>
    <w:rsid w:val="3721DEC8"/>
    <w:rsid w:val="372A8083"/>
    <w:rsid w:val="373C6FEC"/>
    <w:rsid w:val="373CE43A"/>
    <w:rsid w:val="37537059"/>
    <w:rsid w:val="37746E14"/>
    <w:rsid w:val="378370AB"/>
    <w:rsid w:val="3786CF75"/>
    <w:rsid w:val="3787B078"/>
    <w:rsid w:val="37A42FDE"/>
    <w:rsid w:val="37AC5C86"/>
    <w:rsid w:val="37BE049A"/>
    <w:rsid w:val="37EA5459"/>
    <w:rsid w:val="37FF8240"/>
    <w:rsid w:val="381C4533"/>
    <w:rsid w:val="38303659"/>
    <w:rsid w:val="38616429"/>
    <w:rsid w:val="387BBE8C"/>
    <w:rsid w:val="387F60F8"/>
    <w:rsid w:val="3881BEDC"/>
    <w:rsid w:val="38ADFA14"/>
    <w:rsid w:val="38C0604B"/>
    <w:rsid w:val="38C1FF21"/>
    <w:rsid w:val="38C82D17"/>
    <w:rsid w:val="38F98355"/>
    <w:rsid w:val="38FB6D62"/>
    <w:rsid w:val="392BCEC6"/>
    <w:rsid w:val="3938A5AE"/>
    <w:rsid w:val="3942AF7E"/>
    <w:rsid w:val="3947E097"/>
    <w:rsid w:val="39519C14"/>
    <w:rsid w:val="3958BDA9"/>
    <w:rsid w:val="395912AA"/>
    <w:rsid w:val="395C3ECE"/>
    <w:rsid w:val="396F9ED4"/>
    <w:rsid w:val="3983F8CF"/>
    <w:rsid w:val="3990ED86"/>
    <w:rsid w:val="399B7680"/>
    <w:rsid w:val="399D9C9B"/>
    <w:rsid w:val="39A24884"/>
    <w:rsid w:val="39A966CF"/>
    <w:rsid w:val="39DEA1C0"/>
    <w:rsid w:val="39E9579F"/>
    <w:rsid w:val="39F32671"/>
    <w:rsid w:val="3A00382A"/>
    <w:rsid w:val="3A1C75A3"/>
    <w:rsid w:val="3A1E1F5C"/>
    <w:rsid w:val="3A25407E"/>
    <w:rsid w:val="3A2EE3CD"/>
    <w:rsid w:val="3A38C0DB"/>
    <w:rsid w:val="3A4C07D7"/>
    <w:rsid w:val="3A6B4173"/>
    <w:rsid w:val="3A6BABF7"/>
    <w:rsid w:val="3A9DC77C"/>
    <w:rsid w:val="3AB5B0F4"/>
    <w:rsid w:val="3ACE503E"/>
    <w:rsid w:val="3AD218A8"/>
    <w:rsid w:val="3AF02BEE"/>
    <w:rsid w:val="3AFE488F"/>
    <w:rsid w:val="3B19F88B"/>
    <w:rsid w:val="3B3C8FDB"/>
    <w:rsid w:val="3B4943C6"/>
    <w:rsid w:val="3B5A6231"/>
    <w:rsid w:val="3B5CF2D4"/>
    <w:rsid w:val="3B7C4A3C"/>
    <w:rsid w:val="3B897646"/>
    <w:rsid w:val="3B949ACF"/>
    <w:rsid w:val="3B986CF7"/>
    <w:rsid w:val="3BA36E51"/>
    <w:rsid w:val="3BA8B378"/>
    <w:rsid w:val="3BB9C1F4"/>
    <w:rsid w:val="3BBCC0A9"/>
    <w:rsid w:val="3BC504EB"/>
    <w:rsid w:val="3BDA82AC"/>
    <w:rsid w:val="3BF68C11"/>
    <w:rsid w:val="3BFAF4D1"/>
    <w:rsid w:val="3C001F2D"/>
    <w:rsid w:val="3C0E22F0"/>
    <w:rsid w:val="3C235C91"/>
    <w:rsid w:val="3C34CF75"/>
    <w:rsid w:val="3C404D28"/>
    <w:rsid w:val="3C5FEDCE"/>
    <w:rsid w:val="3C8355A6"/>
    <w:rsid w:val="3CB06BA4"/>
    <w:rsid w:val="3CBB2282"/>
    <w:rsid w:val="3CC8DB87"/>
    <w:rsid w:val="3CCA8007"/>
    <w:rsid w:val="3CD5D63B"/>
    <w:rsid w:val="3CF0C1BA"/>
    <w:rsid w:val="3CF131E4"/>
    <w:rsid w:val="3CFD6C5A"/>
    <w:rsid w:val="3D0543E6"/>
    <w:rsid w:val="3D070478"/>
    <w:rsid w:val="3D089034"/>
    <w:rsid w:val="3D1456B3"/>
    <w:rsid w:val="3D15420A"/>
    <w:rsid w:val="3D1B0A45"/>
    <w:rsid w:val="3D2656B2"/>
    <w:rsid w:val="3D2CDB0D"/>
    <w:rsid w:val="3D31CCAE"/>
    <w:rsid w:val="3D3BBBB0"/>
    <w:rsid w:val="3D41733A"/>
    <w:rsid w:val="3D68F969"/>
    <w:rsid w:val="3DA6CBDA"/>
    <w:rsid w:val="3DA8DFBA"/>
    <w:rsid w:val="3DA90C72"/>
    <w:rsid w:val="3DE26AC5"/>
    <w:rsid w:val="3DEBB8DC"/>
    <w:rsid w:val="3DEE4B8B"/>
    <w:rsid w:val="3E0287A6"/>
    <w:rsid w:val="3E124A03"/>
    <w:rsid w:val="3E14D0A1"/>
    <w:rsid w:val="3E3E5F51"/>
    <w:rsid w:val="3E5097EE"/>
    <w:rsid w:val="3E5F23F6"/>
    <w:rsid w:val="3E7B07D1"/>
    <w:rsid w:val="3E8B9B02"/>
    <w:rsid w:val="3EA2E9AB"/>
    <w:rsid w:val="3EADB83E"/>
    <w:rsid w:val="3EBE1744"/>
    <w:rsid w:val="3EC8EAF1"/>
    <w:rsid w:val="3ECBC302"/>
    <w:rsid w:val="3ED4FBE1"/>
    <w:rsid w:val="3EF63DD3"/>
    <w:rsid w:val="3F08BEAC"/>
    <w:rsid w:val="3F1A2567"/>
    <w:rsid w:val="3F1A808A"/>
    <w:rsid w:val="3F3B2F51"/>
    <w:rsid w:val="3F51756D"/>
    <w:rsid w:val="3F692622"/>
    <w:rsid w:val="3F9AE5A0"/>
    <w:rsid w:val="3FBB45BE"/>
    <w:rsid w:val="3FC019BE"/>
    <w:rsid w:val="3FE1EB01"/>
    <w:rsid w:val="3FFF9DD5"/>
    <w:rsid w:val="40182EF9"/>
    <w:rsid w:val="401A2313"/>
    <w:rsid w:val="403A84BF"/>
    <w:rsid w:val="4044322D"/>
    <w:rsid w:val="404AA473"/>
    <w:rsid w:val="4067CB42"/>
    <w:rsid w:val="407120AC"/>
    <w:rsid w:val="407BF291"/>
    <w:rsid w:val="409E3BF5"/>
    <w:rsid w:val="409F7B76"/>
    <w:rsid w:val="40FEA876"/>
    <w:rsid w:val="4118F7A1"/>
    <w:rsid w:val="411F1875"/>
    <w:rsid w:val="412962E4"/>
    <w:rsid w:val="41383D3D"/>
    <w:rsid w:val="41506771"/>
    <w:rsid w:val="4166061D"/>
    <w:rsid w:val="4168EB02"/>
    <w:rsid w:val="417E5849"/>
    <w:rsid w:val="4190A031"/>
    <w:rsid w:val="41C88B31"/>
    <w:rsid w:val="41CC35F8"/>
    <w:rsid w:val="41D4F33D"/>
    <w:rsid w:val="41D9E742"/>
    <w:rsid w:val="41FDE3DB"/>
    <w:rsid w:val="4208E5FA"/>
    <w:rsid w:val="42106B94"/>
    <w:rsid w:val="42119AB4"/>
    <w:rsid w:val="422194AA"/>
    <w:rsid w:val="4221A432"/>
    <w:rsid w:val="4260A3A8"/>
    <w:rsid w:val="428747A0"/>
    <w:rsid w:val="42BF74E5"/>
    <w:rsid w:val="42C2C6E1"/>
    <w:rsid w:val="42CAC4E2"/>
    <w:rsid w:val="42D79018"/>
    <w:rsid w:val="42E0D3CA"/>
    <w:rsid w:val="43036FF8"/>
    <w:rsid w:val="433B1A50"/>
    <w:rsid w:val="43414E78"/>
    <w:rsid w:val="43466306"/>
    <w:rsid w:val="4368898D"/>
    <w:rsid w:val="437F1C12"/>
    <w:rsid w:val="43A22941"/>
    <w:rsid w:val="43CFAB49"/>
    <w:rsid w:val="43DC4174"/>
    <w:rsid w:val="43DFBBA6"/>
    <w:rsid w:val="4404AD8D"/>
    <w:rsid w:val="44297ED1"/>
    <w:rsid w:val="442B1B8E"/>
    <w:rsid w:val="443BE0F6"/>
    <w:rsid w:val="44957702"/>
    <w:rsid w:val="44A5525C"/>
    <w:rsid w:val="44BCAC4B"/>
    <w:rsid w:val="44E7EA99"/>
    <w:rsid w:val="44F9360D"/>
    <w:rsid w:val="4501C82F"/>
    <w:rsid w:val="4530CEC9"/>
    <w:rsid w:val="45554680"/>
    <w:rsid w:val="4570CE82"/>
    <w:rsid w:val="457AA119"/>
    <w:rsid w:val="45E5075F"/>
    <w:rsid w:val="461843FB"/>
    <w:rsid w:val="466510AC"/>
    <w:rsid w:val="467C3B28"/>
    <w:rsid w:val="467E7858"/>
    <w:rsid w:val="468A145C"/>
    <w:rsid w:val="469E40AF"/>
    <w:rsid w:val="46B7043C"/>
    <w:rsid w:val="46C1D7B5"/>
    <w:rsid w:val="46D4E330"/>
    <w:rsid w:val="46DCBCEF"/>
    <w:rsid w:val="46DCFB3E"/>
    <w:rsid w:val="46F930A1"/>
    <w:rsid w:val="470E116E"/>
    <w:rsid w:val="47309E61"/>
    <w:rsid w:val="47367933"/>
    <w:rsid w:val="476C22F9"/>
    <w:rsid w:val="477882AA"/>
    <w:rsid w:val="47792AB5"/>
    <w:rsid w:val="4790DC83"/>
    <w:rsid w:val="47950939"/>
    <w:rsid w:val="47A053DD"/>
    <w:rsid w:val="47C75042"/>
    <w:rsid w:val="47EDB6E8"/>
    <w:rsid w:val="4816CF6B"/>
    <w:rsid w:val="482C33EB"/>
    <w:rsid w:val="4866CA87"/>
    <w:rsid w:val="487025D3"/>
    <w:rsid w:val="488E1EEA"/>
    <w:rsid w:val="488FD59F"/>
    <w:rsid w:val="4898FEE7"/>
    <w:rsid w:val="48A1489A"/>
    <w:rsid w:val="48F765F9"/>
    <w:rsid w:val="49057058"/>
    <w:rsid w:val="490C9E3B"/>
    <w:rsid w:val="49195133"/>
    <w:rsid w:val="49196B1C"/>
    <w:rsid w:val="492B8A30"/>
    <w:rsid w:val="49333792"/>
    <w:rsid w:val="49483FF2"/>
    <w:rsid w:val="494AF247"/>
    <w:rsid w:val="494D5A8A"/>
    <w:rsid w:val="495D5915"/>
    <w:rsid w:val="49616683"/>
    <w:rsid w:val="49638305"/>
    <w:rsid w:val="498B0D80"/>
    <w:rsid w:val="49FDB630"/>
    <w:rsid w:val="4A36DEAD"/>
    <w:rsid w:val="4A4C9C19"/>
    <w:rsid w:val="4A60A77C"/>
    <w:rsid w:val="4A75C51C"/>
    <w:rsid w:val="4A77EAEB"/>
    <w:rsid w:val="4A7FE183"/>
    <w:rsid w:val="4A9A88AF"/>
    <w:rsid w:val="4A9F1DF8"/>
    <w:rsid w:val="4AAACEFC"/>
    <w:rsid w:val="4AB65BD2"/>
    <w:rsid w:val="4ABD65DC"/>
    <w:rsid w:val="4AF84909"/>
    <w:rsid w:val="4B074DA0"/>
    <w:rsid w:val="4B2E5E24"/>
    <w:rsid w:val="4B3238B7"/>
    <w:rsid w:val="4B4CB68D"/>
    <w:rsid w:val="4B5C6BF8"/>
    <w:rsid w:val="4B5EFDFB"/>
    <w:rsid w:val="4BC2E948"/>
    <w:rsid w:val="4BD58E56"/>
    <w:rsid w:val="4BDD1CD6"/>
    <w:rsid w:val="4BDF8191"/>
    <w:rsid w:val="4BE2223E"/>
    <w:rsid w:val="4BF2DD50"/>
    <w:rsid w:val="4C07B842"/>
    <w:rsid w:val="4C350E29"/>
    <w:rsid w:val="4C45AF0F"/>
    <w:rsid w:val="4C4D3F38"/>
    <w:rsid w:val="4C511354"/>
    <w:rsid w:val="4C5929BA"/>
    <w:rsid w:val="4C7B953F"/>
    <w:rsid w:val="4C95E8EB"/>
    <w:rsid w:val="4CA26889"/>
    <w:rsid w:val="4CB23EAA"/>
    <w:rsid w:val="4CB4422F"/>
    <w:rsid w:val="4CBE4369"/>
    <w:rsid w:val="4CED9CC4"/>
    <w:rsid w:val="4D044BFB"/>
    <w:rsid w:val="4D1098FB"/>
    <w:rsid w:val="4D113DED"/>
    <w:rsid w:val="4D2023BE"/>
    <w:rsid w:val="4D4667A4"/>
    <w:rsid w:val="4D46BA90"/>
    <w:rsid w:val="4D471AC2"/>
    <w:rsid w:val="4D7F47A6"/>
    <w:rsid w:val="4D96D675"/>
    <w:rsid w:val="4D9B219C"/>
    <w:rsid w:val="4DA70BAF"/>
    <w:rsid w:val="4DAB56E7"/>
    <w:rsid w:val="4DB110F8"/>
    <w:rsid w:val="4DB1822A"/>
    <w:rsid w:val="4DBBB510"/>
    <w:rsid w:val="4DBC3106"/>
    <w:rsid w:val="4DE5D307"/>
    <w:rsid w:val="4DECA651"/>
    <w:rsid w:val="4E0D0005"/>
    <w:rsid w:val="4E1AE277"/>
    <w:rsid w:val="4E5A1FBC"/>
    <w:rsid w:val="4E675899"/>
    <w:rsid w:val="4E7859BF"/>
    <w:rsid w:val="4E7A7119"/>
    <w:rsid w:val="4E8678B1"/>
    <w:rsid w:val="4EA3A9F0"/>
    <w:rsid w:val="4EC78705"/>
    <w:rsid w:val="4EDF1668"/>
    <w:rsid w:val="4EF54F29"/>
    <w:rsid w:val="4EFBEA9E"/>
    <w:rsid w:val="4F0044FA"/>
    <w:rsid w:val="4F09747C"/>
    <w:rsid w:val="4F0CD92D"/>
    <w:rsid w:val="4F16894E"/>
    <w:rsid w:val="4F1F1081"/>
    <w:rsid w:val="4F5A4154"/>
    <w:rsid w:val="4F5F9EAE"/>
    <w:rsid w:val="4F6208F2"/>
    <w:rsid w:val="4F626C01"/>
    <w:rsid w:val="4F693832"/>
    <w:rsid w:val="4F7C702A"/>
    <w:rsid w:val="4F86FE29"/>
    <w:rsid w:val="4F9225CD"/>
    <w:rsid w:val="4F94D690"/>
    <w:rsid w:val="4FA0F4CB"/>
    <w:rsid w:val="4FA2DDE8"/>
    <w:rsid w:val="4FCA80C2"/>
    <w:rsid w:val="4FD11C92"/>
    <w:rsid w:val="4FEC2D06"/>
    <w:rsid w:val="4FF304C5"/>
    <w:rsid w:val="4FF7088C"/>
    <w:rsid w:val="4FF73CF3"/>
    <w:rsid w:val="4FFBA6DE"/>
    <w:rsid w:val="50174B5C"/>
    <w:rsid w:val="502BDC32"/>
    <w:rsid w:val="503A85AB"/>
    <w:rsid w:val="506ABB84"/>
    <w:rsid w:val="5074BA3F"/>
    <w:rsid w:val="507A3035"/>
    <w:rsid w:val="509E5F63"/>
    <w:rsid w:val="509FD531"/>
    <w:rsid w:val="50AA3483"/>
    <w:rsid w:val="50BBA545"/>
    <w:rsid w:val="50DD6191"/>
    <w:rsid w:val="50E66070"/>
    <w:rsid w:val="5131C346"/>
    <w:rsid w:val="513C18F1"/>
    <w:rsid w:val="514721FC"/>
    <w:rsid w:val="5166E72F"/>
    <w:rsid w:val="516C2451"/>
    <w:rsid w:val="516FE93F"/>
    <w:rsid w:val="518DA3DB"/>
    <w:rsid w:val="51BF2171"/>
    <w:rsid w:val="51C9B806"/>
    <w:rsid w:val="51E8E7F2"/>
    <w:rsid w:val="51EF2608"/>
    <w:rsid w:val="5201398E"/>
    <w:rsid w:val="5202D4C3"/>
    <w:rsid w:val="523E2160"/>
    <w:rsid w:val="52400B2B"/>
    <w:rsid w:val="5257ACFA"/>
    <w:rsid w:val="527E244D"/>
    <w:rsid w:val="528D0045"/>
    <w:rsid w:val="529C2AAD"/>
    <w:rsid w:val="52A2EE2F"/>
    <w:rsid w:val="52D426BE"/>
    <w:rsid w:val="52D60C5E"/>
    <w:rsid w:val="52FF0FA7"/>
    <w:rsid w:val="532294ED"/>
    <w:rsid w:val="5327EB0D"/>
    <w:rsid w:val="534BE01D"/>
    <w:rsid w:val="53734DAA"/>
    <w:rsid w:val="5380DB4F"/>
    <w:rsid w:val="5382B1BA"/>
    <w:rsid w:val="539DE92E"/>
    <w:rsid w:val="53A27941"/>
    <w:rsid w:val="53A739AC"/>
    <w:rsid w:val="53AC8718"/>
    <w:rsid w:val="53C8B345"/>
    <w:rsid w:val="5411429B"/>
    <w:rsid w:val="5413E71C"/>
    <w:rsid w:val="543629F5"/>
    <w:rsid w:val="544CED12"/>
    <w:rsid w:val="545DD3C3"/>
    <w:rsid w:val="54627EFB"/>
    <w:rsid w:val="546F2279"/>
    <w:rsid w:val="547D5A1B"/>
    <w:rsid w:val="54861A59"/>
    <w:rsid w:val="548AAE0C"/>
    <w:rsid w:val="54937AB1"/>
    <w:rsid w:val="54A0C359"/>
    <w:rsid w:val="54B42BEB"/>
    <w:rsid w:val="54C1AFC0"/>
    <w:rsid w:val="54C26E4F"/>
    <w:rsid w:val="54E503FD"/>
    <w:rsid w:val="54EE3AC1"/>
    <w:rsid w:val="5501CBD8"/>
    <w:rsid w:val="55078B5B"/>
    <w:rsid w:val="559EF055"/>
    <w:rsid w:val="55DAD06E"/>
    <w:rsid w:val="55E9B1F5"/>
    <w:rsid w:val="560B5279"/>
    <w:rsid w:val="561344E3"/>
    <w:rsid w:val="5634227B"/>
    <w:rsid w:val="5639B68B"/>
    <w:rsid w:val="563E67EE"/>
    <w:rsid w:val="5654E7A8"/>
    <w:rsid w:val="568247A4"/>
    <w:rsid w:val="56930745"/>
    <w:rsid w:val="56C03135"/>
    <w:rsid w:val="56C0B66F"/>
    <w:rsid w:val="56D53BAD"/>
    <w:rsid w:val="56F50DE0"/>
    <w:rsid w:val="57083D9D"/>
    <w:rsid w:val="572A9D87"/>
    <w:rsid w:val="5730A3E5"/>
    <w:rsid w:val="57417F90"/>
    <w:rsid w:val="575CAE98"/>
    <w:rsid w:val="57738EFE"/>
    <w:rsid w:val="57C8B0E3"/>
    <w:rsid w:val="57DCFC58"/>
    <w:rsid w:val="57E0B9F6"/>
    <w:rsid w:val="57E4A5B8"/>
    <w:rsid w:val="57FAB9A8"/>
    <w:rsid w:val="57FF5A70"/>
    <w:rsid w:val="5801FD6F"/>
    <w:rsid w:val="587C7F10"/>
    <w:rsid w:val="58935FFB"/>
    <w:rsid w:val="589CC6E3"/>
    <w:rsid w:val="58A3BB3E"/>
    <w:rsid w:val="58B358D2"/>
    <w:rsid w:val="58CD0988"/>
    <w:rsid w:val="58F601A7"/>
    <w:rsid w:val="590B0E0D"/>
    <w:rsid w:val="59174D46"/>
    <w:rsid w:val="5919427A"/>
    <w:rsid w:val="5923E32F"/>
    <w:rsid w:val="59292E5C"/>
    <w:rsid w:val="5967574E"/>
    <w:rsid w:val="5973BA5B"/>
    <w:rsid w:val="598D7634"/>
    <w:rsid w:val="5996FA98"/>
    <w:rsid w:val="5997F548"/>
    <w:rsid w:val="59D58106"/>
    <w:rsid w:val="59DBB0E7"/>
    <w:rsid w:val="59E48EF2"/>
    <w:rsid w:val="59E9E226"/>
    <w:rsid w:val="59F2926D"/>
    <w:rsid w:val="59FBAD74"/>
    <w:rsid w:val="5A2C25AC"/>
    <w:rsid w:val="5A45899C"/>
    <w:rsid w:val="5A53E63B"/>
    <w:rsid w:val="5A601941"/>
    <w:rsid w:val="5A6A227F"/>
    <w:rsid w:val="5A84FED2"/>
    <w:rsid w:val="5A8D3EAC"/>
    <w:rsid w:val="5A9821AD"/>
    <w:rsid w:val="5AA09612"/>
    <w:rsid w:val="5AA8D9B1"/>
    <w:rsid w:val="5AAE64F5"/>
    <w:rsid w:val="5AC047D4"/>
    <w:rsid w:val="5AF89EB3"/>
    <w:rsid w:val="5B04CF0B"/>
    <w:rsid w:val="5B0FF65D"/>
    <w:rsid w:val="5B2468AF"/>
    <w:rsid w:val="5B2741A8"/>
    <w:rsid w:val="5B4A6C95"/>
    <w:rsid w:val="5BA0FAB9"/>
    <w:rsid w:val="5BAF8E70"/>
    <w:rsid w:val="5BB007AA"/>
    <w:rsid w:val="5BB8EABD"/>
    <w:rsid w:val="5BBB79E7"/>
    <w:rsid w:val="5BD1CDE0"/>
    <w:rsid w:val="5BFF6DC8"/>
    <w:rsid w:val="5C074BF1"/>
    <w:rsid w:val="5C1D3A64"/>
    <w:rsid w:val="5C251F5F"/>
    <w:rsid w:val="5C4009C6"/>
    <w:rsid w:val="5C4FCA62"/>
    <w:rsid w:val="5C72F0C1"/>
    <w:rsid w:val="5C8A68D2"/>
    <w:rsid w:val="5C8E3A41"/>
    <w:rsid w:val="5C917A88"/>
    <w:rsid w:val="5CADD7C9"/>
    <w:rsid w:val="5CAFD4E9"/>
    <w:rsid w:val="5CDA99D0"/>
    <w:rsid w:val="5CDBC615"/>
    <w:rsid w:val="5CE383BF"/>
    <w:rsid w:val="5CE8AED2"/>
    <w:rsid w:val="5CEBB858"/>
    <w:rsid w:val="5CFB20C9"/>
    <w:rsid w:val="5D04688C"/>
    <w:rsid w:val="5D0760B4"/>
    <w:rsid w:val="5D08AAC6"/>
    <w:rsid w:val="5D0BF4C7"/>
    <w:rsid w:val="5D135A6A"/>
    <w:rsid w:val="5D1E8684"/>
    <w:rsid w:val="5D32B663"/>
    <w:rsid w:val="5D3D867F"/>
    <w:rsid w:val="5D6FBD38"/>
    <w:rsid w:val="5DE18006"/>
    <w:rsid w:val="5E0B6C67"/>
    <w:rsid w:val="5E1B9179"/>
    <w:rsid w:val="5E1E3820"/>
    <w:rsid w:val="5E34C4A4"/>
    <w:rsid w:val="5E4ED47E"/>
    <w:rsid w:val="5E527AB5"/>
    <w:rsid w:val="5E52A117"/>
    <w:rsid w:val="5E5AED95"/>
    <w:rsid w:val="5E6F3582"/>
    <w:rsid w:val="5E762D97"/>
    <w:rsid w:val="5E874912"/>
    <w:rsid w:val="5E8F60A6"/>
    <w:rsid w:val="5E9EECDE"/>
    <w:rsid w:val="5ECE23D6"/>
    <w:rsid w:val="5EEB7DE7"/>
    <w:rsid w:val="5EFCDFB3"/>
    <w:rsid w:val="5EFFF35D"/>
    <w:rsid w:val="5F07C3D4"/>
    <w:rsid w:val="5F0FA6BD"/>
    <w:rsid w:val="5F14E8E6"/>
    <w:rsid w:val="5F39AAE2"/>
    <w:rsid w:val="5F405D77"/>
    <w:rsid w:val="5F784627"/>
    <w:rsid w:val="5F787C2C"/>
    <w:rsid w:val="5F824123"/>
    <w:rsid w:val="5F9699D7"/>
    <w:rsid w:val="5F9AE84A"/>
    <w:rsid w:val="5FA59F2C"/>
    <w:rsid w:val="5FBA9DC4"/>
    <w:rsid w:val="5FE66BD5"/>
    <w:rsid w:val="60201F6D"/>
    <w:rsid w:val="6030FFC6"/>
    <w:rsid w:val="6031B33F"/>
    <w:rsid w:val="603204EE"/>
    <w:rsid w:val="60332E21"/>
    <w:rsid w:val="6055AB96"/>
    <w:rsid w:val="6065A93C"/>
    <w:rsid w:val="60668C6B"/>
    <w:rsid w:val="607AE573"/>
    <w:rsid w:val="6089FE02"/>
    <w:rsid w:val="60A73737"/>
    <w:rsid w:val="60A9F7DA"/>
    <w:rsid w:val="60B38FA5"/>
    <w:rsid w:val="60CB1577"/>
    <w:rsid w:val="60D64BCA"/>
    <w:rsid w:val="60FCFC83"/>
    <w:rsid w:val="60FE1E94"/>
    <w:rsid w:val="61087B57"/>
    <w:rsid w:val="611516F3"/>
    <w:rsid w:val="611CF443"/>
    <w:rsid w:val="61486DE3"/>
    <w:rsid w:val="616BEB9A"/>
    <w:rsid w:val="616E7AD0"/>
    <w:rsid w:val="61776782"/>
    <w:rsid w:val="617E8A63"/>
    <w:rsid w:val="61AA73F3"/>
    <w:rsid w:val="61B98316"/>
    <w:rsid w:val="61CE3E7B"/>
    <w:rsid w:val="61EB9E2C"/>
    <w:rsid w:val="61F23A49"/>
    <w:rsid w:val="6231DA3A"/>
    <w:rsid w:val="6231F6D7"/>
    <w:rsid w:val="623687F7"/>
    <w:rsid w:val="62594630"/>
    <w:rsid w:val="625ED8BC"/>
    <w:rsid w:val="6260265F"/>
    <w:rsid w:val="62650AAC"/>
    <w:rsid w:val="6280E5BF"/>
    <w:rsid w:val="628B25EC"/>
    <w:rsid w:val="62B252C2"/>
    <w:rsid w:val="62EDBF2C"/>
    <w:rsid w:val="632E5185"/>
    <w:rsid w:val="633E8193"/>
    <w:rsid w:val="63407267"/>
    <w:rsid w:val="63656273"/>
    <w:rsid w:val="636900FB"/>
    <w:rsid w:val="636D5474"/>
    <w:rsid w:val="636FB7B3"/>
    <w:rsid w:val="639B243B"/>
    <w:rsid w:val="63A4447A"/>
    <w:rsid w:val="63A4D408"/>
    <w:rsid w:val="63B82E10"/>
    <w:rsid w:val="63B9C8CC"/>
    <w:rsid w:val="63C58C98"/>
    <w:rsid w:val="63D3B01D"/>
    <w:rsid w:val="63D78787"/>
    <w:rsid w:val="63E12835"/>
    <w:rsid w:val="63E4051A"/>
    <w:rsid w:val="63FE4A6C"/>
    <w:rsid w:val="64007861"/>
    <w:rsid w:val="6407DF06"/>
    <w:rsid w:val="644C8389"/>
    <w:rsid w:val="64685BC9"/>
    <w:rsid w:val="646BF297"/>
    <w:rsid w:val="6485E83E"/>
    <w:rsid w:val="648D6C15"/>
    <w:rsid w:val="6497D9EC"/>
    <w:rsid w:val="649B2ACF"/>
    <w:rsid w:val="64A1BD09"/>
    <w:rsid w:val="64A9FE9A"/>
    <w:rsid w:val="64E885E2"/>
    <w:rsid w:val="64F096D8"/>
    <w:rsid w:val="650BF98C"/>
    <w:rsid w:val="650EB7EB"/>
    <w:rsid w:val="6522E0D5"/>
    <w:rsid w:val="652C9926"/>
    <w:rsid w:val="65426FD0"/>
    <w:rsid w:val="654575BF"/>
    <w:rsid w:val="65654A10"/>
    <w:rsid w:val="6578DD54"/>
    <w:rsid w:val="65CFF510"/>
    <w:rsid w:val="65E28D8B"/>
    <w:rsid w:val="65F95E54"/>
    <w:rsid w:val="65FF24E9"/>
    <w:rsid w:val="661078BB"/>
    <w:rsid w:val="665190DD"/>
    <w:rsid w:val="666E30D7"/>
    <w:rsid w:val="6692E7F7"/>
    <w:rsid w:val="669FB1B0"/>
    <w:rsid w:val="66A81AE1"/>
    <w:rsid w:val="66B588BD"/>
    <w:rsid w:val="66B92F7C"/>
    <w:rsid w:val="66BF843A"/>
    <w:rsid w:val="66D62264"/>
    <w:rsid w:val="670453B1"/>
    <w:rsid w:val="671EBEED"/>
    <w:rsid w:val="6754F79A"/>
    <w:rsid w:val="67599560"/>
    <w:rsid w:val="675E8B55"/>
    <w:rsid w:val="676126A7"/>
    <w:rsid w:val="6762C651"/>
    <w:rsid w:val="67674E86"/>
    <w:rsid w:val="678B4DF3"/>
    <w:rsid w:val="67983150"/>
    <w:rsid w:val="67A12AEC"/>
    <w:rsid w:val="67AFE9AC"/>
    <w:rsid w:val="67B09036"/>
    <w:rsid w:val="67B7D3DF"/>
    <w:rsid w:val="67CC17BD"/>
    <w:rsid w:val="681221A5"/>
    <w:rsid w:val="681818AA"/>
    <w:rsid w:val="683CDB94"/>
    <w:rsid w:val="683FD6CE"/>
    <w:rsid w:val="6840C469"/>
    <w:rsid w:val="68423EF6"/>
    <w:rsid w:val="684C0944"/>
    <w:rsid w:val="68512381"/>
    <w:rsid w:val="6852F65C"/>
    <w:rsid w:val="6860E366"/>
    <w:rsid w:val="68738B8B"/>
    <w:rsid w:val="68782F77"/>
    <w:rsid w:val="68840D5E"/>
    <w:rsid w:val="68862A82"/>
    <w:rsid w:val="68920D20"/>
    <w:rsid w:val="68B09BC0"/>
    <w:rsid w:val="68E30217"/>
    <w:rsid w:val="68ECC2B1"/>
    <w:rsid w:val="690AB733"/>
    <w:rsid w:val="690C8BCB"/>
    <w:rsid w:val="692A87A9"/>
    <w:rsid w:val="698BA302"/>
    <w:rsid w:val="69906A1B"/>
    <w:rsid w:val="69912C85"/>
    <w:rsid w:val="69DC29C0"/>
    <w:rsid w:val="69DDF244"/>
    <w:rsid w:val="6A2DAB23"/>
    <w:rsid w:val="6A4FCFD0"/>
    <w:rsid w:val="6A582C29"/>
    <w:rsid w:val="6A5D0FBB"/>
    <w:rsid w:val="6A6E7211"/>
    <w:rsid w:val="6A7995F2"/>
    <w:rsid w:val="6A879E61"/>
    <w:rsid w:val="6A88ECD6"/>
    <w:rsid w:val="6A9349C3"/>
    <w:rsid w:val="6A960A6C"/>
    <w:rsid w:val="6ADF27A0"/>
    <w:rsid w:val="6AEB4F39"/>
    <w:rsid w:val="6AED210B"/>
    <w:rsid w:val="6AEE5273"/>
    <w:rsid w:val="6AFF76F5"/>
    <w:rsid w:val="6AFFA657"/>
    <w:rsid w:val="6B0A46E1"/>
    <w:rsid w:val="6B1687F1"/>
    <w:rsid w:val="6B1CD8C5"/>
    <w:rsid w:val="6B4D9B9A"/>
    <w:rsid w:val="6B52134C"/>
    <w:rsid w:val="6B5EADDA"/>
    <w:rsid w:val="6B8D0FA0"/>
    <w:rsid w:val="6BADECBD"/>
    <w:rsid w:val="6BE6DA15"/>
    <w:rsid w:val="6BEEC5DE"/>
    <w:rsid w:val="6C0177C2"/>
    <w:rsid w:val="6C17E31A"/>
    <w:rsid w:val="6C1E7A30"/>
    <w:rsid w:val="6C3CB709"/>
    <w:rsid w:val="6C3D58E6"/>
    <w:rsid w:val="6C42736E"/>
    <w:rsid w:val="6C6753A1"/>
    <w:rsid w:val="6C6DD263"/>
    <w:rsid w:val="6C7C48C7"/>
    <w:rsid w:val="6C937945"/>
    <w:rsid w:val="6CA82680"/>
    <w:rsid w:val="6CBDF20C"/>
    <w:rsid w:val="6CC4A8D0"/>
    <w:rsid w:val="6CD82AFB"/>
    <w:rsid w:val="6CD8CE91"/>
    <w:rsid w:val="6CE5569E"/>
    <w:rsid w:val="6D01CFBE"/>
    <w:rsid w:val="6D0BD67B"/>
    <w:rsid w:val="6D10D6C1"/>
    <w:rsid w:val="6D18AB47"/>
    <w:rsid w:val="6D2883AD"/>
    <w:rsid w:val="6D30C070"/>
    <w:rsid w:val="6D532CF4"/>
    <w:rsid w:val="6D56EEEC"/>
    <w:rsid w:val="6D6CA49D"/>
    <w:rsid w:val="6D783E9F"/>
    <w:rsid w:val="6D83AA11"/>
    <w:rsid w:val="6D84A6E2"/>
    <w:rsid w:val="6D904EA1"/>
    <w:rsid w:val="6D9359EA"/>
    <w:rsid w:val="6D94AB61"/>
    <w:rsid w:val="6DE4B422"/>
    <w:rsid w:val="6DEFA549"/>
    <w:rsid w:val="6DF4F55E"/>
    <w:rsid w:val="6E1324BF"/>
    <w:rsid w:val="6E209B7C"/>
    <w:rsid w:val="6E30BCFE"/>
    <w:rsid w:val="6E3CDC7A"/>
    <w:rsid w:val="6E499A06"/>
    <w:rsid w:val="6E7805E2"/>
    <w:rsid w:val="6EAEE831"/>
    <w:rsid w:val="6EB36AEC"/>
    <w:rsid w:val="6EBAB6E8"/>
    <w:rsid w:val="6ECAF35F"/>
    <w:rsid w:val="6ECD4DC6"/>
    <w:rsid w:val="6ED7FA0B"/>
    <w:rsid w:val="6EEA9E0C"/>
    <w:rsid w:val="6EEFC8E6"/>
    <w:rsid w:val="6EF03043"/>
    <w:rsid w:val="6EF597EC"/>
    <w:rsid w:val="6EFFB654"/>
    <w:rsid w:val="6F067D17"/>
    <w:rsid w:val="6F1A8563"/>
    <w:rsid w:val="6F287298"/>
    <w:rsid w:val="6F42207E"/>
    <w:rsid w:val="6F46939E"/>
    <w:rsid w:val="6F4B875B"/>
    <w:rsid w:val="6F5DE66C"/>
    <w:rsid w:val="6F60A85C"/>
    <w:rsid w:val="6F68157C"/>
    <w:rsid w:val="6F6EB1A5"/>
    <w:rsid w:val="6F8C8041"/>
    <w:rsid w:val="6FD2DBA2"/>
    <w:rsid w:val="6FE01F65"/>
    <w:rsid w:val="6FE6177B"/>
    <w:rsid w:val="700488DB"/>
    <w:rsid w:val="7014CB5E"/>
    <w:rsid w:val="707B8FF0"/>
    <w:rsid w:val="7098E627"/>
    <w:rsid w:val="70B3BB61"/>
    <w:rsid w:val="70BFA6A5"/>
    <w:rsid w:val="70CAE1E4"/>
    <w:rsid w:val="71008511"/>
    <w:rsid w:val="71014B51"/>
    <w:rsid w:val="71054041"/>
    <w:rsid w:val="71126EA8"/>
    <w:rsid w:val="714E27E5"/>
    <w:rsid w:val="71831325"/>
    <w:rsid w:val="7183ECB0"/>
    <w:rsid w:val="71847626"/>
    <w:rsid w:val="71989210"/>
    <w:rsid w:val="71B8BE69"/>
    <w:rsid w:val="71D521E5"/>
    <w:rsid w:val="71DCDAC3"/>
    <w:rsid w:val="71DD89D6"/>
    <w:rsid w:val="71E62ECA"/>
    <w:rsid w:val="71FA9404"/>
    <w:rsid w:val="720B3F09"/>
    <w:rsid w:val="722D4A15"/>
    <w:rsid w:val="7245176D"/>
    <w:rsid w:val="726AEA9B"/>
    <w:rsid w:val="728DDE24"/>
    <w:rsid w:val="72A0D104"/>
    <w:rsid w:val="72A81578"/>
    <w:rsid w:val="72B455CA"/>
    <w:rsid w:val="72B6492F"/>
    <w:rsid w:val="72B956FF"/>
    <w:rsid w:val="72C81816"/>
    <w:rsid w:val="72E0D34D"/>
    <w:rsid w:val="72EB9B5B"/>
    <w:rsid w:val="72F3CBC5"/>
    <w:rsid w:val="7310B67F"/>
    <w:rsid w:val="73118C46"/>
    <w:rsid w:val="73168E31"/>
    <w:rsid w:val="732B0F91"/>
    <w:rsid w:val="734566E1"/>
    <w:rsid w:val="739BCD07"/>
    <w:rsid w:val="73A7729D"/>
    <w:rsid w:val="73B5AB2A"/>
    <w:rsid w:val="73C239DD"/>
    <w:rsid w:val="73C9B0C1"/>
    <w:rsid w:val="73CE248D"/>
    <w:rsid w:val="73CF0600"/>
    <w:rsid w:val="73D7682C"/>
    <w:rsid w:val="73D820BF"/>
    <w:rsid w:val="73EB3E80"/>
    <w:rsid w:val="740B1546"/>
    <w:rsid w:val="7433D621"/>
    <w:rsid w:val="744C0C8D"/>
    <w:rsid w:val="74679D37"/>
    <w:rsid w:val="7467E700"/>
    <w:rsid w:val="746EC02B"/>
    <w:rsid w:val="74942171"/>
    <w:rsid w:val="749B26D0"/>
    <w:rsid w:val="74AA447B"/>
    <w:rsid w:val="74CBCAC9"/>
    <w:rsid w:val="74D5D472"/>
    <w:rsid w:val="74E3A987"/>
    <w:rsid w:val="7517CF96"/>
    <w:rsid w:val="75197FD0"/>
    <w:rsid w:val="7526193B"/>
    <w:rsid w:val="7535204B"/>
    <w:rsid w:val="755673F6"/>
    <w:rsid w:val="75699BFB"/>
    <w:rsid w:val="7591BB97"/>
    <w:rsid w:val="75970A39"/>
    <w:rsid w:val="75A51A92"/>
    <w:rsid w:val="75A656FA"/>
    <w:rsid w:val="75A83C96"/>
    <w:rsid w:val="75B02946"/>
    <w:rsid w:val="75B89BA6"/>
    <w:rsid w:val="75CB522B"/>
    <w:rsid w:val="75D19301"/>
    <w:rsid w:val="75D475A6"/>
    <w:rsid w:val="75DC0EB4"/>
    <w:rsid w:val="760374A4"/>
    <w:rsid w:val="7606873B"/>
    <w:rsid w:val="7635A883"/>
    <w:rsid w:val="765815A9"/>
    <w:rsid w:val="765A20A1"/>
    <w:rsid w:val="765EA260"/>
    <w:rsid w:val="76671D30"/>
    <w:rsid w:val="7677A299"/>
    <w:rsid w:val="767C34A1"/>
    <w:rsid w:val="7686A60D"/>
    <w:rsid w:val="768B5BE8"/>
    <w:rsid w:val="76967300"/>
    <w:rsid w:val="76C52169"/>
    <w:rsid w:val="76C60A6C"/>
    <w:rsid w:val="76D93BCE"/>
    <w:rsid w:val="76F159A5"/>
    <w:rsid w:val="76FE0B00"/>
    <w:rsid w:val="7710BE7C"/>
    <w:rsid w:val="771C0C52"/>
    <w:rsid w:val="77251C57"/>
    <w:rsid w:val="773594D8"/>
    <w:rsid w:val="77444089"/>
    <w:rsid w:val="7746BB29"/>
    <w:rsid w:val="775AAAFC"/>
    <w:rsid w:val="775F6925"/>
    <w:rsid w:val="7763983D"/>
    <w:rsid w:val="776CAEDE"/>
    <w:rsid w:val="777CA2B9"/>
    <w:rsid w:val="77923488"/>
    <w:rsid w:val="7796161F"/>
    <w:rsid w:val="77A17F68"/>
    <w:rsid w:val="77C04432"/>
    <w:rsid w:val="77C110E0"/>
    <w:rsid w:val="77CE3478"/>
    <w:rsid w:val="7815D1D0"/>
    <w:rsid w:val="782BCA03"/>
    <w:rsid w:val="783CDF6E"/>
    <w:rsid w:val="783E8D07"/>
    <w:rsid w:val="78462DFE"/>
    <w:rsid w:val="7861138B"/>
    <w:rsid w:val="786F315A"/>
    <w:rsid w:val="78767BDC"/>
    <w:rsid w:val="78862781"/>
    <w:rsid w:val="78AAD1EF"/>
    <w:rsid w:val="78B06D77"/>
    <w:rsid w:val="78D19F76"/>
    <w:rsid w:val="78D92823"/>
    <w:rsid w:val="78F891D0"/>
    <w:rsid w:val="78FD53A9"/>
    <w:rsid w:val="795520A2"/>
    <w:rsid w:val="79A2495F"/>
    <w:rsid w:val="79B29E06"/>
    <w:rsid w:val="79BEC888"/>
    <w:rsid w:val="79C879E5"/>
    <w:rsid w:val="79DD460C"/>
    <w:rsid w:val="79E416CA"/>
    <w:rsid w:val="79F095A0"/>
    <w:rsid w:val="7A08CA25"/>
    <w:rsid w:val="7A320E24"/>
    <w:rsid w:val="7A353ABB"/>
    <w:rsid w:val="7A4C149F"/>
    <w:rsid w:val="7A58DACC"/>
    <w:rsid w:val="7A591E64"/>
    <w:rsid w:val="7A6E6396"/>
    <w:rsid w:val="7A9293AD"/>
    <w:rsid w:val="7A9DFFBA"/>
    <w:rsid w:val="7AA9E813"/>
    <w:rsid w:val="7ADD5D5E"/>
    <w:rsid w:val="7ADE39CC"/>
    <w:rsid w:val="7AE402D8"/>
    <w:rsid w:val="7AE6BE88"/>
    <w:rsid w:val="7AE827A1"/>
    <w:rsid w:val="7B025D01"/>
    <w:rsid w:val="7B09BA52"/>
    <w:rsid w:val="7B1449DA"/>
    <w:rsid w:val="7B2F7B75"/>
    <w:rsid w:val="7B4670DF"/>
    <w:rsid w:val="7B5CCE00"/>
    <w:rsid w:val="7B672084"/>
    <w:rsid w:val="7B8C9CDB"/>
    <w:rsid w:val="7BA0FD23"/>
    <w:rsid w:val="7BB6A6C6"/>
    <w:rsid w:val="7BB906D3"/>
    <w:rsid w:val="7BBCD3AB"/>
    <w:rsid w:val="7BD008B9"/>
    <w:rsid w:val="7BDC8B6C"/>
    <w:rsid w:val="7BDDA659"/>
    <w:rsid w:val="7BDE07C2"/>
    <w:rsid w:val="7BE0B399"/>
    <w:rsid w:val="7BE8D462"/>
    <w:rsid w:val="7BF357A1"/>
    <w:rsid w:val="7BF78C13"/>
    <w:rsid w:val="7C02F205"/>
    <w:rsid w:val="7C1B4B5F"/>
    <w:rsid w:val="7C215EA5"/>
    <w:rsid w:val="7C36EDBA"/>
    <w:rsid w:val="7C3EE75D"/>
    <w:rsid w:val="7C50FC27"/>
    <w:rsid w:val="7C91A91C"/>
    <w:rsid w:val="7CA75933"/>
    <w:rsid w:val="7CB6A402"/>
    <w:rsid w:val="7CB7A535"/>
    <w:rsid w:val="7CD88D37"/>
    <w:rsid w:val="7CE41CA7"/>
    <w:rsid w:val="7CF05753"/>
    <w:rsid w:val="7D1BAB89"/>
    <w:rsid w:val="7D1D0DF1"/>
    <w:rsid w:val="7D1D7923"/>
    <w:rsid w:val="7D1FFE70"/>
    <w:rsid w:val="7D33940D"/>
    <w:rsid w:val="7D6F36BB"/>
    <w:rsid w:val="7D75FDBF"/>
    <w:rsid w:val="7D7A2CEB"/>
    <w:rsid w:val="7D8F396B"/>
    <w:rsid w:val="7D9BBDF4"/>
    <w:rsid w:val="7DA96AF5"/>
    <w:rsid w:val="7DBEEC3D"/>
    <w:rsid w:val="7DC0D9EA"/>
    <w:rsid w:val="7E0AF177"/>
    <w:rsid w:val="7E1A8D32"/>
    <w:rsid w:val="7E3CC6EB"/>
    <w:rsid w:val="7E4562A4"/>
    <w:rsid w:val="7E521664"/>
    <w:rsid w:val="7E5B689B"/>
    <w:rsid w:val="7E8AAA34"/>
    <w:rsid w:val="7E8CCF4F"/>
    <w:rsid w:val="7EAC4184"/>
    <w:rsid w:val="7EB67232"/>
    <w:rsid w:val="7ECDEFFB"/>
    <w:rsid w:val="7EE36BFF"/>
    <w:rsid w:val="7F397D72"/>
    <w:rsid w:val="7F44CD40"/>
    <w:rsid w:val="7F71BAF5"/>
    <w:rsid w:val="7F8CAF85"/>
    <w:rsid w:val="7F98F35B"/>
    <w:rsid w:val="7FBA1088"/>
    <w:rsid w:val="7FFDB4C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ED7781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7BF2"/>
  </w:style>
  <w:style w:type="paragraph" w:styleId="Heading1">
    <w:name w:val="heading 1"/>
    <w:basedOn w:val="Normal"/>
    <w:next w:val="Normal"/>
    <w:link w:val="Heading1Char"/>
    <w:uiPriority w:val="9"/>
    <w:qFormat/>
    <w:rsid w:val="00A110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10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10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10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10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10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10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10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10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10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10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10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10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10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10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10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10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10A8"/>
    <w:rPr>
      <w:rFonts w:eastAsiaTheme="majorEastAsia" w:cstheme="majorBidi"/>
      <w:color w:val="272727" w:themeColor="text1" w:themeTint="D8"/>
    </w:rPr>
  </w:style>
  <w:style w:type="paragraph" w:styleId="Title">
    <w:name w:val="Title"/>
    <w:basedOn w:val="Normal"/>
    <w:next w:val="Normal"/>
    <w:link w:val="TitleChar"/>
    <w:uiPriority w:val="10"/>
    <w:qFormat/>
    <w:rsid w:val="00A110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10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10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10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10A8"/>
    <w:pPr>
      <w:spacing w:before="160"/>
      <w:jc w:val="center"/>
    </w:pPr>
    <w:rPr>
      <w:i/>
      <w:iCs/>
      <w:color w:val="404040" w:themeColor="text1" w:themeTint="BF"/>
    </w:rPr>
  </w:style>
  <w:style w:type="character" w:customStyle="1" w:styleId="QuoteChar">
    <w:name w:val="Quote Char"/>
    <w:basedOn w:val="DefaultParagraphFont"/>
    <w:link w:val="Quote"/>
    <w:uiPriority w:val="29"/>
    <w:rsid w:val="00A110A8"/>
    <w:rPr>
      <w:i/>
      <w:iCs/>
      <w:color w:val="404040" w:themeColor="text1" w:themeTint="BF"/>
    </w:rPr>
  </w:style>
  <w:style w:type="paragraph" w:styleId="ListParagraph">
    <w:name w:val="List Paragraph"/>
    <w:basedOn w:val="Normal"/>
    <w:uiPriority w:val="34"/>
    <w:qFormat/>
    <w:rsid w:val="00A110A8"/>
    <w:pPr>
      <w:ind w:left="720"/>
      <w:contextualSpacing/>
    </w:pPr>
  </w:style>
  <w:style w:type="character" w:styleId="IntenseEmphasis">
    <w:name w:val="Intense Emphasis"/>
    <w:basedOn w:val="DefaultParagraphFont"/>
    <w:uiPriority w:val="21"/>
    <w:qFormat/>
    <w:rsid w:val="00A110A8"/>
    <w:rPr>
      <w:i/>
      <w:iCs/>
      <w:color w:val="0F4761" w:themeColor="accent1" w:themeShade="BF"/>
    </w:rPr>
  </w:style>
  <w:style w:type="paragraph" w:styleId="IntenseQuote">
    <w:name w:val="Intense Quote"/>
    <w:basedOn w:val="Normal"/>
    <w:next w:val="Normal"/>
    <w:link w:val="IntenseQuoteChar"/>
    <w:uiPriority w:val="30"/>
    <w:qFormat/>
    <w:rsid w:val="00A110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10A8"/>
    <w:rPr>
      <w:i/>
      <w:iCs/>
      <w:color w:val="0F4761" w:themeColor="accent1" w:themeShade="BF"/>
    </w:rPr>
  </w:style>
  <w:style w:type="character" w:styleId="IntenseReference">
    <w:name w:val="Intense Reference"/>
    <w:basedOn w:val="DefaultParagraphFont"/>
    <w:uiPriority w:val="32"/>
    <w:qFormat/>
    <w:rsid w:val="00A110A8"/>
    <w:rPr>
      <w:b/>
      <w:bCs/>
      <w:smallCaps/>
      <w:color w:val="0F4761" w:themeColor="accent1" w:themeShade="BF"/>
      <w:spacing w:val="5"/>
    </w:rPr>
  </w:style>
  <w:style w:type="paragraph" w:styleId="FootnoteText">
    <w:name w:val="footnote text"/>
    <w:basedOn w:val="Normal"/>
    <w:unhideWhenUsed/>
    <w:rsid w:val="00A110A8"/>
    <w:pPr>
      <w:spacing w:after="0" w:line="240" w:lineRule="auto"/>
    </w:pPr>
    <w:rPr>
      <w:sz w:val="20"/>
      <w:szCs w:val="20"/>
    </w:rPr>
  </w:style>
  <w:style w:type="character" w:customStyle="1" w:styleId="FootnoteTextChar">
    <w:name w:val="Footnote Text Char"/>
    <w:basedOn w:val="DefaultParagraphFont"/>
    <w:rsid w:val="00A110A8"/>
    <w:rPr>
      <w:sz w:val="20"/>
      <w:szCs w:val="20"/>
    </w:rPr>
  </w:style>
  <w:style w:type="character" w:styleId="FootnoteReference">
    <w:name w:val="footnote reference"/>
    <w:aliases w:val="number,Times 10 Point,Exposant 3 Point,Footnote symbol,Footnote reference number,Odwołanie przypisu,stylish,note TESI,BVI fnr,Appel note de bas de p,Nota,SUPERS,Footnote number,Footnote Reference Superscript,EN Footnote Reference,Ref"/>
    <w:basedOn w:val="DefaultParagraphFont"/>
    <w:link w:val="CarCarCarCarCarCarCarCar"/>
    <w:unhideWhenUsed/>
    <w:qFormat/>
    <w:rsid w:val="00A110A8"/>
    <w:rPr>
      <w:vertAlign w:val="superscript"/>
    </w:rPr>
  </w:style>
  <w:style w:type="character" w:styleId="Hyperlink">
    <w:name w:val="Hyperlink"/>
    <w:basedOn w:val="DefaultParagraphFont"/>
    <w:uiPriority w:val="99"/>
    <w:unhideWhenUsed/>
    <w:rsid w:val="00A110A8"/>
    <w:rPr>
      <w:color w:val="0000FF"/>
      <w:u w:val="single"/>
    </w:rPr>
  </w:style>
  <w:style w:type="paragraph" w:customStyle="1" w:styleId="title-bold">
    <w:name w:val="title-bold"/>
    <w:basedOn w:val="Normal"/>
    <w:rsid w:val="00A110A8"/>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styleId="Header">
    <w:name w:val="header"/>
    <w:basedOn w:val="Normal"/>
    <w:link w:val="HeaderChar"/>
    <w:uiPriority w:val="99"/>
    <w:unhideWhenUsed/>
    <w:rsid w:val="00A110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0A8"/>
  </w:style>
  <w:style w:type="paragraph" w:styleId="Footer">
    <w:name w:val="footer"/>
    <w:basedOn w:val="Normal"/>
    <w:link w:val="FooterChar"/>
    <w:uiPriority w:val="99"/>
    <w:unhideWhenUsed/>
    <w:rsid w:val="00A110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0A8"/>
  </w:style>
  <w:style w:type="paragraph" w:styleId="CommentText">
    <w:name w:val="annotation text"/>
    <w:basedOn w:val="Normal"/>
    <w:link w:val="CommentTextChar"/>
    <w:uiPriority w:val="99"/>
    <w:unhideWhenUsed/>
    <w:rsid w:val="00927F27"/>
    <w:pPr>
      <w:spacing w:line="240" w:lineRule="auto"/>
    </w:pPr>
    <w:rPr>
      <w:sz w:val="20"/>
      <w:szCs w:val="20"/>
    </w:rPr>
  </w:style>
  <w:style w:type="character" w:customStyle="1" w:styleId="CommentTextChar">
    <w:name w:val="Comment Text Char"/>
    <w:basedOn w:val="DefaultParagraphFont"/>
    <w:link w:val="CommentText"/>
    <w:uiPriority w:val="99"/>
    <w:rsid w:val="00927F27"/>
    <w:rPr>
      <w:sz w:val="20"/>
      <w:szCs w:val="20"/>
      <w:lang w:val="ro-RO"/>
    </w:rPr>
  </w:style>
  <w:style w:type="character" w:styleId="CommentReference">
    <w:name w:val="annotation reference"/>
    <w:basedOn w:val="DefaultParagraphFont"/>
    <w:uiPriority w:val="99"/>
    <w:semiHidden/>
    <w:unhideWhenUsed/>
    <w:rsid w:val="00927F27"/>
    <w:rPr>
      <w:sz w:val="16"/>
      <w:szCs w:val="16"/>
    </w:rPr>
  </w:style>
  <w:style w:type="paragraph" w:styleId="NormalWeb">
    <w:name w:val="Normal (Web)"/>
    <w:basedOn w:val="Normal"/>
    <w:uiPriority w:val="99"/>
    <w:semiHidden/>
    <w:unhideWhenUsed/>
    <w:rsid w:val="00F0731D"/>
    <w:pPr>
      <w:spacing w:before="100" w:beforeAutospacing="1" w:after="100" w:afterAutospacing="1" w:line="240" w:lineRule="auto"/>
    </w:pPr>
    <w:rPr>
      <w:rFonts w:ascii="Aptos" w:hAnsi="Aptos" w:cs="Aptos"/>
      <w:kern w:val="0"/>
      <w:sz w:val="24"/>
      <w:szCs w:val="24"/>
      <w:lang w:eastAsia="en-IE"/>
      <w14:ligatures w14:val="none"/>
    </w:rPr>
  </w:style>
  <w:style w:type="paragraph" w:styleId="Revision">
    <w:name w:val="Revision"/>
    <w:hidden/>
    <w:uiPriority w:val="99"/>
    <w:semiHidden/>
    <w:rsid w:val="00645F18"/>
    <w:pPr>
      <w:spacing w:after="0" w:line="240" w:lineRule="auto"/>
    </w:pPr>
  </w:style>
  <w:style w:type="table" w:styleId="TableGrid">
    <w:name w:val="Table Grid"/>
    <w:basedOn w:val="TableNormal"/>
    <w:rsid w:val="006A1F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6A1F76"/>
    <w:rPr>
      <w:b/>
      <w:bCs/>
    </w:rPr>
  </w:style>
  <w:style w:type="character" w:customStyle="1" w:styleId="CommentSubjectChar">
    <w:name w:val="Comment Subject Char"/>
    <w:basedOn w:val="CommentTextChar"/>
    <w:link w:val="CommentSubject"/>
    <w:uiPriority w:val="99"/>
    <w:semiHidden/>
    <w:rsid w:val="006A1F76"/>
    <w:rPr>
      <w:b/>
      <w:bCs/>
      <w:sz w:val="20"/>
      <w:szCs w:val="20"/>
      <w:lang w:val="ro-RO"/>
    </w:rPr>
  </w:style>
  <w:style w:type="character" w:customStyle="1" w:styleId="Mention1">
    <w:name w:val="Mention1"/>
    <w:basedOn w:val="DefaultParagraphFont"/>
    <w:uiPriority w:val="99"/>
    <w:unhideWhenUsed/>
    <w:rsid w:val="00C00578"/>
    <w:rPr>
      <w:color w:val="2B579A"/>
      <w:shd w:val="clear" w:color="auto" w:fill="E1DFDD"/>
    </w:rPr>
  </w:style>
  <w:style w:type="character" w:customStyle="1" w:styleId="UnresolvedMention1">
    <w:name w:val="Unresolved Mention1"/>
    <w:basedOn w:val="DefaultParagraphFont"/>
    <w:uiPriority w:val="99"/>
    <w:semiHidden/>
    <w:unhideWhenUsed/>
    <w:rsid w:val="00C00578"/>
    <w:rPr>
      <w:color w:val="605E5C"/>
      <w:shd w:val="clear" w:color="auto" w:fill="E1DFDD"/>
    </w:rPr>
  </w:style>
  <w:style w:type="character" w:styleId="FollowedHyperlink">
    <w:name w:val="FollowedHyperlink"/>
    <w:basedOn w:val="DefaultParagraphFont"/>
    <w:uiPriority w:val="99"/>
    <w:semiHidden/>
    <w:unhideWhenUsed/>
    <w:rsid w:val="00C00578"/>
    <w:rPr>
      <w:color w:val="96607D" w:themeColor="followedHyperlink"/>
      <w:u w:val="single"/>
    </w:rPr>
  </w:style>
  <w:style w:type="paragraph" w:customStyle="1" w:styleId="typedudocumentcp">
    <w:name w:val="typedudocument_cp"/>
    <w:basedOn w:val="Normal"/>
    <w:rsid w:val="005141E5"/>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styleId="Strong">
    <w:name w:val="Strong"/>
    <w:basedOn w:val="DefaultParagraphFont"/>
    <w:uiPriority w:val="22"/>
    <w:qFormat/>
    <w:rsid w:val="00C53C35"/>
    <w:rPr>
      <w:b/>
      <w:bCs/>
    </w:rPr>
  </w:style>
  <w:style w:type="paragraph" w:customStyle="1" w:styleId="paragraph">
    <w:name w:val="paragraph"/>
    <w:basedOn w:val="Normal"/>
    <w:rsid w:val="00956D93"/>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normaltextrun">
    <w:name w:val="normaltextrun"/>
    <w:basedOn w:val="DefaultParagraphFont"/>
    <w:rsid w:val="00956D93"/>
  </w:style>
  <w:style w:type="character" w:customStyle="1" w:styleId="eop">
    <w:name w:val="eop"/>
    <w:basedOn w:val="DefaultParagraphFont"/>
    <w:rsid w:val="00956D93"/>
  </w:style>
  <w:style w:type="character" w:customStyle="1" w:styleId="Marker">
    <w:name w:val="Marker"/>
    <w:basedOn w:val="DefaultParagraphFont"/>
    <w:rsid w:val="00E36292"/>
    <w:rPr>
      <w:color w:val="0000FF"/>
      <w:shd w:val="clear" w:color="auto" w:fill="auto"/>
    </w:rPr>
  </w:style>
  <w:style w:type="paragraph" w:customStyle="1" w:styleId="FooterCoverPage">
    <w:name w:val="Footer Cover Page"/>
    <w:basedOn w:val="Normal"/>
    <w:link w:val="FooterCoverPageChar"/>
    <w:rsid w:val="00902FF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902FF8"/>
    <w:rPr>
      <w:rFonts w:ascii="Times New Roman" w:hAnsi="Times New Roman" w:cs="Times New Roman"/>
      <w:sz w:val="24"/>
    </w:rPr>
  </w:style>
  <w:style w:type="paragraph" w:customStyle="1" w:styleId="FooterSensitivity">
    <w:name w:val="Footer Sensitivity"/>
    <w:basedOn w:val="Normal"/>
    <w:link w:val="FooterSensitivityChar"/>
    <w:rsid w:val="00902FF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02FF8"/>
    <w:rPr>
      <w:rFonts w:ascii="Times New Roman" w:hAnsi="Times New Roman" w:cs="Times New Roman"/>
      <w:b/>
      <w:sz w:val="32"/>
    </w:rPr>
  </w:style>
  <w:style w:type="paragraph" w:customStyle="1" w:styleId="HeaderCoverPage">
    <w:name w:val="Header Cover Page"/>
    <w:basedOn w:val="Normal"/>
    <w:link w:val="HeaderCoverPageChar"/>
    <w:rsid w:val="00902FF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902FF8"/>
    <w:rPr>
      <w:rFonts w:ascii="Times New Roman" w:hAnsi="Times New Roman" w:cs="Times New Roman"/>
      <w:sz w:val="24"/>
    </w:rPr>
  </w:style>
  <w:style w:type="paragraph" w:customStyle="1" w:styleId="HeaderSensitivity">
    <w:name w:val="Header Sensitivity"/>
    <w:basedOn w:val="Normal"/>
    <w:link w:val="HeaderSensitivityChar"/>
    <w:rsid w:val="00902FF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02FF8"/>
    <w:rPr>
      <w:rFonts w:ascii="Times New Roman" w:hAnsi="Times New Roman" w:cs="Times New Roman"/>
      <w:b/>
      <w:sz w:val="32"/>
    </w:rPr>
  </w:style>
  <w:style w:type="paragraph" w:customStyle="1" w:styleId="HeaderSensitivityRight">
    <w:name w:val="Header Sensitivity Right"/>
    <w:basedOn w:val="Normal"/>
    <w:link w:val="HeaderSensitivityRightChar"/>
    <w:rsid w:val="00E84576"/>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02FF8"/>
    <w:rPr>
      <w:rFonts w:ascii="Times New Roman" w:hAnsi="Times New Roman" w:cs="Times New Roman"/>
      <w:sz w:val="28"/>
    </w:rPr>
  </w:style>
  <w:style w:type="character" w:customStyle="1" w:styleId="superscript">
    <w:name w:val="superscript"/>
    <w:basedOn w:val="DefaultParagraphFont"/>
    <w:rsid w:val="00045D2B"/>
  </w:style>
  <w:style w:type="paragraph" w:customStyle="1" w:styleId="CarCarCarCarCarCarCarCar">
    <w:name w:val="Car Car Car Car Car Car Car Car"/>
    <w:aliases w:val="Car Car Car Car1 Car,Car Car Car Car1 Car Car Car Car"/>
    <w:basedOn w:val="Normal"/>
    <w:link w:val="FootnoteReference"/>
    <w:uiPriority w:val="99"/>
    <w:rsid w:val="00DA3C76"/>
    <w:pPr>
      <w:spacing w:line="240" w:lineRule="exact"/>
    </w:pPr>
    <w:rPr>
      <w:vertAlign w:val="superscript"/>
    </w:rPr>
  </w:style>
  <w:style w:type="paragraph" w:customStyle="1" w:styleId="Pagedecouverture">
    <w:name w:val="Page de couverture"/>
    <w:basedOn w:val="Normal"/>
    <w:next w:val="Normal"/>
    <w:rsid w:val="008C7FBE"/>
    <w:pPr>
      <w:spacing w:after="0" w:line="240" w:lineRule="auto"/>
      <w:jc w:val="both"/>
    </w:pPr>
    <w:rPr>
      <w:rFonts w:ascii="Times New Roman" w:hAnsi="Times New Roman" w:cs="Times New Roman"/>
      <w:kern w:val="0"/>
      <w:sz w:val="24"/>
      <w14:ligatures w14:val="none"/>
    </w:rPr>
  </w:style>
  <w:style w:type="paragraph" w:styleId="EndnoteText">
    <w:name w:val="endnote text"/>
    <w:basedOn w:val="Normal"/>
    <w:link w:val="EndnoteTextChar"/>
    <w:uiPriority w:val="99"/>
    <w:semiHidden/>
    <w:unhideWhenUsed/>
    <w:rsid w:val="00D646B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646BF"/>
    <w:rPr>
      <w:sz w:val="20"/>
      <w:szCs w:val="20"/>
      <w:lang w:val="ro-RO"/>
    </w:rPr>
  </w:style>
  <w:style w:type="character" w:styleId="EndnoteReference">
    <w:name w:val="endnote reference"/>
    <w:basedOn w:val="DefaultParagraphFont"/>
    <w:uiPriority w:val="99"/>
    <w:semiHidden/>
    <w:unhideWhenUsed/>
    <w:rsid w:val="00D646BF"/>
    <w:rPr>
      <w:vertAlign w:val="superscript"/>
    </w:rPr>
  </w:style>
  <w:style w:type="paragraph" w:customStyle="1" w:styleId="Disclaimer">
    <w:name w:val="Disclaimer"/>
    <w:basedOn w:val="Normal"/>
    <w:rsid w:val="00E84576"/>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E84576"/>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E84576"/>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E84576"/>
    <w:pPr>
      <w:spacing w:after="0" w:line="276" w:lineRule="auto"/>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641295">
      <w:bodyDiv w:val="1"/>
      <w:marLeft w:val="0"/>
      <w:marRight w:val="0"/>
      <w:marTop w:val="0"/>
      <w:marBottom w:val="0"/>
      <w:divBdr>
        <w:top w:val="none" w:sz="0" w:space="0" w:color="auto"/>
        <w:left w:val="none" w:sz="0" w:space="0" w:color="auto"/>
        <w:bottom w:val="none" w:sz="0" w:space="0" w:color="auto"/>
        <w:right w:val="none" w:sz="0" w:space="0" w:color="auto"/>
      </w:divBdr>
    </w:div>
    <w:div w:id="233325183">
      <w:bodyDiv w:val="1"/>
      <w:marLeft w:val="0"/>
      <w:marRight w:val="0"/>
      <w:marTop w:val="0"/>
      <w:marBottom w:val="0"/>
      <w:divBdr>
        <w:top w:val="none" w:sz="0" w:space="0" w:color="auto"/>
        <w:left w:val="none" w:sz="0" w:space="0" w:color="auto"/>
        <w:bottom w:val="none" w:sz="0" w:space="0" w:color="auto"/>
        <w:right w:val="none" w:sz="0" w:space="0" w:color="auto"/>
      </w:divBdr>
    </w:div>
    <w:div w:id="360518097">
      <w:bodyDiv w:val="1"/>
      <w:marLeft w:val="0"/>
      <w:marRight w:val="0"/>
      <w:marTop w:val="0"/>
      <w:marBottom w:val="0"/>
      <w:divBdr>
        <w:top w:val="none" w:sz="0" w:space="0" w:color="auto"/>
        <w:left w:val="none" w:sz="0" w:space="0" w:color="auto"/>
        <w:bottom w:val="none" w:sz="0" w:space="0" w:color="auto"/>
        <w:right w:val="none" w:sz="0" w:space="0" w:color="auto"/>
      </w:divBdr>
    </w:div>
    <w:div w:id="400638175">
      <w:bodyDiv w:val="1"/>
      <w:marLeft w:val="0"/>
      <w:marRight w:val="0"/>
      <w:marTop w:val="0"/>
      <w:marBottom w:val="0"/>
      <w:divBdr>
        <w:top w:val="none" w:sz="0" w:space="0" w:color="auto"/>
        <w:left w:val="none" w:sz="0" w:space="0" w:color="auto"/>
        <w:bottom w:val="none" w:sz="0" w:space="0" w:color="auto"/>
        <w:right w:val="none" w:sz="0" w:space="0" w:color="auto"/>
      </w:divBdr>
      <w:divsChild>
        <w:div w:id="711269556">
          <w:marLeft w:val="0"/>
          <w:marRight w:val="0"/>
          <w:marTop w:val="0"/>
          <w:marBottom w:val="0"/>
          <w:divBdr>
            <w:top w:val="none" w:sz="0" w:space="0" w:color="auto"/>
            <w:left w:val="none" w:sz="0" w:space="0" w:color="auto"/>
            <w:bottom w:val="none" w:sz="0" w:space="0" w:color="auto"/>
            <w:right w:val="none" w:sz="0" w:space="0" w:color="auto"/>
          </w:divBdr>
        </w:div>
        <w:div w:id="794832469">
          <w:marLeft w:val="0"/>
          <w:marRight w:val="0"/>
          <w:marTop w:val="0"/>
          <w:marBottom w:val="0"/>
          <w:divBdr>
            <w:top w:val="none" w:sz="0" w:space="0" w:color="auto"/>
            <w:left w:val="none" w:sz="0" w:space="0" w:color="auto"/>
            <w:bottom w:val="none" w:sz="0" w:space="0" w:color="auto"/>
            <w:right w:val="none" w:sz="0" w:space="0" w:color="auto"/>
          </w:divBdr>
        </w:div>
      </w:divsChild>
    </w:div>
    <w:div w:id="492333450">
      <w:bodyDiv w:val="1"/>
      <w:marLeft w:val="0"/>
      <w:marRight w:val="0"/>
      <w:marTop w:val="0"/>
      <w:marBottom w:val="0"/>
      <w:divBdr>
        <w:top w:val="none" w:sz="0" w:space="0" w:color="auto"/>
        <w:left w:val="none" w:sz="0" w:space="0" w:color="auto"/>
        <w:bottom w:val="none" w:sz="0" w:space="0" w:color="auto"/>
        <w:right w:val="none" w:sz="0" w:space="0" w:color="auto"/>
      </w:divBdr>
    </w:div>
    <w:div w:id="497236426">
      <w:bodyDiv w:val="1"/>
      <w:marLeft w:val="0"/>
      <w:marRight w:val="0"/>
      <w:marTop w:val="0"/>
      <w:marBottom w:val="0"/>
      <w:divBdr>
        <w:top w:val="none" w:sz="0" w:space="0" w:color="auto"/>
        <w:left w:val="none" w:sz="0" w:space="0" w:color="auto"/>
        <w:bottom w:val="none" w:sz="0" w:space="0" w:color="auto"/>
        <w:right w:val="none" w:sz="0" w:space="0" w:color="auto"/>
      </w:divBdr>
    </w:div>
    <w:div w:id="686637780">
      <w:bodyDiv w:val="1"/>
      <w:marLeft w:val="0"/>
      <w:marRight w:val="0"/>
      <w:marTop w:val="0"/>
      <w:marBottom w:val="0"/>
      <w:divBdr>
        <w:top w:val="none" w:sz="0" w:space="0" w:color="auto"/>
        <w:left w:val="none" w:sz="0" w:space="0" w:color="auto"/>
        <w:bottom w:val="none" w:sz="0" w:space="0" w:color="auto"/>
        <w:right w:val="none" w:sz="0" w:space="0" w:color="auto"/>
      </w:divBdr>
    </w:div>
    <w:div w:id="751971705">
      <w:bodyDiv w:val="1"/>
      <w:marLeft w:val="0"/>
      <w:marRight w:val="0"/>
      <w:marTop w:val="0"/>
      <w:marBottom w:val="0"/>
      <w:divBdr>
        <w:top w:val="none" w:sz="0" w:space="0" w:color="auto"/>
        <w:left w:val="none" w:sz="0" w:space="0" w:color="auto"/>
        <w:bottom w:val="none" w:sz="0" w:space="0" w:color="auto"/>
        <w:right w:val="none" w:sz="0" w:space="0" w:color="auto"/>
      </w:divBdr>
    </w:div>
    <w:div w:id="757365867">
      <w:bodyDiv w:val="1"/>
      <w:marLeft w:val="0"/>
      <w:marRight w:val="0"/>
      <w:marTop w:val="0"/>
      <w:marBottom w:val="0"/>
      <w:divBdr>
        <w:top w:val="none" w:sz="0" w:space="0" w:color="auto"/>
        <w:left w:val="none" w:sz="0" w:space="0" w:color="auto"/>
        <w:bottom w:val="none" w:sz="0" w:space="0" w:color="auto"/>
        <w:right w:val="none" w:sz="0" w:space="0" w:color="auto"/>
      </w:divBdr>
    </w:div>
    <w:div w:id="826286670">
      <w:bodyDiv w:val="1"/>
      <w:marLeft w:val="0"/>
      <w:marRight w:val="0"/>
      <w:marTop w:val="0"/>
      <w:marBottom w:val="0"/>
      <w:divBdr>
        <w:top w:val="none" w:sz="0" w:space="0" w:color="auto"/>
        <w:left w:val="none" w:sz="0" w:space="0" w:color="auto"/>
        <w:bottom w:val="none" w:sz="0" w:space="0" w:color="auto"/>
        <w:right w:val="none" w:sz="0" w:space="0" w:color="auto"/>
      </w:divBdr>
    </w:div>
    <w:div w:id="846821594">
      <w:bodyDiv w:val="1"/>
      <w:marLeft w:val="0"/>
      <w:marRight w:val="0"/>
      <w:marTop w:val="0"/>
      <w:marBottom w:val="0"/>
      <w:divBdr>
        <w:top w:val="none" w:sz="0" w:space="0" w:color="auto"/>
        <w:left w:val="none" w:sz="0" w:space="0" w:color="auto"/>
        <w:bottom w:val="none" w:sz="0" w:space="0" w:color="auto"/>
        <w:right w:val="none" w:sz="0" w:space="0" w:color="auto"/>
      </w:divBdr>
    </w:div>
    <w:div w:id="910580950">
      <w:bodyDiv w:val="1"/>
      <w:marLeft w:val="0"/>
      <w:marRight w:val="0"/>
      <w:marTop w:val="0"/>
      <w:marBottom w:val="0"/>
      <w:divBdr>
        <w:top w:val="none" w:sz="0" w:space="0" w:color="auto"/>
        <w:left w:val="none" w:sz="0" w:space="0" w:color="auto"/>
        <w:bottom w:val="none" w:sz="0" w:space="0" w:color="auto"/>
        <w:right w:val="none" w:sz="0" w:space="0" w:color="auto"/>
      </w:divBdr>
    </w:div>
    <w:div w:id="937905700">
      <w:bodyDiv w:val="1"/>
      <w:marLeft w:val="0"/>
      <w:marRight w:val="0"/>
      <w:marTop w:val="0"/>
      <w:marBottom w:val="0"/>
      <w:divBdr>
        <w:top w:val="none" w:sz="0" w:space="0" w:color="auto"/>
        <w:left w:val="none" w:sz="0" w:space="0" w:color="auto"/>
        <w:bottom w:val="none" w:sz="0" w:space="0" w:color="auto"/>
        <w:right w:val="none" w:sz="0" w:space="0" w:color="auto"/>
      </w:divBdr>
    </w:div>
    <w:div w:id="1117137259">
      <w:bodyDiv w:val="1"/>
      <w:marLeft w:val="0"/>
      <w:marRight w:val="0"/>
      <w:marTop w:val="0"/>
      <w:marBottom w:val="0"/>
      <w:divBdr>
        <w:top w:val="none" w:sz="0" w:space="0" w:color="auto"/>
        <w:left w:val="none" w:sz="0" w:space="0" w:color="auto"/>
        <w:bottom w:val="none" w:sz="0" w:space="0" w:color="auto"/>
        <w:right w:val="none" w:sz="0" w:space="0" w:color="auto"/>
      </w:divBdr>
    </w:div>
    <w:div w:id="1172335105">
      <w:bodyDiv w:val="1"/>
      <w:marLeft w:val="0"/>
      <w:marRight w:val="0"/>
      <w:marTop w:val="0"/>
      <w:marBottom w:val="0"/>
      <w:divBdr>
        <w:top w:val="none" w:sz="0" w:space="0" w:color="auto"/>
        <w:left w:val="none" w:sz="0" w:space="0" w:color="auto"/>
        <w:bottom w:val="none" w:sz="0" w:space="0" w:color="auto"/>
        <w:right w:val="none" w:sz="0" w:space="0" w:color="auto"/>
      </w:divBdr>
    </w:div>
    <w:div w:id="1418360463">
      <w:bodyDiv w:val="1"/>
      <w:marLeft w:val="0"/>
      <w:marRight w:val="0"/>
      <w:marTop w:val="0"/>
      <w:marBottom w:val="0"/>
      <w:divBdr>
        <w:top w:val="none" w:sz="0" w:space="0" w:color="auto"/>
        <w:left w:val="none" w:sz="0" w:space="0" w:color="auto"/>
        <w:bottom w:val="none" w:sz="0" w:space="0" w:color="auto"/>
        <w:right w:val="none" w:sz="0" w:space="0" w:color="auto"/>
      </w:divBdr>
    </w:div>
    <w:div w:id="1536389816">
      <w:bodyDiv w:val="1"/>
      <w:marLeft w:val="0"/>
      <w:marRight w:val="0"/>
      <w:marTop w:val="0"/>
      <w:marBottom w:val="0"/>
      <w:divBdr>
        <w:top w:val="none" w:sz="0" w:space="0" w:color="auto"/>
        <w:left w:val="none" w:sz="0" w:space="0" w:color="auto"/>
        <w:bottom w:val="none" w:sz="0" w:space="0" w:color="auto"/>
        <w:right w:val="none" w:sz="0" w:space="0" w:color="auto"/>
      </w:divBdr>
      <w:divsChild>
        <w:div w:id="219901504">
          <w:marLeft w:val="0"/>
          <w:marRight w:val="0"/>
          <w:marTop w:val="0"/>
          <w:marBottom w:val="0"/>
          <w:divBdr>
            <w:top w:val="none" w:sz="0" w:space="0" w:color="auto"/>
            <w:left w:val="none" w:sz="0" w:space="0" w:color="auto"/>
            <w:bottom w:val="none" w:sz="0" w:space="0" w:color="auto"/>
            <w:right w:val="none" w:sz="0" w:space="0" w:color="auto"/>
          </w:divBdr>
        </w:div>
        <w:div w:id="368990212">
          <w:marLeft w:val="0"/>
          <w:marRight w:val="0"/>
          <w:marTop w:val="0"/>
          <w:marBottom w:val="0"/>
          <w:divBdr>
            <w:top w:val="none" w:sz="0" w:space="0" w:color="auto"/>
            <w:left w:val="none" w:sz="0" w:space="0" w:color="auto"/>
            <w:bottom w:val="none" w:sz="0" w:space="0" w:color="auto"/>
            <w:right w:val="none" w:sz="0" w:space="0" w:color="auto"/>
          </w:divBdr>
        </w:div>
        <w:div w:id="403332389">
          <w:marLeft w:val="0"/>
          <w:marRight w:val="0"/>
          <w:marTop w:val="0"/>
          <w:marBottom w:val="0"/>
          <w:divBdr>
            <w:top w:val="none" w:sz="0" w:space="0" w:color="auto"/>
            <w:left w:val="none" w:sz="0" w:space="0" w:color="auto"/>
            <w:bottom w:val="none" w:sz="0" w:space="0" w:color="auto"/>
            <w:right w:val="none" w:sz="0" w:space="0" w:color="auto"/>
          </w:divBdr>
        </w:div>
        <w:div w:id="463817992">
          <w:marLeft w:val="0"/>
          <w:marRight w:val="0"/>
          <w:marTop w:val="0"/>
          <w:marBottom w:val="0"/>
          <w:divBdr>
            <w:top w:val="none" w:sz="0" w:space="0" w:color="auto"/>
            <w:left w:val="none" w:sz="0" w:space="0" w:color="auto"/>
            <w:bottom w:val="none" w:sz="0" w:space="0" w:color="auto"/>
            <w:right w:val="none" w:sz="0" w:space="0" w:color="auto"/>
          </w:divBdr>
        </w:div>
        <w:div w:id="472721974">
          <w:marLeft w:val="0"/>
          <w:marRight w:val="0"/>
          <w:marTop w:val="0"/>
          <w:marBottom w:val="0"/>
          <w:divBdr>
            <w:top w:val="none" w:sz="0" w:space="0" w:color="auto"/>
            <w:left w:val="none" w:sz="0" w:space="0" w:color="auto"/>
            <w:bottom w:val="none" w:sz="0" w:space="0" w:color="auto"/>
            <w:right w:val="none" w:sz="0" w:space="0" w:color="auto"/>
          </w:divBdr>
        </w:div>
        <w:div w:id="484201959">
          <w:marLeft w:val="0"/>
          <w:marRight w:val="0"/>
          <w:marTop w:val="0"/>
          <w:marBottom w:val="0"/>
          <w:divBdr>
            <w:top w:val="none" w:sz="0" w:space="0" w:color="auto"/>
            <w:left w:val="none" w:sz="0" w:space="0" w:color="auto"/>
            <w:bottom w:val="none" w:sz="0" w:space="0" w:color="auto"/>
            <w:right w:val="none" w:sz="0" w:space="0" w:color="auto"/>
          </w:divBdr>
        </w:div>
        <w:div w:id="484787767">
          <w:marLeft w:val="0"/>
          <w:marRight w:val="0"/>
          <w:marTop w:val="0"/>
          <w:marBottom w:val="0"/>
          <w:divBdr>
            <w:top w:val="none" w:sz="0" w:space="0" w:color="auto"/>
            <w:left w:val="none" w:sz="0" w:space="0" w:color="auto"/>
            <w:bottom w:val="none" w:sz="0" w:space="0" w:color="auto"/>
            <w:right w:val="none" w:sz="0" w:space="0" w:color="auto"/>
          </w:divBdr>
        </w:div>
        <w:div w:id="619651926">
          <w:marLeft w:val="0"/>
          <w:marRight w:val="0"/>
          <w:marTop w:val="0"/>
          <w:marBottom w:val="0"/>
          <w:divBdr>
            <w:top w:val="none" w:sz="0" w:space="0" w:color="auto"/>
            <w:left w:val="none" w:sz="0" w:space="0" w:color="auto"/>
            <w:bottom w:val="none" w:sz="0" w:space="0" w:color="auto"/>
            <w:right w:val="none" w:sz="0" w:space="0" w:color="auto"/>
          </w:divBdr>
        </w:div>
        <w:div w:id="660427704">
          <w:marLeft w:val="0"/>
          <w:marRight w:val="0"/>
          <w:marTop w:val="0"/>
          <w:marBottom w:val="0"/>
          <w:divBdr>
            <w:top w:val="none" w:sz="0" w:space="0" w:color="auto"/>
            <w:left w:val="none" w:sz="0" w:space="0" w:color="auto"/>
            <w:bottom w:val="none" w:sz="0" w:space="0" w:color="auto"/>
            <w:right w:val="none" w:sz="0" w:space="0" w:color="auto"/>
          </w:divBdr>
        </w:div>
        <w:div w:id="689912018">
          <w:marLeft w:val="0"/>
          <w:marRight w:val="0"/>
          <w:marTop w:val="0"/>
          <w:marBottom w:val="0"/>
          <w:divBdr>
            <w:top w:val="none" w:sz="0" w:space="0" w:color="auto"/>
            <w:left w:val="none" w:sz="0" w:space="0" w:color="auto"/>
            <w:bottom w:val="none" w:sz="0" w:space="0" w:color="auto"/>
            <w:right w:val="none" w:sz="0" w:space="0" w:color="auto"/>
          </w:divBdr>
        </w:div>
        <w:div w:id="690301652">
          <w:marLeft w:val="0"/>
          <w:marRight w:val="0"/>
          <w:marTop w:val="0"/>
          <w:marBottom w:val="0"/>
          <w:divBdr>
            <w:top w:val="none" w:sz="0" w:space="0" w:color="auto"/>
            <w:left w:val="none" w:sz="0" w:space="0" w:color="auto"/>
            <w:bottom w:val="none" w:sz="0" w:space="0" w:color="auto"/>
            <w:right w:val="none" w:sz="0" w:space="0" w:color="auto"/>
          </w:divBdr>
        </w:div>
        <w:div w:id="823592361">
          <w:marLeft w:val="0"/>
          <w:marRight w:val="0"/>
          <w:marTop w:val="0"/>
          <w:marBottom w:val="0"/>
          <w:divBdr>
            <w:top w:val="none" w:sz="0" w:space="0" w:color="auto"/>
            <w:left w:val="none" w:sz="0" w:space="0" w:color="auto"/>
            <w:bottom w:val="none" w:sz="0" w:space="0" w:color="auto"/>
            <w:right w:val="none" w:sz="0" w:space="0" w:color="auto"/>
          </w:divBdr>
        </w:div>
        <w:div w:id="860512582">
          <w:marLeft w:val="0"/>
          <w:marRight w:val="0"/>
          <w:marTop w:val="0"/>
          <w:marBottom w:val="0"/>
          <w:divBdr>
            <w:top w:val="none" w:sz="0" w:space="0" w:color="auto"/>
            <w:left w:val="none" w:sz="0" w:space="0" w:color="auto"/>
            <w:bottom w:val="none" w:sz="0" w:space="0" w:color="auto"/>
            <w:right w:val="none" w:sz="0" w:space="0" w:color="auto"/>
          </w:divBdr>
        </w:div>
        <w:div w:id="1138956608">
          <w:marLeft w:val="0"/>
          <w:marRight w:val="0"/>
          <w:marTop w:val="0"/>
          <w:marBottom w:val="0"/>
          <w:divBdr>
            <w:top w:val="none" w:sz="0" w:space="0" w:color="auto"/>
            <w:left w:val="none" w:sz="0" w:space="0" w:color="auto"/>
            <w:bottom w:val="none" w:sz="0" w:space="0" w:color="auto"/>
            <w:right w:val="none" w:sz="0" w:space="0" w:color="auto"/>
          </w:divBdr>
        </w:div>
        <w:div w:id="1230536406">
          <w:marLeft w:val="0"/>
          <w:marRight w:val="0"/>
          <w:marTop w:val="0"/>
          <w:marBottom w:val="0"/>
          <w:divBdr>
            <w:top w:val="none" w:sz="0" w:space="0" w:color="auto"/>
            <w:left w:val="none" w:sz="0" w:space="0" w:color="auto"/>
            <w:bottom w:val="none" w:sz="0" w:space="0" w:color="auto"/>
            <w:right w:val="none" w:sz="0" w:space="0" w:color="auto"/>
          </w:divBdr>
        </w:div>
        <w:div w:id="1258751493">
          <w:marLeft w:val="0"/>
          <w:marRight w:val="0"/>
          <w:marTop w:val="0"/>
          <w:marBottom w:val="0"/>
          <w:divBdr>
            <w:top w:val="none" w:sz="0" w:space="0" w:color="auto"/>
            <w:left w:val="none" w:sz="0" w:space="0" w:color="auto"/>
            <w:bottom w:val="none" w:sz="0" w:space="0" w:color="auto"/>
            <w:right w:val="none" w:sz="0" w:space="0" w:color="auto"/>
          </w:divBdr>
        </w:div>
        <w:div w:id="1553690537">
          <w:marLeft w:val="0"/>
          <w:marRight w:val="0"/>
          <w:marTop w:val="0"/>
          <w:marBottom w:val="0"/>
          <w:divBdr>
            <w:top w:val="none" w:sz="0" w:space="0" w:color="auto"/>
            <w:left w:val="none" w:sz="0" w:space="0" w:color="auto"/>
            <w:bottom w:val="none" w:sz="0" w:space="0" w:color="auto"/>
            <w:right w:val="none" w:sz="0" w:space="0" w:color="auto"/>
          </w:divBdr>
        </w:div>
        <w:div w:id="1567034779">
          <w:marLeft w:val="0"/>
          <w:marRight w:val="0"/>
          <w:marTop w:val="0"/>
          <w:marBottom w:val="0"/>
          <w:divBdr>
            <w:top w:val="none" w:sz="0" w:space="0" w:color="auto"/>
            <w:left w:val="none" w:sz="0" w:space="0" w:color="auto"/>
            <w:bottom w:val="none" w:sz="0" w:space="0" w:color="auto"/>
            <w:right w:val="none" w:sz="0" w:space="0" w:color="auto"/>
          </w:divBdr>
        </w:div>
        <w:div w:id="1569415451">
          <w:marLeft w:val="0"/>
          <w:marRight w:val="0"/>
          <w:marTop w:val="0"/>
          <w:marBottom w:val="0"/>
          <w:divBdr>
            <w:top w:val="none" w:sz="0" w:space="0" w:color="auto"/>
            <w:left w:val="none" w:sz="0" w:space="0" w:color="auto"/>
            <w:bottom w:val="none" w:sz="0" w:space="0" w:color="auto"/>
            <w:right w:val="none" w:sz="0" w:space="0" w:color="auto"/>
          </w:divBdr>
        </w:div>
        <w:div w:id="1650861833">
          <w:marLeft w:val="0"/>
          <w:marRight w:val="0"/>
          <w:marTop w:val="0"/>
          <w:marBottom w:val="0"/>
          <w:divBdr>
            <w:top w:val="none" w:sz="0" w:space="0" w:color="auto"/>
            <w:left w:val="none" w:sz="0" w:space="0" w:color="auto"/>
            <w:bottom w:val="none" w:sz="0" w:space="0" w:color="auto"/>
            <w:right w:val="none" w:sz="0" w:space="0" w:color="auto"/>
          </w:divBdr>
        </w:div>
        <w:div w:id="1693065906">
          <w:marLeft w:val="0"/>
          <w:marRight w:val="0"/>
          <w:marTop w:val="0"/>
          <w:marBottom w:val="0"/>
          <w:divBdr>
            <w:top w:val="none" w:sz="0" w:space="0" w:color="auto"/>
            <w:left w:val="none" w:sz="0" w:space="0" w:color="auto"/>
            <w:bottom w:val="none" w:sz="0" w:space="0" w:color="auto"/>
            <w:right w:val="none" w:sz="0" w:space="0" w:color="auto"/>
          </w:divBdr>
        </w:div>
        <w:div w:id="1817262435">
          <w:marLeft w:val="0"/>
          <w:marRight w:val="0"/>
          <w:marTop w:val="0"/>
          <w:marBottom w:val="0"/>
          <w:divBdr>
            <w:top w:val="none" w:sz="0" w:space="0" w:color="auto"/>
            <w:left w:val="none" w:sz="0" w:space="0" w:color="auto"/>
            <w:bottom w:val="none" w:sz="0" w:space="0" w:color="auto"/>
            <w:right w:val="none" w:sz="0" w:space="0" w:color="auto"/>
          </w:divBdr>
        </w:div>
        <w:div w:id="1883707202">
          <w:marLeft w:val="0"/>
          <w:marRight w:val="0"/>
          <w:marTop w:val="0"/>
          <w:marBottom w:val="0"/>
          <w:divBdr>
            <w:top w:val="none" w:sz="0" w:space="0" w:color="auto"/>
            <w:left w:val="none" w:sz="0" w:space="0" w:color="auto"/>
            <w:bottom w:val="none" w:sz="0" w:space="0" w:color="auto"/>
            <w:right w:val="none" w:sz="0" w:space="0" w:color="auto"/>
          </w:divBdr>
        </w:div>
        <w:div w:id="1887570301">
          <w:marLeft w:val="0"/>
          <w:marRight w:val="0"/>
          <w:marTop w:val="0"/>
          <w:marBottom w:val="0"/>
          <w:divBdr>
            <w:top w:val="none" w:sz="0" w:space="0" w:color="auto"/>
            <w:left w:val="none" w:sz="0" w:space="0" w:color="auto"/>
            <w:bottom w:val="none" w:sz="0" w:space="0" w:color="auto"/>
            <w:right w:val="none" w:sz="0" w:space="0" w:color="auto"/>
          </w:divBdr>
        </w:div>
        <w:div w:id="1967617203">
          <w:marLeft w:val="0"/>
          <w:marRight w:val="0"/>
          <w:marTop w:val="0"/>
          <w:marBottom w:val="0"/>
          <w:divBdr>
            <w:top w:val="none" w:sz="0" w:space="0" w:color="auto"/>
            <w:left w:val="none" w:sz="0" w:space="0" w:color="auto"/>
            <w:bottom w:val="none" w:sz="0" w:space="0" w:color="auto"/>
            <w:right w:val="none" w:sz="0" w:space="0" w:color="auto"/>
          </w:divBdr>
        </w:div>
        <w:div w:id="1987973819">
          <w:marLeft w:val="0"/>
          <w:marRight w:val="0"/>
          <w:marTop w:val="0"/>
          <w:marBottom w:val="0"/>
          <w:divBdr>
            <w:top w:val="none" w:sz="0" w:space="0" w:color="auto"/>
            <w:left w:val="none" w:sz="0" w:space="0" w:color="auto"/>
            <w:bottom w:val="none" w:sz="0" w:space="0" w:color="auto"/>
            <w:right w:val="none" w:sz="0" w:space="0" w:color="auto"/>
          </w:divBdr>
        </w:div>
        <w:div w:id="2018581005">
          <w:marLeft w:val="0"/>
          <w:marRight w:val="0"/>
          <w:marTop w:val="0"/>
          <w:marBottom w:val="0"/>
          <w:divBdr>
            <w:top w:val="none" w:sz="0" w:space="0" w:color="auto"/>
            <w:left w:val="none" w:sz="0" w:space="0" w:color="auto"/>
            <w:bottom w:val="none" w:sz="0" w:space="0" w:color="auto"/>
            <w:right w:val="none" w:sz="0" w:space="0" w:color="auto"/>
          </w:divBdr>
        </w:div>
        <w:div w:id="2055999184">
          <w:marLeft w:val="0"/>
          <w:marRight w:val="0"/>
          <w:marTop w:val="0"/>
          <w:marBottom w:val="0"/>
          <w:divBdr>
            <w:top w:val="none" w:sz="0" w:space="0" w:color="auto"/>
            <w:left w:val="none" w:sz="0" w:space="0" w:color="auto"/>
            <w:bottom w:val="none" w:sz="0" w:space="0" w:color="auto"/>
            <w:right w:val="none" w:sz="0" w:space="0" w:color="auto"/>
          </w:divBdr>
        </w:div>
        <w:div w:id="2088648034">
          <w:marLeft w:val="0"/>
          <w:marRight w:val="0"/>
          <w:marTop w:val="0"/>
          <w:marBottom w:val="0"/>
          <w:divBdr>
            <w:top w:val="none" w:sz="0" w:space="0" w:color="auto"/>
            <w:left w:val="none" w:sz="0" w:space="0" w:color="auto"/>
            <w:bottom w:val="none" w:sz="0" w:space="0" w:color="auto"/>
            <w:right w:val="none" w:sz="0" w:space="0" w:color="auto"/>
          </w:divBdr>
        </w:div>
        <w:div w:id="2089182745">
          <w:marLeft w:val="0"/>
          <w:marRight w:val="0"/>
          <w:marTop w:val="0"/>
          <w:marBottom w:val="0"/>
          <w:divBdr>
            <w:top w:val="none" w:sz="0" w:space="0" w:color="auto"/>
            <w:left w:val="none" w:sz="0" w:space="0" w:color="auto"/>
            <w:bottom w:val="none" w:sz="0" w:space="0" w:color="auto"/>
            <w:right w:val="none" w:sz="0" w:space="0" w:color="auto"/>
          </w:divBdr>
        </w:div>
      </w:divsChild>
    </w:div>
    <w:div w:id="1793282385">
      <w:bodyDiv w:val="1"/>
      <w:marLeft w:val="0"/>
      <w:marRight w:val="0"/>
      <w:marTop w:val="0"/>
      <w:marBottom w:val="0"/>
      <w:divBdr>
        <w:top w:val="none" w:sz="0" w:space="0" w:color="auto"/>
        <w:left w:val="none" w:sz="0" w:space="0" w:color="auto"/>
        <w:bottom w:val="none" w:sz="0" w:space="0" w:color="auto"/>
        <w:right w:val="none" w:sz="0" w:space="0" w:color="auto"/>
      </w:divBdr>
    </w:div>
    <w:div w:id="1804956592">
      <w:bodyDiv w:val="1"/>
      <w:marLeft w:val="0"/>
      <w:marRight w:val="0"/>
      <w:marTop w:val="0"/>
      <w:marBottom w:val="0"/>
      <w:divBdr>
        <w:top w:val="none" w:sz="0" w:space="0" w:color="auto"/>
        <w:left w:val="none" w:sz="0" w:space="0" w:color="auto"/>
        <w:bottom w:val="none" w:sz="0" w:space="0" w:color="auto"/>
        <w:right w:val="none" w:sz="0" w:space="0" w:color="auto"/>
      </w:divBdr>
    </w:div>
    <w:div w:id="1858538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e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yperlink" Target="https://eur-lex.europa.eu/eli/reg/2024/3012/oj/e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u-cap-network.ec.europa.eu/index_en" TargetMode="External"/><Relationship Id="rId13" Type="http://schemas.openxmlformats.org/officeDocument/2006/relationships/hyperlink" Target="https://taxation-customs.ec.europa.eu/carbon-border-adjustment-mechanism/price-cbam-certificates_en" TargetMode="External"/><Relationship Id="rId18" Type="http://schemas.openxmlformats.org/officeDocument/2006/relationships/hyperlink" Target="https://eur-lex.europa.eu/eli/dir/2024/3019/oj" TargetMode="External"/><Relationship Id="rId26" Type="http://schemas.openxmlformats.org/officeDocument/2006/relationships/hyperlink" Target="https://commission.europa.eu/topics/competitiveness/competitiveness-compass_en" TargetMode="External"/><Relationship Id="rId3" Type="http://schemas.openxmlformats.org/officeDocument/2006/relationships/hyperlink" Target="https://energy.ec.europa.eu/publications/accelerateeu-energy-union-affordable-and-secure-energy-through-accelerated-action_en" TargetMode="External"/><Relationship Id="rId21" Type="http://schemas.openxmlformats.org/officeDocument/2006/relationships/hyperlink" Target="http://data.europa.eu/eli/reg/2022/2472/oj" TargetMode="External"/><Relationship Id="rId34" Type="http://schemas.openxmlformats.org/officeDocument/2006/relationships/hyperlink" Target="https://eur-lex.europa.eu/legal-content/RO/TXT/?uri=CELEX:52025DC0075" TargetMode="External"/><Relationship Id="rId7" Type="http://schemas.openxmlformats.org/officeDocument/2006/relationships/hyperlink" Target="https://ec.europa.eu/commission/presscorner/detail/ro/ip_26_894" TargetMode="External"/><Relationship Id="rId12" Type="http://schemas.openxmlformats.org/officeDocument/2006/relationships/hyperlink" Target="https://eur-lex.europa.eu/legal-content/RO/TXT/?uri=OJ:L_202502620" TargetMode="External"/><Relationship Id="rId17" Type="http://schemas.openxmlformats.org/officeDocument/2006/relationships/hyperlink" Target="https://eur-lex.europa.eu/legal-content/RO/TXT/?uri=celex%3A52025DC0960" TargetMode="External"/><Relationship Id="rId25" Type="http://schemas.openxmlformats.org/officeDocument/2006/relationships/hyperlink" Target="https://www.cbe.europa.eu/" TargetMode="External"/><Relationship Id="rId33" Type="http://schemas.openxmlformats.org/officeDocument/2006/relationships/hyperlink" Target="https://eur-lex.europa.eu/legal-content/RO/TXT/?uri=oj:JOC_2022_414_R_0001" TargetMode="External"/><Relationship Id="rId2" Type="http://schemas.openxmlformats.org/officeDocument/2006/relationships/hyperlink" Target="https://eur-lex.europa.eu/legal-content/RO/TXT/?uri=celex:52025DC0945" TargetMode="External"/><Relationship Id="rId16" Type="http://schemas.openxmlformats.org/officeDocument/2006/relationships/hyperlink" Target="https://civil-protection-humanitarian-aid.ec.europa.eu/what/civil-protection/stockpiling_en" TargetMode="External"/><Relationship Id="rId20" Type="http://schemas.openxmlformats.org/officeDocument/2006/relationships/hyperlink" Target="https://eur-lex.europa.eu/legal-content/RO/ALL/?uri=CELEX:02022XC1221(01)-20240305" TargetMode="External"/><Relationship Id="rId29" Type="http://schemas.openxmlformats.org/officeDocument/2006/relationships/hyperlink" Target="https://www.cbe.europa.eu/news/european-bioeconomy-investment-deployment-group-building-financial-backbone-europes-bio-based" TargetMode="External"/><Relationship Id="rId1" Type="http://schemas.openxmlformats.org/officeDocument/2006/relationships/hyperlink" Target="https://eur-lex.europa.eu/legal-content/RO/TXT/?uri=CELEX%3A52022DC0590%2801%29&amp;qid=1777965079173" TargetMode="External"/><Relationship Id="rId6" Type="http://schemas.openxmlformats.org/officeDocument/2006/relationships/hyperlink" Target="https://agriculture.ec.europa.eu/data-and-analysis/markets/overviews/market-observatories/fertilisers_en" TargetMode="External"/><Relationship Id="rId11" Type="http://schemas.openxmlformats.org/officeDocument/2006/relationships/hyperlink" Target="https://ec.europa.eu/transparency/documents-register/detail?ref=COM(2026)99&amp;lang=ro" TargetMode="External"/><Relationship Id="rId24" Type="http://schemas.openxmlformats.org/officeDocument/2006/relationships/hyperlink" Target="https://www.cbe.europa.eu/" TargetMode="External"/><Relationship Id="rId32" Type="http://schemas.openxmlformats.org/officeDocument/2006/relationships/hyperlink" Target="https://eur-lex.europa.eu/legal-content/RO/TXT/?uri=oj%3AJOC_2022_080_R_0001" TargetMode="External"/><Relationship Id="rId37" Type="http://schemas.openxmlformats.org/officeDocument/2006/relationships/hyperlink" Target="https://eur-lex.europa.eu/eli/dir/1991/676/oj/eng" TargetMode="External"/><Relationship Id="rId5" Type="http://schemas.openxmlformats.org/officeDocument/2006/relationships/hyperlink" Target="https://www.fao.org/newsroom/detail/fao-chief-economist-warns-of-severe-global-food-security-risks-from-disruption-to-strait-of-hormuz-trade-corridor/en" TargetMode="External"/><Relationship Id="rId15" Type="http://schemas.openxmlformats.org/officeDocument/2006/relationships/hyperlink" Target="https://international-partnerships.ec.europa.eu/policies/team-europe-initiatives_ro" TargetMode="External"/><Relationship Id="rId23" Type="http://schemas.openxmlformats.org/officeDocument/2006/relationships/hyperlink" Target="https://climate.ec.europa.eu/eu-action/eu-funding-climate-action/innovation-fund_en" TargetMode="External"/><Relationship Id="rId28" Type="http://schemas.openxmlformats.org/officeDocument/2006/relationships/hyperlink" Target="https://www.cbe.europa.eu/news/european-bioeconomy-investment-deployment-group-building-financial-backbone-europes-bio-based" TargetMode="External"/><Relationship Id="rId36" Type="http://schemas.openxmlformats.org/officeDocument/2006/relationships/hyperlink" Target="https://commission.europa.eu/funding-tenders/find-funding/eu-funding-programmes/horizon-europe_en" TargetMode="External"/><Relationship Id="rId10" Type="http://schemas.openxmlformats.org/officeDocument/2006/relationships/hyperlink" Target="https://eur-lex.europa.eu/legal-content/RO/TXT/?uri=OJ:L_202402747" TargetMode="External"/><Relationship Id="rId19" Type="http://schemas.openxmlformats.org/officeDocument/2006/relationships/hyperlink" Target="https://eur-lex.europa.eu/legal-content/RO/TXT/?uri=CELEX%3A02008L0098-20251016" TargetMode="External"/><Relationship Id="rId31" Type="http://schemas.openxmlformats.org/officeDocument/2006/relationships/hyperlink" Target="https://ec.europa.eu/newsroom/growth/items/899222/en" TargetMode="External"/><Relationship Id="rId4" Type="http://schemas.openxmlformats.org/officeDocument/2006/relationships/hyperlink" Target="https://taxation-customs.ec.europa.eu/carbon-border-adjustment-mechanism_en" TargetMode="External"/><Relationship Id="rId9" Type="http://schemas.openxmlformats.org/officeDocument/2006/relationships/hyperlink" Target="https://ec.europa.eu/transparency/documents-register/detail?ref=COM(2026)99&amp;lang=ro" TargetMode="External"/><Relationship Id="rId14" Type="http://schemas.openxmlformats.org/officeDocument/2006/relationships/hyperlink" Target="https://commission.europa.eu/topics/international-partnerships/global-gateway_ro" TargetMode="External"/><Relationship Id="rId22" Type="http://schemas.openxmlformats.org/officeDocument/2006/relationships/hyperlink" Target="https://climate.ec.europa.eu/eu-action/carbon-markets/eu-emissions-trading-system-eu-ets_en" TargetMode="External"/><Relationship Id="rId27" Type="http://schemas.openxmlformats.org/officeDocument/2006/relationships/hyperlink" Target="https://www.cbe.europa.eu/news/european-bioeconomy-investment-deployment-group-building-financial-backbone-europes-bio-based" TargetMode="External"/><Relationship Id="rId30" Type="http://schemas.openxmlformats.org/officeDocument/2006/relationships/hyperlink" Target="https://ec.europa.eu/newsroom/growth/items/899222/en" TargetMode="External"/><Relationship Id="rId35" Type="http://schemas.openxmlformats.org/officeDocument/2006/relationships/hyperlink" Target="https://commission.europa.eu/publications/european-fund-economic-social-and-territorial-cohesion-agriculture-and-rural-fisheries-and-maritime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24FB8744E08A4DBE383191C9C503E4" ma:contentTypeVersion="4" ma:contentTypeDescription="Create a new document." ma:contentTypeScope="" ma:versionID="8cdf56ac1f184a12c7ef3bd0f88ccea6">
  <xsd:schema xmlns:xsd="http://www.w3.org/2001/XMLSchema" xmlns:xs="http://www.w3.org/2001/XMLSchema" xmlns:p="http://schemas.microsoft.com/office/2006/metadata/properties" xmlns:ns2="a42d712b-8eb9-4edc-b861-e9e37fd24493" targetNamespace="http://schemas.microsoft.com/office/2006/metadata/properties" ma:root="true" ma:fieldsID="6692cffe8832ea7fa896b0bfb80ac867" ns2:_="">
    <xsd:import namespace="a42d712b-8eb9-4edc-b861-e9e37fd2449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2d712b-8eb9-4edc-b861-e9e37fd244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E16E81-2F08-41E4-8C70-CFB1562150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2d712b-8eb9-4edc-b861-e9e37fd244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6A5C16-B1B0-4540-8245-1CD4A46B6FB0}">
  <ds:schemaRefs>
    <ds:schemaRef ds:uri="http://schemas.microsoft.com/sharepoint/v3/contenttype/forms"/>
  </ds:schemaRefs>
</ds:datastoreItem>
</file>

<file path=customXml/itemProps3.xml><?xml version="1.0" encoding="utf-8"?>
<ds:datastoreItem xmlns:ds="http://schemas.openxmlformats.org/officeDocument/2006/customXml" ds:itemID="{D0FB0FA9-167D-4690-8A2B-A6E422869D3D}">
  <ds:schemaRefs>
    <ds:schemaRef ds:uri="http://purl.org/dc/terms/"/>
    <ds:schemaRef ds:uri="http://schemas.microsoft.com/office/2006/documentManagement/types"/>
    <ds:schemaRef ds:uri="http://schemas.microsoft.com/office/infopath/2007/PartnerControls"/>
    <ds:schemaRef ds:uri="http://schemas.microsoft.com/office/2006/metadata/properties"/>
    <ds:schemaRef ds:uri="http://purl.org/dc/dcmitype/"/>
    <ds:schemaRef ds:uri="http://purl.org/dc/elements/1.1/"/>
    <ds:schemaRef ds:uri="http://schemas.openxmlformats.org/package/2006/metadata/core-properties"/>
    <ds:schemaRef ds:uri="a42d712b-8eb9-4edc-b861-e9e37fd24493"/>
    <ds:schemaRef ds:uri="http://www.w3.org/XML/1998/namespace"/>
  </ds:schemaRefs>
</ds:datastoreItem>
</file>

<file path=customXml/itemProps4.xml><?xml version="1.0" encoding="utf-8"?>
<ds:datastoreItem xmlns:ds="http://schemas.openxmlformats.org/officeDocument/2006/customXml" ds:itemID="{46FFAE55-9240-4C75-A865-40E4856B4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9215</Words>
  <Characters>52527</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61619</CharactersWithSpaces>
  <SharedDoc>false</SharedDoc>
  <HLinks>
    <vt:vector size="204" baseType="variant">
      <vt:variant>
        <vt:i4>8061029</vt:i4>
      </vt:variant>
      <vt:variant>
        <vt:i4>0</vt:i4>
      </vt:variant>
      <vt:variant>
        <vt:i4>0</vt:i4>
      </vt:variant>
      <vt:variant>
        <vt:i4>5</vt:i4>
      </vt:variant>
      <vt:variant>
        <vt:lpwstr>https://eur-lex.europa.eu/eli/reg/2024/3012/oj/eng</vt:lpwstr>
      </vt:variant>
      <vt:variant>
        <vt:lpwstr/>
      </vt:variant>
      <vt:variant>
        <vt:i4>1048661</vt:i4>
      </vt:variant>
      <vt:variant>
        <vt:i4>96</vt:i4>
      </vt:variant>
      <vt:variant>
        <vt:i4>0</vt:i4>
      </vt:variant>
      <vt:variant>
        <vt:i4>5</vt:i4>
      </vt:variant>
      <vt:variant>
        <vt:lpwstr>https://eur-lex.europa.eu/eli/dir/1991/676/oj/eng</vt:lpwstr>
      </vt:variant>
      <vt:variant>
        <vt:lpwstr/>
      </vt:variant>
      <vt:variant>
        <vt:i4>4391015</vt:i4>
      </vt:variant>
      <vt:variant>
        <vt:i4>93</vt:i4>
      </vt:variant>
      <vt:variant>
        <vt:i4>0</vt:i4>
      </vt:variant>
      <vt:variant>
        <vt:i4>5</vt:i4>
      </vt:variant>
      <vt:variant>
        <vt:lpwstr>https://commission.europa.eu/funding-tenders/find-funding/eu-funding-programmes/horizon-europe_en</vt:lpwstr>
      </vt:variant>
      <vt:variant>
        <vt:lpwstr/>
      </vt:variant>
      <vt:variant>
        <vt:i4>2883662</vt:i4>
      </vt:variant>
      <vt:variant>
        <vt:i4>90</vt:i4>
      </vt:variant>
      <vt:variant>
        <vt:i4>0</vt:i4>
      </vt:variant>
      <vt:variant>
        <vt:i4>5</vt:i4>
      </vt:variant>
      <vt:variant>
        <vt:lpwstr>https://commission.europa.eu/publications/european-fund-economic-social-and-territorial-cohesion-agriculture-and-rural-fisheries-and-maritime_en</vt:lpwstr>
      </vt:variant>
      <vt:variant>
        <vt:lpwstr/>
      </vt:variant>
      <vt:variant>
        <vt:i4>458769</vt:i4>
      </vt:variant>
      <vt:variant>
        <vt:i4>87</vt:i4>
      </vt:variant>
      <vt:variant>
        <vt:i4>0</vt:i4>
      </vt:variant>
      <vt:variant>
        <vt:i4>5</vt:i4>
      </vt:variant>
      <vt:variant>
        <vt:lpwstr>https://eur-lex.europa.eu/legal-content/EN/TXT/?uri=CELEX:52025DC0075</vt:lpwstr>
      </vt:variant>
      <vt:variant>
        <vt:lpwstr/>
      </vt:variant>
      <vt:variant>
        <vt:i4>5373968</vt:i4>
      </vt:variant>
      <vt:variant>
        <vt:i4>84</vt:i4>
      </vt:variant>
      <vt:variant>
        <vt:i4>0</vt:i4>
      </vt:variant>
      <vt:variant>
        <vt:i4>5</vt:i4>
      </vt:variant>
      <vt:variant>
        <vt:lpwstr>https://eur-lex.europa.eu/legal-content/EN/TXT/?uri=oj:JOC_2022_414_R_0001</vt:lpwstr>
      </vt:variant>
      <vt:variant>
        <vt:lpwstr/>
      </vt:variant>
      <vt:variant>
        <vt:i4>6815854</vt:i4>
      </vt:variant>
      <vt:variant>
        <vt:i4>81</vt:i4>
      </vt:variant>
      <vt:variant>
        <vt:i4>0</vt:i4>
      </vt:variant>
      <vt:variant>
        <vt:i4>5</vt:i4>
      </vt:variant>
      <vt:variant>
        <vt:lpwstr>https://eur-lex.europa.eu/legal-content/EN/TXT/?uri=oj%3AJOC_2022_080_R_0001</vt:lpwstr>
      </vt:variant>
      <vt:variant>
        <vt:lpwstr/>
      </vt:variant>
      <vt:variant>
        <vt:i4>327703</vt:i4>
      </vt:variant>
      <vt:variant>
        <vt:i4>78</vt:i4>
      </vt:variant>
      <vt:variant>
        <vt:i4>0</vt:i4>
      </vt:variant>
      <vt:variant>
        <vt:i4>5</vt:i4>
      </vt:variant>
      <vt:variant>
        <vt:lpwstr>https://ec.europa.eu/newsroom/growth/items/899222/en</vt:lpwstr>
      </vt:variant>
      <vt:variant>
        <vt:lpwstr/>
      </vt:variant>
      <vt:variant>
        <vt:i4>4259914</vt:i4>
      </vt:variant>
      <vt:variant>
        <vt:i4>75</vt:i4>
      </vt:variant>
      <vt:variant>
        <vt:i4>0</vt:i4>
      </vt:variant>
      <vt:variant>
        <vt:i4>5</vt:i4>
      </vt:variant>
      <vt:variant>
        <vt:lpwstr>https://www.cbe.europa.eu/news/european-bioeconomy-investment-deployment-group-building-financial-backbone-europes-bio-based</vt:lpwstr>
      </vt:variant>
      <vt:variant>
        <vt:lpwstr/>
      </vt:variant>
      <vt:variant>
        <vt:i4>4980776</vt:i4>
      </vt:variant>
      <vt:variant>
        <vt:i4>72</vt:i4>
      </vt:variant>
      <vt:variant>
        <vt:i4>0</vt:i4>
      </vt:variant>
      <vt:variant>
        <vt:i4>5</vt:i4>
      </vt:variant>
      <vt:variant>
        <vt:lpwstr>https://commission.europa.eu/topics/competitiveness/competitiveness-compass_en</vt:lpwstr>
      </vt:variant>
      <vt:variant>
        <vt:lpwstr/>
      </vt:variant>
      <vt:variant>
        <vt:i4>3473530</vt:i4>
      </vt:variant>
      <vt:variant>
        <vt:i4>69</vt:i4>
      </vt:variant>
      <vt:variant>
        <vt:i4>0</vt:i4>
      </vt:variant>
      <vt:variant>
        <vt:i4>5</vt:i4>
      </vt:variant>
      <vt:variant>
        <vt:lpwstr>https://www.cbe.europa.eu/</vt:lpwstr>
      </vt:variant>
      <vt:variant>
        <vt:lpwstr/>
      </vt:variant>
      <vt:variant>
        <vt:i4>2883596</vt:i4>
      </vt:variant>
      <vt:variant>
        <vt:i4>66</vt:i4>
      </vt:variant>
      <vt:variant>
        <vt:i4>0</vt:i4>
      </vt:variant>
      <vt:variant>
        <vt:i4>5</vt:i4>
      </vt:variant>
      <vt:variant>
        <vt:lpwstr>https://climate.ec.europa.eu/eu-action/eu-funding-climate-action/innovation-fund_en</vt:lpwstr>
      </vt:variant>
      <vt:variant>
        <vt:lpwstr/>
      </vt:variant>
      <vt:variant>
        <vt:i4>7864410</vt:i4>
      </vt:variant>
      <vt:variant>
        <vt:i4>63</vt:i4>
      </vt:variant>
      <vt:variant>
        <vt:i4>0</vt:i4>
      </vt:variant>
      <vt:variant>
        <vt:i4>5</vt:i4>
      </vt:variant>
      <vt:variant>
        <vt:lpwstr>https://climate.ec.europa.eu/eu-action/carbon-markets/eu-emissions-trading-system-eu-ets_en</vt:lpwstr>
      </vt:variant>
      <vt:variant>
        <vt:lpwstr/>
      </vt:variant>
      <vt:variant>
        <vt:i4>7274602</vt:i4>
      </vt:variant>
      <vt:variant>
        <vt:i4>60</vt:i4>
      </vt:variant>
      <vt:variant>
        <vt:i4>0</vt:i4>
      </vt:variant>
      <vt:variant>
        <vt:i4>5</vt:i4>
      </vt:variant>
      <vt:variant>
        <vt:lpwstr>http://data.europa.eu/eli/reg/2022/2472/oj</vt:lpwstr>
      </vt:variant>
      <vt:variant>
        <vt:lpwstr/>
      </vt:variant>
      <vt:variant>
        <vt:i4>2359341</vt:i4>
      </vt:variant>
      <vt:variant>
        <vt:i4>57</vt:i4>
      </vt:variant>
      <vt:variant>
        <vt:i4>0</vt:i4>
      </vt:variant>
      <vt:variant>
        <vt:i4>5</vt:i4>
      </vt:variant>
      <vt:variant>
        <vt:lpwstr>https://eur-lex.europa.eu/legal-content/EN/ALL/?uri=CELEX:02022XC1221(01)-20240305</vt:lpwstr>
      </vt:variant>
      <vt:variant>
        <vt:lpwstr/>
      </vt:variant>
      <vt:variant>
        <vt:i4>8126568</vt:i4>
      </vt:variant>
      <vt:variant>
        <vt:i4>54</vt:i4>
      </vt:variant>
      <vt:variant>
        <vt:i4>0</vt:i4>
      </vt:variant>
      <vt:variant>
        <vt:i4>5</vt:i4>
      </vt:variant>
      <vt:variant>
        <vt:lpwstr>https://eur-lex.europa.eu/legal-content/EN/TXT/?uri=CELEX%3A02008L0098-20251016</vt:lpwstr>
      </vt:variant>
      <vt:variant>
        <vt:lpwstr/>
      </vt:variant>
      <vt:variant>
        <vt:i4>7667756</vt:i4>
      </vt:variant>
      <vt:variant>
        <vt:i4>51</vt:i4>
      </vt:variant>
      <vt:variant>
        <vt:i4>0</vt:i4>
      </vt:variant>
      <vt:variant>
        <vt:i4>5</vt:i4>
      </vt:variant>
      <vt:variant>
        <vt:lpwstr>https://eur-lex.europa.eu/eli/dir/2024/3019/oj</vt:lpwstr>
      </vt:variant>
      <vt:variant>
        <vt:lpwstr/>
      </vt:variant>
      <vt:variant>
        <vt:i4>7864363</vt:i4>
      </vt:variant>
      <vt:variant>
        <vt:i4>48</vt:i4>
      </vt:variant>
      <vt:variant>
        <vt:i4>0</vt:i4>
      </vt:variant>
      <vt:variant>
        <vt:i4>5</vt:i4>
      </vt:variant>
      <vt:variant>
        <vt:lpwstr>https://eur-lex.europa.eu/legal-content/EN/TXT/?uri=celex%3A52025DC0960</vt:lpwstr>
      </vt:variant>
      <vt:variant>
        <vt:lpwstr/>
      </vt:variant>
      <vt:variant>
        <vt:i4>6553600</vt:i4>
      </vt:variant>
      <vt:variant>
        <vt:i4>45</vt:i4>
      </vt:variant>
      <vt:variant>
        <vt:i4>0</vt:i4>
      </vt:variant>
      <vt:variant>
        <vt:i4>5</vt:i4>
      </vt:variant>
      <vt:variant>
        <vt:lpwstr>https://civil-protection-humanitarian-aid.ec.europa.eu/what/civil-protection/stockpiling_en</vt:lpwstr>
      </vt:variant>
      <vt:variant>
        <vt:lpwstr/>
      </vt:variant>
      <vt:variant>
        <vt:i4>5308519</vt:i4>
      </vt:variant>
      <vt:variant>
        <vt:i4>42</vt:i4>
      </vt:variant>
      <vt:variant>
        <vt:i4>0</vt:i4>
      </vt:variant>
      <vt:variant>
        <vt:i4>5</vt:i4>
      </vt:variant>
      <vt:variant>
        <vt:lpwstr>https://international-partnerships.ec.europa.eu/policies/team-europe-initiatives_en</vt:lpwstr>
      </vt:variant>
      <vt:variant>
        <vt:lpwstr>what-is-team-europe</vt:lpwstr>
      </vt:variant>
      <vt:variant>
        <vt:i4>2621447</vt:i4>
      </vt:variant>
      <vt:variant>
        <vt:i4>39</vt:i4>
      </vt:variant>
      <vt:variant>
        <vt:i4>0</vt:i4>
      </vt:variant>
      <vt:variant>
        <vt:i4>5</vt:i4>
      </vt:variant>
      <vt:variant>
        <vt:lpwstr>https://commission.europa.eu/topics/international-partnerships/global-gateway_en</vt:lpwstr>
      </vt:variant>
      <vt:variant>
        <vt:lpwstr/>
      </vt:variant>
      <vt:variant>
        <vt:i4>7274589</vt:i4>
      </vt:variant>
      <vt:variant>
        <vt:i4>36</vt:i4>
      </vt:variant>
      <vt:variant>
        <vt:i4>0</vt:i4>
      </vt:variant>
      <vt:variant>
        <vt:i4>5</vt:i4>
      </vt:variant>
      <vt:variant>
        <vt:lpwstr>https://taxation-customs.ec.europa.eu/carbon-border-adjustment-mechanism/price-cbam-certificates_en</vt:lpwstr>
      </vt:variant>
      <vt:variant>
        <vt:lpwstr/>
      </vt:variant>
      <vt:variant>
        <vt:i4>7208970</vt:i4>
      </vt:variant>
      <vt:variant>
        <vt:i4>33</vt:i4>
      </vt:variant>
      <vt:variant>
        <vt:i4>0</vt:i4>
      </vt:variant>
      <vt:variant>
        <vt:i4>5</vt:i4>
      </vt:variant>
      <vt:variant>
        <vt:lpwstr>https://eur-lex.europa.eu/legal-content/EN/TXT/?uri=OJ:L_202502620</vt:lpwstr>
      </vt:variant>
      <vt:variant>
        <vt:lpwstr/>
      </vt:variant>
      <vt:variant>
        <vt:i4>7274549</vt:i4>
      </vt:variant>
      <vt:variant>
        <vt:i4>30</vt:i4>
      </vt:variant>
      <vt:variant>
        <vt:i4>0</vt:i4>
      </vt:variant>
      <vt:variant>
        <vt:i4>5</vt:i4>
      </vt:variant>
      <vt:variant>
        <vt:lpwstr>https://ec.europa.eu/transparency/documents-register/detail?ref=COM(2026)99&amp;lang=en</vt:lpwstr>
      </vt:variant>
      <vt:variant>
        <vt:lpwstr/>
      </vt:variant>
      <vt:variant>
        <vt:i4>6815757</vt:i4>
      </vt:variant>
      <vt:variant>
        <vt:i4>27</vt:i4>
      </vt:variant>
      <vt:variant>
        <vt:i4>0</vt:i4>
      </vt:variant>
      <vt:variant>
        <vt:i4>5</vt:i4>
      </vt:variant>
      <vt:variant>
        <vt:lpwstr>https://eur-lex.europa.eu/legal-content/EN/TXT/?uri=OJ:L_202402747</vt:lpwstr>
      </vt:variant>
      <vt:variant>
        <vt:lpwstr/>
      </vt:variant>
      <vt:variant>
        <vt:i4>7274549</vt:i4>
      </vt:variant>
      <vt:variant>
        <vt:i4>24</vt:i4>
      </vt:variant>
      <vt:variant>
        <vt:i4>0</vt:i4>
      </vt:variant>
      <vt:variant>
        <vt:i4>5</vt:i4>
      </vt:variant>
      <vt:variant>
        <vt:lpwstr>https://ec.europa.eu/transparency/documents-register/detail?ref=COM(2026)99&amp;lang=en</vt:lpwstr>
      </vt:variant>
      <vt:variant>
        <vt:lpwstr/>
      </vt:variant>
      <vt:variant>
        <vt:i4>2687045</vt:i4>
      </vt:variant>
      <vt:variant>
        <vt:i4>21</vt:i4>
      </vt:variant>
      <vt:variant>
        <vt:i4>0</vt:i4>
      </vt:variant>
      <vt:variant>
        <vt:i4>5</vt:i4>
      </vt:variant>
      <vt:variant>
        <vt:lpwstr>https://eu-cap-network.ec.europa.eu/index_en</vt:lpwstr>
      </vt:variant>
      <vt:variant>
        <vt:lpwstr/>
      </vt:variant>
      <vt:variant>
        <vt:i4>4587609</vt:i4>
      </vt:variant>
      <vt:variant>
        <vt:i4>18</vt:i4>
      </vt:variant>
      <vt:variant>
        <vt:i4>0</vt:i4>
      </vt:variant>
      <vt:variant>
        <vt:i4>5</vt:i4>
      </vt:variant>
      <vt:variant>
        <vt:lpwstr>https://ec.europa.eu/commission/presscorner/detail/en/ip_26_894</vt:lpwstr>
      </vt:variant>
      <vt:variant>
        <vt:lpwstr/>
      </vt:variant>
      <vt:variant>
        <vt:i4>2424843</vt:i4>
      </vt:variant>
      <vt:variant>
        <vt:i4>15</vt:i4>
      </vt:variant>
      <vt:variant>
        <vt:i4>0</vt:i4>
      </vt:variant>
      <vt:variant>
        <vt:i4>5</vt:i4>
      </vt:variant>
      <vt:variant>
        <vt:lpwstr>https://agriculture.ec.europa.eu/data-and-analysis/markets/overviews/market-observatories/fertilisers_en</vt:lpwstr>
      </vt:variant>
      <vt:variant>
        <vt:lpwstr/>
      </vt:variant>
      <vt:variant>
        <vt:i4>786437</vt:i4>
      </vt:variant>
      <vt:variant>
        <vt:i4>12</vt:i4>
      </vt:variant>
      <vt:variant>
        <vt:i4>0</vt:i4>
      </vt:variant>
      <vt:variant>
        <vt:i4>5</vt:i4>
      </vt:variant>
      <vt:variant>
        <vt:lpwstr>https://www.fao.org/newsroom/detail/fao-chief-economist-warns-of-severe-global-food-security-risks-from-disruption-to-strait-of-hormuz-trade-corridor/en</vt:lpwstr>
      </vt:variant>
      <vt:variant>
        <vt:lpwstr/>
      </vt:variant>
      <vt:variant>
        <vt:i4>3080276</vt:i4>
      </vt:variant>
      <vt:variant>
        <vt:i4>9</vt:i4>
      </vt:variant>
      <vt:variant>
        <vt:i4>0</vt:i4>
      </vt:variant>
      <vt:variant>
        <vt:i4>5</vt:i4>
      </vt:variant>
      <vt:variant>
        <vt:lpwstr>https://taxation-customs.ec.europa.eu/carbon-border-adjustment-mechanism_en</vt:lpwstr>
      </vt:variant>
      <vt:variant>
        <vt:lpwstr/>
      </vt:variant>
      <vt:variant>
        <vt:i4>262247</vt:i4>
      </vt:variant>
      <vt:variant>
        <vt:i4>6</vt:i4>
      </vt:variant>
      <vt:variant>
        <vt:i4>0</vt:i4>
      </vt:variant>
      <vt:variant>
        <vt:i4>5</vt:i4>
      </vt:variant>
      <vt:variant>
        <vt:lpwstr>https://energy.ec.europa.eu/publications/accelerateeu-energy-union-affordable-and-secure-energy-through-accelerated-action_en</vt:lpwstr>
      </vt:variant>
      <vt:variant>
        <vt:lpwstr/>
      </vt:variant>
      <vt:variant>
        <vt:i4>262168</vt:i4>
      </vt:variant>
      <vt:variant>
        <vt:i4>3</vt:i4>
      </vt:variant>
      <vt:variant>
        <vt:i4>0</vt:i4>
      </vt:variant>
      <vt:variant>
        <vt:i4>5</vt:i4>
      </vt:variant>
      <vt:variant>
        <vt:lpwstr>https://eur-lex.europa.eu/legal-content/EN/TXT/?uri=celex:52025DC0945</vt:lpwstr>
      </vt:variant>
      <vt:variant>
        <vt:lpwstr/>
      </vt:variant>
      <vt:variant>
        <vt:i4>1245207</vt:i4>
      </vt:variant>
      <vt:variant>
        <vt:i4>0</vt:i4>
      </vt:variant>
      <vt:variant>
        <vt:i4>0</vt:i4>
      </vt:variant>
      <vt:variant>
        <vt:i4>5</vt:i4>
      </vt:variant>
      <vt:variant>
        <vt:lpwstr>https://eur-lex.europa.eu/legal-content/EN/TXT/?uri=CELEX%3A52022DC0590%2801%29&amp;qid=1777965079173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2026-05-19T05:59:00Z</dcterms:created>
  <dcterms:modified xsi:type="dcterms:W3CDTF">2026-06-05T15:37:00Z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2026-05-18T21:40:36Z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31a2b60f-8f36-4e6d-a605-1aa00b583c27</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Part">
    <vt:lpwstr>1</vt:lpwstr>
  </property>
  <property fmtid="{D5CDD505-2E9C-101B-9397-08002B2CF9AE}" pid="11" name="Last edited using">
    <vt:lpwstr>LW 9.2, Build 20250828</vt:lpwstr>
  </property>
  <property fmtid="{D5CDD505-2E9C-101B-9397-08002B2CF9AE}" pid="12" name="ContentTypeId">
    <vt:lpwstr>0x0101008524FB8744E08A4DBE383191C9C503E4</vt:lpwstr>
  </property>
  <property fmtid="{D5CDD505-2E9C-101B-9397-08002B2CF9AE}" pid="13" name="CPTemplateID">
    <vt:lpwstr>CP-014</vt:lpwstr>
  </property>
  <property fmtid="{D5CDD505-2E9C-101B-9397-08002B2CF9AE}" pid="14" name="Total parts">
    <vt:lpwstr>1</vt:lpwstr>
  </property>
  <property fmtid="{D5CDD505-2E9C-101B-9397-08002B2CF9AE}" pid="15" name="DocStatus">
    <vt:lpwstr>Green</vt:lpwstr>
  </property>
  <property fmtid="{D5CDD505-2E9C-101B-9397-08002B2CF9AE}" pid="16" name="Level of sensitivity">
    <vt:lpwstr>Standard treatment</vt:lpwstr>
  </property>
</Properties>
</file>