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24F311" w14:textId="587A0EB5" w:rsidR="008A6764" w:rsidRDefault="00B7278B" w:rsidP="00B7278B">
      <w:pPr>
        <w:pStyle w:val="Pagedecouverture"/>
        <w:rPr>
          <w:noProof/>
        </w:rPr>
      </w:pPr>
      <w:bookmarkStart w:id="0" w:name="LW_BM_COVERPAGE"/>
      <w:r>
        <w:rPr>
          <w:noProof/>
        </w:rPr>
        <w:pict w14:anchorId="26A187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DF1FE47-E729-40CA-99BB-75E24E8F95D0" style="width:455.25pt;height:427.5pt">
            <v:imagedata r:id="rId10" o:title=""/>
          </v:shape>
        </w:pict>
      </w:r>
    </w:p>
    <w:bookmarkEnd w:id="0"/>
    <w:p w14:paraId="74D10FDC" w14:textId="77777777" w:rsidR="008A6764" w:rsidRDefault="008A6764" w:rsidP="008A6764">
      <w:pPr>
        <w:rPr>
          <w:noProof/>
        </w:rPr>
        <w:sectPr w:rsidR="008A6764" w:rsidSect="00B7278B">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2E72895A" w14:textId="4A15FB57" w:rsidR="008A6764" w:rsidRPr="00842738" w:rsidRDefault="008A6764" w:rsidP="008A6764">
      <w:pPr>
        <w:jc w:val="center"/>
        <w:rPr>
          <w:rFonts w:ascii="Times New Roman Bold" w:hAnsi="Times New Roman Bold" w:cs="Times New Roman"/>
          <w:b/>
          <w:bCs/>
          <w:smallCaps/>
          <w:noProof/>
          <w:sz w:val="24"/>
          <w:szCs w:val="24"/>
        </w:rPr>
      </w:pPr>
      <w:bookmarkStart w:id="1" w:name="_GoBack"/>
      <w:bookmarkEnd w:id="1"/>
      <w:r>
        <w:rPr>
          <w:rFonts w:ascii="Times New Roman Bold" w:hAnsi="Times New Roman Bold"/>
          <w:b/>
          <w:smallCaps/>
          <w:noProof/>
          <w:sz w:val="24"/>
        </w:rPr>
        <w:lastRenderedPageBreak/>
        <w:t>Acțiuni-cheie</w:t>
      </w:r>
    </w:p>
    <w:p w14:paraId="1B1EA1B8" w14:textId="77777777" w:rsidR="008A6764" w:rsidRPr="0027307A" w:rsidRDefault="008A6764" w:rsidP="008A6764">
      <w:pPr>
        <w:jc w:val="both"/>
        <w:rPr>
          <w:noProof/>
        </w:rPr>
      </w:pPr>
      <w:r>
        <w:rPr>
          <w:rFonts w:ascii="Times New Roman Bold" w:hAnsi="Times New Roman Bold"/>
          <w:b/>
          <w:smallCaps/>
          <w:noProof/>
        </w:rPr>
        <w:t>Îmbunătățirea accesului fermierilor la îngrășăminte la prețuri accesibile: acțiuni pe termen scurt</w:t>
      </w:r>
    </w:p>
    <w:p w14:paraId="3443B941" w14:textId="337ABE16" w:rsidR="008143FF" w:rsidRPr="00DB3D92" w:rsidRDefault="008A6764" w:rsidP="001B5A32">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Oferirea de sprijin excepțional specific celor mai afectați fermieri prin intermediul instrumentelor existente în cadrul politicii agricole comune și propunerea unui pachet PAC specific care să permită statelor membre să utilizeze la maximum sprijinul disponibil în cadrul planurilor strategice PAC actuale, inclusiv o nouă schemă de lichidități, plăți în avans, o eco-schemă nouă sau ajustată sau o măsură de agromediu și climă care să sporească eficiența fertilizării și măsuri de investiții care să sprijine utilizarea eficientă a îngrășămintelor etc. </w:t>
      </w:r>
      <w:r>
        <w:rPr>
          <w:rFonts w:ascii="Times New Roman" w:hAnsi="Times New Roman"/>
          <w:i/>
          <w:noProof/>
          <w:sz w:val="24"/>
        </w:rPr>
        <w:t>[T2 2026]</w:t>
      </w:r>
    </w:p>
    <w:p w14:paraId="02DF6DBC" w14:textId="584806E2" w:rsidR="005E5358" w:rsidRPr="00DB3D92" w:rsidRDefault="005E5358" w:rsidP="005E5358">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Explorarea unor măsuri pe termen scurt pentru a facilita utilizarea digestatelor, cum ar fi extinderea actului privind RENURE. </w:t>
      </w:r>
      <w:r>
        <w:rPr>
          <w:rFonts w:ascii="Times New Roman" w:hAnsi="Times New Roman"/>
          <w:i/>
          <w:noProof/>
          <w:sz w:val="24"/>
        </w:rPr>
        <w:t>[T3 2026]</w:t>
      </w:r>
    </w:p>
    <w:p w14:paraId="2E2F3152" w14:textId="36EE1C33" w:rsidR="00DF6883" w:rsidRPr="00DF6883" w:rsidRDefault="008A6764" w:rsidP="00DF6883">
      <w:pPr>
        <w:pStyle w:val="ListParagraph"/>
        <w:numPr>
          <w:ilvl w:val="0"/>
          <w:numId w:val="1"/>
        </w:numPr>
        <w:rPr>
          <w:rFonts w:ascii="Times New Roman" w:hAnsi="Times New Roman" w:cs="Times New Roman"/>
          <w:i/>
          <w:iCs/>
          <w:noProof/>
          <w:sz w:val="24"/>
          <w:szCs w:val="24"/>
        </w:rPr>
      </w:pPr>
      <w:r>
        <w:rPr>
          <w:rFonts w:ascii="Times New Roman" w:hAnsi="Times New Roman"/>
          <w:noProof/>
          <w:sz w:val="24"/>
        </w:rPr>
        <w:t xml:space="preserve">Lansarea unui parteneriat al UE privind lanțul valoric al îngrășămintelor între producătorii de îngrășăminte, fermieri și statele membre pentru a oferi previzibilitate și stabilitate și pentru a facilita cooperarea de-a lungul lanțului valoric prin dialoguri periodice în materie de politici. </w:t>
      </w:r>
      <w:r>
        <w:rPr>
          <w:rFonts w:ascii="Times New Roman" w:hAnsi="Times New Roman"/>
          <w:i/>
          <w:noProof/>
          <w:sz w:val="24"/>
        </w:rPr>
        <w:t>[începând cu T3 2026]</w:t>
      </w:r>
      <w:r>
        <w:rPr>
          <w:noProof/>
        </w:rPr>
        <w:t xml:space="preserve"> </w:t>
      </w:r>
    </w:p>
    <w:p w14:paraId="37237B84" w14:textId="1347F917" w:rsidR="008A6764" w:rsidRPr="0027307A" w:rsidRDefault="008A6764" w:rsidP="008A6764">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Utilizarea cadrului temporar privind ajutoarele de stat pentru producătorii agricoli primari afectați de criza din Orientul Mijlociu, completând instrumentele existente privind ajutoarele de stat. </w:t>
      </w:r>
      <w:r>
        <w:rPr>
          <w:rFonts w:ascii="Times New Roman" w:hAnsi="Times New Roman"/>
          <w:i/>
          <w:noProof/>
          <w:sz w:val="24"/>
        </w:rPr>
        <w:t xml:space="preserve">[adoptat la 29 aprilie] </w:t>
      </w:r>
    </w:p>
    <w:p w14:paraId="4C576F63" w14:textId="10BAAE7D" w:rsidR="00AD206D" w:rsidRPr="0027307A" w:rsidRDefault="00AD206D" w:rsidP="00AD206D">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Sprijinirea proiectelor privind biogazul și biometanul și eliminarea blocajelor în materie de finanțare, extindere, autorizare și transport, în conformitate cu comunicarea AccelerateEU. </w:t>
      </w:r>
      <w:r>
        <w:rPr>
          <w:rFonts w:ascii="Times New Roman" w:hAnsi="Times New Roman"/>
          <w:i/>
          <w:noProof/>
          <w:sz w:val="24"/>
        </w:rPr>
        <w:t>[începând cu T2 2026]</w:t>
      </w:r>
    </w:p>
    <w:p w14:paraId="2C2B6755" w14:textId="6243D84E" w:rsidR="008A6764" w:rsidRPr="0027307A" w:rsidRDefault="008A6764" w:rsidP="008A6764">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În cazul în care acest lucru este justificat din punct de vedere juridic și economic și impus de condițiile pieței, luarea în considerare a unor măsuri comerciale suplimentare pentru a îmbunătăți accesul la îngrășămintele provenite de la o gamă mai largă de furnizori, luând în considerare, în același timp, situația producătorilor interni, precum și a țărilor fragile care sunt dependente de importurile de îngrășăminte. </w:t>
      </w:r>
      <w:r>
        <w:rPr>
          <w:rFonts w:ascii="Times New Roman" w:hAnsi="Times New Roman"/>
          <w:i/>
          <w:noProof/>
          <w:sz w:val="24"/>
        </w:rPr>
        <w:t>[începând cu T2 2026]</w:t>
      </w:r>
    </w:p>
    <w:p w14:paraId="4F46ED92" w14:textId="2EA48CE5" w:rsidR="007909BC" w:rsidRPr="00842738" w:rsidRDefault="008A6764" w:rsidP="00BE19C6">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Luarea în considerare a propunerii de activare a regimului de vigilență sau de urgență pe piața internă în conformitate cu Regulamentul privind situațiile de urgență și reziliența pieței interne, dacă este necesar. </w:t>
      </w:r>
      <w:r>
        <w:rPr>
          <w:rFonts w:ascii="Times New Roman" w:hAnsi="Times New Roman"/>
          <w:i/>
          <w:noProof/>
          <w:sz w:val="24"/>
        </w:rPr>
        <w:t>[începând cu T2 2026]</w:t>
      </w:r>
      <w:r>
        <w:rPr>
          <w:noProof/>
        </w:rPr>
        <w:t xml:space="preserve"> </w:t>
      </w:r>
    </w:p>
    <w:p w14:paraId="28BB8B66" w14:textId="77777777" w:rsidR="000E0D04" w:rsidRPr="00842738" w:rsidRDefault="000E0D04" w:rsidP="00842738">
      <w:pPr>
        <w:pStyle w:val="ListParagraph"/>
        <w:jc w:val="both"/>
        <w:rPr>
          <w:rFonts w:ascii="Times New Roman" w:hAnsi="Times New Roman" w:cs="Times New Roman"/>
          <w:noProof/>
          <w:sz w:val="24"/>
          <w:szCs w:val="24"/>
        </w:rPr>
      </w:pPr>
    </w:p>
    <w:p w14:paraId="5218DE8A" w14:textId="324C1230" w:rsidR="008A6764" w:rsidRPr="001C18F0" w:rsidRDefault="008A6764" w:rsidP="008A6764">
      <w:pPr>
        <w:jc w:val="both"/>
        <w:rPr>
          <w:rFonts w:ascii="Times New Roman Bold" w:hAnsi="Times New Roman Bold" w:cs="Times New Roman"/>
          <w:b/>
          <w:bCs/>
          <w:smallCaps/>
          <w:noProof/>
          <w:sz w:val="24"/>
          <w:szCs w:val="24"/>
        </w:rPr>
      </w:pPr>
      <w:r>
        <w:rPr>
          <w:rFonts w:ascii="Times New Roman Bold" w:hAnsi="Times New Roman Bold"/>
          <w:b/>
          <w:smallCaps/>
          <w:noProof/>
          <w:sz w:val="24"/>
        </w:rPr>
        <w:t xml:space="preserve">Acțiuni de sprijinire a disponibilității îngrășămintelor: măsuri structurale </w:t>
      </w:r>
    </w:p>
    <w:p w14:paraId="7F207D7B" w14:textId="44323D83" w:rsidR="00514C70" w:rsidRPr="00842738" w:rsidRDefault="00514C70" w:rsidP="00842738">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Promovarea diversificării surselor de amoniac, uree și alte îngrășăminte și alți factori de producție în contextul angajamentelor internaționale, explorarea investițiilor prin parteneriate reciproc avantajoase, printre altele în cadrul strategiei „Global Gateway” și în cadrul unei abordări de tip „Echipa Europa”, evaluarea riscurilor la adresa lanțului de aprovizionare în ceea ce privește accesul UE la potasă, fosforit și îngrășăminte conexe și identificarea unor măsuri de consolidare a rezilienței aprovizionării, dacă este necesar. </w:t>
      </w:r>
      <w:r>
        <w:rPr>
          <w:rFonts w:ascii="Times New Roman" w:hAnsi="Times New Roman"/>
          <w:i/>
          <w:noProof/>
          <w:sz w:val="24"/>
        </w:rPr>
        <w:t>[începând din 2026]</w:t>
      </w:r>
    </w:p>
    <w:p w14:paraId="1C7AC681" w14:textId="768276C7" w:rsidR="00514C70" w:rsidRPr="0027307A" w:rsidRDefault="00514C70"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Evaluarea posibilităților de constituire de stocuri și a altor opțiuni de pregătire pentru îngrășămintele și factorii de producție esențiali, inclusiv recomandări la nivel de fermă. </w:t>
      </w:r>
      <w:r>
        <w:rPr>
          <w:rFonts w:ascii="Times New Roman" w:hAnsi="Times New Roman"/>
          <w:i/>
          <w:noProof/>
          <w:sz w:val="24"/>
        </w:rPr>
        <w:t>[începând din 2026]</w:t>
      </w:r>
    </w:p>
    <w:p w14:paraId="79632EAD" w14:textId="13EBB1F9" w:rsidR="00A84655" w:rsidRPr="0027307A" w:rsidRDefault="00A84655" w:rsidP="00A84655">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Evaluarea fezabilității unei piețe unice pe deplin integrate pentru îngrășămintele anorganice prin modificarea Regulamentului privind produsele fertilizante și reexaminarea recunoașterii reciproce pentru alte produse, dacă este cazul.</w:t>
      </w:r>
      <w:r>
        <w:rPr>
          <w:rFonts w:ascii="Times New Roman" w:hAnsi="Times New Roman"/>
          <w:i/>
          <w:noProof/>
          <w:sz w:val="24"/>
        </w:rPr>
        <w:t xml:space="preserve"> [T2 2027]</w:t>
      </w:r>
    </w:p>
    <w:p w14:paraId="553A3622" w14:textId="683F722A" w:rsidR="005348FB" w:rsidRPr="00842738" w:rsidRDefault="005348FB"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Pregătirea terenului pentru piețele-lider pentru produse fertilizante pe bază de bioresurse și produse cu emisii scăzute de dioxid de carbon, examinarea opțiunilor de definire a îngrășămintelor (organice) pe bază de bioresurse și a îngrășămintelor minerale cu emisii scăzute de dioxid de carbon, explorarea cerințelor privind amestecurile și a mecanismelor de etichetare, reexaminarea blocajelor în materie de reglementare din Directiva-cadru privind deșeurile, Regulamentul privind produsele fertilizante, Regulamentul privind subprodusele de origine animală și Actul legislativ privind economia circulară. </w:t>
      </w:r>
      <w:r>
        <w:rPr>
          <w:rFonts w:ascii="Times New Roman" w:hAnsi="Times New Roman"/>
          <w:i/>
          <w:noProof/>
          <w:sz w:val="24"/>
        </w:rPr>
        <w:t>[începând cu T3/T4 2026]</w:t>
      </w:r>
    </w:p>
    <w:p w14:paraId="72F05870" w14:textId="321EA75C" w:rsidR="00C066EE" w:rsidRPr="0027307A" w:rsidRDefault="00C066EE" w:rsidP="00842738">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Prezentarea unui raport privind valorile-limită ale cadmiului pentru îngrășămintele fosfatice, ținând seama atât de riscurile pentru sănătate și mediu, cât și de fezabilitatea tehnică, de accesibilitatea prețurilor și de securitatea aprovizionării. </w:t>
      </w:r>
      <w:r>
        <w:rPr>
          <w:rFonts w:ascii="Times New Roman" w:hAnsi="Times New Roman"/>
          <w:i/>
          <w:noProof/>
          <w:sz w:val="24"/>
        </w:rPr>
        <w:t>[T3 2026]</w:t>
      </w:r>
      <w:r>
        <w:rPr>
          <w:rFonts w:ascii="Times New Roman" w:hAnsi="Times New Roman"/>
          <w:noProof/>
          <w:sz w:val="24"/>
        </w:rPr>
        <w:t xml:space="preserve"> </w:t>
      </w:r>
    </w:p>
    <w:p w14:paraId="097DC3AA" w14:textId="1438BEE3" w:rsidR="00C066EE" w:rsidRPr="009D4564" w:rsidRDefault="00C066EE" w:rsidP="00842738">
      <w:pPr>
        <w:pStyle w:val="ListParagraph"/>
        <w:numPr>
          <w:ilvl w:val="0"/>
          <w:numId w:val="1"/>
        </w:numPr>
        <w:jc w:val="both"/>
        <w:rPr>
          <w:rFonts w:ascii="Times New Roman" w:hAnsi="Times New Roman" w:cs="Times New Roman"/>
          <w:i/>
          <w:noProof/>
          <w:sz w:val="24"/>
          <w:szCs w:val="24"/>
        </w:rPr>
      </w:pPr>
      <w:r>
        <w:rPr>
          <w:rFonts w:ascii="Times New Roman" w:hAnsi="Times New Roman"/>
          <w:noProof/>
          <w:sz w:val="24"/>
        </w:rPr>
        <w:t xml:space="preserve">Sprijinirea continuării activității cu privire la rata minimă combinată de reutilizare și reciclare a fosforului din nămolurile de epurare și din apele uzate urbane și evaluarea necesității unor obiective privind azotul. </w:t>
      </w:r>
      <w:r>
        <w:rPr>
          <w:rFonts w:ascii="Times New Roman" w:hAnsi="Times New Roman"/>
          <w:i/>
          <w:noProof/>
          <w:sz w:val="24"/>
        </w:rPr>
        <w:t>[T1 2028]</w:t>
      </w:r>
    </w:p>
    <w:p w14:paraId="0FDAD0C5" w14:textId="3ECE3F77" w:rsidR="008C199E" w:rsidRPr="0027307A" w:rsidRDefault="008A6764" w:rsidP="00151AB1">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Revizuirea Directivei ETS, pentru a sprijini argumentele economice în favoarea decarbonizării industriale, ținând seama, printre altele, de situația specifică a lanțului valoric al îngrășămintelor, continuarea colaborării cu industria îngrășămintelor, astfel încât aceasta să beneficieze de un acces îmbunătățit la finanțare în ceea ce privește proiectele de producție de îngrășăminte decarbonizate, consolidarea cercetării, a inovării și a sprijinului pentru extinderea filierelor de îngrășăminte pe bază de bioresurse și amoniac verde. </w:t>
      </w:r>
      <w:r>
        <w:rPr>
          <w:rFonts w:ascii="Times New Roman" w:hAnsi="Times New Roman"/>
          <w:i/>
          <w:noProof/>
          <w:sz w:val="24"/>
        </w:rPr>
        <w:t>[începând cu iulie 2026]</w:t>
      </w:r>
    </w:p>
    <w:p w14:paraId="67684E8D" w14:textId="68BDABDF" w:rsidR="00231641" w:rsidRPr="0027307A" w:rsidRDefault="00231641" w:rsidP="00842738">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Monitorizarea, împreună cu Parlamentul și Consiliul, a măsurilor împotriva eludării obligațiilor CBAM. </w:t>
      </w:r>
      <w:r>
        <w:rPr>
          <w:rFonts w:ascii="Times New Roman" w:hAnsi="Times New Roman"/>
          <w:i/>
          <w:noProof/>
          <w:sz w:val="24"/>
        </w:rPr>
        <w:t>[începând din 2026]</w:t>
      </w:r>
    </w:p>
    <w:p w14:paraId="295CF75E" w14:textId="77777777" w:rsidR="008A6764" w:rsidRPr="0027307A" w:rsidRDefault="008A6764" w:rsidP="008A6764">
      <w:pPr>
        <w:rPr>
          <w:rFonts w:ascii="Times New Roman" w:hAnsi="Times New Roman" w:cs="Times New Roman"/>
          <w:b/>
          <w:bCs/>
          <w:smallCaps/>
          <w:noProof/>
          <w:sz w:val="24"/>
          <w:szCs w:val="24"/>
        </w:rPr>
      </w:pPr>
      <w:r>
        <w:rPr>
          <w:rFonts w:ascii="Times New Roman" w:hAnsi="Times New Roman"/>
          <w:b/>
          <w:smallCaps/>
          <w:noProof/>
          <w:sz w:val="24"/>
        </w:rPr>
        <w:t>Acțiuni de sprijinire a fermierilor</w:t>
      </w:r>
    </w:p>
    <w:p w14:paraId="56281C1A" w14:textId="1304D275" w:rsidR="008A6764" w:rsidRPr="0029579E" w:rsidRDefault="00CC5C2E" w:rsidP="00842738">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Emiterea de recomandări naționale privind PAC, care ar putea acoperi o schemă specifică de tranziție către eficiență, axată pe nutrienți </w:t>
      </w:r>
      <w:r>
        <w:rPr>
          <w:rFonts w:ascii="Times New Roman" w:hAnsi="Times New Roman"/>
          <w:i/>
          <w:noProof/>
          <w:sz w:val="24"/>
        </w:rPr>
        <w:t xml:space="preserve">[T1 2027]. </w:t>
      </w:r>
      <w:r>
        <w:rPr>
          <w:rFonts w:ascii="Times New Roman" w:hAnsi="Times New Roman"/>
          <w:noProof/>
          <w:sz w:val="24"/>
        </w:rPr>
        <w:t xml:space="preserve">Ulterior, sprijinirea statelor membre în elaborarea unor măsuri de tranziție în materie de gestionare a nutrienților care ar putea fi sprijinite în cadrul planurilor de parteneriate naționale și regionale pentru a îmbunătăți eficiența utilizării nutrienților, pentru a reduce dependența de îngrășămintele minerale și/sau pentru a sprijini în mod direct fermierii în tranziția către, de exemplu, îngrășăminte pe bază de bioresurse și cu emisii scăzute de dioxid de carbon și colaborarea cu statele membre pentru a consolida serviciile de consiliere agricolă în vederea sprijinirii unor soluții operaționale practice, specifice fermelor. </w:t>
      </w:r>
      <w:r>
        <w:rPr>
          <w:rFonts w:ascii="Times New Roman" w:hAnsi="Times New Roman"/>
          <w:i/>
          <w:noProof/>
          <w:sz w:val="24"/>
        </w:rPr>
        <w:t>[începând cu 2028]</w:t>
      </w:r>
    </w:p>
    <w:p w14:paraId="57589FB7" w14:textId="3A82F441" w:rsidR="005A559E" w:rsidRPr="0027307A" w:rsidRDefault="008A6764"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Facilitarea punerii în aplicare proporționale a Directivei privind nitrații în ceea ce privește practicile asociate agriculturii calendaristice, într-un mod mai bine adaptat la condițiile climatice în schimbare, pentru a permite aplicarea celor mai adecvate moduri de împrăștiere a gunoiului de grajd, a digestatului și a îngrășămintelor. </w:t>
      </w:r>
      <w:r>
        <w:rPr>
          <w:rFonts w:ascii="Times New Roman" w:hAnsi="Times New Roman"/>
          <w:i/>
          <w:noProof/>
          <w:sz w:val="24"/>
        </w:rPr>
        <w:t xml:space="preserve">[T4 2026] </w:t>
      </w:r>
    </w:p>
    <w:p w14:paraId="011C55B1" w14:textId="773FA7FC" w:rsidR="005A559E" w:rsidRDefault="008A6764" w:rsidP="001E1EAC">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Adoptarea unor metodologii de certificare a agriculturii carbonului care să favorizeze proiectele bazate pe utilizarea eficientă a îngrășămintelor și pe utilizarea îngrășămintelor pe bază de bioresurse și cu emisii scăzute de dioxid de carbon prin extinderea domeniului de aplicare și a adiționalității. </w:t>
      </w:r>
      <w:r>
        <w:rPr>
          <w:rFonts w:ascii="Times New Roman" w:hAnsi="Times New Roman"/>
          <w:i/>
          <w:noProof/>
          <w:sz w:val="24"/>
        </w:rPr>
        <w:t>[T3 2026]</w:t>
      </w:r>
    </w:p>
    <w:p w14:paraId="3351DE16" w14:textId="601C5353" w:rsidR="006E63D4" w:rsidRPr="00842738" w:rsidRDefault="00BA7373"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Promovarea cultivării de culturi fixatoare de azot în cadrul planului privind proteinele. </w:t>
      </w:r>
      <w:r>
        <w:rPr>
          <w:rFonts w:ascii="Times New Roman" w:hAnsi="Times New Roman"/>
          <w:i/>
          <w:noProof/>
          <w:sz w:val="24"/>
        </w:rPr>
        <w:t>[T3 2026]</w:t>
      </w:r>
      <w:r>
        <w:rPr>
          <w:rFonts w:ascii="Times New Roman" w:hAnsi="Times New Roman"/>
          <w:noProof/>
          <w:sz w:val="24"/>
        </w:rPr>
        <w:t xml:space="preserve"> </w:t>
      </w:r>
    </w:p>
    <w:p w14:paraId="5ED18273" w14:textId="2E7E2FC4" w:rsidR="006E63D4" w:rsidRPr="0027307A" w:rsidRDefault="006E63D4"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Promovarea, astfel cum se specifică în strategia privind creșterea animalelor, a circulației nutrienților din regiunile cu excedente structurale către regiunile cu nevoi de nutrienți în cadrul pieței unice. </w:t>
      </w:r>
      <w:r>
        <w:rPr>
          <w:rFonts w:ascii="Times New Roman" w:hAnsi="Times New Roman"/>
          <w:i/>
          <w:noProof/>
          <w:sz w:val="24"/>
        </w:rPr>
        <w:t>[T3 2026]</w:t>
      </w:r>
    </w:p>
    <w:p w14:paraId="53598B82" w14:textId="77777777" w:rsidR="006E63D4" w:rsidRDefault="006E63D4" w:rsidP="008A6764">
      <w:pPr>
        <w:jc w:val="both"/>
        <w:rPr>
          <w:rFonts w:ascii="Times New Roman" w:hAnsi="Times New Roman" w:cs="Times New Roman"/>
          <w:b/>
          <w:bCs/>
          <w:smallCaps/>
          <w:noProof/>
          <w:sz w:val="24"/>
          <w:szCs w:val="24"/>
        </w:rPr>
      </w:pPr>
    </w:p>
    <w:p w14:paraId="17ED6E96" w14:textId="7AE8E301" w:rsidR="008A6764" w:rsidRPr="0027307A" w:rsidRDefault="008A6764" w:rsidP="008A6764">
      <w:pPr>
        <w:jc w:val="both"/>
        <w:rPr>
          <w:rFonts w:ascii="Times New Roman" w:hAnsi="Times New Roman" w:cs="Times New Roman"/>
          <w:b/>
          <w:bCs/>
          <w:smallCaps/>
          <w:noProof/>
          <w:sz w:val="24"/>
          <w:szCs w:val="24"/>
        </w:rPr>
      </w:pPr>
      <w:r>
        <w:rPr>
          <w:rFonts w:ascii="Times New Roman" w:hAnsi="Times New Roman"/>
          <w:b/>
          <w:smallCaps/>
          <w:noProof/>
          <w:sz w:val="24"/>
        </w:rPr>
        <w:t>Consolidarea transparenței, a dialogului și a dovezilor privind politicile de-a lungul lanțului de aprovizionare cu îngrășăminte</w:t>
      </w:r>
    </w:p>
    <w:p w14:paraId="588D2D21" w14:textId="39BA6E5A" w:rsidR="008A6764" w:rsidRPr="00842738" w:rsidRDefault="008A6764"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Depunerea de eforturi pentru a spori transparența pieței îngrășămintelor și a se asigura că sunt disponibile, pentru principalele produse fertilizante, informații actualizate și fiabile pentru fiecare stat membru cu privire la volumele de producție și capacitatea de producție, prețurile de vânzare și stocuri. Dacă se consideră necesar, Comisia va propune includerea în Regulamentul privind produsele fertilizante sau în orice alt act adecvat a unui cadru proporțional pentru colectarea sistematică a informațiilor privind piața. </w:t>
      </w:r>
      <w:r>
        <w:rPr>
          <w:rFonts w:ascii="Times New Roman" w:hAnsi="Times New Roman"/>
          <w:i/>
          <w:noProof/>
          <w:sz w:val="24"/>
        </w:rPr>
        <w:t>[T4 2026]</w:t>
      </w:r>
    </w:p>
    <w:p w14:paraId="3B0940C7" w14:textId="2806C287" w:rsidR="008A6764" w:rsidRPr="0027307A" w:rsidRDefault="008A6764"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Consolidarea monitorizării prin intermediul Observatorului pieței îngrășămintelor ca platformă pentru cunoașterea pieței, prețuri și stocuri. </w:t>
      </w:r>
      <w:r>
        <w:rPr>
          <w:rFonts w:ascii="Times New Roman" w:hAnsi="Times New Roman"/>
          <w:i/>
          <w:noProof/>
          <w:sz w:val="24"/>
        </w:rPr>
        <w:t>[acțiune permanentă]</w:t>
      </w:r>
    </w:p>
    <w:p w14:paraId="6D06DA72" w14:textId="6EBBE6B9" w:rsidR="008A6764" w:rsidRPr="0027307A" w:rsidRDefault="008A6764"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noProof/>
          <w:sz w:val="24"/>
        </w:rPr>
        <w:t xml:space="preserve">Evaluarea transferului costurilor legate de CBAM și ETS în prețurile îngrășămintelor plătite de fermieri și consolidarea dovezilor privind evoluția prețurilor la nivel de fermă. </w:t>
      </w:r>
      <w:r>
        <w:rPr>
          <w:rFonts w:ascii="Times New Roman" w:hAnsi="Times New Roman"/>
          <w:i/>
          <w:noProof/>
          <w:sz w:val="24"/>
        </w:rPr>
        <w:t>[T1 2027]</w:t>
      </w:r>
    </w:p>
    <w:p w14:paraId="3AF7448C" w14:textId="2D8330A9" w:rsidR="008A6764" w:rsidRPr="0027307A" w:rsidRDefault="008A6764" w:rsidP="00842738">
      <w:pPr>
        <w:pStyle w:val="ListParagraph"/>
        <w:numPr>
          <w:ilvl w:val="0"/>
          <w:numId w:val="1"/>
        </w:numPr>
        <w:jc w:val="both"/>
        <w:rPr>
          <w:rFonts w:ascii="Times New Roman" w:hAnsi="Times New Roman" w:cs="Times New Roman"/>
          <w:noProof/>
          <w:sz w:val="24"/>
          <w:szCs w:val="24"/>
        </w:rPr>
      </w:pPr>
      <w:r>
        <w:rPr>
          <w:rFonts w:ascii="Times New Roman" w:hAnsi="Times New Roman"/>
          <w:noProof/>
          <w:sz w:val="24"/>
        </w:rPr>
        <w:t xml:space="preserve">Monitorizarea concurenței pe piața îngrășămintelor din UE și aplicarea instrumentelor prevăzute de legislația în domeniul concurenței, după caz. </w:t>
      </w:r>
      <w:r>
        <w:rPr>
          <w:rFonts w:ascii="Times New Roman" w:hAnsi="Times New Roman"/>
          <w:i/>
          <w:noProof/>
          <w:sz w:val="24"/>
        </w:rPr>
        <w:t>[acțiune permanentă]</w:t>
      </w:r>
    </w:p>
    <w:p w14:paraId="3B0D6F86" w14:textId="1CEE918C" w:rsidR="008A6764" w:rsidRPr="005E087B" w:rsidRDefault="008A6764" w:rsidP="00842738">
      <w:pPr>
        <w:pStyle w:val="ListParagraph"/>
        <w:numPr>
          <w:ilvl w:val="0"/>
          <w:numId w:val="1"/>
        </w:numPr>
        <w:jc w:val="both"/>
        <w:rPr>
          <w:rFonts w:ascii="Times New Roman" w:eastAsia="Times New Roman" w:hAnsi="Times New Roman" w:cs="Times New Roman"/>
          <w:noProof/>
          <w:sz w:val="24"/>
          <w:szCs w:val="24"/>
        </w:rPr>
      </w:pPr>
      <w:r>
        <w:rPr>
          <w:rFonts w:ascii="Times New Roman" w:hAnsi="Times New Roman"/>
          <w:noProof/>
          <w:sz w:val="24"/>
        </w:rPr>
        <w:t xml:space="preserve">Implicarea în cooperarea internațională, în special în Sistemul de informații privind piața agricolă (AMIS). </w:t>
      </w:r>
      <w:r>
        <w:rPr>
          <w:rFonts w:ascii="Times New Roman" w:hAnsi="Times New Roman"/>
          <w:i/>
          <w:noProof/>
          <w:sz w:val="24"/>
        </w:rPr>
        <w:t>[acțiune permanentă]</w:t>
      </w:r>
    </w:p>
    <w:p w14:paraId="2CE34205" w14:textId="5D0B64C0" w:rsidR="0068186B" w:rsidRDefault="0068186B">
      <w:pPr>
        <w:rPr>
          <w:noProof/>
        </w:rPr>
      </w:pPr>
    </w:p>
    <w:sectPr w:rsidR="0068186B" w:rsidSect="008A6764">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C16A5" w14:textId="77777777" w:rsidR="00AA1975" w:rsidRDefault="00AA1975" w:rsidP="008A6764">
      <w:pPr>
        <w:spacing w:after="0" w:line="240" w:lineRule="auto"/>
      </w:pPr>
      <w:r>
        <w:separator/>
      </w:r>
    </w:p>
  </w:endnote>
  <w:endnote w:type="continuationSeparator" w:id="0">
    <w:p w14:paraId="4636EFC2" w14:textId="77777777" w:rsidR="00AA1975" w:rsidRDefault="00AA1975" w:rsidP="008A6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68619" w14:textId="1179FFB3" w:rsidR="00B7278B" w:rsidRPr="00B7278B" w:rsidRDefault="00B7278B" w:rsidP="00B7278B">
    <w:pPr>
      <w:pStyle w:val="FooterCoverPage"/>
      <w:rPr>
        <w:rFonts w:ascii="Arial" w:hAnsi="Arial" w:cs="Arial"/>
        <w:b/>
        <w:sz w:val="48"/>
      </w:rPr>
    </w:pPr>
    <w:r w:rsidRPr="00B7278B">
      <w:rPr>
        <w:rFonts w:ascii="Arial" w:hAnsi="Arial" w:cs="Arial"/>
        <w:b/>
        <w:sz w:val="48"/>
      </w:rPr>
      <w:t>RO</w:t>
    </w:r>
    <w:r w:rsidRPr="00B7278B">
      <w:rPr>
        <w:rFonts w:ascii="Arial" w:hAnsi="Arial" w:cs="Arial"/>
        <w:b/>
        <w:sz w:val="48"/>
      </w:rPr>
      <w:tab/>
    </w:r>
    <w:r w:rsidRPr="00B7278B">
      <w:rPr>
        <w:rFonts w:ascii="Arial" w:hAnsi="Arial" w:cs="Arial"/>
        <w:b/>
        <w:sz w:val="48"/>
      </w:rPr>
      <w:tab/>
    </w:r>
    <w:r w:rsidRPr="00B7278B">
      <w:tab/>
    </w:r>
    <w:r w:rsidRPr="00B7278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46695" w14:textId="2BBC61B9" w:rsidR="00B7278B" w:rsidRPr="00B7278B" w:rsidRDefault="00B7278B" w:rsidP="00B7278B">
    <w:pPr>
      <w:pStyle w:val="FooterCoverPage"/>
      <w:rPr>
        <w:rFonts w:ascii="Arial" w:hAnsi="Arial" w:cs="Arial"/>
        <w:b/>
        <w:sz w:val="48"/>
      </w:rPr>
    </w:pPr>
    <w:r w:rsidRPr="00B7278B">
      <w:rPr>
        <w:rFonts w:ascii="Arial" w:hAnsi="Arial" w:cs="Arial"/>
        <w:b/>
        <w:sz w:val="48"/>
      </w:rPr>
      <w:t>RO</w:t>
    </w:r>
    <w:r w:rsidRPr="00B7278B">
      <w:rPr>
        <w:rFonts w:ascii="Arial" w:hAnsi="Arial" w:cs="Arial"/>
        <w:b/>
        <w:sz w:val="48"/>
      </w:rPr>
      <w:tab/>
    </w:r>
    <w:r w:rsidRPr="00B7278B">
      <w:rPr>
        <w:rFonts w:ascii="Arial" w:hAnsi="Arial" w:cs="Arial"/>
        <w:b/>
        <w:sz w:val="48"/>
      </w:rPr>
      <w:tab/>
    </w:r>
    <w:r w:rsidRPr="00B7278B">
      <w:tab/>
    </w:r>
    <w:r w:rsidRPr="00B7278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EC26E" w14:textId="77777777" w:rsidR="00B7278B" w:rsidRPr="00B7278B" w:rsidRDefault="00B7278B" w:rsidP="00B7278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C903C" w14:textId="77777777" w:rsidR="008A6764" w:rsidRDefault="008A676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597061"/>
      <w:docPartObj>
        <w:docPartGallery w:val="Page Numbers (Bottom of Page)"/>
        <w:docPartUnique/>
      </w:docPartObj>
    </w:sdtPr>
    <w:sdtEndPr>
      <w:rPr>
        <w:noProof/>
      </w:rPr>
    </w:sdtEndPr>
    <w:sdtContent>
      <w:p w14:paraId="44286C25" w14:textId="22F4FE71" w:rsidR="00B43149" w:rsidRDefault="00B43149">
        <w:pPr>
          <w:pStyle w:val="Footer"/>
          <w:jc w:val="center"/>
        </w:pPr>
        <w:r>
          <w:fldChar w:fldCharType="begin"/>
        </w:r>
        <w:r>
          <w:instrText xml:space="preserve"> PAGE   \* MERGEFORMAT </w:instrText>
        </w:r>
        <w:r>
          <w:fldChar w:fldCharType="separate"/>
        </w:r>
        <w:r w:rsidR="00B7278B">
          <w:rPr>
            <w:noProof/>
          </w:rPr>
          <w:t>1</w:t>
        </w:r>
        <w:r>
          <w:fldChar w:fldCharType="end"/>
        </w:r>
      </w:p>
    </w:sdtContent>
  </w:sdt>
  <w:p w14:paraId="39850963" w14:textId="77777777" w:rsidR="008A6764" w:rsidRDefault="008A67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3D6B1" w14:textId="77777777" w:rsidR="008A6764" w:rsidRDefault="008A6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D2103" w14:textId="77777777" w:rsidR="00AA1975" w:rsidRDefault="00AA1975" w:rsidP="008A6764">
      <w:pPr>
        <w:spacing w:after="0" w:line="240" w:lineRule="auto"/>
      </w:pPr>
      <w:r>
        <w:separator/>
      </w:r>
    </w:p>
  </w:footnote>
  <w:footnote w:type="continuationSeparator" w:id="0">
    <w:p w14:paraId="269A8293" w14:textId="77777777" w:rsidR="00AA1975" w:rsidRDefault="00AA1975" w:rsidP="008A67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4163C" w14:textId="77777777" w:rsidR="00B7278B" w:rsidRPr="00B7278B" w:rsidRDefault="00B7278B" w:rsidP="00B7278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A396D" w14:textId="77777777" w:rsidR="00B7278B" w:rsidRPr="00B7278B" w:rsidRDefault="00B7278B" w:rsidP="00B7278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15817" w14:textId="77777777" w:rsidR="00B7278B" w:rsidRPr="00B7278B" w:rsidRDefault="00B7278B" w:rsidP="00B7278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237D1" w14:textId="77777777" w:rsidR="008A6764" w:rsidRDefault="008A67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1A67C" w14:textId="77777777" w:rsidR="008A6764" w:rsidRDefault="008A676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CF332" w14:textId="77777777" w:rsidR="008A6764" w:rsidRDefault="008A6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72B1B"/>
    <w:multiLevelType w:val="hybridMultilevel"/>
    <w:tmpl w:val="1C7C420E"/>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F96175"/>
    <w:multiLevelType w:val="hybridMultilevel"/>
    <w:tmpl w:val="1C7C420E"/>
    <w:lvl w:ilvl="0" w:tplc="608680AE">
      <w:start w:val="1"/>
      <w:numFmt w:val="decimal"/>
      <w:lvlText w:val="%1."/>
      <w:lvlJc w:val="left"/>
      <w:pPr>
        <w:ind w:left="720" w:hanging="360"/>
      </w:pPr>
      <w:rPr>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45DE23E0"/>
    <w:multiLevelType w:val="hybridMultilevel"/>
    <w:tmpl w:val="1C7C420E"/>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1DF1FE47-E729-40CA-99BB-75E24E8F95D0"/>
    <w:docVar w:name="LW_COVERPAGE_TYPE" w:val="1"/>
    <w:docVar w:name="LW_CROSSREFERENCE" w:val="&lt;UNUSED&gt;"/>
    <w:docVar w:name="LW_DocType" w:val="NORMAL"/>
    <w:docVar w:name="LW_EMISSION" w:val="19.5.2026"/>
    <w:docVar w:name="LW_EMISSION_ISODATE" w:val="2026-05-19"/>
    <w:docVar w:name="LW_EMISSION_LOCATION" w:val="STR"/>
    <w:docVar w:name="LW_EMISSION_PREFIX" w:val="Strasbourg,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lt;FMT:Font=Calibri CE,Bold&gt;Planul de ac\u539?iune privind îngr\u259?\u537?\u259?mintele: parteneriat pentru asigurarea disponibilit\u259?\u539?ii, accesibilit\u259?\u539?ii pre\u539?urilor \u537?i autonomiei strategice a îngr\u259?\u537?\u259?mintelor autohtone în Uniunea European\u259?&lt;/FMT&gt;"/>
    <w:docVar w:name="LW_PART_NBR" w:val="1"/>
    <w:docVar w:name="LW_PART_NBR_TOTAL" w:val="1"/>
    <w:docVar w:name="LW_REF.INST.NEW" w:val="COM"/>
    <w:docVar w:name="LW_REF.INST.NEW_ADOPTED" w:val="final"/>
    <w:docVar w:name="LW_REF.INST.NEW_TEXT" w:val="(2026) 3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COMUNICAREA COMISIEI C\u258?TRE PARLAMENTUL EUROPEAN, CONSILIU, COMITETUL ECONOMIC \u536?I SOCIAL EUROPEAN \u536?I COMITETUL REGIUNILOR_x000b__x000b_"/>
    <w:docVar w:name="LwApiVersions" w:val="LW4CoDe 1.24.5.0; LW 9.2, Build 20251112"/>
  </w:docVars>
  <w:rsids>
    <w:rsidRoot w:val="008A6764"/>
    <w:rsid w:val="00012DC9"/>
    <w:rsid w:val="00014B84"/>
    <w:rsid w:val="00020272"/>
    <w:rsid w:val="0002094C"/>
    <w:rsid w:val="00033DD9"/>
    <w:rsid w:val="0004082A"/>
    <w:rsid w:val="00042FCE"/>
    <w:rsid w:val="000438BE"/>
    <w:rsid w:val="00043C87"/>
    <w:rsid w:val="00044C3E"/>
    <w:rsid w:val="0004782E"/>
    <w:rsid w:val="00054B80"/>
    <w:rsid w:val="00073512"/>
    <w:rsid w:val="00080F68"/>
    <w:rsid w:val="00084DC1"/>
    <w:rsid w:val="00095E2B"/>
    <w:rsid w:val="000A27AD"/>
    <w:rsid w:val="000A2815"/>
    <w:rsid w:val="000B1907"/>
    <w:rsid w:val="000B270D"/>
    <w:rsid w:val="000B3E87"/>
    <w:rsid w:val="000C00BD"/>
    <w:rsid w:val="000C212C"/>
    <w:rsid w:val="000C4000"/>
    <w:rsid w:val="000D04B9"/>
    <w:rsid w:val="000D6D53"/>
    <w:rsid w:val="000E0D04"/>
    <w:rsid w:val="000E1180"/>
    <w:rsid w:val="000E17F6"/>
    <w:rsid w:val="000F0CD5"/>
    <w:rsid w:val="000F1A09"/>
    <w:rsid w:val="000F2185"/>
    <w:rsid w:val="00101D57"/>
    <w:rsid w:val="00103DF5"/>
    <w:rsid w:val="00106A58"/>
    <w:rsid w:val="0011070F"/>
    <w:rsid w:val="0011653B"/>
    <w:rsid w:val="00132FB9"/>
    <w:rsid w:val="00132FF7"/>
    <w:rsid w:val="001337DE"/>
    <w:rsid w:val="00133A70"/>
    <w:rsid w:val="0013541C"/>
    <w:rsid w:val="0014150B"/>
    <w:rsid w:val="0014667F"/>
    <w:rsid w:val="001472D3"/>
    <w:rsid w:val="00151AB1"/>
    <w:rsid w:val="001573A2"/>
    <w:rsid w:val="00160107"/>
    <w:rsid w:val="00165014"/>
    <w:rsid w:val="00173D97"/>
    <w:rsid w:val="0017410A"/>
    <w:rsid w:val="00184111"/>
    <w:rsid w:val="00186255"/>
    <w:rsid w:val="00197677"/>
    <w:rsid w:val="001A2258"/>
    <w:rsid w:val="001A660D"/>
    <w:rsid w:val="001B5A32"/>
    <w:rsid w:val="001D1922"/>
    <w:rsid w:val="001D47A0"/>
    <w:rsid w:val="001E1EAC"/>
    <w:rsid w:val="001E2BB5"/>
    <w:rsid w:val="001E51E9"/>
    <w:rsid w:val="001F13CE"/>
    <w:rsid w:val="0020728E"/>
    <w:rsid w:val="0021415D"/>
    <w:rsid w:val="00223E27"/>
    <w:rsid w:val="00224FF9"/>
    <w:rsid w:val="00230DEC"/>
    <w:rsid w:val="00231641"/>
    <w:rsid w:val="00240FE0"/>
    <w:rsid w:val="00242AC1"/>
    <w:rsid w:val="00243C5A"/>
    <w:rsid w:val="00243DFE"/>
    <w:rsid w:val="0026637A"/>
    <w:rsid w:val="00266C8F"/>
    <w:rsid w:val="0027581A"/>
    <w:rsid w:val="0029579E"/>
    <w:rsid w:val="002A1349"/>
    <w:rsid w:val="002A258D"/>
    <w:rsid w:val="002B1EE0"/>
    <w:rsid w:val="002B250F"/>
    <w:rsid w:val="002B34A2"/>
    <w:rsid w:val="002B352F"/>
    <w:rsid w:val="002C131B"/>
    <w:rsid w:val="002C25EF"/>
    <w:rsid w:val="002C7749"/>
    <w:rsid w:val="002D4D0E"/>
    <w:rsid w:val="002E7E45"/>
    <w:rsid w:val="002F2660"/>
    <w:rsid w:val="002F5488"/>
    <w:rsid w:val="00311FF1"/>
    <w:rsid w:val="0032139E"/>
    <w:rsid w:val="00330BDD"/>
    <w:rsid w:val="00331587"/>
    <w:rsid w:val="00340A31"/>
    <w:rsid w:val="003413E4"/>
    <w:rsid w:val="00345C36"/>
    <w:rsid w:val="00353B85"/>
    <w:rsid w:val="00362784"/>
    <w:rsid w:val="003762DF"/>
    <w:rsid w:val="003778D5"/>
    <w:rsid w:val="00385D08"/>
    <w:rsid w:val="0039447D"/>
    <w:rsid w:val="003A1379"/>
    <w:rsid w:val="003A7F8E"/>
    <w:rsid w:val="003B0573"/>
    <w:rsid w:val="003C1F7D"/>
    <w:rsid w:val="003D0158"/>
    <w:rsid w:val="003D44AB"/>
    <w:rsid w:val="003D4619"/>
    <w:rsid w:val="003D4BDF"/>
    <w:rsid w:val="003D53B1"/>
    <w:rsid w:val="003E4FC4"/>
    <w:rsid w:val="003F4144"/>
    <w:rsid w:val="004124C8"/>
    <w:rsid w:val="00425578"/>
    <w:rsid w:val="004269C3"/>
    <w:rsid w:val="00436675"/>
    <w:rsid w:val="00440AD7"/>
    <w:rsid w:val="0044372D"/>
    <w:rsid w:val="00457602"/>
    <w:rsid w:val="0046572B"/>
    <w:rsid w:val="0047385D"/>
    <w:rsid w:val="00473D36"/>
    <w:rsid w:val="004769D9"/>
    <w:rsid w:val="004771B4"/>
    <w:rsid w:val="00484DAE"/>
    <w:rsid w:val="0049080B"/>
    <w:rsid w:val="004927B6"/>
    <w:rsid w:val="004A455D"/>
    <w:rsid w:val="004A5EF0"/>
    <w:rsid w:val="004B0058"/>
    <w:rsid w:val="004B5826"/>
    <w:rsid w:val="004C0D86"/>
    <w:rsid w:val="004C1EAE"/>
    <w:rsid w:val="004D7EFF"/>
    <w:rsid w:val="004F06CD"/>
    <w:rsid w:val="0051042B"/>
    <w:rsid w:val="00511330"/>
    <w:rsid w:val="00512DC4"/>
    <w:rsid w:val="00514C70"/>
    <w:rsid w:val="00516D6B"/>
    <w:rsid w:val="005201D0"/>
    <w:rsid w:val="005201DD"/>
    <w:rsid w:val="005303FA"/>
    <w:rsid w:val="005348FB"/>
    <w:rsid w:val="005363CA"/>
    <w:rsid w:val="00544CDB"/>
    <w:rsid w:val="00551DE3"/>
    <w:rsid w:val="0055731E"/>
    <w:rsid w:val="0056335C"/>
    <w:rsid w:val="00564E43"/>
    <w:rsid w:val="00570E9C"/>
    <w:rsid w:val="00583B9F"/>
    <w:rsid w:val="005852E4"/>
    <w:rsid w:val="00593482"/>
    <w:rsid w:val="005A2FBE"/>
    <w:rsid w:val="005A3455"/>
    <w:rsid w:val="005A503D"/>
    <w:rsid w:val="005A559E"/>
    <w:rsid w:val="005D3370"/>
    <w:rsid w:val="005E3455"/>
    <w:rsid w:val="005E5358"/>
    <w:rsid w:val="005F37E2"/>
    <w:rsid w:val="006117C0"/>
    <w:rsid w:val="00614CA6"/>
    <w:rsid w:val="00621C7B"/>
    <w:rsid w:val="00622F02"/>
    <w:rsid w:val="00625B1C"/>
    <w:rsid w:val="00630D35"/>
    <w:rsid w:val="006372D4"/>
    <w:rsid w:val="00643EBC"/>
    <w:rsid w:val="00644F4B"/>
    <w:rsid w:val="00647ADE"/>
    <w:rsid w:val="00647BCD"/>
    <w:rsid w:val="00650527"/>
    <w:rsid w:val="00667F85"/>
    <w:rsid w:val="0067310D"/>
    <w:rsid w:val="00677B5F"/>
    <w:rsid w:val="0068186B"/>
    <w:rsid w:val="00687678"/>
    <w:rsid w:val="0069638A"/>
    <w:rsid w:val="006A1D74"/>
    <w:rsid w:val="006A2116"/>
    <w:rsid w:val="006A7E19"/>
    <w:rsid w:val="006B5743"/>
    <w:rsid w:val="006B58BE"/>
    <w:rsid w:val="006B6A4F"/>
    <w:rsid w:val="006B73F3"/>
    <w:rsid w:val="006D0993"/>
    <w:rsid w:val="006D734E"/>
    <w:rsid w:val="006E1629"/>
    <w:rsid w:val="006E37C7"/>
    <w:rsid w:val="006E3C6B"/>
    <w:rsid w:val="006E5453"/>
    <w:rsid w:val="006E63D4"/>
    <w:rsid w:val="006F46DD"/>
    <w:rsid w:val="00702691"/>
    <w:rsid w:val="00704DD8"/>
    <w:rsid w:val="00711CAA"/>
    <w:rsid w:val="007229A7"/>
    <w:rsid w:val="00727C35"/>
    <w:rsid w:val="007303F1"/>
    <w:rsid w:val="00732D91"/>
    <w:rsid w:val="00734C44"/>
    <w:rsid w:val="00743E22"/>
    <w:rsid w:val="00744676"/>
    <w:rsid w:val="00746E8B"/>
    <w:rsid w:val="00752CFE"/>
    <w:rsid w:val="00755A40"/>
    <w:rsid w:val="0075676B"/>
    <w:rsid w:val="00757CE2"/>
    <w:rsid w:val="007771F1"/>
    <w:rsid w:val="00782F6B"/>
    <w:rsid w:val="007909BC"/>
    <w:rsid w:val="00794C25"/>
    <w:rsid w:val="007A053D"/>
    <w:rsid w:val="007A1FC6"/>
    <w:rsid w:val="007A44F8"/>
    <w:rsid w:val="007A5FEA"/>
    <w:rsid w:val="007B1074"/>
    <w:rsid w:val="007B34CF"/>
    <w:rsid w:val="007D1085"/>
    <w:rsid w:val="007D1523"/>
    <w:rsid w:val="007D558E"/>
    <w:rsid w:val="007D60BF"/>
    <w:rsid w:val="007E485E"/>
    <w:rsid w:val="007F428D"/>
    <w:rsid w:val="007F6CCD"/>
    <w:rsid w:val="00804F3B"/>
    <w:rsid w:val="008071BD"/>
    <w:rsid w:val="008072BC"/>
    <w:rsid w:val="008104E5"/>
    <w:rsid w:val="008143FF"/>
    <w:rsid w:val="008145C1"/>
    <w:rsid w:val="00814CD1"/>
    <w:rsid w:val="00823E2A"/>
    <w:rsid w:val="008310D3"/>
    <w:rsid w:val="008351F1"/>
    <w:rsid w:val="00841394"/>
    <w:rsid w:val="00842738"/>
    <w:rsid w:val="008455F6"/>
    <w:rsid w:val="0085490B"/>
    <w:rsid w:val="00854A24"/>
    <w:rsid w:val="008672D4"/>
    <w:rsid w:val="0087371A"/>
    <w:rsid w:val="00880310"/>
    <w:rsid w:val="00881FDC"/>
    <w:rsid w:val="0088342B"/>
    <w:rsid w:val="00885C38"/>
    <w:rsid w:val="00890890"/>
    <w:rsid w:val="008933B0"/>
    <w:rsid w:val="008935E6"/>
    <w:rsid w:val="00895A51"/>
    <w:rsid w:val="00895F53"/>
    <w:rsid w:val="0089658D"/>
    <w:rsid w:val="008A01D3"/>
    <w:rsid w:val="008A050F"/>
    <w:rsid w:val="008A0843"/>
    <w:rsid w:val="008A0C42"/>
    <w:rsid w:val="008A3248"/>
    <w:rsid w:val="008A6764"/>
    <w:rsid w:val="008B67ED"/>
    <w:rsid w:val="008B6FCA"/>
    <w:rsid w:val="008C199E"/>
    <w:rsid w:val="008C333A"/>
    <w:rsid w:val="008C66C2"/>
    <w:rsid w:val="008C712A"/>
    <w:rsid w:val="008C71E0"/>
    <w:rsid w:val="008F39D2"/>
    <w:rsid w:val="008F6172"/>
    <w:rsid w:val="00901DFD"/>
    <w:rsid w:val="00906DA0"/>
    <w:rsid w:val="009107BA"/>
    <w:rsid w:val="00921014"/>
    <w:rsid w:val="00922626"/>
    <w:rsid w:val="0093170A"/>
    <w:rsid w:val="00943A92"/>
    <w:rsid w:val="0094715D"/>
    <w:rsid w:val="009517F7"/>
    <w:rsid w:val="00962000"/>
    <w:rsid w:val="00965B5D"/>
    <w:rsid w:val="00973111"/>
    <w:rsid w:val="00976BCA"/>
    <w:rsid w:val="0098711E"/>
    <w:rsid w:val="00987426"/>
    <w:rsid w:val="009A2ED2"/>
    <w:rsid w:val="009A3DB9"/>
    <w:rsid w:val="009B0247"/>
    <w:rsid w:val="009B1A0E"/>
    <w:rsid w:val="009B339E"/>
    <w:rsid w:val="009C34A0"/>
    <w:rsid w:val="009D430D"/>
    <w:rsid w:val="009D44E5"/>
    <w:rsid w:val="009D7F0B"/>
    <w:rsid w:val="009E374A"/>
    <w:rsid w:val="009E7D85"/>
    <w:rsid w:val="009F43F5"/>
    <w:rsid w:val="009F446F"/>
    <w:rsid w:val="00A14BBC"/>
    <w:rsid w:val="00A226E8"/>
    <w:rsid w:val="00A23F64"/>
    <w:rsid w:val="00A244A2"/>
    <w:rsid w:val="00A31276"/>
    <w:rsid w:val="00A36CAE"/>
    <w:rsid w:val="00A52C3E"/>
    <w:rsid w:val="00A5533E"/>
    <w:rsid w:val="00A55ADF"/>
    <w:rsid w:val="00A7307A"/>
    <w:rsid w:val="00A807DE"/>
    <w:rsid w:val="00A812A7"/>
    <w:rsid w:val="00A813A0"/>
    <w:rsid w:val="00A84655"/>
    <w:rsid w:val="00A94BE8"/>
    <w:rsid w:val="00AA03FE"/>
    <w:rsid w:val="00AA1975"/>
    <w:rsid w:val="00AA4015"/>
    <w:rsid w:val="00AC0C0D"/>
    <w:rsid w:val="00AC245A"/>
    <w:rsid w:val="00AC274E"/>
    <w:rsid w:val="00AC30BB"/>
    <w:rsid w:val="00AC4565"/>
    <w:rsid w:val="00AC68F2"/>
    <w:rsid w:val="00AD206D"/>
    <w:rsid w:val="00AE378F"/>
    <w:rsid w:val="00AF61F4"/>
    <w:rsid w:val="00B014DD"/>
    <w:rsid w:val="00B06416"/>
    <w:rsid w:val="00B13A16"/>
    <w:rsid w:val="00B13AA1"/>
    <w:rsid w:val="00B153AA"/>
    <w:rsid w:val="00B21A4E"/>
    <w:rsid w:val="00B2530D"/>
    <w:rsid w:val="00B2792E"/>
    <w:rsid w:val="00B315AD"/>
    <w:rsid w:val="00B3435D"/>
    <w:rsid w:val="00B43149"/>
    <w:rsid w:val="00B43E8A"/>
    <w:rsid w:val="00B607E0"/>
    <w:rsid w:val="00B622EA"/>
    <w:rsid w:val="00B626B7"/>
    <w:rsid w:val="00B666C4"/>
    <w:rsid w:val="00B66FF8"/>
    <w:rsid w:val="00B7278B"/>
    <w:rsid w:val="00B72AA8"/>
    <w:rsid w:val="00B8142A"/>
    <w:rsid w:val="00B823AE"/>
    <w:rsid w:val="00B85CE5"/>
    <w:rsid w:val="00B9129E"/>
    <w:rsid w:val="00B96285"/>
    <w:rsid w:val="00BA62F6"/>
    <w:rsid w:val="00BA68D7"/>
    <w:rsid w:val="00BA7373"/>
    <w:rsid w:val="00BB2075"/>
    <w:rsid w:val="00BB322E"/>
    <w:rsid w:val="00BB4224"/>
    <w:rsid w:val="00BB4317"/>
    <w:rsid w:val="00BC6D96"/>
    <w:rsid w:val="00BD732F"/>
    <w:rsid w:val="00BE1155"/>
    <w:rsid w:val="00BE19C6"/>
    <w:rsid w:val="00BF2CAD"/>
    <w:rsid w:val="00BF442B"/>
    <w:rsid w:val="00BF652C"/>
    <w:rsid w:val="00C01F36"/>
    <w:rsid w:val="00C066EE"/>
    <w:rsid w:val="00C06E29"/>
    <w:rsid w:val="00C148EF"/>
    <w:rsid w:val="00C3339C"/>
    <w:rsid w:val="00C34C39"/>
    <w:rsid w:val="00C36CFE"/>
    <w:rsid w:val="00C37B8D"/>
    <w:rsid w:val="00C40646"/>
    <w:rsid w:val="00C416A8"/>
    <w:rsid w:val="00C4206D"/>
    <w:rsid w:val="00C54373"/>
    <w:rsid w:val="00C54745"/>
    <w:rsid w:val="00C61E08"/>
    <w:rsid w:val="00C632B9"/>
    <w:rsid w:val="00C635C5"/>
    <w:rsid w:val="00C87472"/>
    <w:rsid w:val="00C97BC7"/>
    <w:rsid w:val="00CA49AF"/>
    <w:rsid w:val="00CB09F3"/>
    <w:rsid w:val="00CB1710"/>
    <w:rsid w:val="00CC267A"/>
    <w:rsid w:val="00CC5C2E"/>
    <w:rsid w:val="00CC6F9C"/>
    <w:rsid w:val="00CC79DB"/>
    <w:rsid w:val="00CD7822"/>
    <w:rsid w:val="00CE6AA5"/>
    <w:rsid w:val="00CF3DCC"/>
    <w:rsid w:val="00D07C2C"/>
    <w:rsid w:val="00D2225B"/>
    <w:rsid w:val="00D245A1"/>
    <w:rsid w:val="00D264F9"/>
    <w:rsid w:val="00D33628"/>
    <w:rsid w:val="00D41C89"/>
    <w:rsid w:val="00D437BB"/>
    <w:rsid w:val="00D47F90"/>
    <w:rsid w:val="00D53A93"/>
    <w:rsid w:val="00D57A85"/>
    <w:rsid w:val="00D73F15"/>
    <w:rsid w:val="00D747D7"/>
    <w:rsid w:val="00D7551F"/>
    <w:rsid w:val="00D8123B"/>
    <w:rsid w:val="00D91FD9"/>
    <w:rsid w:val="00D95FAE"/>
    <w:rsid w:val="00DA4333"/>
    <w:rsid w:val="00DB328C"/>
    <w:rsid w:val="00DB3D92"/>
    <w:rsid w:val="00DB5437"/>
    <w:rsid w:val="00DC1970"/>
    <w:rsid w:val="00DC2462"/>
    <w:rsid w:val="00DD0469"/>
    <w:rsid w:val="00DD1F25"/>
    <w:rsid w:val="00DD453C"/>
    <w:rsid w:val="00DD568B"/>
    <w:rsid w:val="00DE1B92"/>
    <w:rsid w:val="00DE5249"/>
    <w:rsid w:val="00DE6305"/>
    <w:rsid w:val="00DF6883"/>
    <w:rsid w:val="00E05A03"/>
    <w:rsid w:val="00E07AC5"/>
    <w:rsid w:val="00E121B8"/>
    <w:rsid w:val="00E20EFD"/>
    <w:rsid w:val="00E41F79"/>
    <w:rsid w:val="00E4429F"/>
    <w:rsid w:val="00E4525D"/>
    <w:rsid w:val="00E4677D"/>
    <w:rsid w:val="00E46DCF"/>
    <w:rsid w:val="00E52EB5"/>
    <w:rsid w:val="00E53543"/>
    <w:rsid w:val="00E5464D"/>
    <w:rsid w:val="00E64E43"/>
    <w:rsid w:val="00E64FCB"/>
    <w:rsid w:val="00E76D4E"/>
    <w:rsid w:val="00E873CF"/>
    <w:rsid w:val="00EB7F93"/>
    <w:rsid w:val="00ED3E77"/>
    <w:rsid w:val="00EF0089"/>
    <w:rsid w:val="00EF1AD3"/>
    <w:rsid w:val="00F00D28"/>
    <w:rsid w:val="00F06230"/>
    <w:rsid w:val="00F13868"/>
    <w:rsid w:val="00F158B8"/>
    <w:rsid w:val="00F31F08"/>
    <w:rsid w:val="00F323F3"/>
    <w:rsid w:val="00F36649"/>
    <w:rsid w:val="00F36B08"/>
    <w:rsid w:val="00F40DAB"/>
    <w:rsid w:val="00F417D0"/>
    <w:rsid w:val="00F4627F"/>
    <w:rsid w:val="00F57E71"/>
    <w:rsid w:val="00F70E81"/>
    <w:rsid w:val="00F80D1D"/>
    <w:rsid w:val="00F822A1"/>
    <w:rsid w:val="00F87900"/>
    <w:rsid w:val="00F90C49"/>
    <w:rsid w:val="00F91270"/>
    <w:rsid w:val="00F91370"/>
    <w:rsid w:val="00F92D1E"/>
    <w:rsid w:val="00F93976"/>
    <w:rsid w:val="00F94A62"/>
    <w:rsid w:val="00F962BF"/>
    <w:rsid w:val="00F96361"/>
    <w:rsid w:val="00FA15FC"/>
    <w:rsid w:val="00FA298E"/>
    <w:rsid w:val="00FA5DB7"/>
    <w:rsid w:val="00FB39AA"/>
    <w:rsid w:val="00FB524C"/>
    <w:rsid w:val="00FB63D8"/>
    <w:rsid w:val="00FB7558"/>
    <w:rsid w:val="00FC348F"/>
    <w:rsid w:val="00FC437B"/>
    <w:rsid w:val="00FC7061"/>
    <w:rsid w:val="00FD7BA2"/>
    <w:rsid w:val="00FE5CEC"/>
    <w:rsid w:val="00FF0757"/>
    <w:rsid w:val="00FF29E6"/>
    <w:rsid w:val="00FF2C34"/>
    <w:rsid w:val="2DA178ED"/>
    <w:rsid w:val="32B2D50E"/>
    <w:rsid w:val="39564DFB"/>
    <w:rsid w:val="416B4932"/>
    <w:rsid w:val="701B99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0515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6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6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67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7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67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67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7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7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7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7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67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67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7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67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67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7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7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764"/>
    <w:rPr>
      <w:rFonts w:eastAsiaTheme="majorEastAsia" w:cstheme="majorBidi"/>
      <w:color w:val="272727" w:themeColor="text1" w:themeTint="D8"/>
    </w:rPr>
  </w:style>
  <w:style w:type="paragraph" w:styleId="Title">
    <w:name w:val="Title"/>
    <w:basedOn w:val="Normal"/>
    <w:next w:val="Normal"/>
    <w:link w:val="TitleChar"/>
    <w:uiPriority w:val="10"/>
    <w:qFormat/>
    <w:rsid w:val="008A67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7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7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7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764"/>
    <w:pPr>
      <w:spacing w:before="160"/>
      <w:jc w:val="center"/>
    </w:pPr>
    <w:rPr>
      <w:i/>
      <w:iCs/>
      <w:color w:val="404040" w:themeColor="text1" w:themeTint="BF"/>
    </w:rPr>
  </w:style>
  <w:style w:type="character" w:customStyle="1" w:styleId="QuoteChar">
    <w:name w:val="Quote Char"/>
    <w:basedOn w:val="DefaultParagraphFont"/>
    <w:link w:val="Quote"/>
    <w:uiPriority w:val="29"/>
    <w:rsid w:val="008A6764"/>
    <w:rPr>
      <w:i/>
      <w:iCs/>
      <w:color w:val="404040" w:themeColor="text1" w:themeTint="BF"/>
    </w:rPr>
  </w:style>
  <w:style w:type="paragraph" w:styleId="ListParagraph">
    <w:name w:val="List Paragraph"/>
    <w:basedOn w:val="Normal"/>
    <w:uiPriority w:val="34"/>
    <w:qFormat/>
    <w:rsid w:val="008A6764"/>
    <w:pPr>
      <w:ind w:left="720"/>
      <w:contextualSpacing/>
    </w:pPr>
  </w:style>
  <w:style w:type="character" w:styleId="IntenseEmphasis">
    <w:name w:val="Intense Emphasis"/>
    <w:basedOn w:val="DefaultParagraphFont"/>
    <w:uiPriority w:val="21"/>
    <w:qFormat/>
    <w:rsid w:val="008A6764"/>
    <w:rPr>
      <w:i/>
      <w:iCs/>
      <w:color w:val="0F4761" w:themeColor="accent1" w:themeShade="BF"/>
    </w:rPr>
  </w:style>
  <w:style w:type="paragraph" w:styleId="IntenseQuote">
    <w:name w:val="Intense Quote"/>
    <w:basedOn w:val="Normal"/>
    <w:next w:val="Normal"/>
    <w:link w:val="IntenseQuoteChar"/>
    <w:uiPriority w:val="30"/>
    <w:qFormat/>
    <w:rsid w:val="008A6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764"/>
    <w:rPr>
      <w:i/>
      <w:iCs/>
      <w:color w:val="0F4761" w:themeColor="accent1" w:themeShade="BF"/>
    </w:rPr>
  </w:style>
  <w:style w:type="character" w:styleId="IntenseReference">
    <w:name w:val="Intense Reference"/>
    <w:basedOn w:val="DefaultParagraphFont"/>
    <w:uiPriority w:val="32"/>
    <w:qFormat/>
    <w:rsid w:val="008A6764"/>
    <w:rPr>
      <w:b/>
      <w:bCs/>
      <w:smallCaps/>
      <w:color w:val="0F4761" w:themeColor="accent1" w:themeShade="BF"/>
      <w:spacing w:val="5"/>
    </w:rPr>
  </w:style>
  <w:style w:type="character" w:customStyle="1" w:styleId="Marker">
    <w:name w:val="Marker"/>
    <w:basedOn w:val="DefaultParagraphFont"/>
    <w:rsid w:val="008A6764"/>
    <w:rPr>
      <w:color w:val="0000FF"/>
      <w:shd w:val="clear" w:color="auto" w:fill="auto"/>
    </w:rPr>
  </w:style>
  <w:style w:type="paragraph" w:styleId="Header">
    <w:name w:val="header"/>
    <w:basedOn w:val="Normal"/>
    <w:link w:val="HeaderChar"/>
    <w:uiPriority w:val="99"/>
    <w:unhideWhenUsed/>
    <w:rsid w:val="008A67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6764"/>
  </w:style>
  <w:style w:type="paragraph" w:styleId="Footer">
    <w:name w:val="footer"/>
    <w:basedOn w:val="Normal"/>
    <w:link w:val="FooterChar"/>
    <w:uiPriority w:val="99"/>
    <w:unhideWhenUsed/>
    <w:rsid w:val="008A67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6764"/>
  </w:style>
  <w:style w:type="paragraph" w:customStyle="1" w:styleId="Pagedecouverture">
    <w:name w:val="Page de couverture"/>
    <w:basedOn w:val="Normal"/>
    <w:next w:val="Normal"/>
    <w:rsid w:val="008A6764"/>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A676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A6764"/>
    <w:rPr>
      <w:rFonts w:ascii="Times New Roman" w:hAnsi="Times New Roman" w:cs="Times New Roman"/>
      <w:sz w:val="24"/>
    </w:rPr>
  </w:style>
  <w:style w:type="paragraph" w:customStyle="1" w:styleId="FooterSensitivity">
    <w:name w:val="Footer Sensitivity"/>
    <w:basedOn w:val="Normal"/>
    <w:link w:val="FooterSensitivityChar"/>
    <w:rsid w:val="008A676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A6764"/>
    <w:rPr>
      <w:rFonts w:ascii="Times New Roman" w:hAnsi="Times New Roman" w:cs="Times New Roman"/>
      <w:b/>
      <w:sz w:val="32"/>
    </w:rPr>
  </w:style>
  <w:style w:type="paragraph" w:customStyle="1" w:styleId="HeaderCoverPage">
    <w:name w:val="Header Cover Page"/>
    <w:basedOn w:val="Normal"/>
    <w:link w:val="HeaderCoverPageChar"/>
    <w:rsid w:val="008A676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A6764"/>
    <w:rPr>
      <w:rFonts w:ascii="Times New Roman" w:hAnsi="Times New Roman" w:cs="Times New Roman"/>
      <w:sz w:val="24"/>
    </w:rPr>
  </w:style>
  <w:style w:type="paragraph" w:customStyle="1" w:styleId="HeaderSensitivity">
    <w:name w:val="Header Sensitivity"/>
    <w:basedOn w:val="Normal"/>
    <w:link w:val="HeaderSensitivityChar"/>
    <w:rsid w:val="008A676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A6764"/>
    <w:rPr>
      <w:rFonts w:ascii="Times New Roman" w:hAnsi="Times New Roman" w:cs="Times New Roman"/>
      <w:b/>
      <w:sz w:val="32"/>
    </w:rPr>
  </w:style>
  <w:style w:type="paragraph" w:customStyle="1" w:styleId="HeaderSensitivityRight">
    <w:name w:val="Header Sensitivity Right"/>
    <w:basedOn w:val="Normal"/>
    <w:link w:val="HeaderSensitivityRightChar"/>
    <w:rsid w:val="00CB171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A6764"/>
    <w:rPr>
      <w:rFonts w:ascii="Times New Roman" w:hAnsi="Times New Roman" w:cs="Times New Roman"/>
      <w:sz w:val="28"/>
    </w:rPr>
  </w:style>
  <w:style w:type="paragraph" w:styleId="Revision">
    <w:name w:val="Revision"/>
    <w:hidden/>
    <w:uiPriority w:val="99"/>
    <w:semiHidden/>
    <w:rsid w:val="00E4525D"/>
    <w:pPr>
      <w:spacing w:after="0" w:line="240" w:lineRule="auto"/>
    </w:pPr>
  </w:style>
  <w:style w:type="character" w:styleId="CommentReference">
    <w:name w:val="annotation reference"/>
    <w:basedOn w:val="DefaultParagraphFont"/>
    <w:uiPriority w:val="99"/>
    <w:semiHidden/>
    <w:unhideWhenUsed/>
    <w:rsid w:val="002B352F"/>
    <w:rPr>
      <w:sz w:val="16"/>
      <w:szCs w:val="16"/>
    </w:rPr>
  </w:style>
  <w:style w:type="paragraph" w:styleId="CommentText">
    <w:name w:val="annotation text"/>
    <w:basedOn w:val="Normal"/>
    <w:link w:val="CommentTextChar"/>
    <w:uiPriority w:val="99"/>
    <w:unhideWhenUsed/>
    <w:rsid w:val="002B352F"/>
    <w:pPr>
      <w:spacing w:line="240" w:lineRule="auto"/>
    </w:pPr>
    <w:rPr>
      <w:sz w:val="20"/>
      <w:szCs w:val="20"/>
    </w:rPr>
  </w:style>
  <w:style w:type="character" w:customStyle="1" w:styleId="CommentTextChar">
    <w:name w:val="Comment Text Char"/>
    <w:basedOn w:val="DefaultParagraphFont"/>
    <w:link w:val="CommentText"/>
    <w:uiPriority w:val="99"/>
    <w:rsid w:val="002B352F"/>
    <w:rPr>
      <w:sz w:val="20"/>
      <w:szCs w:val="20"/>
    </w:rPr>
  </w:style>
  <w:style w:type="paragraph" w:styleId="CommentSubject">
    <w:name w:val="annotation subject"/>
    <w:basedOn w:val="CommentText"/>
    <w:next w:val="CommentText"/>
    <w:link w:val="CommentSubjectChar"/>
    <w:uiPriority w:val="99"/>
    <w:semiHidden/>
    <w:unhideWhenUsed/>
    <w:rsid w:val="002B352F"/>
    <w:rPr>
      <w:b/>
      <w:bCs/>
    </w:rPr>
  </w:style>
  <w:style w:type="character" w:customStyle="1" w:styleId="CommentSubjectChar">
    <w:name w:val="Comment Subject Char"/>
    <w:basedOn w:val="CommentTextChar"/>
    <w:link w:val="CommentSubject"/>
    <w:uiPriority w:val="99"/>
    <w:semiHidden/>
    <w:rsid w:val="002B352F"/>
    <w:rPr>
      <w:b/>
      <w:bCs/>
      <w:sz w:val="20"/>
      <w:szCs w:val="20"/>
    </w:rPr>
  </w:style>
  <w:style w:type="paragraph" w:customStyle="1" w:styleId="Disclaimer">
    <w:name w:val="Disclaimer"/>
    <w:basedOn w:val="Normal"/>
    <w:rsid w:val="00CB171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B1710"/>
    <w:pPr>
      <w:spacing w:after="0" w:line="276" w:lineRule="auto"/>
      <w:ind w:left="5103"/>
    </w:pPr>
    <w:rPr>
      <w:rFonts w:ascii="Times New Roman" w:hAnsi="Times New Roman" w:cs="Times New Roman"/>
      <w:sz w:val="28"/>
    </w:rPr>
  </w:style>
  <w:style w:type="paragraph" w:customStyle="1" w:styleId="DateMarking">
    <w:name w:val="DateMarking"/>
    <w:basedOn w:val="Normal"/>
    <w:rsid w:val="00CB1710"/>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CB1710"/>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176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24FB8744E08A4DBE383191C9C503E4" ma:contentTypeVersion="4" ma:contentTypeDescription="Create a new document." ma:contentTypeScope="" ma:versionID="8cdf56ac1f184a12c7ef3bd0f88ccea6">
  <xsd:schema xmlns:xsd="http://www.w3.org/2001/XMLSchema" xmlns:xs="http://www.w3.org/2001/XMLSchema" xmlns:p="http://schemas.microsoft.com/office/2006/metadata/properties" xmlns:ns2="a42d712b-8eb9-4edc-b861-e9e37fd24493" targetNamespace="http://schemas.microsoft.com/office/2006/metadata/properties" ma:root="true" ma:fieldsID="6692cffe8832ea7fa896b0bfb80ac867" ns2:_="">
    <xsd:import namespace="a42d712b-8eb9-4edc-b861-e9e37fd244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d712b-8eb9-4edc-b861-e9e37fd244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882405-257B-4D75-89BA-708B614CB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d712b-8eb9-4edc-b861-e9e37fd24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549CB-C124-4E71-8433-740278EFF5A7}">
  <ds:schemaRefs>
    <ds:schemaRef ds:uri="http://schemas.microsoft.com/sharepoint/v3/contenttype/forms"/>
  </ds:schemaRefs>
</ds:datastoreItem>
</file>

<file path=customXml/itemProps3.xml><?xml version="1.0" encoding="utf-8"?>
<ds:datastoreItem xmlns:ds="http://schemas.openxmlformats.org/officeDocument/2006/customXml" ds:itemID="{62A143C8-BE08-4323-9027-3427F8EBA1C0}">
  <ds:schemaRefs>
    <ds:schemaRef ds:uri="http://schemas.microsoft.com/office/2006/metadata/properties"/>
    <ds:schemaRef ds:uri="http://schemas.openxmlformats.org/package/2006/metadata/core-properties"/>
    <ds:schemaRef ds:uri="http://schemas.microsoft.com/office/2006/documentManagement/types"/>
    <ds:schemaRef ds:uri="http://purl.org/dc/dcmitype/"/>
    <ds:schemaRef ds:uri="http://www.w3.org/XML/1998/namespace"/>
    <ds:schemaRef ds:uri="http://purl.org/dc/elements/1.1/"/>
    <ds:schemaRef ds:uri="a42d712b-8eb9-4edc-b861-e9e37fd24493"/>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1235</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2026-05-19T08:22:00Z</dcterms:created>
  <dcterms:modified xsi:type="dcterms:W3CDTF">2026-06-05T15:37:00Z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annex">
    <vt:lpwstr>1</vt:lpwstr>
  </property>
  <property fmtid="{D5CDD505-2E9C-101B-9397-08002B2CF9AE}" pid="3" name="MSIP_Label_6bd9ddd1-4d20-43f6-abfa-fc3c07406f94_Name">
    <vt:lpwstr>Commission Use</vt:lpwstr>
  </property>
  <property fmtid="{D5CDD505-2E9C-101B-9397-08002B2CF9AE}" pid="4" name="Part">
    <vt:lpwstr>1</vt:lpwstr>
  </property>
  <property fmtid="{D5CDD505-2E9C-101B-9397-08002B2CF9AE}" pid="5" name="Last edited using">
    <vt:lpwstr>LW 9.2, Build 20250828</vt:lpwstr>
  </property>
  <property fmtid="{D5CDD505-2E9C-101B-9397-08002B2CF9AE}" pid="6" name="MSIP_Label_6bd9ddd1-4d20-43f6-abfa-fc3c07406f94_ContentBits">
    <vt:lpwstr>0</vt:lpwstr>
  </property>
  <property fmtid="{D5CDD505-2E9C-101B-9397-08002B2CF9AE}" pid="7" name="ContentTypeId">
    <vt:lpwstr>0x0101008524FB8744E08A4DBE383191C9C503E4</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6bd9ddd1-4d20-43f6-abfa-fc3c07406f94_Enabled">
    <vt:lpwstr>true</vt:lpwstr>
  </property>
  <property fmtid="{D5CDD505-2E9C-101B-9397-08002B2CF9AE}" pid="11" name="Total parts">
    <vt:lpwstr>1</vt:lpwstr>
  </property>
  <property fmtid="{D5CDD505-2E9C-101B-9397-08002B2CF9AE}" pid="12" name="Unique annex">
    <vt:lpwstr>1</vt:lpwstr>
  </property>
  <property fmtid="{D5CDD505-2E9C-101B-9397-08002B2CF9AE}" pid="13" name="DocStatus">
    <vt:lpwstr>Green</vt:lpwstr>
  </property>
  <property fmtid="{D5CDD505-2E9C-101B-9397-08002B2CF9AE}" pid="14" name="MSIP_Label_6bd9ddd1-4d20-43f6-abfa-fc3c07406f94_SetDate">
    <vt:lpwstr>2026-05-17T11:34:55Z</vt:lpwstr>
  </property>
  <property fmtid="{D5CDD505-2E9C-101B-9397-08002B2CF9AE}" pid="15" name="First annex">
    <vt:lpwstr>1</vt:lpwstr>
  </property>
  <property fmtid="{D5CDD505-2E9C-101B-9397-08002B2CF9AE}" pid="16" name="Level of sensitivity">
    <vt:lpwstr>Standard treatment</vt:lpwstr>
  </property>
  <property fmtid="{D5CDD505-2E9C-101B-9397-08002B2CF9AE}" pid="17" name="MSIP_Label_6bd9ddd1-4d20-43f6-abfa-fc3c07406f94_ActionId">
    <vt:lpwstr>175b369f-06dc-4b8d-a2d3-51bb63c9d2f1</vt:lpwstr>
  </property>
  <property fmtid="{D5CDD505-2E9C-101B-9397-08002B2CF9AE}" pid="18" name="CPTemplateID">
    <vt:lpwstr>CP-039</vt:lpwstr>
  </property>
  <property fmtid="{D5CDD505-2E9C-101B-9397-08002B2CF9AE}" pid="19" name="MSIP_Label_6bd9ddd1-4d20-43f6-abfa-fc3c07406f94_Tag">
    <vt:lpwstr>10, 3, 0, 1</vt:lpwstr>
  </property>
</Properties>
</file>