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FC61D2" w14:textId="68B36390" w:rsidR="00B74715" w:rsidRPr="00D91062" w:rsidRDefault="00A8433C" w:rsidP="00A8433C">
      <w:pPr>
        <w:pStyle w:val="Pagedecouverture"/>
        <w:rPr>
          <w:noProof/>
        </w:rPr>
      </w:pPr>
      <w:r>
        <w:rPr>
          <w:noProof/>
        </w:rPr>
        <w:pict w14:anchorId="453502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A72E767-8777-473D-840E-5D0FC2EFD2EE" style="width:455.25pt;height:371.25pt">
            <v:imagedata r:id="rId8" o:title=""/>
          </v:shape>
        </w:pict>
      </w:r>
    </w:p>
    <w:p w14:paraId="3B4169E4" w14:textId="77777777" w:rsidR="00B74715" w:rsidRPr="00D91062" w:rsidRDefault="00B74715" w:rsidP="00B74715">
      <w:pPr>
        <w:rPr>
          <w:noProof/>
        </w:rPr>
        <w:sectPr w:rsidR="00B74715" w:rsidRPr="00D91062" w:rsidSect="00A8433C">
          <w:footerReference w:type="even" r:id="rId9"/>
          <w:footerReference w:type="default" r:id="rId10"/>
          <w:pgSz w:w="11907" w:h="16839"/>
          <w:pgMar w:top="1134" w:right="1417" w:bottom="1134" w:left="1417" w:header="709" w:footer="709" w:gutter="0"/>
          <w:pgNumType w:start="0"/>
          <w:cols w:space="720"/>
          <w:docGrid w:linePitch="360"/>
        </w:sectPr>
      </w:pPr>
    </w:p>
    <w:p w14:paraId="578816EF" w14:textId="77777777" w:rsidR="00FC199C" w:rsidRPr="00D91062" w:rsidRDefault="00FC199C" w:rsidP="00FC199C">
      <w:pPr>
        <w:pStyle w:val="Exposdesmotifstitre"/>
        <w:rPr>
          <w:noProof/>
        </w:rPr>
      </w:pPr>
      <w:bookmarkStart w:id="0" w:name="_GoBack"/>
      <w:bookmarkEnd w:id="0"/>
      <w:r w:rsidRPr="00D91062">
        <w:rPr>
          <w:noProof/>
        </w:rPr>
        <w:lastRenderedPageBreak/>
        <w:t>EXPUNERE DE MOTIVE</w:t>
      </w:r>
    </w:p>
    <w:p w14:paraId="1AE4B721" w14:textId="77777777" w:rsidR="00F1256C" w:rsidRPr="00D91062" w:rsidRDefault="009849E1" w:rsidP="00F1256C">
      <w:pPr>
        <w:pStyle w:val="ManualHeading1"/>
        <w:rPr>
          <w:noProof/>
        </w:rPr>
      </w:pPr>
      <w:r w:rsidRPr="00D91062">
        <w:rPr>
          <w:noProof/>
        </w:rPr>
        <w:t xml:space="preserve"> 1.</w:t>
      </w:r>
      <w:r w:rsidRPr="00D91062">
        <w:rPr>
          <w:noProof/>
        </w:rPr>
        <w:tab/>
        <w:t>CONTEXTUL PROPUNERII</w:t>
      </w:r>
    </w:p>
    <w:p w14:paraId="53521A78" w14:textId="77777777" w:rsidR="00D664CB" w:rsidRPr="00D91062" w:rsidRDefault="00D664CB" w:rsidP="009358E6">
      <w:pPr>
        <w:pStyle w:val="Bullet0"/>
        <w:numPr>
          <w:ilvl w:val="0"/>
          <w:numId w:val="20"/>
        </w:numPr>
        <w:rPr>
          <w:b/>
          <w:bCs/>
          <w:noProof/>
        </w:rPr>
      </w:pPr>
      <w:r w:rsidRPr="00D91062">
        <w:rPr>
          <w:b/>
          <w:noProof/>
        </w:rPr>
        <w:t>Motivele și obiectivele propunerii</w:t>
      </w:r>
    </w:p>
    <w:p w14:paraId="0FCE5140" w14:textId="385F132E" w:rsidR="00D664CB" w:rsidRPr="00D91062" w:rsidRDefault="00D664CB" w:rsidP="00D664CB">
      <w:pPr>
        <w:pBdr>
          <w:top w:val="nil"/>
          <w:left w:val="nil"/>
          <w:bottom w:val="nil"/>
          <w:right w:val="nil"/>
          <w:between w:val="nil"/>
          <w:bar w:val="nil"/>
        </w:pBdr>
        <w:spacing w:before="0" w:after="240"/>
        <w:rPr>
          <w:noProof/>
        </w:rPr>
      </w:pPr>
      <w:r w:rsidRPr="00D91062">
        <w:rPr>
          <w:noProof/>
          <w:color w:val="000000" w:themeColor="text1"/>
        </w:rPr>
        <w:t>Decizia nr. 626/2008/CE</w:t>
      </w:r>
      <w:r w:rsidRPr="00D91062">
        <w:rPr>
          <w:rStyle w:val="FootnoteReference"/>
          <w:noProof/>
        </w:rPr>
        <w:footnoteReference w:id="1"/>
      </w:r>
      <w:r w:rsidRPr="00D91062">
        <w:rPr>
          <w:noProof/>
          <w:color w:val="000000" w:themeColor="text1"/>
        </w:rPr>
        <w:t xml:space="preserve"> a instituit un regim de autorizare </w:t>
      </w:r>
      <w:r w:rsidRPr="00D91062">
        <w:rPr>
          <w:i/>
          <w:noProof/>
          <w:color w:val="000000" w:themeColor="text1"/>
        </w:rPr>
        <w:t xml:space="preserve">sui generis </w:t>
      </w:r>
      <w:r w:rsidRPr="00D91062">
        <w:rPr>
          <w:noProof/>
          <w:color w:val="000000" w:themeColor="text1"/>
        </w:rPr>
        <w:t xml:space="preserve">pentru banda MSS de 2 GHz (care cuprinde banda de frecvențe </w:t>
      </w:r>
      <w:r w:rsidRPr="00D91062">
        <w:rPr>
          <w:noProof/>
        </w:rPr>
        <w:t>1 980-2 010 MHz pentru comunicațiile Pământ</w:t>
      </w:r>
      <w:r w:rsidR="00216996">
        <w:rPr>
          <w:noProof/>
        </w:rPr>
        <w:t>­</w:t>
      </w:r>
      <w:r w:rsidRPr="00D91062">
        <w:rPr>
          <w:noProof/>
        </w:rPr>
        <w:t>spațiu și banda de frecvențe 2 170-2 200 MHz pentru comunicațiile spațiu-Pământ)</w:t>
      </w:r>
      <w:r w:rsidRPr="00D91062">
        <w:rPr>
          <w:noProof/>
          <w:color w:val="000000" w:themeColor="text1"/>
        </w:rPr>
        <w:t xml:space="preserve">, prin care Comisia, împreună cu statele membre prin intermediul Comitetului pentru comunicații, a selectat titularii de licențe pentru furnizarea de servicii mobile prin satelit (MSS) la scară paneuropeană, în timp ce statele membre au acordat titularilor de licențe selectați drepturile de utilizare a frecvențelor pe teritoriul lor în condițiile comune stabilite în decizia respectivă. Aceste drepturi </w:t>
      </w:r>
      <w:r w:rsidRPr="00D91062">
        <w:rPr>
          <w:noProof/>
        </w:rPr>
        <w:t>urmează să expire în mai 2027, iar Uniunea ar trebui să ia o decizie cu privire la utilizarea viitoare a benzii.</w:t>
      </w:r>
    </w:p>
    <w:p w14:paraId="790FCE0D" w14:textId="77777777" w:rsidR="00D664CB" w:rsidRPr="00D91062" w:rsidRDefault="00D664CB" w:rsidP="00D664CB">
      <w:pPr>
        <w:pBdr>
          <w:top w:val="nil"/>
          <w:left w:val="nil"/>
          <w:bottom w:val="nil"/>
          <w:right w:val="nil"/>
          <w:between w:val="nil"/>
          <w:bar w:val="nil"/>
        </w:pBdr>
        <w:spacing w:before="0" w:after="240"/>
        <w:rPr>
          <w:noProof/>
        </w:rPr>
      </w:pPr>
      <w:r w:rsidRPr="00D91062">
        <w:rPr>
          <w:noProof/>
        </w:rPr>
        <w:t>Începând din 2008, au avut loc o serie de evoluții tehnologice și geopolitice care au afectat profund importanța acestei benzi. Apar constelații mari de sateliți pe orbita terestră joasă (LEO)</w:t>
      </w:r>
      <w:r w:rsidRPr="00D91062">
        <w:rPr>
          <w:rStyle w:val="FootnoteReference"/>
          <w:noProof/>
        </w:rPr>
        <w:footnoteReference w:id="2"/>
      </w:r>
      <w:r w:rsidRPr="00D91062">
        <w:rPr>
          <w:noProof/>
        </w:rPr>
        <w:t xml:space="preserve">, inclusiv ca parte a constelațiilor multiorbitale: funcția lor în spațiu poate fi comparată cu cea a turnurilor de comunicații mobile terestre, deoarece acestea permit sisteme hibride de comunicații terestre prin satelit și viitoare rețele mobile 6G convergente. </w:t>
      </w:r>
      <w:bookmarkStart w:id="1" w:name="_Hlk229217216"/>
      <w:r w:rsidRPr="00D91062">
        <w:rPr>
          <w:noProof/>
        </w:rPr>
        <w:t>Acestea oferă în special conectivitate directă de la satelit la dispozitiv (D2D), și anume conectivitate la telefoane mobile, tablete și alte dispozitive nemodificate ale utilizatorilor finali. Această infrastructură este vitală pentru asigurarea accesului la internet de mare viteză pentru toți, în special în regiunile insuficient deservite și îndepărtate, consolidând în același timp capabilitățile europene în domeniul comunicațiilor critice (răspuns în situații de urgență și apărare) și o componentă-cheie a rețelelor de comunicații reziliente care permit conectivitatea continuă în condiții dificile</w:t>
      </w:r>
      <w:bookmarkEnd w:id="1"/>
      <w:r w:rsidRPr="00D91062">
        <w:rPr>
          <w:noProof/>
        </w:rPr>
        <w:t>.</w:t>
      </w:r>
    </w:p>
    <w:p w14:paraId="6E60C5B3" w14:textId="7E1DFBB0" w:rsidR="00D664CB" w:rsidRPr="00D91062" w:rsidRDefault="00D664CB" w:rsidP="00D664CB">
      <w:pPr>
        <w:rPr>
          <w:noProof/>
        </w:rPr>
      </w:pPr>
      <w:r w:rsidRPr="00D91062">
        <w:rPr>
          <w:noProof/>
        </w:rPr>
        <w:t>Banda MSS de 2 GHz este spectrul optim pentru implementarea serviciilor D2D inovatoare prin satelit. Aceasta este armonizată pentru MSS (precum și pentru serviciile mobile terestre) la nivel mondial. În plus, este un loc convenabil pentru integrarea rețelelor terestre și non</w:t>
      </w:r>
      <w:r w:rsidR="00216996">
        <w:rPr>
          <w:noProof/>
        </w:rPr>
        <w:t>­</w:t>
      </w:r>
      <w:r w:rsidRPr="00D91062">
        <w:rPr>
          <w:noProof/>
        </w:rPr>
        <w:t>terestre (NTN), deoarece este, de asemenea, adiacentă benzilor alocate serviciilor mobile terestre și face ca susținerea prin chipseturi să fie relativ simplă. În al doilea rând, banda MSS de 2 GHz este suficient de mare pentru a putea suporta nu numai serviciile de voce și SMS, ci și serviciile în bandă largă. În consecință, o întreprindere care are acces la banda MSS de 2 GHz poate furniza servicii prin satelit direct utilizatorilor finali din Uniune și/sau o poate utiliza cu ușurință pentru sistemele terestre.</w:t>
      </w:r>
    </w:p>
    <w:p w14:paraId="118D6355" w14:textId="77777777" w:rsidR="00D664CB" w:rsidRPr="00D91062" w:rsidRDefault="00D664CB" w:rsidP="00D664CB">
      <w:pPr>
        <w:rPr>
          <w:rFonts w:asciiTheme="minorHAnsi" w:eastAsiaTheme="minorEastAsia" w:hAnsiTheme="minorHAnsi" w:cstheme="minorBidi"/>
          <w:noProof/>
          <w:szCs w:val="24"/>
        </w:rPr>
      </w:pPr>
      <w:r w:rsidRPr="00D91062">
        <w:rPr>
          <w:noProof/>
        </w:rPr>
        <w:t>În cele din urmă, conectivitatea prin satelit este din ce în ce mai vitală pentru suveranitatea tehnologică a UE, jucând un rol esențial în satisfacerea nevoilor de comunicare ale cetățenilor, ale întreprinderilor și ale guvernelor.</w:t>
      </w:r>
      <w:r w:rsidRPr="00D91062">
        <w:rPr>
          <w:rFonts w:asciiTheme="minorHAnsi" w:hAnsiTheme="minorHAnsi"/>
          <w:noProof/>
        </w:rPr>
        <w:t xml:space="preserve"> </w:t>
      </w:r>
      <w:r w:rsidRPr="00D91062">
        <w:rPr>
          <w:noProof/>
        </w:rPr>
        <w:t>Actorii guvernamentali ai Uniunii se bazează din ce în ce mai mult pe servicii de comunicații prin satelit sigure, fiabile și omniprezente, în special în scenariile în care sistemele terestre nu sunt disponibile, sunt perturbate sau nu sunt fiabile. În aceste cazuri, comunicațiile prin satelit sunt esențiale pentru menținerea unor capacități de comunicare continue și eficace pe întregul continent atunci când rețelele terestre eșuează.</w:t>
      </w:r>
    </w:p>
    <w:p w14:paraId="78287EBB" w14:textId="77777777" w:rsidR="00D664CB" w:rsidRPr="00D91062" w:rsidRDefault="00D664CB" w:rsidP="00D664CB">
      <w:pPr>
        <w:rPr>
          <w:rFonts w:eastAsia="Times New Roman"/>
          <w:noProof/>
        </w:rPr>
      </w:pPr>
      <w:r w:rsidRPr="00D91062">
        <w:rPr>
          <w:noProof/>
        </w:rPr>
        <w:lastRenderedPageBreak/>
        <w:t>Având în vedere cele de mai sus, este imperios necesară o intervenție a UE în ceea ce privește utilizarea pe termen lung a benzii MSS de 2 GHz. Această intervenție ar trebui să consolideze suveranitatea tehnologică și competitivitatea sectorului spațial prin integrarea evoluțiilor tehnologice recente în ceea ce privește conectivitatea prin satelit, abordând în același timp deficiențele de reglementare existente în banda MSS de 2 GHz.</w:t>
      </w:r>
      <w:r w:rsidRPr="00D91062">
        <w:rPr>
          <w:rFonts w:asciiTheme="minorHAnsi" w:hAnsiTheme="minorHAnsi"/>
          <w:noProof/>
          <w:sz w:val="22"/>
        </w:rPr>
        <w:t xml:space="preserve"> </w:t>
      </w:r>
    </w:p>
    <w:p w14:paraId="4492B761" w14:textId="77777777" w:rsidR="00D664CB" w:rsidRPr="00D91062" w:rsidRDefault="00D664CB" w:rsidP="00D664CB">
      <w:pPr>
        <w:rPr>
          <w:noProof/>
          <w:color w:val="000000" w:themeColor="text1"/>
        </w:rPr>
      </w:pPr>
      <w:r w:rsidRPr="00D91062">
        <w:rPr>
          <w:noProof/>
        </w:rPr>
        <w:t xml:space="preserve">Obiectivul prezentului regulament este, în primul rând, de a </w:t>
      </w:r>
      <w:r w:rsidRPr="00D91062">
        <w:rPr>
          <w:noProof/>
          <w:color w:val="000000" w:themeColor="text1"/>
        </w:rPr>
        <w:t xml:space="preserve">elabora </w:t>
      </w:r>
      <w:r w:rsidRPr="00D91062">
        <w:rPr>
          <w:noProof/>
        </w:rPr>
        <w:t xml:space="preserve">criterii comune pentru selectarea sistemelor MSS în conformitate cu obiectivele de politică actuale ale UE, în special </w:t>
      </w:r>
      <w:r w:rsidRPr="00D91062">
        <w:rPr>
          <w:noProof/>
          <w:color w:val="000000" w:themeColor="text1"/>
        </w:rPr>
        <w:t>competitivitatea și autonomia strategică a UE</w:t>
      </w:r>
      <w:r w:rsidRPr="00D91062">
        <w:rPr>
          <w:noProof/>
        </w:rPr>
        <w:t>.</w:t>
      </w:r>
      <w:r w:rsidRPr="00D91062">
        <w:rPr>
          <w:noProof/>
          <w:color w:val="000000" w:themeColor="text1"/>
        </w:rPr>
        <w:t xml:space="preserve"> </w:t>
      </w:r>
      <w:r w:rsidRPr="00D91062">
        <w:rPr>
          <w:noProof/>
        </w:rPr>
        <w:t xml:space="preserve">Se acordă o atenție deosebită facilitării unor </w:t>
      </w:r>
      <w:r w:rsidRPr="00D91062">
        <w:rPr>
          <w:noProof/>
          <w:color w:val="000000" w:themeColor="text1"/>
        </w:rPr>
        <w:t>sisteme securizate prin satelit ale UE care să furnizeze servicii de comunicații guvernamentale securizate în Uniune</w:t>
      </w:r>
      <w:r w:rsidRPr="00D91062">
        <w:rPr>
          <w:noProof/>
        </w:rPr>
        <w:t>.</w:t>
      </w:r>
      <w:r w:rsidRPr="00D91062">
        <w:rPr>
          <w:noProof/>
          <w:color w:val="000000" w:themeColor="text1"/>
        </w:rPr>
        <w:t xml:space="preserve"> Regulamentul ar trebui să promoveze în continuare </w:t>
      </w:r>
      <w:r w:rsidRPr="00D91062">
        <w:rPr>
          <w:noProof/>
        </w:rPr>
        <w:t xml:space="preserve">tehnologiile D2D prin satelit în cadrul noului ecosistem spațial, cu scopul de a consolida capacitățile industriale și științifice ale Uniunii, de a îmbunătăți serviciile de conectivitate pentru utilizatorii finali și de a consolida autonomia strategică a Europei, inclusiv lanțurile de aprovizionare reziliente. </w:t>
      </w:r>
    </w:p>
    <w:p w14:paraId="4B91F05C" w14:textId="01203187" w:rsidR="00D664CB" w:rsidRPr="00D91062" w:rsidRDefault="00D664CB" w:rsidP="00D664CB">
      <w:pPr>
        <w:spacing w:before="0"/>
        <w:rPr>
          <w:noProof/>
          <w:color w:val="000000" w:themeColor="text1"/>
        </w:rPr>
      </w:pPr>
      <w:r w:rsidRPr="00D91062">
        <w:rPr>
          <w:noProof/>
        </w:rPr>
        <w:t xml:space="preserve">În al doilea rând, prezentul </w:t>
      </w:r>
      <w:r w:rsidRPr="00D91062">
        <w:rPr>
          <w:noProof/>
          <w:color w:val="000000" w:themeColor="text1"/>
        </w:rPr>
        <w:t xml:space="preserve">regulament </w:t>
      </w:r>
      <w:r w:rsidRPr="00D91062">
        <w:rPr>
          <w:noProof/>
        </w:rPr>
        <w:t xml:space="preserve">va </w:t>
      </w:r>
      <w:r w:rsidRPr="00D91062">
        <w:rPr>
          <w:noProof/>
          <w:color w:val="000000" w:themeColor="text1"/>
        </w:rPr>
        <w:t xml:space="preserve">elimina </w:t>
      </w:r>
      <w:r w:rsidRPr="00D91062">
        <w:rPr>
          <w:noProof/>
        </w:rPr>
        <w:t xml:space="preserve">fragmentarea legislativă în banda MSS de 2 GHz pentru a promova implementarea rapidă a serviciilor paneuropene inovatoare de comunicații prin satelit. </w:t>
      </w:r>
      <w:r w:rsidRPr="00D91062">
        <w:rPr>
          <w:noProof/>
          <w:color w:val="000000" w:themeColor="text1"/>
        </w:rPr>
        <w:t xml:space="preserve">Acesta va spori eficiența, prin stabilirea unui titular de licență selectat la nivelul Uniunii pentru a implementa servicii paneuropene, în sprijinul </w:t>
      </w:r>
      <w:r w:rsidRPr="00D91062">
        <w:rPr>
          <w:noProof/>
        </w:rPr>
        <w:t xml:space="preserve">amplorii, al inovării și al concurenței loiale în sectorul spațial, precum și al </w:t>
      </w:r>
      <w:r w:rsidRPr="00D91062">
        <w:rPr>
          <w:noProof/>
          <w:color w:val="000000" w:themeColor="text1"/>
        </w:rPr>
        <w:t xml:space="preserve">fiabilității și securității conectivității UE. </w:t>
      </w:r>
      <w:r w:rsidRPr="00D91062">
        <w:rPr>
          <w:noProof/>
        </w:rPr>
        <w:t xml:space="preserve">Acesta va fi un corolar al cadrului propus privind autorizarea la nivelul Uniunii a sistemelor prin satelit, prevăzut în Actul legislativ privind rețelele digitale (DNA), care include acordarea de </w:t>
      </w:r>
      <w:r w:rsidRPr="00D91062">
        <w:rPr>
          <w:noProof/>
          <w:color w:val="000000" w:themeColor="text1"/>
        </w:rPr>
        <w:t xml:space="preserve">drepturi de utilizare a spectrului în condiții comune la nivelul UE și </w:t>
      </w:r>
      <w:r w:rsidRPr="00D91062">
        <w:rPr>
          <w:noProof/>
        </w:rPr>
        <w:t xml:space="preserve">se aplică tuturor benzilor de spectru pentru sateliți cu relevanță la nivelul UE. </w:t>
      </w:r>
    </w:p>
    <w:p w14:paraId="38BED762" w14:textId="77777777" w:rsidR="00D664CB" w:rsidRPr="00D91062" w:rsidRDefault="00D664CB" w:rsidP="00D664CB">
      <w:pPr>
        <w:rPr>
          <w:noProof/>
        </w:rPr>
      </w:pPr>
      <w:r w:rsidRPr="00D91062">
        <w:rPr>
          <w:noProof/>
        </w:rPr>
        <w:t xml:space="preserve">În cele din urmă, la cererea titularilor actuali de drepturi, Comisia poate decide să le prelungească drepturile de utilizare a spectrului pentru o durată necesară finalizării procesului de selecție care face obiectul prezentului </w:t>
      </w:r>
      <w:r w:rsidRPr="00D91062">
        <w:rPr>
          <w:noProof/>
          <w:color w:val="000000" w:themeColor="text1"/>
        </w:rPr>
        <w:t>regulament</w:t>
      </w:r>
      <w:r w:rsidRPr="00D91062">
        <w:rPr>
          <w:noProof/>
        </w:rPr>
        <w:t xml:space="preserve">, asigurând astfel și un anumit grad de continuitate a serviciului. Această prelungire poate face obiectul unor condiții. </w:t>
      </w:r>
    </w:p>
    <w:p w14:paraId="0C599BE7" w14:textId="77777777" w:rsidR="00D664CB" w:rsidRPr="00D91062" w:rsidRDefault="00D664CB" w:rsidP="00706B65">
      <w:pPr>
        <w:pStyle w:val="Bullet0"/>
        <w:rPr>
          <w:b/>
          <w:bCs/>
          <w:noProof/>
        </w:rPr>
      </w:pPr>
      <w:r w:rsidRPr="00D91062">
        <w:rPr>
          <w:b/>
          <w:noProof/>
        </w:rPr>
        <w:t>Coerența cu dispozițiile de politică deja existente în domeniul de politică vizat</w:t>
      </w:r>
    </w:p>
    <w:p w14:paraId="64BEA377" w14:textId="77777777" w:rsidR="00D664CB" w:rsidRPr="00D91062" w:rsidRDefault="00D664CB" w:rsidP="00D664CB">
      <w:pPr>
        <w:rPr>
          <w:noProof/>
        </w:rPr>
      </w:pPr>
      <w:r w:rsidRPr="00D91062">
        <w:rPr>
          <w:noProof/>
        </w:rPr>
        <w:t>Prezenta propunere este în concordanță cu programul de politică privind deceniul digital</w:t>
      </w:r>
      <w:r w:rsidRPr="00D91062">
        <w:rPr>
          <w:rStyle w:val="FootnoteReference"/>
          <w:noProof/>
        </w:rPr>
        <w:footnoteReference w:id="3"/>
      </w:r>
      <w:r w:rsidRPr="00D91062">
        <w:rPr>
          <w:noProof/>
        </w:rPr>
        <w:t xml:space="preserve"> și cu propunerea DNA</w:t>
      </w:r>
      <w:r w:rsidRPr="00D91062">
        <w:rPr>
          <w:rStyle w:val="FootnoteReference"/>
          <w:noProof/>
        </w:rPr>
        <w:footnoteReference w:id="4"/>
      </w:r>
      <w:r w:rsidRPr="00D91062">
        <w:rPr>
          <w:noProof/>
        </w:rPr>
        <w:t>.</w:t>
      </w:r>
    </w:p>
    <w:p w14:paraId="0091EF11" w14:textId="77777777" w:rsidR="00D664CB" w:rsidRPr="00D91062" w:rsidRDefault="00D664CB" w:rsidP="00D664CB">
      <w:pPr>
        <w:rPr>
          <w:noProof/>
        </w:rPr>
      </w:pPr>
      <w:r w:rsidRPr="00D91062">
        <w:rPr>
          <w:noProof/>
        </w:rPr>
        <w:t xml:space="preserve">Programul de politică privind deceniul digital stabilește obiective ambițioase în materie de conectivitate și infrastructură digitală în Uniune pentru 2030, care se bazează pe neutralitatea tehnologică, precum și pe interoperabilitatea, capacitatea și convergența rețelelor. MSS, în special cu capabilitate D2D prin satelit, oferă întreprinderilor și cetățenilor o conectivitate rezilientă complementară și promovează competitivitatea și suveranitatea Uniunii. În plus, conectivitatea D2D prin satelit va contribui la deceniul digital prin asigurarea conectivității în zonele îndepărtate ale UE, inclusiv în zonele polare de mare latitudine. </w:t>
      </w:r>
    </w:p>
    <w:p w14:paraId="798D02B0" w14:textId="77777777" w:rsidR="00D664CB" w:rsidRPr="00D91062" w:rsidRDefault="00D664CB" w:rsidP="00D664CB">
      <w:pPr>
        <w:spacing w:before="0" w:after="0"/>
        <w:rPr>
          <w:rFonts w:eastAsia="Times New Roman"/>
          <w:noProof/>
        </w:rPr>
      </w:pPr>
      <w:r w:rsidRPr="00D91062">
        <w:rPr>
          <w:noProof/>
          <w:color w:val="000000" w:themeColor="text1"/>
        </w:rPr>
        <w:t xml:space="preserve">Prezenta propunere este în concordanță cu propunerea DNA, care propune o autorizație UE pentru sateliți pentru întregul spectru de frecvențe radio prin satelit, în condiții de autorizare armonizate la nivelul UE. Prezenta propunere anticipează această abordare de autorizare la nivelul Uniunii prin asigurarea punerii sale în aplicare mai devreme în banda MSS de 2 GHz. În mod concret, acest lucru ar însemna că condițiile de autorizare pentru banda MSS de </w:t>
      </w:r>
      <w:r w:rsidRPr="00D91062">
        <w:rPr>
          <w:noProof/>
          <w:color w:val="000000" w:themeColor="text1"/>
        </w:rPr>
        <w:lastRenderedPageBreak/>
        <w:t xml:space="preserve">2 GHz vor fi elaborate la nivelul UE împreună cu statele membre și cu drepturile de utilizare a spectrului acordate la nivelul UE de către Comisie. </w:t>
      </w:r>
      <w:r w:rsidRPr="00D91062">
        <w:rPr>
          <w:noProof/>
        </w:rPr>
        <w:t xml:space="preserve">Ca și în cazul Deciziei </w:t>
      </w:r>
      <w:r w:rsidRPr="00D91062">
        <w:rPr>
          <w:noProof/>
          <w:color w:val="000000" w:themeColor="text1"/>
        </w:rPr>
        <w:t>nr. 626/2008/CE</w:t>
      </w:r>
      <w:r w:rsidRPr="00D91062">
        <w:rPr>
          <w:noProof/>
        </w:rPr>
        <w:t>, Comisia va fi împuternicită să desfășoare procesul de selecție a întreprinderilor autorizate să furnizeze sisteme prin satelit în banda MSS de 2 GHz.</w:t>
      </w:r>
    </w:p>
    <w:p w14:paraId="31AD1DE3" w14:textId="77777777" w:rsidR="00D664CB" w:rsidRPr="00D91062" w:rsidRDefault="00D664CB" w:rsidP="00D664CB">
      <w:pPr>
        <w:rPr>
          <w:rFonts w:eastAsia="Arial Unicode MS"/>
          <w:noProof/>
        </w:rPr>
      </w:pPr>
      <w:r w:rsidRPr="00D91062">
        <w:rPr>
          <w:noProof/>
        </w:rPr>
        <w:t>În plus, propunerea se aliniază la obiectivele prezentate în Strategia spațială a UE pentru securitate și apărare</w:t>
      </w:r>
      <w:r w:rsidRPr="00D91062">
        <w:rPr>
          <w:rStyle w:val="FootnoteReference"/>
          <w:noProof/>
        </w:rPr>
        <w:footnoteReference w:id="5"/>
      </w:r>
      <w:r w:rsidRPr="00D91062">
        <w:rPr>
          <w:noProof/>
        </w:rPr>
        <w:t>. Într-un mediu geopolitic din ce în ce mai competitiv, UE trebuie să își consolideze poziția strategică și autonomia în spațiu prin implementarea unui sistem prin satelit securizat, utilizând resursele Uniunii și ale statelor membre. Un element-cheie este alocarea benzii MSS de 2 GHz pentru a servi intereselor UE în ceea ce privește suveranitatea digitală, securitatea, fiabilitatea, reziliența, inovarea și poziția de lider tehnologic. În special, o parte din acest spectru valoros ar trebui utilizată pentru a consolida capacitățile guvernamentale securizate de comunicații prin satelit ale Uniunii în contextul obiectivelor programului IRIS²</w:t>
      </w:r>
      <w:r w:rsidRPr="00D91062">
        <w:rPr>
          <w:rStyle w:val="FootnoteReference"/>
          <w:noProof/>
        </w:rPr>
        <w:footnoteReference w:id="6"/>
      </w:r>
      <w:r w:rsidRPr="00D91062">
        <w:rPr>
          <w:noProof/>
        </w:rPr>
        <w:t xml:space="preserve"> și prin intermediul unui sistem securizat de sprijinire a gestionării crizelor și de facilitare a comunicațiilor critice, atunci când sistemele de comunicații terestre nu sunt disponibile, sunt perturbate sau nu sunt fiabile.</w:t>
      </w:r>
    </w:p>
    <w:p w14:paraId="59606DE5" w14:textId="77777777" w:rsidR="00D664CB" w:rsidRPr="00D91062" w:rsidRDefault="00D664CB" w:rsidP="00706B65">
      <w:pPr>
        <w:pStyle w:val="Bullet0"/>
        <w:rPr>
          <w:b/>
          <w:bCs/>
          <w:noProof/>
        </w:rPr>
      </w:pPr>
      <w:r w:rsidRPr="00D91062">
        <w:rPr>
          <w:b/>
          <w:noProof/>
        </w:rPr>
        <w:t>Coerența cu alte politici ale Uniunii</w:t>
      </w:r>
    </w:p>
    <w:p w14:paraId="6364E1A0" w14:textId="77777777" w:rsidR="00D664CB" w:rsidRPr="00D91062" w:rsidRDefault="00D664CB" w:rsidP="00D664CB">
      <w:pPr>
        <w:pBdr>
          <w:top w:val="nil"/>
          <w:left w:val="nil"/>
          <w:bottom w:val="nil"/>
          <w:right w:val="nil"/>
          <w:between w:val="nil"/>
          <w:bar w:val="nil"/>
        </w:pBdr>
        <w:spacing w:before="0" w:after="240"/>
        <w:rPr>
          <w:rFonts w:eastAsia="Arial Unicode MS"/>
          <w:noProof/>
        </w:rPr>
      </w:pPr>
      <w:r w:rsidRPr="00D91062">
        <w:rPr>
          <w:noProof/>
        </w:rPr>
        <w:t>Busola pentru competitivitate</w:t>
      </w:r>
      <w:r w:rsidRPr="00D91062">
        <w:rPr>
          <w:rStyle w:val="FootnoteReference"/>
          <w:noProof/>
        </w:rPr>
        <w:footnoteReference w:id="7"/>
      </w:r>
      <w:r w:rsidRPr="00D91062">
        <w:rPr>
          <w:noProof/>
        </w:rPr>
        <w:t xml:space="preserve"> subliniază importanța infrastructurii digitale avansate ca fiind fundamentală pentru asigurarea competitivității UE. Acesta recunoaște că conectivitatea, inclusiv cea furnizată de constelațiile de rețele prin satelit, este vitală pentru inovarea în afaceri, serviciile digitale și creșterea economică în toate statele membre. În plus, subliniază necesitatea de a elimina barierele de reglementare și de a armoniza normele pentru a crea o piață digitală fără sincope. Prin îmbunătățirea conectivității de mare viteză, UE urmărește să sprijine activitățile economice, să permită tehnologii digitale transformatoare, cum ar fi inteligența artificială (IA), și să asigure autonomia strategică a Europei în sectorul digital și în cel spațial.</w:t>
      </w:r>
    </w:p>
    <w:p w14:paraId="3030A57F" w14:textId="77777777" w:rsidR="00D664CB" w:rsidRPr="00D91062" w:rsidRDefault="00D664CB" w:rsidP="00D664CB">
      <w:pPr>
        <w:pBdr>
          <w:top w:val="nil"/>
          <w:left w:val="nil"/>
          <w:bottom w:val="nil"/>
          <w:right w:val="nil"/>
          <w:between w:val="nil"/>
          <w:bar w:val="nil"/>
        </w:pBdr>
        <w:spacing w:before="0" w:after="240"/>
        <w:rPr>
          <w:rFonts w:eastAsia="Arial Unicode MS"/>
          <w:noProof/>
        </w:rPr>
      </w:pPr>
      <w:r w:rsidRPr="00D91062">
        <w:rPr>
          <w:noProof/>
        </w:rPr>
        <w:t>Viziunea strategică a UE pentru economia spațială</w:t>
      </w:r>
      <w:r w:rsidRPr="00D91062">
        <w:rPr>
          <w:rStyle w:val="FootnoteReference"/>
          <w:noProof/>
        </w:rPr>
        <w:footnoteReference w:id="8"/>
      </w:r>
      <w:r w:rsidRPr="00D91062">
        <w:rPr>
          <w:noProof/>
        </w:rPr>
        <w:t xml:space="preserve"> recunoaște că instrumentele UE pentru investițiile legate de spațiu sunt strâns legate de necesitatea de eliminare a barierelor de reglementare. DNA și prezentul </w:t>
      </w:r>
      <w:r w:rsidRPr="00D91062">
        <w:rPr>
          <w:noProof/>
          <w:color w:val="000000" w:themeColor="text1"/>
        </w:rPr>
        <w:t xml:space="preserve">regulament </w:t>
      </w:r>
      <w:r w:rsidRPr="00D91062">
        <w:rPr>
          <w:noProof/>
        </w:rPr>
        <w:t xml:space="preserve">sunt considerate două dintre elementele constitutive esențiale pentru o piață unică a UE în domeniul spațial. Prin eliminarea barierelor de reglementare, prezentul </w:t>
      </w:r>
      <w:r w:rsidRPr="00D91062">
        <w:rPr>
          <w:noProof/>
          <w:color w:val="000000" w:themeColor="text1"/>
        </w:rPr>
        <w:t xml:space="preserve">regulament </w:t>
      </w:r>
      <w:r w:rsidRPr="00D91062">
        <w:rPr>
          <w:noProof/>
        </w:rPr>
        <w:t>va îmbunătăți accesul paneuropean la spectrul MSS și, astfel, va sta la baza pieței unice a serviciilor de comunicații prin satelit, permițând scalabilitatea și inovarea acestora. Investițiile în infrastructura de sateliți și în lanțul valoric asociat sunt abordate de alte instrumente ale UE care vizează în mod direct aspecte relevante, cum ar fi sprijinul financiar pentru constelația IRIS² multiorbitale, precum și de programe ale UE, cum ar fi CASSINI și InvestEU, care includ mecanisme de finanțare pentru operațiunile spațiale.</w:t>
      </w:r>
    </w:p>
    <w:p w14:paraId="5549C1F7" w14:textId="77777777" w:rsidR="00D664CB" w:rsidRPr="00D91062" w:rsidRDefault="00D664CB" w:rsidP="00D664CB">
      <w:pPr>
        <w:pBdr>
          <w:top w:val="nil"/>
          <w:left w:val="nil"/>
          <w:bottom w:val="nil"/>
          <w:right w:val="nil"/>
          <w:between w:val="nil"/>
          <w:bar w:val="nil"/>
        </w:pBdr>
        <w:spacing w:before="0" w:after="240"/>
        <w:rPr>
          <w:rFonts w:eastAsia="Arial Unicode MS"/>
          <w:noProof/>
        </w:rPr>
      </w:pPr>
      <w:r w:rsidRPr="00D91062">
        <w:rPr>
          <w:noProof/>
        </w:rPr>
        <w:lastRenderedPageBreak/>
        <w:t>În plus, prezentul regulament sprijină obiectivele Strategiei europene pentru securitate economică</w:t>
      </w:r>
      <w:r w:rsidRPr="00D91062">
        <w:rPr>
          <w:rStyle w:val="FootnoteReference"/>
          <w:noProof/>
        </w:rPr>
        <w:footnoteReference w:id="9"/>
      </w:r>
      <w:r w:rsidRPr="00D91062">
        <w:rPr>
          <w:noProof/>
        </w:rPr>
        <w:t>, care urmărește să consolideze reziliența economică a Uniunii, protejându-i în același timp prosperitatea și poziția de lider tehnologic într-un mediu din ce în ce mai incert și mai tensionat din punct de vedere geopolitic. Mai precis, prezentul regulament urmărește să aprofundeze piața unică a conectivității MSS și să sprijine industria Uniunii în lanțul de aprovizionare MSS, promovând astfel competitivitatea Uniunii. Acesta abordează industria spațială și de apărare, care a fost recunoscută drept unul dintre domeniile cu risc ridicat în Comunicarea comună privind consolidarea securității economice</w:t>
      </w:r>
      <w:r w:rsidRPr="00D91062">
        <w:rPr>
          <w:rStyle w:val="FootnoteReference"/>
          <w:noProof/>
        </w:rPr>
        <w:footnoteReference w:id="10"/>
      </w:r>
      <w:r w:rsidRPr="00D91062">
        <w:rPr>
          <w:noProof/>
        </w:rPr>
        <w:t xml:space="preserve">, care prezintă măsuri concrete de consolidare a forței și rezilienței UE în fața amenințărilor economice externe tot mai mari, menținând în același timp deschiderea și angajamentul nostru față de comerțul și investițiile internaționale. </w:t>
      </w:r>
    </w:p>
    <w:p w14:paraId="09A30FDA" w14:textId="77777777" w:rsidR="00D664CB" w:rsidRPr="00D91062" w:rsidRDefault="00D664CB" w:rsidP="00D921F8">
      <w:pPr>
        <w:pStyle w:val="ManualHeading1"/>
        <w:rPr>
          <w:noProof/>
        </w:rPr>
      </w:pPr>
      <w:r w:rsidRPr="00D91062">
        <w:rPr>
          <w:noProof/>
        </w:rPr>
        <w:t>2.</w:t>
      </w:r>
      <w:r w:rsidRPr="00D91062">
        <w:rPr>
          <w:noProof/>
        </w:rPr>
        <w:tab/>
        <w:t>TEMEI JURIDIC, SUBSIDIARITATE ȘI PROPORȚIONALITATE</w:t>
      </w:r>
    </w:p>
    <w:p w14:paraId="4FA3DFFB" w14:textId="77777777" w:rsidR="00D664CB" w:rsidRPr="00D91062" w:rsidRDefault="00D664CB" w:rsidP="00706B65">
      <w:pPr>
        <w:pStyle w:val="Bullet0"/>
        <w:rPr>
          <w:b/>
          <w:bCs/>
          <w:noProof/>
        </w:rPr>
      </w:pPr>
      <w:r w:rsidRPr="00D91062">
        <w:rPr>
          <w:b/>
          <w:noProof/>
        </w:rPr>
        <w:t>Temeiul juridic</w:t>
      </w:r>
    </w:p>
    <w:p w14:paraId="5CD48C74" w14:textId="77777777" w:rsidR="00D664CB" w:rsidRPr="00D91062" w:rsidRDefault="00D664CB" w:rsidP="00D664CB">
      <w:pPr>
        <w:pBdr>
          <w:top w:val="nil"/>
          <w:left w:val="nil"/>
          <w:bottom w:val="nil"/>
          <w:right w:val="nil"/>
          <w:between w:val="nil"/>
          <w:bar w:val="nil"/>
        </w:pBdr>
        <w:spacing w:before="0" w:after="240"/>
        <w:rPr>
          <w:rFonts w:eastAsia="Arial Unicode MS"/>
          <w:noProof/>
          <w:color w:val="000000" w:themeColor="text1"/>
        </w:rPr>
      </w:pPr>
      <w:r w:rsidRPr="00D91062">
        <w:rPr>
          <w:noProof/>
          <w:color w:val="000000" w:themeColor="text1"/>
        </w:rPr>
        <w:t>Propunerea se întemeiază pe articolul 114 din Tratatul privind funcționarea Uniunii Europene (TFUE), deoarece vizează realizarea pieței interne a comunicațiilor prin satelit și asigurarea funcționării acesteia. Pe baza acestui temei juridic, colegiuitorii pot lua, de asemenea, măsuri de armonizare, în vederea creării unei piețe interne pentru furnizarea de comunicații guvernamentale securizate, contribuind astfel la securitatea și pregătirea Uniunii. Aceste servicii, care includ serviciile furnizate utilizatorilor autorizați de guverne, în scopul, printre altele, al supravegherii, al gestionării crizelor, al asigurării respectării legii, al conectării și al protecției infrastructurilor esențiale, al siguranței publice, al răspunsului în situații de urgență, al securității statului și al apărării, pot fi furnizate de operatorii de rețele de comunicații care utilizează rețele publice sau prin rețele private dedicate sau printr-o combinație a celor două.</w:t>
      </w:r>
    </w:p>
    <w:p w14:paraId="611D2A09" w14:textId="77777777" w:rsidR="00D664CB" w:rsidRPr="00D91062" w:rsidRDefault="00D664CB" w:rsidP="00706B65">
      <w:pPr>
        <w:pStyle w:val="Bullet0"/>
        <w:rPr>
          <w:b/>
          <w:bCs/>
          <w:noProof/>
        </w:rPr>
      </w:pPr>
      <w:r w:rsidRPr="00D91062">
        <w:rPr>
          <w:b/>
          <w:noProof/>
        </w:rPr>
        <w:t>Subsidiaritatea (în cazul competențelor neexclusive)</w:t>
      </w:r>
    </w:p>
    <w:p w14:paraId="36E28AB0" w14:textId="77777777" w:rsidR="00D664CB" w:rsidRPr="00D91062" w:rsidRDefault="00D664CB" w:rsidP="00D664CB">
      <w:pPr>
        <w:pBdr>
          <w:top w:val="nil"/>
          <w:left w:val="nil"/>
          <w:bottom w:val="nil"/>
          <w:right w:val="nil"/>
          <w:between w:val="nil"/>
          <w:bar w:val="nil"/>
        </w:pBdr>
        <w:spacing w:before="0" w:after="240"/>
        <w:rPr>
          <w:rFonts w:eastAsia="Arial Unicode MS"/>
          <w:noProof/>
          <w:color w:val="000000" w:themeColor="text1"/>
        </w:rPr>
      </w:pPr>
      <w:r w:rsidRPr="00D91062">
        <w:rPr>
          <w:noProof/>
          <w:color w:val="000000" w:themeColor="text1"/>
        </w:rPr>
        <w:t xml:space="preserve">Având în vedere caracterul transfrontalier intrinsec al rețelelor și serviciilor prin satelit, conectivitatea prin satelit reprezintă în mod clar un domeniu în care acțiunea la nivelul Uniunii ar fi mai eficace decât acțiunile întreprinse exclusiv la nivel național. Condițiile fragmentate în mod artificial pentru utilizarea spectrului de frecvențe prin satelit prin intermediul autorizațiilor naționale afectează în mod negativ implementarea în timp util a rețelelor și serviciilor prin satelit și au un impact asupra acoperirii și calității serviciului acestora. </w:t>
      </w:r>
    </w:p>
    <w:p w14:paraId="2BEF5F99" w14:textId="77777777" w:rsidR="00D664CB" w:rsidRPr="00D91062" w:rsidRDefault="00D664CB" w:rsidP="00D664CB">
      <w:pPr>
        <w:pBdr>
          <w:top w:val="nil"/>
          <w:left w:val="nil"/>
          <w:bottom w:val="nil"/>
          <w:right w:val="nil"/>
          <w:between w:val="nil"/>
          <w:bar w:val="nil"/>
        </w:pBdr>
        <w:spacing w:before="0" w:after="240"/>
        <w:rPr>
          <w:rFonts w:eastAsia="Arial Unicode MS"/>
          <w:noProof/>
          <w:color w:val="000000" w:themeColor="text1"/>
        </w:rPr>
      </w:pPr>
      <w:r w:rsidRPr="00D91062">
        <w:rPr>
          <w:noProof/>
          <w:color w:val="000000" w:themeColor="text1"/>
        </w:rPr>
        <w:t xml:space="preserve">Instituirea unei autorizații la nivelul UE pentru utilizarea benzii MSS de 2 GHz va simplifica actuala repartizare complexă a responsabilităților naționale de reglementare într-o bandă esențială de frecvențe prin satelit și va permite disponibilitatea și adoptarea în timp util a serviciilor prin satelit, cu avantaje semnificative pentru industria europeană și competitivitatea Uniunii. Există argumente puternice pentru ca UE, prin această inițiativă, să adopte o abordare ambițioasă ca o continuare majoră a propunerii privind DNA. </w:t>
      </w:r>
    </w:p>
    <w:p w14:paraId="19334C5F" w14:textId="77777777" w:rsidR="00D664CB" w:rsidRPr="00D91062" w:rsidRDefault="00D664CB" w:rsidP="00D664CB">
      <w:pPr>
        <w:pBdr>
          <w:top w:val="nil"/>
          <w:left w:val="nil"/>
          <w:bottom w:val="nil"/>
          <w:right w:val="nil"/>
          <w:between w:val="nil"/>
          <w:bar w:val="nil"/>
        </w:pBdr>
        <w:spacing w:before="0" w:after="240"/>
        <w:rPr>
          <w:rFonts w:eastAsia="Arial Unicode MS"/>
          <w:noProof/>
          <w:color w:val="000000" w:themeColor="text1"/>
        </w:rPr>
      </w:pPr>
      <w:r w:rsidRPr="00D91062">
        <w:rPr>
          <w:noProof/>
          <w:color w:val="000000" w:themeColor="text1"/>
        </w:rPr>
        <w:t xml:space="preserve">Consolidarea competitivității Uniunii necesită accesul în timp util la servicii prin satelit sigure, reziliente și inovatoare. Într-un context în care peisajul conectivității digitale se schimbă rapid odată cu convergența rețelelor terestre (mobile) și prin satelit, determinată de virtualizarea rețelelor și de inteligența artificială (IA), UE va fi în măsură să atingă acest </w:t>
      </w:r>
      <w:r w:rsidRPr="00D91062">
        <w:rPr>
          <w:noProof/>
          <w:color w:val="000000" w:themeColor="text1"/>
        </w:rPr>
        <w:lastRenderedPageBreak/>
        <w:t>obiectiv numai printr-un mediu juridic mai armonizat – în general și în special cu banda MSS de 2 GHz – care să evite practicile naționale inconsecvente de autorizare care limitează oportunitățile pieței unice.</w:t>
      </w:r>
    </w:p>
    <w:p w14:paraId="60059F8B" w14:textId="77777777" w:rsidR="00D664CB" w:rsidRPr="00D91062" w:rsidRDefault="00D664CB" w:rsidP="00D664CB">
      <w:pPr>
        <w:pBdr>
          <w:top w:val="nil"/>
          <w:left w:val="nil"/>
          <w:bottom w:val="nil"/>
          <w:right w:val="nil"/>
          <w:between w:val="nil"/>
          <w:bar w:val="nil"/>
        </w:pBdr>
        <w:spacing w:before="0" w:after="240"/>
        <w:rPr>
          <w:rFonts w:eastAsia="Arial Unicode MS"/>
          <w:noProof/>
          <w:color w:val="000000" w:themeColor="text1"/>
        </w:rPr>
      </w:pPr>
      <w:r w:rsidRPr="00D91062">
        <w:rPr>
          <w:noProof/>
          <w:color w:val="000000" w:themeColor="text1"/>
        </w:rPr>
        <w:t xml:space="preserve">Noul cadru juridic în banda MSS de 2 GHz va oferi claritate și certitudine în materie de reglementare, stimulând încrederea comercială și încurajând adoptarea serviciilor D2D prin satelit inovatoare pe o piață mondială din ce în ce mai competitivă prin i) înlocuirea actualului sistem fragmentat de modele naționale de autorizare – multe dintre acestea având deosebiri semnificative în ceea ce privește procedurile, condițiile și taxele – cu un cadru unificat la nivelul UE; ii) evitarea întârzierilor și a interpretărilor inconsecvente ale cerințelor de conformitate și de raportare, cum ar fi cele cu care se confruntă în prezent operatorii de sateliți în banda MSS de 2 GHz; iii) sprijinirea furnizării fără sincope a serviciilor mobile paneuropene prin satelit, facilitate de o autorizație unică a UE pentru accesul la piața unică. </w:t>
      </w:r>
    </w:p>
    <w:p w14:paraId="52C678D4" w14:textId="77777777" w:rsidR="00D664CB" w:rsidRPr="00D91062" w:rsidRDefault="00D664CB" w:rsidP="00706B65">
      <w:pPr>
        <w:pStyle w:val="Bullet0"/>
        <w:rPr>
          <w:b/>
          <w:bCs/>
          <w:noProof/>
        </w:rPr>
      </w:pPr>
      <w:r w:rsidRPr="00D91062">
        <w:rPr>
          <w:b/>
          <w:noProof/>
        </w:rPr>
        <w:t>Proporționalitatea</w:t>
      </w:r>
    </w:p>
    <w:p w14:paraId="231634FC" w14:textId="77777777" w:rsidR="00D664CB" w:rsidRPr="00D91062" w:rsidRDefault="00D664CB" w:rsidP="00D664CB">
      <w:pPr>
        <w:pBdr>
          <w:top w:val="nil"/>
          <w:left w:val="nil"/>
          <w:bottom w:val="nil"/>
          <w:right w:val="nil"/>
          <w:between w:val="nil"/>
          <w:bar w:val="nil"/>
        </w:pBdr>
        <w:spacing w:before="0" w:after="240"/>
        <w:rPr>
          <w:rFonts w:eastAsia="Arial Unicode MS"/>
          <w:noProof/>
          <w:color w:val="000000" w:themeColor="text1"/>
        </w:rPr>
      </w:pPr>
      <w:r w:rsidRPr="00D91062">
        <w:rPr>
          <w:noProof/>
          <w:color w:val="000000" w:themeColor="text1"/>
        </w:rPr>
        <w:t>Această inițiativă se bazează pe Decizia nr. 626/2008/CE, care se axează pe eliminarea blocajelor de pe piața unică a UE și pe alinierea dispozițiilor acesteia la evoluțiile politicilor, ale pieței și ale tehnologiei.</w:t>
      </w:r>
    </w:p>
    <w:p w14:paraId="25FB6477" w14:textId="77777777" w:rsidR="00D664CB" w:rsidRPr="00D91062" w:rsidRDefault="00D664CB" w:rsidP="00D664CB">
      <w:pPr>
        <w:pBdr>
          <w:top w:val="nil"/>
          <w:left w:val="nil"/>
          <w:bottom w:val="nil"/>
          <w:right w:val="nil"/>
          <w:between w:val="nil"/>
          <w:bar w:val="nil"/>
        </w:pBdr>
        <w:spacing w:before="0" w:after="240"/>
        <w:rPr>
          <w:rFonts w:eastAsia="Arial Unicode MS"/>
          <w:noProof/>
          <w:color w:val="000000" w:themeColor="text1"/>
        </w:rPr>
      </w:pPr>
      <w:r w:rsidRPr="00D91062">
        <w:rPr>
          <w:noProof/>
          <w:color w:val="000000" w:themeColor="text1"/>
        </w:rPr>
        <w:t xml:space="preserve">Deși, în principiu, </w:t>
      </w:r>
      <w:r w:rsidRPr="00D91062">
        <w:rPr>
          <w:noProof/>
        </w:rPr>
        <w:t xml:space="preserve">Decizia nr. 626/2008/CE </w:t>
      </w:r>
      <w:r w:rsidRPr="00D91062">
        <w:rPr>
          <w:noProof/>
          <w:color w:val="000000" w:themeColor="text1"/>
        </w:rPr>
        <w:t>ar putea fi utilizată în continuare pentru o nouă selecție și autorizare în banda MSS de 2 GHz, domeniul său de aplicare și conținutul său nu corespund priorităților politice actuale ale UE, inclusiv în ceea ce privește suveranitatea și evoluțiile rapide ale pieței sateliților și ale tehnologiei în sectorul sateliților. Aceasta conține, printre altele, criterii de selecție și condiții de autorizare depășite, care se potrivesc mai multor sisteme de sateliți pe orbită geostaționară (GSO), dar nu corespund evoluțiilor tehnologice recente, în special utilizării constelațiilor de sateliți LEO pentru furnizarea conectivității directe de la satelit la dispozitiv (D2D). Posibilitatea de a detalia criteriile de selecție prin intermediul unui act de punere în aplicare al Comisiei, prevăzută la articolul 6 alineatul (2) din Decizia nr. 626/2008/CE, nu este considerată suficientă pentru atingerea acestor obiective, cel puțin deoarece un astfel de act nu poate să modifice ponderea criteriilor de selecție sau să modifice în mod substanțial domeniul de aplicare al acestora.</w:t>
      </w:r>
    </w:p>
    <w:p w14:paraId="3849F68F" w14:textId="77777777" w:rsidR="00D664CB" w:rsidRPr="00D91062" w:rsidRDefault="00D664CB" w:rsidP="00D664CB">
      <w:pPr>
        <w:pBdr>
          <w:top w:val="nil"/>
          <w:left w:val="nil"/>
          <w:bottom w:val="nil"/>
          <w:right w:val="nil"/>
          <w:between w:val="nil"/>
          <w:bar w:val="nil"/>
        </w:pBdr>
        <w:spacing w:before="0" w:after="240"/>
        <w:rPr>
          <w:rFonts w:eastAsia="Arial Unicode MS"/>
          <w:noProof/>
          <w:color w:val="000000" w:themeColor="text1"/>
        </w:rPr>
      </w:pPr>
      <w:r w:rsidRPr="00D91062">
        <w:rPr>
          <w:noProof/>
          <w:color w:val="000000" w:themeColor="text1"/>
        </w:rPr>
        <w:t>Prin urmare, o abordare proporțională pentru atingerea acestor obiective este abrogarea Deciziei nr. 626/2008/CE și înlocuirea acesteia cu o nouă propunere de regulament.</w:t>
      </w:r>
    </w:p>
    <w:p w14:paraId="088490D0" w14:textId="77777777" w:rsidR="00D664CB" w:rsidRPr="00D91062" w:rsidRDefault="00D664CB" w:rsidP="00706B65">
      <w:pPr>
        <w:pStyle w:val="Bullet0"/>
        <w:rPr>
          <w:b/>
          <w:bCs/>
          <w:noProof/>
        </w:rPr>
      </w:pPr>
      <w:r w:rsidRPr="00D91062">
        <w:rPr>
          <w:b/>
          <w:noProof/>
        </w:rPr>
        <w:t>Alegerea instrumentului</w:t>
      </w:r>
    </w:p>
    <w:p w14:paraId="60B42C44" w14:textId="77777777" w:rsidR="003F733F" w:rsidRPr="00D91062" w:rsidRDefault="00D664CB" w:rsidP="00BD6960">
      <w:pPr>
        <w:rPr>
          <w:b/>
          <w:smallCaps/>
          <w:noProof/>
        </w:rPr>
      </w:pPr>
      <w:r w:rsidRPr="00D91062">
        <w:rPr>
          <w:noProof/>
        </w:rPr>
        <w:t>Comisia propune un regulament, deoarece acesta asigură eliminarea barierelor de pe piața unică prin armonizarea abordării și eliminarea fragmentării în materie de reglementare în banda MSS de 2 GHz pentru a promova implementarea rapidă a serviciilor paneuropene inovatoare de comunicații prin satelit. Forma juridică a actului actual este o decizie, care a fost adresată numai statelor membre, întrucât autorizațiile au fost acordate la nivel național, iar statele membre și-au păstrat competențele de executare. Un regulament este mai adecvat, deoarece acest act conferă competențe Comisiei și creează drepturi și obligații directe pentru întreprinderi și stabilește cadrul pentru autorizarea și supravegherea acestora la nivelul Uniunii.</w:t>
      </w:r>
    </w:p>
    <w:p w14:paraId="7B130916" w14:textId="77777777" w:rsidR="00D664CB" w:rsidRPr="00D91062" w:rsidRDefault="00D664CB" w:rsidP="00216996">
      <w:pPr>
        <w:pStyle w:val="ManualHeading1"/>
        <w:ind w:left="851" w:hanging="851"/>
        <w:rPr>
          <w:noProof/>
        </w:rPr>
      </w:pPr>
      <w:r w:rsidRPr="00D91062">
        <w:rPr>
          <w:noProof/>
        </w:rPr>
        <w:lastRenderedPageBreak/>
        <w:t>3.</w:t>
      </w:r>
      <w:r w:rsidRPr="00D91062">
        <w:rPr>
          <w:noProof/>
        </w:rPr>
        <w:tab/>
        <w:t xml:space="preserve">REZULTATELE EVALUĂRILOR </w:t>
      </w:r>
      <w:r w:rsidRPr="00D91062">
        <w:rPr>
          <w:i/>
          <w:noProof/>
        </w:rPr>
        <w:t>EX POST</w:t>
      </w:r>
      <w:r w:rsidRPr="00D91062">
        <w:rPr>
          <w:noProof/>
        </w:rPr>
        <w:t>, ALE CONSULTĂRILOR CU PĂRȚILE INTERESATE ȘI ALE EVALUĂRILOR IMPACTULUI</w:t>
      </w:r>
    </w:p>
    <w:p w14:paraId="24508FC6" w14:textId="77777777" w:rsidR="00D664CB" w:rsidRPr="00D91062" w:rsidRDefault="00D664CB" w:rsidP="00216996">
      <w:pPr>
        <w:pStyle w:val="Bullet0"/>
        <w:keepNext/>
        <w:ind w:left="851" w:hanging="851"/>
        <w:rPr>
          <w:b/>
          <w:bCs/>
          <w:noProof/>
        </w:rPr>
      </w:pPr>
      <w:r w:rsidRPr="00D91062">
        <w:rPr>
          <w:b/>
          <w:noProof/>
        </w:rPr>
        <w:t xml:space="preserve">Evaluările </w:t>
      </w:r>
      <w:r w:rsidRPr="00D91062">
        <w:rPr>
          <w:b/>
          <w:i/>
          <w:noProof/>
        </w:rPr>
        <w:t>ex post</w:t>
      </w:r>
      <w:r w:rsidRPr="00D91062">
        <w:rPr>
          <w:b/>
          <w:noProof/>
        </w:rPr>
        <w:t>/verificarea adecvării legislației existente</w:t>
      </w:r>
    </w:p>
    <w:p w14:paraId="41A85F4B" w14:textId="77777777" w:rsidR="00D664CB" w:rsidRPr="00D91062" w:rsidRDefault="00D664CB" w:rsidP="00D664CB">
      <w:pPr>
        <w:rPr>
          <w:rFonts w:eastAsia="Times New Roman"/>
          <w:noProof/>
          <w:szCs w:val="24"/>
        </w:rPr>
      </w:pPr>
      <w:r w:rsidRPr="00D91062">
        <w:rPr>
          <w:noProof/>
        </w:rPr>
        <w:t>Această inițiativă se bazează pe evaluarea</w:t>
      </w:r>
      <w:r w:rsidRPr="00D91062">
        <w:rPr>
          <w:rStyle w:val="FootnoteReference"/>
          <w:noProof/>
        </w:rPr>
        <w:footnoteReference w:id="11"/>
      </w:r>
      <w:r w:rsidRPr="00D91062">
        <w:rPr>
          <w:noProof/>
        </w:rPr>
        <w:t xml:space="preserve"> efectuată pentru DNA, care evidențiază lacune semnificative în abordarea securității și a rezilienței infrastructurilor integrate de comunicații electronice, inclusiv a sistemelor prin satelit și submarine, în contextul geopolitic actual. Schimbările tehnologice, de piață și geopolitice recente au amplificat preocupările cu privire la concurență, securitate, reziliență și suveranitate tehnologică în aceste domenii. </w:t>
      </w:r>
    </w:p>
    <w:p w14:paraId="735C9B35" w14:textId="77777777" w:rsidR="00D664CB" w:rsidRPr="00D91062" w:rsidRDefault="00D664CB" w:rsidP="00D664CB">
      <w:pPr>
        <w:rPr>
          <w:rFonts w:eastAsia="Times New Roman"/>
          <w:noProof/>
          <w:szCs w:val="24"/>
        </w:rPr>
      </w:pPr>
      <w:r w:rsidRPr="00D91062">
        <w:rPr>
          <w:noProof/>
        </w:rPr>
        <w:t>Evaluarea constată, de asemenea, că instituirea unei piețe unice pentru serviciile prin satelit cu potențial transfrontalier rămâne dificil de realizat din cauza mai multor provocări. În prezent, nu există condiții sau cerințe standardizate de autorizare pentru spectrul de frecvențe radio mobile prin satelit în întreaga UE. Acest lucru duce la discrepanțe în ceea ce privește termenele de acordare a licențelor, abordările naționale în materie de coordonare, taxele și condițiile de acordare a licențelor. Pentru a justifica aceste discrepanțe, evaluarea utilizează tocmai exemplul benzii MSS de 2 GHz, în care autorizația națională a două întreprinderi selectate la nivelul Uniunii a condus la patru tipuri de autorizații ale spectrului, cu diferite condiții de autorizare. Evaluarea subliniază că o astfel de fragmentare afectează capacitatea pieței interne de a asigura condiții de concurență echitabile în spațiu, complică eforturile de intensificare a serviciilor mobile prin satelit la nivelul UE și încurajează căutarea instanței celei mai favorabile în materie de reglementare. Aceste bariere subminează gradul de pregătire al UE pentru oportunitatea și provocarea „de la satelit direct la dispozitiv”, sporind dependența strategică de entități străine pentru servicii esențiale pentru securitate și apărare.</w:t>
      </w:r>
    </w:p>
    <w:p w14:paraId="42BB2DB9" w14:textId="77777777" w:rsidR="00D664CB" w:rsidRPr="00D91062" w:rsidRDefault="00D664CB" w:rsidP="00D664CB">
      <w:pPr>
        <w:rPr>
          <w:rFonts w:eastAsia="Times New Roman"/>
          <w:noProof/>
        </w:rPr>
      </w:pPr>
      <w:r w:rsidRPr="00D91062">
        <w:rPr>
          <w:noProof/>
        </w:rPr>
        <w:t>În ceea ce privește autorizarea și obiectivele, evaluarea concluzionează că normele fragmentate – în special cele din cadrul regimului de autorizare generală și discrepanțele naționale în ceea ce privește asigurarea respectării legii – creează obstacole semnificative pentru întreprinderile care doresc să implementeze servicii paneuropene inovatoare. Evaluarea subliniază necesitatea de a reechilibra obiectivele prin acordarea de prioritate tuturor aspectelor legate de conectivitate, inclusiv rețelelor verzi, prin creșterea competitivității pentru inovațiile avansate în materie de infrastructură și prin integrarea securității și rezilienței infrastructurii în obiectivele principale ale unui cadru revizuit.</w:t>
      </w:r>
    </w:p>
    <w:p w14:paraId="21D5FA96" w14:textId="77777777" w:rsidR="00D664CB" w:rsidRPr="00D91062" w:rsidRDefault="00D664CB" w:rsidP="00706B65">
      <w:pPr>
        <w:pStyle w:val="Bullet0"/>
        <w:rPr>
          <w:b/>
          <w:bCs/>
          <w:noProof/>
        </w:rPr>
      </w:pPr>
      <w:r w:rsidRPr="00D91062">
        <w:rPr>
          <w:b/>
          <w:noProof/>
        </w:rPr>
        <w:t>Consultările cu părțile interesate</w:t>
      </w:r>
    </w:p>
    <w:p w14:paraId="28FB00F2" w14:textId="77777777" w:rsidR="00D664CB" w:rsidRPr="00D91062" w:rsidRDefault="00D664CB" w:rsidP="00D664CB">
      <w:pPr>
        <w:rPr>
          <w:noProof/>
        </w:rPr>
      </w:pPr>
      <w:r w:rsidRPr="00D91062">
        <w:rPr>
          <w:noProof/>
        </w:rPr>
        <w:t xml:space="preserve">Comisia a colectat contribuțiile părților interesate din trei surse diferite și complementare. </w:t>
      </w:r>
    </w:p>
    <w:p w14:paraId="405FFD16" w14:textId="77777777" w:rsidR="00D664CB" w:rsidRPr="00D91062" w:rsidRDefault="00D664CB" w:rsidP="00D664CB">
      <w:pPr>
        <w:rPr>
          <w:noProof/>
        </w:rPr>
      </w:pPr>
      <w:r w:rsidRPr="00D91062">
        <w:rPr>
          <w:noProof/>
        </w:rPr>
        <w:t>În primul rând, în cadrul consultării privind Cartea albă – „Cum se pot gestiona nevoile Europei în materie de infrastructură digitală?”</w:t>
      </w:r>
      <w:r w:rsidRPr="00D91062">
        <w:rPr>
          <w:rStyle w:val="FootnoteReference"/>
          <w:noProof/>
        </w:rPr>
        <w:footnoteReference w:id="12"/>
      </w:r>
      <w:r w:rsidRPr="00D91062">
        <w:rPr>
          <w:noProof/>
        </w:rPr>
        <w:t>, o serie de părți interesate au susținut opinia potrivit căreia conectivitatea prin satelit este vitală pentru reziliența Europei. Acestea au remarcat că sateliții pot funcționa chiar și atunci când rețelele terestre sunt deteriorate sau inaccesibile, devenind indispensabili pentru personalul de intervenție în caz de urgență, echipele umanitare și echipele de reparații în timpul operațiunilor de ajutor în caz de dezastre și de recuperare. În plus, unele părți interesate au propus o structură paneuropeană de alocare a spectrului de frecvențe prin satelit în banda MSS de 2 GHz, cu obligații de acces cu ridicata pentru furnizorii de servicii legate de internetul obiectelor (IoT), pentru a sprijini poziția de lider a Europei pe piața mondială a IoT.</w:t>
      </w:r>
    </w:p>
    <w:p w14:paraId="3D7CFF2C" w14:textId="77777777" w:rsidR="00D664CB" w:rsidRPr="00D91062" w:rsidRDefault="00D664CB" w:rsidP="00D664CB">
      <w:pPr>
        <w:rPr>
          <w:noProof/>
        </w:rPr>
      </w:pPr>
      <w:r w:rsidRPr="00D91062">
        <w:rPr>
          <w:noProof/>
        </w:rPr>
        <w:lastRenderedPageBreak/>
        <w:t>În al doilea rând, în cererea de contribuții din cadrul Actului legislativ privind rețelele digitale</w:t>
      </w:r>
      <w:r w:rsidRPr="00D91062">
        <w:rPr>
          <w:rStyle w:val="FootnoteReference"/>
          <w:noProof/>
        </w:rPr>
        <w:footnoteReference w:id="13"/>
      </w:r>
      <w:r w:rsidRPr="00D91062">
        <w:rPr>
          <w:noProof/>
        </w:rPr>
        <w:t xml:space="preserve">, o abordare armonizată la nivelul UE a accesului pe piața sateliților a fost considerată esențială pentru a debloca întregul potențial al conectivității prin satelit în întreaga UE de către o serie de operatori de sateliți, care au remarcat că cererea tot mai mare de acces prin satelit, combinată cu proceduri de autorizare fragmentate și nearmonizate, poate conduce la rezultate discriminatorii, poate încuraja căutarea instanței celei mai favorabile și poate ridica bariere în calea dezvoltării serviciilor transfrontaliere prin satelit. </w:t>
      </w:r>
      <w:r w:rsidRPr="00D91062">
        <w:rPr>
          <w:noProof/>
          <w:color w:val="000000" w:themeColor="text1"/>
        </w:rPr>
        <w:t xml:space="preserve">Operatorii de sateliți au solicitat în special simplificarea reglementărilor (de exemplu, a obligațiilor de raportare existente) și eliminarea sarcinilor de reglementare inutile, de exemplu printr-o mai mare coerență în ceea ce privește cerințele pentru autorizarea sateliților, respectarea și aplicarea cadrelor naționale și reducerea suprapunerilor în reglementările UE. </w:t>
      </w:r>
    </w:p>
    <w:p w14:paraId="7F560E14" w14:textId="77777777" w:rsidR="00D664CB" w:rsidRPr="00D91062" w:rsidRDefault="00D664CB" w:rsidP="00D664CB">
      <w:pPr>
        <w:rPr>
          <w:noProof/>
        </w:rPr>
      </w:pPr>
      <w:r w:rsidRPr="00D91062">
        <w:rPr>
          <w:noProof/>
          <w:color w:val="000000" w:themeColor="text1"/>
        </w:rPr>
        <w:t xml:space="preserve">Unii operatori au sprijinit un mecanism la nivelul UE pentru selectarea operatorilor de sateliți (de exemplu, pe baza Deciziei nr. 626/2008/CE) și/sau o autorizație comună pentru sateliți la nivelul UE. </w:t>
      </w:r>
      <w:r w:rsidRPr="00D91062">
        <w:rPr>
          <w:noProof/>
        </w:rPr>
        <w:t xml:space="preserve">Părțile interesate au subliniat necesitatea de a asigura previzibilitatea pe termen lung a spectrului prin condiții flexibile și transparente de alocare, inclusiv condiții îmbunătățite de reînnoire a licențelor. În plus, părțile interesate au subliniat necesitatea unor condiții de concurență echitabile atât pentru întreprinderile nou-intrate pe piață, cât și pentru operatorii tradiționali, inclusiv între constelațiile de sateliți care accesează piața UE și rețelele mobile terestre. Acestea au subliniat, de asemenea, necesitatea de a aborda potențialele riscuri de interferență pe care le pot prezenta serviciile prin satelit direct de la satelit la dispozitiv pentru sistemele terestre existente și de a asigura coerența cu standardele 3GPP. </w:t>
      </w:r>
    </w:p>
    <w:p w14:paraId="2366FFF7" w14:textId="77777777" w:rsidR="00D664CB" w:rsidRPr="00D91062" w:rsidRDefault="00D664CB" w:rsidP="00D664CB">
      <w:pPr>
        <w:rPr>
          <w:rFonts w:eastAsia="Arial Unicode MS"/>
          <w:noProof/>
        </w:rPr>
      </w:pPr>
      <w:r w:rsidRPr="00D91062">
        <w:rPr>
          <w:noProof/>
        </w:rPr>
        <w:t>În cele din urmă, consultarea</w:t>
      </w:r>
      <w:r w:rsidRPr="00D91062">
        <w:rPr>
          <w:rStyle w:val="FootnoteReference"/>
          <w:noProof/>
        </w:rPr>
        <w:footnoteReference w:id="14"/>
      </w:r>
      <w:r w:rsidRPr="00D91062">
        <w:rPr>
          <w:noProof/>
        </w:rPr>
        <w:t xml:space="preserve"> specifică privind utilizarea viitoare a serviciilor mobile prin satelit (MSS) în banda de 2 GHz a evidențiat următoarele aspecte majore: i) mai mulți respondenți au subliniat necesitatea unui spectru specific pentru nevoile suverane și autonomia strategică a UE; ii) majoritatea respondenților au subliniat importanța benzii MSS de 2 GHz a UE ca punct optim al spectrului pentru furnizarea diferitelor servicii D2D și IoT prin satelit cu o bună acoperire și performanță</w:t>
      </w:r>
      <w:r w:rsidRPr="00D91062">
        <w:rPr>
          <w:rStyle w:val="FootnoteReference"/>
          <w:noProof/>
        </w:rPr>
        <w:footnoteReference w:id="15"/>
      </w:r>
      <w:r w:rsidRPr="00D91062">
        <w:rPr>
          <w:noProof/>
        </w:rPr>
        <w:t xml:space="preserve"> și iii) majoritatea respondenților au sprijinit, de asemenea, necesitatea unei actualizări a criteriilor de selecție prevăzute în Decizia nr. 626/2008/CE pentru a reflecta evoluțiile actuale ale tehnologiei și ale pieței, precum și elementele de securitate din canalul de distribuție digitală. </w:t>
      </w:r>
    </w:p>
    <w:p w14:paraId="41767362" w14:textId="77777777" w:rsidR="00D664CB" w:rsidRPr="00D91062" w:rsidRDefault="00D664CB" w:rsidP="00706B65">
      <w:pPr>
        <w:pStyle w:val="Bullet0"/>
        <w:rPr>
          <w:b/>
          <w:bCs/>
          <w:noProof/>
        </w:rPr>
      </w:pPr>
      <w:r w:rsidRPr="00D91062">
        <w:rPr>
          <w:b/>
          <w:noProof/>
        </w:rPr>
        <w:t>Obținerea și utilizarea cunoștințelor de specialitate</w:t>
      </w:r>
    </w:p>
    <w:p w14:paraId="78354978" w14:textId="77777777" w:rsidR="00D664CB" w:rsidRPr="00D91062" w:rsidRDefault="00D664CB" w:rsidP="00D664CB">
      <w:pPr>
        <w:rPr>
          <w:noProof/>
        </w:rPr>
      </w:pPr>
      <w:r w:rsidRPr="00D91062">
        <w:rPr>
          <w:noProof/>
        </w:rPr>
        <w:t xml:space="preserve">Comisia a obținut expertiză din partea Grupului pentru politica în domeniul spectrului de frecvențe radio (RSPG), un grup consultativ la nivel înalt care asistă Comisia în dezvoltarea politicii în domeniul spectrului de frecvențe radio și care a emis două avize cu privire la chestiunea în cauză. </w:t>
      </w:r>
    </w:p>
    <w:p w14:paraId="2F507CC0" w14:textId="77777777" w:rsidR="00D664CB" w:rsidRPr="00D91062" w:rsidRDefault="00D664CB" w:rsidP="00D664CB">
      <w:pPr>
        <w:rPr>
          <w:noProof/>
        </w:rPr>
      </w:pPr>
      <w:r w:rsidRPr="00D91062">
        <w:rPr>
          <w:noProof/>
        </w:rPr>
        <w:t>În primul rând, în 2024, avizul RSPG privind evaluarea diferitelor scenarii posibile pentru utilizarea benzilor de frecvențe de 1 980-2 010 MHz și 2 170-2 200 MHz de către serviciile mobile prin satelit după 2027</w:t>
      </w:r>
      <w:r w:rsidRPr="00D91062">
        <w:rPr>
          <w:rStyle w:val="FootnoteReference"/>
          <w:noProof/>
        </w:rPr>
        <w:footnoteReference w:id="16"/>
      </w:r>
      <w:r w:rsidRPr="00D91062">
        <w:rPr>
          <w:noProof/>
        </w:rPr>
        <w:t xml:space="preserve"> stabilește, printre altele, următoarele recomandări:</w:t>
      </w:r>
    </w:p>
    <w:p w14:paraId="3DCEAAD7" w14:textId="77777777" w:rsidR="00D664CB" w:rsidRPr="00D91062" w:rsidRDefault="00D664CB" w:rsidP="009358E6">
      <w:pPr>
        <w:pStyle w:val="Tiret0"/>
        <w:numPr>
          <w:ilvl w:val="0"/>
          <w:numId w:val="19"/>
        </w:numPr>
        <w:rPr>
          <w:noProof/>
        </w:rPr>
      </w:pPr>
      <w:r w:rsidRPr="00D91062">
        <w:rPr>
          <w:noProof/>
        </w:rPr>
        <w:lastRenderedPageBreak/>
        <w:t>pentru a evita fragmentarea pieței interne, Comisia și statele membre ar trebui să ajungă, până la sfârșitul T2/2025, la o înțelegere suficientă cu privire la un viitor scenariu de utilizare și segmentare a benzii, precum și cu privire la următoarele etape procedurale;</w:t>
      </w:r>
    </w:p>
    <w:p w14:paraId="3C7CD2D2" w14:textId="77777777" w:rsidR="00D664CB" w:rsidRPr="00D91062" w:rsidRDefault="00D664CB" w:rsidP="00D921F8">
      <w:pPr>
        <w:pStyle w:val="Tiret0"/>
        <w:rPr>
          <w:noProof/>
        </w:rPr>
      </w:pPr>
      <w:r w:rsidRPr="00D91062">
        <w:rPr>
          <w:noProof/>
        </w:rPr>
        <w:t>trebuie luat în considerare un echilibru între continuitatea activității și inovare;</w:t>
      </w:r>
    </w:p>
    <w:p w14:paraId="1BB09E87" w14:textId="77777777" w:rsidR="00D664CB" w:rsidRPr="00D91062" w:rsidRDefault="00D664CB" w:rsidP="00D921F8">
      <w:pPr>
        <w:pStyle w:val="Tiret0"/>
        <w:rPr>
          <w:noProof/>
        </w:rPr>
      </w:pPr>
      <w:r w:rsidRPr="00D91062">
        <w:rPr>
          <w:noProof/>
        </w:rPr>
        <w:t>un scenariu de continuitate (aceeași segmentare în bandă între doi operatori) poate limita concurența și inovarea;</w:t>
      </w:r>
    </w:p>
    <w:p w14:paraId="61BE6B85" w14:textId="77777777" w:rsidR="00D664CB" w:rsidRPr="00D91062" w:rsidRDefault="00D664CB" w:rsidP="00D921F8">
      <w:pPr>
        <w:pStyle w:val="Tiret0"/>
        <w:rPr>
          <w:noProof/>
        </w:rPr>
      </w:pPr>
      <w:r w:rsidRPr="00D91062">
        <w:rPr>
          <w:noProof/>
        </w:rPr>
        <w:t>ar trebui menținută neutralitatea tehnologică;</w:t>
      </w:r>
    </w:p>
    <w:p w14:paraId="612FBC49" w14:textId="77777777" w:rsidR="00D664CB" w:rsidRPr="00D91062" w:rsidRDefault="00D664CB" w:rsidP="00D921F8">
      <w:pPr>
        <w:pStyle w:val="Tiret0"/>
        <w:rPr>
          <w:noProof/>
        </w:rPr>
      </w:pPr>
      <w:r w:rsidRPr="00D91062">
        <w:rPr>
          <w:noProof/>
        </w:rPr>
        <w:t>să se acorde atenția cuvenită investițiilor și evoluțiilor pieței operatorilor existenți, precum și necesității ca întreprinderile nou-intrate să sprijine inovarea și să ofere un număr tot mai mare de servicii și să sublinieze legătura cu prioritățile de politică la nivelul UE.</w:t>
      </w:r>
    </w:p>
    <w:p w14:paraId="7F5716BB" w14:textId="77777777" w:rsidR="00D664CB" w:rsidRPr="00D91062" w:rsidRDefault="00D664CB" w:rsidP="00D664CB">
      <w:pPr>
        <w:rPr>
          <w:noProof/>
        </w:rPr>
      </w:pPr>
      <w:r w:rsidRPr="00D91062">
        <w:rPr>
          <w:noProof/>
        </w:rPr>
        <w:t>În al doilea rând, în 2025, Avizul RSPG privind abordarea politică la nivelul UE a conectivității D2D prin satelit și aspectele conexe legate de piața unică</w:t>
      </w:r>
      <w:r w:rsidRPr="00D91062">
        <w:rPr>
          <w:rStyle w:val="FootnoteReference"/>
          <w:noProof/>
        </w:rPr>
        <w:footnoteReference w:id="17"/>
      </w:r>
      <w:r w:rsidRPr="00D91062">
        <w:rPr>
          <w:noProof/>
        </w:rPr>
        <w:t xml:space="preserve"> a făcut apel la o coordonare mai strânsă la nivelul UE a autorizării sateliților, inclusiv cerințe comune de autorizare și mecanisme colective de asigurare a respectării legii. Aceste măsuri ar fi esențiale pentru a preveni fragmentarea legislativă, pentru a asigura condiții de concurență echitabile și pentru a consolida competitivitatea Europei pe piața sateliților și a D2D, care evoluează rapid. O coordonare consolidată ar permite statelor membre să răspundă în mod colectiv la cazurile de neconformitate, protejând interesele strategice, securitatea și suveranitatea tehnologică a Europei. Consolidarea acțiunii UE în acest domeniu ar oferi certitudinea în materie de reglementare necesară pentru a stimula inovarea, concurența și investițiile în piețele emergente ale conectivității bazate pe spațiu și de generație următoare. RSPG observă, de asemenea, că este necesară o lățime de bandă minimă de 2 × 10 MHz pentru noile tehnologii de bandă largă, cum ar fi NTN-D2D, în timp ce serviciile IoT în bandă îngustă (NB-IoT) ar putea funcționa într-un bloc partajat de 2 × 5 MHz utilizat de mai mulți furnizori.</w:t>
      </w:r>
    </w:p>
    <w:p w14:paraId="4B0FF872" w14:textId="77777777" w:rsidR="00D664CB" w:rsidRPr="00D91062" w:rsidRDefault="00D664CB" w:rsidP="00D664CB">
      <w:pPr>
        <w:rPr>
          <w:rFonts w:eastAsia="Times New Roman"/>
          <w:noProof/>
          <w:szCs w:val="24"/>
        </w:rPr>
      </w:pPr>
      <w:r w:rsidRPr="00D91062">
        <w:rPr>
          <w:noProof/>
        </w:rPr>
        <w:t>Comisia a comandat, de asemenea, două studii. O constatare de mare importanță a studiului realizat de Idate</w:t>
      </w:r>
      <w:r w:rsidRPr="00D91062">
        <w:rPr>
          <w:rStyle w:val="FootnoteReference"/>
          <w:noProof/>
        </w:rPr>
        <w:footnoteReference w:id="18"/>
      </w:r>
      <w:r w:rsidRPr="00D91062">
        <w:rPr>
          <w:noProof/>
        </w:rPr>
        <w:t xml:space="preserve"> a fost că modelele naționale de autorizare, cadrele de punere în aplicare și structura taxelor variază foarte mult în UE. În special, au fost identificate două regimuri principale de autorizare pentru banda MSS de 2 GHz, și anume autorizația generală, aplicată în 14 state membre (de exemplu, Austria, Belgia, Danemarca, Polonia, Suedia) și drepturile individuale de utilizare, aplicate, de asemenea, în 14 state membre (de exemplu, Franța, Germania, Italia, Spania). </w:t>
      </w:r>
    </w:p>
    <w:p w14:paraId="3EBB18A3" w14:textId="77777777" w:rsidR="00D664CB" w:rsidRPr="00D91062" w:rsidRDefault="00D664CB" w:rsidP="00D664CB">
      <w:pPr>
        <w:rPr>
          <w:rFonts w:eastAsia="Times New Roman"/>
          <w:noProof/>
          <w:szCs w:val="24"/>
        </w:rPr>
      </w:pPr>
      <w:r w:rsidRPr="00D91062">
        <w:rPr>
          <w:noProof/>
        </w:rPr>
        <w:t xml:space="preserve">În mai multe state membre (inclusiv Bulgaria, Cipru, Germania, Grecia și Portugalia), drepturile individuale de utilizare a benzii MSS de 2 GHz au fost extinse atât la componentele de satelit, cât și la cele terestre, permițând sisteme MSS-CGC integrate. Normele de punere în aplicare specifice MSS au fost rare, doar Cipru, Spania, Portugalia și Irlanda au adoptat dispoziții specifice, iar mai multe state membre au luat măsuri de punere în aplicare ca răspuns la nerespectarea condițiilor comune MSS. În ceea ce privește structurile taxelor, modelele taxelor CGC diferă substanțial în ceea ce privește tipul, metoda de calcul și </w:t>
      </w:r>
      <w:r w:rsidRPr="00D91062">
        <w:rPr>
          <w:noProof/>
        </w:rPr>
        <w:lastRenderedPageBreak/>
        <w:t>amploarea. Bazele comune de calcul al taxelor includ numărul de amplasamente de CGC instalate, lărgimea de bandă atribuită (MHz) și zona geografică sau populația acoperită.</w:t>
      </w:r>
    </w:p>
    <w:p w14:paraId="2AACFC48" w14:textId="77777777" w:rsidR="00D664CB" w:rsidRPr="00D91062" w:rsidRDefault="00D664CB" w:rsidP="00D664CB">
      <w:pPr>
        <w:rPr>
          <w:noProof/>
        </w:rPr>
      </w:pPr>
      <w:r w:rsidRPr="00D91062">
        <w:rPr>
          <w:noProof/>
        </w:rPr>
        <w:t>Studiul privind serviciile mobile prin satelit (MSS) în banda de 2 GHz în UE</w:t>
      </w:r>
      <w:r w:rsidRPr="00D91062">
        <w:rPr>
          <w:rStyle w:val="FootnoteReference"/>
          <w:noProof/>
        </w:rPr>
        <w:footnoteReference w:id="19"/>
      </w:r>
      <w:r w:rsidRPr="00D91062">
        <w:rPr>
          <w:noProof/>
          <w:color w:val="000000" w:themeColor="text1"/>
        </w:rPr>
        <w:t xml:space="preserve"> a analizat tendințele și evoluțiile pieței începând din 2009 și a arătat că, pe lângă rețelele de orbită geostaționară (GSO) (utilizate de cei doi operatori tradiționali), și sistemele non-GSO, în special cele bazate pe sateliți LEO, au un potențial ridicat de implementare în banda MSS de 2 GHz din UE. În plus, pe lângă serviciile furnizate de cei doi operatori tradiționali, și anume conectivitatea în timpul zborului și anumite IoT în bandă îngustă, o gamă mai largă de aplicații ale internetului obiectelor (IoT) și serviciile D2D sunt candidați importanți pentru utilizarea spectrului. </w:t>
      </w:r>
      <w:r w:rsidRPr="00D91062">
        <w:rPr>
          <w:noProof/>
        </w:rPr>
        <w:t xml:space="preserve">Studiul respectiv a concluzionat, de asemenea, că </w:t>
      </w:r>
      <w:r w:rsidRPr="00D91062">
        <w:rPr>
          <w:i/>
          <w:noProof/>
        </w:rPr>
        <w:t>„[...] actualul cadru de reglementare privind MSS ar trebui actualizat pentru a-l alinia la gândirea modernă privind rețelele și piețele de sateliți, pentru a aborda deficiențele constatate ale cadrului și pentru a oferi orientări mai practice în vederea asigurării unei autorizări mai uniforme a operatorilor de MSS, astfel încât să reflecte mai bine o piață unică a UE.”</w:t>
      </w:r>
    </w:p>
    <w:p w14:paraId="4957328B" w14:textId="77777777" w:rsidR="00D664CB" w:rsidRPr="00D91062" w:rsidRDefault="00D664CB" w:rsidP="00706B65">
      <w:pPr>
        <w:pStyle w:val="Bullet0"/>
        <w:rPr>
          <w:b/>
          <w:bCs/>
          <w:noProof/>
        </w:rPr>
      </w:pPr>
      <w:r w:rsidRPr="00D91062">
        <w:rPr>
          <w:b/>
          <w:noProof/>
        </w:rPr>
        <w:t>Evaluarea impactului</w:t>
      </w:r>
    </w:p>
    <w:p w14:paraId="313AD6EA" w14:textId="77777777" w:rsidR="00D664CB" w:rsidRPr="00D91062" w:rsidRDefault="00D664CB" w:rsidP="00D664CB">
      <w:pPr>
        <w:rPr>
          <w:noProof/>
        </w:rPr>
      </w:pPr>
      <w:r w:rsidRPr="00D91062">
        <w:rPr>
          <w:noProof/>
        </w:rPr>
        <w:t xml:space="preserve">Prezenta propunere legislativă se bazează pe aceeași evaluare a impactului care a stat la baza propunerii de act legislativ privind rețelele digitale. </w:t>
      </w:r>
    </w:p>
    <w:p w14:paraId="39538F5F" w14:textId="77777777" w:rsidR="00D664CB" w:rsidRPr="00D91062" w:rsidRDefault="00D664CB" w:rsidP="00D664CB">
      <w:pPr>
        <w:rPr>
          <w:noProof/>
        </w:rPr>
      </w:pPr>
      <w:r w:rsidRPr="00D91062">
        <w:rPr>
          <w:noProof/>
        </w:rPr>
        <w:t>Evaluarea impactului pentru DNA a luat în considerare și a evaluat impactul a trei opțiuni de politică diferite pentru autorizarea sateliților:</w:t>
      </w:r>
    </w:p>
    <w:p w14:paraId="55B00A79" w14:textId="77777777" w:rsidR="00D664CB" w:rsidRPr="00D91062" w:rsidRDefault="00D664CB" w:rsidP="00D921F8">
      <w:pPr>
        <w:pStyle w:val="Tiret0"/>
        <w:rPr>
          <w:noProof/>
        </w:rPr>
      </w:pPr>
      <w:r w:rsidRPr="00D91062">
        <w:rPr>
          <w:noProof/>
        </w:rPr>
        <w:t xml:space="preserve">în cadrul opțiunii 1, Comisia este împuternicită să desfășoare o procedură de selecție pentru acordarea de licențe pentru spectrul de frecvențe prin satelit pentru serviciile paneuropene; cu toate acestea, spectrul ar fi alocat la nivel național în condiții definite la nivel național, deși pe baza unui model comun pentru condițiile de autorizare. </w:t>
      </w:r>
    </w:p>
    <w:p w14:paraId="5D8EB16D" w14:textId="77777777" w:rsidR="00D664CB" w:rsidRPr="00D91062" w:rsidRDefault="00D664CB" w:rsidP="00D921F8">
      <w:pPr>
        <w:pStyle w:val="Tiret0"/>
        <w:rPr>
          <w:noProof/>
        </w:rPr>
      </w:pPr>
      <w:r w:rsidRPr="00D91062">
        <w:rPr>
          <w:noProof/>
        </w:rPr>
        <w:t xml:space="preserve">în cadrul opțiunii 2, Comisiei i se conferă competența de a emite autorizații pentru furnizarea de rețele sau servicii prin satelit și autorizații de utilizare a spectrului relevant, inclusiv drepturi individuale de utilizare a spectrului, în statele membre relevante sau în întreaga UE. Prin urmare, există o armonizare deplină a condițiilor de autorizare și a selecției la nivelul UE. În plus, există un cadru obligatoriu de asigurare a conformității și a respectării legislației la nivelul UE pentru accesul la piața UE, cu posibilitatea retragerii autorizației pentru întreaga piață unică. </w:t>
      </w:r>
    </w:p>
    <w:p w14:paraId="46398AE6" w14:textId="77777777" w:rsidR="00D664CB" w:rsidRPr="00D91062" w:rsidRDefault="00D664CB" w:rsidP="00D921F8">
      <w:pPr>
        <w:pStyle w:val="Tiret0"/>
        <w:rPr>
          <w:noProof/>
        </w:rPr>
      </w:pPr>
      <w:r w:rsidRPr="00D91062">
        <w:rPr>
          <w:noProof/>
        </w:rPr>
        <w:t>în cadrul opțiunii 3, Comisia are dreptul de a desfășura o procedură de selecție a titularilor de licențe pentru spectrul de frecvențe prin satelit pentru furnizarea de servicii paneuropene și este sprijinită de RSPG și de Oficiul OAREC pentru a stabili cerințe comune pentru accesul la piața sateliților din UE și pentru a crea un mecanism coordonat de asigurare a conformității și un mecanism comun de asigurare a respectării normelor. Cu toate acestea, țara de origine este cea care emite drepturile de utilizare a spectrului în conformitate cu cerințele comune și impune sancțiuni în caz de nerespectare.</w:t>
      </w:r>
    </w:p>
    <w:p w14:paraId="28926D67" w14:textId="77777777" w:rsidR="00D664CB" w:rsidRPr="00D91062" w:rsidRDefault="00D664CB" w:rsidP="00D664CB">
      <w:pPr>
        <w:rPr>
          <w:noProof/>
        </w:rPr>
      </w:pPr>
      <w:r w:rsidRPr="00D91062">
        <w:rPr>
          <w:noProof/>
        </w:rPr>
        <w:t xml:space="preserve">Opțiunea 2 a fost aleasă ca opțiune preferată, deoarece a depășit celelalte două opțiuni pe baza majorității criteriilor. </w:t>
      </w:r>
    </w:p>
    <w:p w14:paraId="147BC5B6" w14:textId="77777777" w:rsidR="00D664CB" w:rsidRPr="00D91062" w:rsidRDefault="00D664CB" w:rsidP="00D664CB">
      <w:pPr>
        <w:rPr>
          <w:noProof/>
        </w:rPr>
      </w:pPr>
      <w:r w:rsidRPr="00D91062">
        <w:rPr>
          <w:noProof/>
        </w:rPr>
        <w:lastRenderedPageBreak/>
        <w:t xml:space="preserve">Prezentul regulament </w:t>
      </w:r>
      <w:r w:rsidRPr="00D91062">
        <w:rPr>
          <w:b/>
          <w:noProof/>
        </w:rPr>
        <w:t>va aplica aceeași abordare cu cea descrisă și evaluată în cadrul opțiunii 2 pentru banda MSS de 2 GHz.</w:t>
      </w:r>
      <w:r w:rsidRPr="00D91062">
        <w:rPr>
          <w:noProof/>
        </w:rPr>
        <w:t xml:space="preserve"> Abordarea UE în materie de autorizare va oferi claritate și certitudine în materie de reglementare, va stimula încrederea comercială și va încuraja adoptarea unor servicii D2D inovatoare în banda MSS de 2 GHz. Aceasta i) va înlocui actualul sistem fragmentat de 27 de modele naționale de autorizare cu un cadru unificat în întreaga UE; ii) va preveni întârzierile, interpretările inconsecvente ale cerințelor de conformitate și de raportare, care pun în pericol viabilitatea serviciilor paneuropene prin satelit D2D. </w:t>
      </w:r>
    </w:p>
    <w:p w14:paraId="6B5CA0EB" w14:textId="77777777" w:rsidR="00D664CB" w:rsidRPr="00D91062" w:rsidRDefault="00D664CB" w:rsidP="00D664CB">
      <w:pPr>
        <w:rPr>
          <w:rFonts w:eastAsia="Times New Roman"/>
          <w:noProof/>
          <w:szCs w:val="24"/>
        </w:rPr>
      </w:pPr>
      <w:r w:rsidRPr="00D91062">
        <w:rPr>
          <w:noProof/>
        </w:rPr>
        <w:t xml:space="preserve">Impactul asupra competitivității se va materializa în ceea ce privește economiile de costuri pentru diferitele părți interesate, datorită simplificării mediului de reglementare, în special pentru serviciile care se bazează pe un spectru limitat, cum ar fi D2D, precum și beneficiile pe termen lung ale creării unui sistem raționalizat și armonizat pentru autorizarea benzii MSS de 2 GHz. Eliminarea barierei reprezentate de necesitatea de a se conforma la 27 de regimuri de autorizare aduce beneficii tuturor constelațiilor, în special constelațiilor LEO pentru serviciile D2D. Furnizorii, în special cei nou intrați pe piață, realizează economii în primul rând în ceea ce privește costurile administrative și evitarea întârzierilor asociate fragmentării legislative și condițiilor diferite. </w:t>
      </w:r>
    </w:p>
    <w:p w14:paraId="5B96545A" w14:textId="77777777" w:rsidR="00D664CB" w:rsidRPr="00D91062" w:rsidRDefault="00D664CB" w:rsidP="00D664CB">
      <w:pPr>
        <w:rPr>
          <w:noProof/>
        </w:rPr>
      </w:pPr>
      <w:r w:rsidRPr="00D91062">
        <w:rPr>
          <w:noProof/>
        </w:rPr>
        <w:t xml:space="preserve">Aplicarea opțiunii 2 la banda MSS de 2 GHz ar aduce </w:t>
      </w:r>
      <w:r w:rsidRPr="00D91062">
        <w:rPr>
          <w:b/>
          <w:noProof/>
        </w:rPr>
        <w:t xml:space="preserve">beneficiile economice </w:t>
      </w:r>
      <w:r w:rsidRPr="00D91062">
        <w:rPr>
          <w:noProof/>
        </w:rPr>
        <w:t>și potențialul de simplificare descrise în evaluarea impactului DNA, și anume:</w:t>
      </w:r>
    </w:p>
    <w:p w14:paraId="312ED9A3" w14:textId="77777777" w:rsidR="00D664CB" w:rsidRPr="00D91062" w:rsidRDefault="00D664CB" w:rsidP="006A6914">
      <w:pPr>
        <w:pStyle w:val="Point0"/>
        <w:rPr>
          <w:noProof/>
        </w:rPr>
      </w:pPr>
      <w:r w:rsidRPr="00D91062">
        <w:rPr>
          <w:noProof/>
        </w:rPr>
        <w:t>(a)</w:t>
      </w:r>
      <w:r w:rsidRPr="00D91062">
        <w:rPr>
          <w:noProof/>
        </w:rPr>
        <w:tab/>
        <w:t>furnizorii de servicii de comunicații prin satelit ar evita o reducere a veniturilor din cauza întârzierilor cauzate de autorizarea și alocarea spectrului de către fiecare stat membru în parte și, ocazional, din cauza insecurității juridice. Cea mai mare povară a costurilor pentru furnizorii de servicii de comunicații prin satelit rezultă din întârzierile înregistrate de lansarea comercială, care se pot ridica la zeci de milioane de euro reprezentând venituri pierdute pentru un furnizor cu o bază mare de clienți;</w:t>
      </w:r>
    </w:p>
    <w:p w14:paraId="6D600CFE" w14:textId="77777777" w:rsidR="00D664CB" w:rsidRPr="00D91062" w:rsidRDefault="00D664CB" w:rsidP="00D921F8">
      <w:pPr>
        <w:pStyle w:val="Point0"/>
        <w:rPr>
          <w:noProof/>
        </w:rPr>
      </w:pPr>
      <w:r w:rsidRPr="00D91062">
        <w:rPr>
          <w:noProof/>
        </w:rPr>
        <w:t>(b)</w:t>
      </w:r>
      <w:r w:rsidRPr="00D91062">
        <w:rPr>
          <w:noProof/>
        </w:rPr>
        <w:tab/>
        <w:t>introducerea unei autorizații unice la nivelul UE pentru serviciile prin satelit ar putea duce la o reducere considerabilă a costurilor administrative, a nevoilor de personal și a întârzierilor pentru furnizorii de servicii de comunicații prin satelit, astfel cum se poate observa în evaluarea impactului DNA;</w:t>
      </w:r>
    </w:p>
    <w:p w14:paraId="18DF50C1" w14:textId="77777777" w:rsidR="00D664CB" w:rsidRPr="00D91062" w:rsidRDefault="00D664CB" w:rsidP="00D921F8">
      <w:pPr>
        <w:pStyle w:val="Point0"/>
        <w:rPr>
          <w:noProof/>
        </w:rPr>
      </w:pPr>
      <w:r w:rsidRPr="00D91062">
        <w:rPr>
          <w:noProof/>
        </w:rPr>
        <w:t>(c)</w:t>
      </w:r>
      <w:r w:rsidRPr="00D91062">
        <w:rPr>
          <w:noProof/>
        </w:rPr>
        <w:tab/>
        <w:t>abordarea mai eficientă a interferențelor dăunătoare care generează provocări operaționale grave din cauza dificultății de a asigura respectarea reglementărilor radio ale UIT; opțiunea 2 garantează că toți actorii respectă normele, datorită aplicării coordonate a normelor privind sateliții. Acest lucru este deosebit de relevant pe piețele caracterizate de mari constelații LEO, unde este probabil ca problemele de interferență să crească în următorii ani;</w:t>
      </w:r>
    </w:p>
    <w:p w14:paraId="4A29C5EB" w14:textId="77777777" w:rsidR="00D664CB" w:rsidRPr="00D91062" w:rsidRDefault="00D664CB" w:rsidP="00D921F8">
      <w:pPr>
        <w:pStyle w:val="Point0"/>
        <w:rPr>
          <w:noProof/>
        </w:rPr>
      </w:pPr>
      <w:r w:rsidRPr="00D91062">
        <w:rPr>
          <w:noProof/>
        </w:rPr>
        <w:t>(d)</w:t>
      </w:r>
      <w:r w:rsidRPr="00D91062">
        <w:rPr>
          <w:noProof/>
        </w:rPr>
        <w:tab/>
        <w:t>utilizatorii serviciilor de comunicații prin satelit ar beneficia pe deplin de surplusul consumatorilor datorită disponibilității în timp util a serviciilor și reducerii insecurității juridice, fără lacune în materie de acoperire în unele state membre. Va exista întotdeauna o pierdere a surplusului atunci când un furnizor de servicii de comunicații prin satelit nu este autorizat să își furnizeze serviciul, dar pierderea netă a excedentului consumatorilor ar putea fi mai mare sau mai mică decât pierderea de venituri pentru furnizorul de servicii de comunicații prin satelit, în funcție de disponibilitatea sau nu a serviciilor de substituție.</w:t>
      </w:r>
    </w:p>
    <w:p w14:paraId="3F9A9EFD" w14:textId="77777777" w:rsidR="00D664CB" w:rsidRPr="00D91062" w:rsidRDefault="00D664CB" w:rsidP="00706B65">
      <w:pPr>
        <w:pStyle w:val="Bullet0"/>
        <w:rPr>
          <w:b/>
          <w:bCs/>
          <w:noProof/>
        </w:rPr>
      </w:pPr>
      <w:r w:rsidRPr="00D91062">
        <w:rPr>
          <w:b/>
          <w:noProof/>
        </w:rPr>
        <w:t>Adecvarea reglementărilor și simplificarea</w:t>
      </w:r>
    </w:p>
    <w:p w14:paraId="29D228DA" w14:textId="77777777" w:rsidR="00D664CB" w:rsidRPr="00D91062" w:rsidRDefault="00D664CB" w:rsidP="00D664CB">
      <w:pPr>
        <w:rPr>
          <w:rFonts w:eastAsia="Arial Unicode MS"/>
          <w:b/>
          <w:noProof/>
        </w:rPr>
      </w:pPr>
      <w:r w:rsidRPr="00D91062">
        <w:rPr>
          <w:noProof/>
          <w:color w:val="000000" w:themeColor="text1"/>
        </w:rPr>
        <w:t xml:space="preserve">Autorizația UE pentru utilizarea benzii MSS de 2 GHz și autorizația aferentă pentru furnizarea de rețele și servicii MSS prezintă un potențial semnificativ de simplificare și de îmbunătățire a eficienței. Aceasta </w:t>
      </w:r>
      <w:r w:rsidRPr="00D91062">
        <w:rPr>
          <w:noProof/>
        </w:rPr>
        <w:t xml:space="preserve">ar </w:t>
      </w:r>
      <w:r w:rsidRPr="00D91062">
        <w:rPr>
          <w:noProof/>
          <w:color w:val="000000" w:themeColor="text1"/>
        </w:rPr>
        <w:t xml:space="preserve">reduce costul autorizării benzii MSS de 2 GHz pentru </w:t>
      </w:r>
      <w:r w:rsidRPr="00D91062">
        <w:rPr>
          <w:noProof/>
          <w:color w:val="000000" w:themeColor="text1"/>
        </w:rPr>
        <w:lastRenderedPageBreak/>
        <w:t>operatorii de comunicații mobile prin satelit și pentru autoritățile naționale competente. Unui operator selectat la nivelul Uniunii nu i s-ar mai solicita să obțină drepturi de spectru în toate statele membre, nu ar trebui să urmeze 27 de procese de autorizare și să respecte 27 de seturi de condiții de autorizare, care ar putea include obligații de raportare diverse și costisitoare. Cadrul comun de asigurare a respectării legislației la nivelul Uniunii ar îmbunătăți eficacitatea măsurilor de asigurare a respectării legislației.</w:t>
      </w:r>
    </w:p>
    <w:p w14:paraId="7E75FDF8" w14:textId="77777777" w:rsidR="00D664CB" w:rsidRPr="00D91062" w:rsidRDefault="00D664CB" w:rsidP="00706B65">
      <w:pPr>
        <w:pStyle w:val="Bullet0"/>
        <w:rPr>
          <w:b/>
          <w:bCs/>
          <w:noProof/>
        </w:rPr>
      </w:pPr>
      <w:r w:rsidRPr="00D91062">
        <w:rPr>
          <w:b/>
          <w:noProof/>
        </w:rPr>
        <w:t>Drepturile fundamentale</w:t>
      </w:r>
    </w:p>
    <w:p w14:paraId="0F9D1DF0" w14:textId="77777777" w:rsidR="00D664CB" w:rsidRPr="00D91062" w:rsidRDefault="00D664CB" w:rsidP="00D664CB">
      <w:pPr>
        <w:rPr>
          <w:noProof/>
        </w:rPr>
      </w:pPr>
      <w:r w:rsidRPr="00D91062">
        <w:rPr>
          <w:noProof/>
        </w:rPr>
        <w:t>NA</w:t>
      </w:r>
    </w:p>
    <w:p w14:paraId="199249FF" w14:textId="77777777" w:rsidR="00D664CB" w:rsidRPr="00D91062" w:rsidRDefault="00D664CB" w:rsidP="00D921F8">
      <w:pPr>
        <w:pStyle w:val="ManualHeading1"/>
        <w:rPr>
          <w:noProof/>
        </w:rPr>
      </w:pPr>
      <w:r w:rsidRPr="00D91062">
        <w:rPr>
          <w:noProof/>
        </w:rPr>
        <w:t>4.</w:t>
      </w:r>
      <w:r w:rsidRPr="00D91062">
        <w:rPr>
          <w:noProof/>
        </w:rPr>
        <w:tab/>
        <w:t>IMPLICAȚII BUGETARE</w:t>
      </w:r>
    </w:p>
    <w:p w14:paraId="1C2D6BE5" w14:textId="77777777" w:rsidR="00D664CB" w:rsidRPr="00D91062" w:rsidRDefault="00D664CB" w:rsidP="00D664CB">
      <w:pPr>
        <w:rPr>
          <w:rFonts w:eastAsia="Arial Unicode MS"/>
          <w:b/>
          <w:smallCaps/>
          <w:noProof/>
        </w:rPr>
      </w:pPr>
      <w:r w:rsidRPr="00D91062">
        <w:rPr>
          <w:noProof/>
        </w:rPr>
        <w:t>Această propunere va necesita, încă înainte de aprobarea DNA, alocarea de resurse umane suplimentare pentru Comisie, precum și angajarea de specialiști externi, pentru a facilita procesul de selecție și autorizare a titularilor drepturilor de utilizare a benzii MSS de 2 GHz, acoperind activitățile de autorizare a spectrului la nivelul UE, inclusiv costul definirii unor condiții armonizate de autorizare/atribuire, al asigurării coerenței acestor condiții și al definirii metodologiei de cost pentru taxe și contribuții.</w:t>
      </w:r>
    </w:p>
    <w:p w14:paraId="1590E2C5" w14:textId="77777777" w:rsidR="00D664CB" w:rsidRPr="00D91062" w:rsidRDefault="00D664CB" w:rsidP="00D921F8">
      <w:pPr>
        <w:pStyle w:val="ManualHeading1"/>
        <w:rPr>
          <w:noProof/>
        </w:rPr>
      </w:pPr>
      <w:r w:rsidRPr="00D91062">
        <w:rPr>
          <w:noProof/>
        </w:rPr>
        <w:t>5.</w:t>
      </w:r>
      <w:r w:rsidRPr="00D91062">
        <w:rPr>
          <w:noProof/>
        </w:rPr>
        <w:tab/>
        <w:t>ALTE ELEMENTE</w:t>
      </w:r>
    </w:p>
    <w:p w14:paraId="72586A58" w14:textId="77777777" w:rsidR="00D664CB" w:rsidRPr="00D91062" w:rsidRDefault="00D664CB" w:rsidP="00706B65">
      <w:pPr>
        <w:pStyle w:val="Bullet0"/>
        <w:rPr>
          <w:b/>
          <w:bCs/>
          <w:noProof/>
        </w:rPr>
      </w:pPr>
      <w:r w:rsidRPr="00D91062">
        <w:rPr>
          <w:b/>
          <w:noProof/>
        </w:rPr>
        <w:t>Planurile de punere în aplicare și măsurile de monitorizare, evaluare și raportare</w:t>
      </w:r>
    </w:p>
    <w:p w14:paraId="44F49673" w14:textId="77777777" w:rsidR="00D664CB" w:rsidRPr="00D91062" w:rsidRDefault="00D664CB" w:rsidP="00D664CB">
      <w:pPr>
        <w:rPr>
          <w:rFonts w:eastAsia="Arial Unicode MS"/>
          <w:b/>
          <w:noProof/>
          <w:color w:val="000000" w:themeColor="text1"/>
        </w:rPr>
      </w:pPr>
      <w:r w:rsidRPr="00D91062">
        <w:rPr>
          <w:noProof/>
          <w:color w:val="000000" w:themeColor="text1"/>
        </w:rPr>
        <w:t xml:space="preserve">Punerea în aplicare a prezentei propuneri va necesita lansarea unui proces de selecție pentru utilizarea benzii MSS de 2 GHz pentru furnizarea de sisteme mobile de comunicații prin satelit în UE. </w:t>
      </w:r>
      <w:r w:rsidRPr="00D91062">
        <w:rPr>
          <w:noProof/>
        </w:rPr>
        <w:t>Comisia va stabili normele și specificațiile procesului de selecție, inclusiv ponderea criteriilor, după avizul Grupului pentru politica în domeniul spectrului de frecvențe radio.</w:t>
      </w:r>
    </w:p>
    <w:p w14:paraId="763C8394" w14:textId="77777777" w:rsidR="00D664CB" w:rsidRPr="00D91062" w:rsidRDefault="00D664CB" w:rsidP="00D664CB">
      <w:pPr>
        <w:rPr>
          <w:noProof/>
        </w:rPr>
      </w:pPr>
      <w:r w:rsidRPr="00D91062">
        <w:rPr>
          <w:noProof/>
          <w:color w:val="000000" w:themeColor="text1"/>
        </w:rPr>
        <w:t>Condițiile comune de autorizare vor fi stabilite de Comisie, cu sprijinul Comitetului pentru comunicații (COCOM). Astfel cum se prevede în măsura juridică, Comisia este împuternicită să monitorizeze punerea în aplicare a condițiilor de autorizare. Comisia trebuie să informeze anual statele membre cu privire la rezultatele acestei monitorizări, în special în cazul oricărei presupuse încălcări specifice a condițiilor. În plus, aceasta va comunica orice măsuri de asigurare a respectării legislației considerate adecvate.</w:t>
      </w:r>
    </w:p>
    <w:p w14:paraId="0A90C1C0" w14:textId="77777777" w:rsidR="00D664CB" w:rsidRPr="00D91062" w:rsidRDefault="00D664CB" w:rsidP="00706B65">
      <w:pPr>
        <w:pStyle w:val="Bullet0"/>
        <w:rPr>
          <w:b/>
          <w:bCs/>
          <w:noProof/>
        </w:rPr>
      </w:pPr>
      <w:r w:rsidRPr="00D91062">
        <w:rPr>
          <w:b/>
          <w:noProof/>
        </w:rPr>
        <w:t>Documentele explicative (în cazul directivelor)</w:t>
      </w:r>
    </w:p>
    <w:p w14:paraId="6E659553" w14:textId="77777777" w:rsidR="00D664CB" w:rsidRPr="00D91062" w:rsidRDefault="00D664CB" w:rsidP="00D664CB">
      <w:pPr>
        <w:pBdr>
          <w:top w:val="nil"/>
          <w:left w:val="nil"/>
          <w:bottom w:val="nil"/>
          <w:right w:val="nil"/>
          <w:between w:val="nil"/>
          <w:bar w:val="nil"/>
        </w:pBdr>
        <w:spacing w:before="0" w:after="240"/>
        <w:rPr>
          <w:rFonts w:eastAsia="Arial Unicode MS"/>
          <w:noProof/>
          <w:color w:val="000000" w:themeColor="text1"/>
        </w:rPr>
      </w:pPr>
      <w:r w:rsidRPr="00D91062">
        <w:rPr>
          <w:noProof/>
          <w:color w:val="000000" w:themeColor="text1"/>
        </w:rPr>
        <w:t>Nu se aplică.</w:t>
      </w:r>
    </w:p>
    <w:p w14:paraId="4A1E824B" w14:textId="77777777" w:rsidR="00D664CB" w:rsidRPr="00D91062" w:rsidRDefault="00D664CB" w:rsidP="00706B65">
      <w:pPr>
        <w:pStyle w:val="Bullet0"/>
        <w:rPr>
          <w:b/>
          <w:bCs/>
          <w:noProof/>
        </w:rPr>
      </w:pPr>
      <w:r w:rsidRPr="00D91062">
        <w:rPr>
          <w:b/>
          <w:noProof/>
        </w:rPr>
        <w:t>Explicarea detaliată a dispozițiilor specifice ale propunerii</w:t>
      </w:r>
    </w:p>
    <w:p w14:paraId="0F795BE1" w14:textId="77777777" w:rsidR="00D664CB" w:rsidRPr="00D91062" w:rsidRDefault="00D664CB" w:rsidP="00D664CB">
      <w:pPr>
        <w:rPr>
          <w:noProof/>
        </w:rPr>
      </w:pPr>
      <w:r w:rsidRPr="00D91062">
        <w:rPr>
          <w:noProof/>
        </w:rPr>
        <w:t xml:space="preserve">Partea I (articolele 1-3) prezintă obiectivele, domeniul de aplicare și definițiile. Obiectivul prezentului regulament este triplu: i) să stabilească o procedură competitivă pentru selectarea titularilor dreptului de a utiliza banda MSS de 2 GHz la nivelul Uniunii și să îi autorizeze să utilizeze acest spectru în toate statele membre pentru furnizarea de rețele și servicii MSS în condiții comune în întreaga Uniune, ii) să promoveze autonomia strategică a UE în ceea ce privește furnizarea de </w:t>
      </w:r>
      <w:r w:rsidRPr="00D91062">
        <w:rPr>
          <w:noProof/>
          <w:color w:val="000000" w:themeColor="text1"/>
        </w:rPr>
        <w:t xml:space="preserve">servicii de comunicații </w:t>
      </w:r>
      <w:r w:rsidRPr="00D91062">
        <w:rPr>
          <w:noProof/>
        </w:rPr>
        <w:t xml:space="preserve">sigure și omniprezente pentru utilizatorii guvernamentali și iii) să sprijine reziliența, suveranitatea tehnologică și securitatea economică a Uniunii. Aceasta implică atribuirea unor porțiuni dedicate din banda MSS de 2 GHz pentru furnizarea unui sistem MSS/hibrid securizat și pentru o întreprindere nou-intrată din Uniune pentru furnizarea de servicii MSS comerciale. La articolul 2 sunt definiți termenii utilizați în propunere. </w:t>
      </w:r>
      <w:r w:rsidRPr="00D91062">
        <w:rPr>
          <w:noProof/>
          <w:color w:val="000000" w:themeColor="text1"/>
        </w:rPr>
        <w:t xml:space="preserve">Articolul 3 împuternicește Comisia să negocieze, în numele Uniunii, acorduri </w:t>
      </w:r>
      <w:r w:rsidRPr="00D91062">
        <w:rPr>
          <w:noProof/>
          <w:color w:val="000000" w:themeColor="text1"/>
        </w:rPr>
        <w:lastRenderedPageBreak/>
        <w:t>privind banda MSS de 2 GHz cu țări din imediata vecinătate a Uniunii, inclusiv din regiunea arctică.</w:t>
      </w:r>
    </w:p>
    <w:p w14:paraId="3DC6780B" w14:textId="5272AAF6" w:rsidR="00DB77FE" w:rsidRPr="00D91062" w:rsidRDefault="00DB77FE" w:rsidP="00DB77FE">
      <w:pPr>
        <w:pBdr>
          <w:top w:val="nil"/>
          <w:left w:val="nil"/>
          <w:bottom w:val="nil"/>
          <w:right w:val="nil"/>
          <w:between w:val="nil"/>
          <w:bar w:val="nil"/>
        </w:pBdr>
        <w:spacing w:before="0" w:after="240"/>
        <w:rPr>
          <w:rFonts w:eastAsia="Arial Unicode MS"/>
          <w:noProof/>
          <w:color w:val="000000" w:themeColor="text1"/>
        </w:rPr>
      </w:pPr>
      <w:r w:rsidRPr="00D91062">
        <w:rPr>
          <w:noProof/>
          <w:color w:val="000000" w:themeColor="text1"/>
        </w:rPr>
        <w:t>Partea II (articolele 4-12) stabilește dispoziții generale (articolele 4-5) și trei proceduri de selecție comparative distincte care sunt structurate în mod similar într-o etapă de admisibilitate și în două etape de selecție ulterioare. O procedură pentru sistemul MSS/hibrid securizat (articolele 6-8), alta pentru sistemele MSS comerciale ale întreprinderilor nou-intrate din Uniune (articolul 9) și o a treia pentru sistemele MSS comerciale (articolul 10). Deși cerințele de admisibilitate pentru sistemele comerciale MSS ale întreprinderilor nou-intrate din Uniune și pentru sistemele comerciale MSS diferă, ambele proceduri fac obiectul acelorași cerințe de eligibilitate și criterii de selecție (articolele 11-12).</w:t>
      </w:r>
    </w:p>
    <w:p w14:paraId="01F80568" w14:textId="77777777" w:rsidR="00DB77FE" w:rsidRPr="00D91062" w:rsidRDefault="00DB77FE" w:rsidP="00DB77FE">
      <w:pPr>
        <w:pBdr>
          <w:top w:val="nil"/>
          <w:left w:val="nil"/>
          <w:bottom w:val="nil"/>
          <w:right w:val="nil"/>
          <w:between w:val="nil"/>
          <w:bar w:val="nil"/>
        </w:pBdr>
        <w:spacing w:before="0" w:after="240"/>
        <w:rPr>
          <w:noProof/>
          <w:color w:val="000000" w:themeColor="text1"/>
        </w:rPr>
      </w:pPr>
      <w:r w:rsidRPr="00D91062">
        <w:rPr>
          <w:noProof/>
          <w:color w:val="000000" w:themeColor="text1"/>
        </w:rPr>
        <w:t>Procedura se încheie după prima etapă de selecție, în cazul în care cererea combinată de spectru radio din partea solicitanților eligibili pentru furnizarea de servicii MSS comerciale securizate sau de sisteme MSS comerciale care sunt întreprinderi nou-intrate din Uniune nu depășește numărul de frecvențe radio disponibile pentru fiecare procedură. În cazul în care se aplică a doua etapă de selecție, solicitanții eligibili în rezultatul primei etape sunt clasificați pe baza unor criterii de selecție elaborate, iar solicitanții cei mai bine clasați sunt selectați în funcție de spectrul disponibil. Comisia, împreună cu statele membre, va stabili ponderea criteriilor de selecție, precum și orice norme care reglementează procesul de selecție în cadrul cererii de candidaturi.</w:t>
      </w:r>
    </w:p>
    <w:p w14:paraId="22F41E3B" w14:textId="77777777" w:rsidR="00DB77FE" w:rsidRPr="00D91062" w:rsidRDefault="00DB77FE" w:rsidP="00DB77FE">
      <w:pPr>
        <w:pBdr>
          <w:top w:val="nil"/>
          <w:left w:val="nil"/>
          <w:bottom w:val="nil"/>
          <w:right w:val="nil"/>
          <w:between w:val="nil"/>
          <w:bar w:val="nil"/>
        </w:pBdr>
        <w:spacing w:before="0" w:after="240"/>
        <w:rPr>
          <w:rFonts w:eastAsia="Arial Unicode MS"/>
          <w:noProof/>
          <w:color w:val="000000" w:themeColor="text1"/>
        </w:rPr>
      </w:pPr>
      <w:r w:rsidRPr="00D91062">
        <w:rPr>
          <w:noProof/>
          <w:color w:val="000000" w:themeColor="text1"/>
        </w:rPr>
        <w:t xml:space="preserve">Partea III (articolele 13-19) stabilește dispoziții generale pentru autorizarea la nivelul Uniunii a sistemelor de comunicații prin satelit în banda MSS de 2 GHz. Articolul 14 stabilește condiții specifice pentru furnizarea sistemului MSS securizat/hibrid, în timp ce articolul 15 abordează condițiile pentru furnizarea sistemului MSS comercial. Articolele 16 și 17 se referă la durata și reînnoirea drepturilor, precum și la condițiile de transfer sau, respectiv, de închiriere a acestora. </w:t>
      </w:r>
    </w:p>
    <w:p w14:paraId="0A3880CD" w14:textId="77777777" w:rsidR="00DB77FE" w:rsidRPr="00D91062" w:rsidRDefault="00DB77FE" w:rsidP="00DB77FE">
      <w:pPr>
        <w:pBdr>
          <w:top w:val="nil"/>
          <w:left w:val="nil"/>
          <w:bottom w:val="nil"/>
          <w:right w:val="nil"/>
          <w:between w:val="nil"/>
          <w:bar w:val="nil"/>
        </w:pBdr>
        <w:spacing w:before="0" w:after="240"/>
        <w:rPr>
          <w:rFonts w:eastAsia="Arial Unicode MS"/>
          <w:noProof/>
          <w:color w:val="000000" w:themeColor="text1"/>
        </w:rPr>
      </w:pPr>
      <w:r w:rsidRPr="00D91062">
        <w:rPr>
          <w:noProof/>
          <w:color w:val="000000" w:themeColor="text1"/>
        </w:rPr>
        <w:t xml:space="preserve">Articolul 18 </w:t>
      </w:r>
      <w:r w:rsidRPr="00D91062">
        <w:rPr>
          <w:noProof/>
        </w:rPr>
        <w:t xml:space="preserve">stabilește norme privind </w:t>
      </w:r>
      <w:r w:rsidRPr="00D91062">
        <w:rPr>
          <w:noProof/>
          <w:color w:val="000000" w:themeColor="text1"/>
        </w:rPr>
        <w:t>stabilirea contribuțiilor financiare unice și a taxelor anuale, precum și privind utilizarea acestora. Comisia este împuternicită să adopte acte delegate pentru a stabili o metodologie de stabilire a unui cuantum minim al contribuțiilor financiare unice și al taxelor anuale care trebuie plătite de sistemul MSS securizat/hibrid și de sistemele MSS comerciale, pentru a stabili detalii referitoare la colectarea și alocarea contribuțiilor financiare și a taxelor anuale.</w:t>
      </w:r>
    </w:p>
    <w:p w14:paraId="34B1E7E7" w14:textId="77777777" w:rsidR="00DB77FE" w:rsidRPr="00D91062" w:rsidRDefault="00DB77FE" w:rsidP="00DB77FE">
      <w:pPr>
        <w:pBdr>
          <w:top w:val="nil"/>
          <w:left w:val="nil"/>
          <w:bottom w:val="nil"/>
          <w:right w:val="nil"/>
          <w:between w:val="nil"/>
          <w:bar w:val="nil"/>
        </w:pBdr>
        <w:spacing w:before="0" w:after="240"/>
        <w:rPr>
          <w:rFonts w:eastAsia="Arial Unicode MS"/>
          <w:noProof/>
          <w:color w:val="000000" w:themeColor="text1"/>
        </w:rPr>
      </w:pPr>
      <w:r w:rsidRPr="00D91062">
        <w:rPr>
          <w:noProof/>
          <w:color w:val="000000" w:themeColor="text1"/>
        </w:rPr>
        <w:t xml:space="preserve">În fine, articolul 19 stabilește normele privind monitorizarea și asigurarea respectării legislației. Comisia este împuternicită să asigure respectarea autorizațiilor Uniunii și să le monitorizeze, astfel încât, în cazul în care condițiile comune au fost încălcate, Comisia adoptă măsuri corective adecvate și proporționale și poate impune, de asemenea, amenzi și sancțiuni. </w:t>
      </w:r>
    </w:p>
    <w:p w14:paraId="281A61EF" w14:textId="75B1E761" w:rsidR="00DB77FE" w:rsidRPr="00D91062" w:rsidRDefault="00DB77FE" w:rsidP="00DB77FE">
      <w:pPr>
        <w:pBdr>
          <w:top w:val="nil"/>
          <w:left w:val="nil"/>
          <w:bottom w:val="nil"/>
          <w:right w:val="nil"/>
          <w:between w:val="nil"/>
          <w:bar w:val="nil"/>
        </w:pBdr>
        <w:spacing w:before="0" w:after="240"/>
        <w:rPr>
          <w:noProof/>
          <w:color w:val="000000" w:themeColor="text1"/>
        </w:rPr>
      </w:pPr>
      <w:r w:rsidRPr="00D91062">
        <w:rPr>
          <w:noProof/>
          <w:color w:val="000000" w:themeColor="text1"/>
        </w:rPr>
        <w:t>Titlul IV (articolele 20-24) abordează dispozițiile tranzitorii, generale și finale. În special, articolul 20 acordă o prelungire cu 2 ani a licenței operatorilor tradiționali, cu condiția netransferabilității.</w:t>
      </w:r>
    </w:p>
    <w:p w14:paraId="172BDF93" w14:textId="77777777" w:rsidR="00D664CB" w:rsidRPr="00D91062" w:rsidRDefault="00D664CB" w:rsidP="00D664CB">
      <w:pPr>
        <w:rPr>
          <w:noProof/>
        </w:rPr>
        <w:sectPr w:rsidR="00D664CB" w:rsidRPr="00D91062" w:rsidSect="00A8433C">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14:paraId="092CC467" w14:textId="6B0F2174" w:rsidR="00676248" w:rsidRPr="00D91062" w:rsidRDefault="00D91062" w:rsidP="00D91062">
      <w:pPr>
        <w:pStyle w:val="Rfrenceinterinstitutionnelle"/>
        <w:rPr>
          <w:noProof/>
        </w:rPr>
      </w:pPr>
      <w:r>
        <w:rPr>
          <w:noProof/>
        </w:rPr>
        <w:lastRenderedPageBreak/>
        <w:t>2026/0134 (COD)</w:t>
      </w:r>
    </w:p>
    <w:p w14:paraId="15774729" w14:textId="515ABFCD" w:rsidR="00D664CB" w:rsidRPr="00D91062" w:rsidRDefault="00D91062" w:rsidP="00D91062">
      <w:pPr>
        <w:pStyle w:val="Statut"/>
        <w:rPr>
          <w:noProof/>
        </w:rPr>
      </w:pPr>
      <w:r w:rsidRPr="00D91062">
        <w:rPr>
          <w:noProof/>
        </w:rPr>
        <w:t>Propunere de</w:t>
      </w:r>
    </w:p>
    <w:p w14:paraId="1BF1BC06" w14:textId="525D29EA" w:rsidR="00D664CB" w:rsidRPr="00D91062" w:rsidRDefault="00D91062" w:rsidP="00D91062">
      <w:pPr>
        <w:pStyle w:val="Typedudocument"/>
        <w:rPr>
          <w:noProof/>
        </w:rPr>
      </w:pPr>
      <w:r w:rsidRPr="00D91062">
        <w:rPr>
          <w:noProof/>
        </w:rPr>
        <w:t>REGULAMENT AL PARLAMENTULUI EUROPEAN ȘI AL CONSILIULUI</w:t>
      </w:r>
    </w:p>
    <w:p w14:paraId="23C6FAA3" w14:textId="229E9F4A" w:rsidR="00D664CB" w:rsidRPr="00D91062" w:rsidRDefault="00D91062" w:rsidP="00D91062">
      <w:pPr>
        <w:pStyle w:val="Titreobjet"/>
        <w:rPr>
          <w:noProof/>
        </w:rPr>
      </w:pPr>
      <w:r w:rsidRPr="00D91062">
        <w:rPr>
          <w:noProof/>
        </w:rPr>
        <w:t>privind procedura de autorizare a sistemelor care furnizează servicii mobile prin satelit utilizând banda de frecvențe armonizată de 2 GHz și de abrogare a Deciziei nr. 626/2008/CE</w:t>
      </w:r>
    </w:p>
    <w:p w14:paraId="238A0B7E" w14:textId="688B92DB" w:rsidR="00D664CB" w:rsidRPr="00D91062" w:rsidRDefault="00D91062" w:rsidP="00D91062">
      <w:pPr>
        <w:pStyle w:val="IntrtEEE"/>
        <w:rPr>
          <w:noProof/>
        </w:rPr>
      </w:pPr>
      <w:r w:rsidRPr="00D91062">
        <w:rPr>
          <w:noProof/>
        </w:rPr>
        <w:t>(Text cu relevanță pentru SEE)</w:t>
      </w:r>
    </w:p>
    <w:p w14:paraId="01E7B72B" w14:textId="77777777" w:rsidR="00D664CB" w:rsidRPr="00D91062" w:rsidRDefault="00D664CB" w:rsidP="00D921F8">
      <w:pPr>
        <w:pStyle w:val="Institutionquiagit"/>
        <w:rPr>
          <w:noProof/>
        </w:rPr>
      </w:pPr>
      <w:r w:rsidRPr="00D91062">
        <w:rPr>
          <w:noProof/>
        </w:rPr>
        <w:t>PARLAMENTUL EUROPEAN ȘI CONSILIUL UNIUNII EUROPENE,</w:t>
      </w:r>
    </w:p>
    <w:p w14:paraId="316AB0A8" w14:textId="77777777" w:rsidR="00D664CB" w:rsidRPr="00D91062" w:rsidRDefault="00D664CB" w:rsidP="00D664CB">
      <w:pPr>
        <w:rPr>
          <w:noProof/>
        </w:rPr>
      </w:pPr>
      <w:r w:rsidRPr="00D91062">
        <w:rPr>
          <w:noProof/>
        </w:rPr>
        <w:t>având în vedere Tratatul privind funcționarea Uniunii Europene, în special articolul 114,</w:t>
      </w:r>
    </w:p>
    <w:p w14:paraId="6507F42C" w14:textId="77777777" w:rsidR="00D664CB" w:rsidRPr="00D91062" w:rsidRDefault="00D664CB" w:rsidP="00D664CB">
      <w:pPr>
        <w:rPr>
          <w:noProof/>
        </w:rPr>
      </w:pPr>
      <w:r w:rsidRPr="00D91062">
        <w:rPr>
          <w:noProof/>
        </w:rPr>
        <w:t>având în vedere propunerea Comisiei Europene,</w:t>
      </w:r>
    </w:p>
    <w:p w14:paraId="7D2F3657" w14:textId="77777777" w:rsidR="00D664CB" w:rsidRPr="00D91062" w:rsidRDefault="00D664CB" w:rsidP="00D664CB">
      <w:pPr>
        <w:rPr>
          <w:noProof/>
        </w:rPr>
      </w:pPr>
      <w:r w:rsidRPr="00D91062">
        <w:rPr>
          <w:noProof/>
        </w:rPr>
        <w:t>după transmiterea proiectului de act legislativ către parlamentele naționale,</w:t>
      </w:r>
    </w:p>
    <w:p w14:paraId="17449933" w14:textId="77777777" w:rsidR="00D664CB" w:rsidRPr="00D91062" w:rsidRDefault="00D664CB" w:rsidP="00D664CB">
      <w:pPr>
        <w:rPr>
          <w:noProof/>
        </w:rPr>
      </w:pPr>
      <w:r w:rsidRPr="00D91062">
        <w:rPr>
          <w:noProof/>
        </w:rPr>
        <w:t>având în vedere avizul Comitetului Economic și Social European</w:t>
      </w:r>
      <w:r w:rsidRPr="00D91062">
        <w:rPr>
          <w:rStyle w:val="FootnoteReference"/>
          <w:noProof/>
        </w:rPr>
        <w:footnoteReference w:id="20"/>
      </w:r>
      <w:r w:rsidRPr="00D91062">
        <w:rPr>
          <w:noProof/>
        </w:rPr>
        <w:t xml:space="preserve">, </w:t>
      </w:r>
    </w:p>
    <w:p w14:paraId="3DB5FB17" w14:textId="77777777" w:rsidR="00D664CB" w:rsidRPr="00D91062" w:rsidRDefault="00D664CB" w:rsidP="00D664CB">
      <w:pPr>
        <w:rPr>
          <w:noProof/>
        </w:rPr>
      </w:pPr>
      <w:r w:rsidRPr="00D91062">
        <w:rPr>
          <w:noProof/>
        </w:rPr>
        <w:t>având în vedere avizul Comitetului Regiunilor</w:t>
      </w:r>
      <w:r w:rsidRPr="00D91062">
        <w:rPr>
          <w:rStyle w:val="FootnoteReference"/>
          <w:noProof/>
        </w:rPr>
        <w:footnoteReference w:id="21"/>
      </w:r>
      <w:r w:rsidRPr="00D91062">
        <w:rPr>
          <w:noProof/>
        </w:rPr>
        <w:t xml:space="preserve">, </w:t>
      </w:r>
    </w:p>
    <w:p w14:paraId="096E78BA" w14:textId="77777777" w:rsidR="00D664CB" w:rsidRPr="00D91062" w:rsidRDefault="00D664CB" w:rsidP="00D664CB">
      <w:pPr>
        <w:rPr>
          <w:noProof/>
        </w:rPr>
      </w:pPr>
      <w:r w:rsidRPr="00D91062">
        <w:rPr>
          <w:noProof/>
        </w:rPr>
        <w:t>hotărând în conformitate cu procedura legislativă ordinară,</w:t>
      </w:r>
    </w:p>
    <w:p w14:paraId="6E1A231A" w14:textId="77777777" w:rsidR="00D664CB" w:rsidRPr="00D91062" w:rsidRDefault="00D664CB" w:rsidP="00D664CB">
      <w:pPr>
        <w:rPr>
          <w:noProof/>
        </w:rPr>
      </w:pPr>
      <w:r w:rsidRPr="00D91062">
        <w:rPr>
          <w:noProof/>
        </w:rPr>
        <w:t>întrucât:</w:t>
      </w:r>
    </w:p>
    <w:p w14:paraId="7BC18ABD" w14:textId="77777777" w:rsidR="00D664CB" w:rsidRPr="00D91062" w:rsidRDefault="00D664CB" w:rsidP="006A6914">
      <w:pPr>
        <w:pStyle w:val="ManualConsidrant"/>
        <w:rPr>
          <w:noProof/>
        </w:rPr>
      </w:pPr>
      <w:r w:rsidRPr="00D91062">
        <w:rPr>
          <w:noProof/>
        </w:rPr>
        <w:t>(1)</w:t>
      </w:r>
      <w:r w:rsidRPr="00D91062">
        <w:rPr>
          <w:noProof/>
        </w:rPr>
        <w:tab/>
        <w:t>Serviciile mobile prin satelit (MSS) s-au dezvoltat ca o platformă complementară inovatoare pentru furnizarea diferitelor tipuri de servicii de comunicații paneuropene, indiferent de locul în care se află utilizatorii finali, cum ar fi serviciile de voce, de mesagerie, internet și multimedia de mare viteză, precum și serviciile de protecție publică și de ajutor în caz de dezastre. Sistemele MSS ar putea extinde acoperirea serviciilor mobile dincolo de sfera de acoperire a rețelelor mobile terestre, în special în zonele rurale, reducând astfel decalajul digital care persistă între zonele urbane și cele rurale în ceea ce privește acoperirea și calitatea serviciilor</w:t>
      </w:r>
      <w:r w:rsidRPr="00D91062">
        <w:rPr>
          <w:rStyle w:val="FootnoteReference"/>
          <w:noProof/>
        </w:rPr>
        <w:footnoteReference w:id="22"/>
      </w:r>
      <w:r w:rsidRPr="00D91062">
        <w:rPr>
          <w:noProof/>
        </w:rPr>
        <w:t>. Ca infrastructură suplimentară, sistemele MSS ar putea oferi conectivitate în cazul închiderii rețelei terestre din cauza dezastrelor naturale sau a intervenției umane, îmbunătățind astfel reziliența Uniunii. Acestea ar putea contribui la securitatea și autonomia Uniunii, precum și la competitivitatea economiei Uniunii.</w:t>
      </w:r>
    </w:p>
    <w:p w14:paraId="4AF45CE3" w14:textId="77777777" w:rsidR="00D664CB" w:rsidRPr="00D91062" w:rsidRDefault="00D664CB" w:rsidP="00D921F8">
      <w:pPr>
        <w:pStyle w:val="ManualConsidrant"/>
        <w:rPr>
          <w:rFonts w:eastAsia="Times New Roman"/>
          <w:noProof/>
          <w:color w:val="333333"/>
        </w:rPr>
      </w:pPr>
      <w:r w:rsidRPr="00D91062">
        <w:rPr>
          <w:noProof/>
        </w:rPr>
        <w:t>(2)</w:t>
      </w:r>
      <w:r w:rsidRPr="00D91062">
        <w:rPr>
          <w:noProof/>
        </w:rPr>
        <w:tab/>
      </w:r>
      <w:r w:rsidRPr="00D91062">
        <w:rPr>
          <w:noProof/>
          <w:color w:val="333333"/>
        </w:rPr>
        <w:t>Decizia 2007/98/CE a Comisiei</w:t>
      </w:r>
      <w:r w:rsidRPr="00D91062">
        <w:rPr>
          <w:rStyle w:val="FootnoteReference"/>
          <w:noProof/>
        </w:rPr>
        <w:footnoteReference w:id="23"/>
      </w:r>
      <w:r w:rsidRPr="00D91062">
        <w:rPr>
          <w:noProof/>
          <w:color w:val="333333"/>
        </w:rPr>
        <w:t xml:space="preserve"> a asigurat disponibilitatea benzii de frecvențe de 1</w:t>
      </w:r>
      <w:r w:rsidRPr="00D91062">
        <w:rPr>
          <w:noProof/>
        </w:rPr>
        <w:t> </w:t>
      </w:r>
      <w:r w:rsidRPr="00D91062">
        <w:rPr>
          <w:noProof/>
          <w:color w:val="333333"/>
        </w:rPr>
        <w:t>980-2 010 MHz împreună cu banda de frecvențe 2 170-2 200 MHz (denumită în continuare „banda MSS de 2 GHz”) în Uniune pentru instalarea sistemelor MSS. Orice altă utilizare a benzii MSS de 2 GHz, de exemplu de către sistemele terestre, este permisă fără protecție și fără interferențe, asigurând prioritatea și protecția MSS.</w:t>
      </w:r>
    </w:p>
    <w:p w14:paraId="1B9C3D6B" w14:textId="77777777" w:rsidR="00D664CB" w:rsidRPr="00D91062" w:rsidRDefault="00D664CB" w:rsidP="00D921F8">
      <w:pPr>
        <w:pStyle w:val="ManualConsidrant"/>
        <w:rPr>
          <w:noProof/>
          <w:color w:val="333333"/>
        </w:rPr>
      </w:pPr>
      <w:r w:rsidRPr="00D91062">
        <w:rPr>
          <w:noProof/>
        </w:rPr>
        <w:lastRenderedPageBreak/>
        <w:t>(3)</w:t>
      </w:r>
      <w:r w:rsidRPr="00D91062">
        <w:rPr>
          <w:noProof/>
        </w:rPr>
        <w:tab/>
        <w:t>Decizia nr. 626/2008/CE a Parlamentului European și a Consiliului</w:t>
      </w:r>
      <w:r w:rsidRPr="00D91062">
        <w:rPr>
          <w:rStyle w:val="FootnoteReference"/>
          <w:noProof/>
        </w:rPr>
        <w:footnoteReference w:id="24"/>
      </w:r>
      <w:r w:rsidRPr="00D91062">
        <w:rPr>
          <w:noProof/>
        </w:rPr>
        <w:t xml:space="preserve"> </w:t>
      </w:r>
      <w:r w:rsidRPr="00D91062">
        <w:rPr>
          <w:noProof/>
          <w:color w:val="333333"/>
        </w:rPr>
        <w:t xml:space="preserve">a stabilit un cadru comun pentru selectarea la nivelul Uniunii a furnizorilor de MSS și pentru autorizarea lor națională în condiții tehnice și operaționale armonizate. Scopul Deciziei nr. 626/2008/CE a fost </w:t>
      </w:r>
      <w:r w:rsidRPr="00D91062">
        <w:rPr>
          <w:noProof/>
        </w:rPr>
        <w:t xml:space="preserve">de a contribui la dezvoltarea pieței interne prin evitarea fragmentării cauzate de procedurile naționale de selecție care ar putea submina disponibilitatea serviciilor paneuropene și conectivitatea de la un capăt la altul, precum și de a încuraja investițiile eficiente. </w:t>
      </w:r>
      <w:r w:rsidRPr="00D91062">
        <w:rPr>
          <w:noProof/>
          <w:color w:val="333333"/>
        </w:rPr>
        <w:t>Pe baza procedurii stabilite în Decizia nr. 626/2008/CE, două întreprinderi au fost selectate în 2009 în temeiul Deciziei 2009/449/CE a Comisiei și autorizate să utilizeze fiecare un bloc pereche de spectru de 15 MHz (15 MHz Pământ-spațiu și 15 MHz spațiu-Pământ) în toate statele membre până în mai 2027. Succesorii legali ai ambilor furnizori de MSS selectați în 2009 furnizează servicii mobile prin satelit clienților comerciali și consumatorilor, pe baza sateliților geostaționari și la diferite niveluri de utilizare a spectrului și de dezvoltare a bazei de clienți.</w:t>
      </w:r>
    </w:p>
    <w:p w14:paraId="53ECFA40" w14:textId="77777777" w:rsidR="00D664CB" w:rsidRPr="00D91062" w:rsidRDefault="00D664CB" w:rsidP="00D921F8">
      <w:pPr>
        <w:pStyle w:val="ManualConsidrant"/>
        <w:rPr>
          <w:noProof/>
        </w:rPr>
      </w:pPr>
      <w:r w:rsidRPr="00D91062">
        <w:rPr>
          <w:noProof/>
        </w:rPr>
        <w:t>(4)</w:t>
      </w:r>
      <w:r w:rsidRPr="00D91062">
        <w:rPr>
          <w:noProof/>
        </w:rPr>
        <w:tab/>
      </w:r>
      <w:r w:rsidRPr="00D91062">
        <w:rPr>
          <w:noProof/>
          <w:color w:val="333333"/>
        </w:rPr>
        <w:t>Furnizarea de MSS a evoluat considerabil de la intrarea în vigoare a Deciziei nr. 626/2008/CE. În special, cele mai recente evoluții în domeniul tehnologiei satelitare și al cazurilor de utilizare au condus la apariția unor constelații multiorbitale care combină utilizarea sateliților pe orbita geostaționară (GEO), pe orbita terestră medie (MEO) și pe orbita terestră joasă (LEO). Aceste evoluții stau la baza dezvoltării unor servicii inovatoare, cum ar fi conectivitatea direct de la satelit la dispozitiv (</w:t>
      </w:r>
      <w:r w:rsidRPr="00D91062">
        <w:rPr>
          <w:i/>
          <w:noProof/>
          <w:color w:val="333333"/>
        </w:rPr>
        <w:t>Direct-to-Device</w:t>
      </w:r>
      <w:r w:rsidRPr="00D91062">
        <w:rPr>
          <w:noProof/>
          <w:color w:val="333333"/>
        </w:rPr>
        <w:t xml:space="preserve"> – D2D), care se preconizează că vor transforma treptat piața sateliților, prin furnizarea conectivității prin satelit pentru telefoanele mobile, tabletele și alte dispozitive standard nemodificate destinate utilizatorilor finali, compatibile cu tehnologia 5G și cu alte tehnologii. Acest lucru va îmbunătăți accesul la internet de mare viteză pentru toți, în special în regiunile insuficient deservite și îndepărtate, și va consolida capacitățile europene în domeniul comunicațiilor critice.</w:t>
      </w:r>
    </w:p>
    <w:p w14:paraId="454954EC" w14:textId="77777777" w:rsidR="00D664CB" w:rsidRPr="00D91062" w:rsidRDefault="00D664CB" w:rsidP="00D921F8">
      <w:pPr>
        <w:pStyle w:val="ManualConsidrant"/>
        <w:rPr>
          <w:noProof/>
        </w:rPr>
      </w:pPr>
      <w:r w:rsidRPr="00D91062">
        <w:rPr>
          <w:noProof/>
        </w:rPr>
        <w:t>(5)</w:t>
      </w:r>
      <w:r w:rsidRPr="00D91062">
        <w:rPr>
          <w:noProof/>
        </w:rPr>
        <w:tab/>
        <w:t>Conectivitatea prin satelit cu capacitate mare și acoperire globală a devenit esențială pentru consolidarea capabilităților Uniunii în domeniul comunicațiilor guvernamentale și critice (răspuns în situații de urgență și apărare) și o componentă-cheie pentru asigurarea rezilienței rețelelor de comunicații și pentru facilitarea conectivității neîntrerupte în condiții dificile. Conectivitatea prin satelit poate juca un rol esențial în realizarea obiectivelor UE în materie de securitate, suveranitate și autonomie digitală.</w:t>
      </w:r>
    </w:p>
    <w:p w14:paraId="294BBC40" w14:textId="5AE1ED01" w:rsidR="00D664CB" w:rsidRPr="00D91062" w:rsidRDefault="00D664CB" w:rsidP="00D921F8">
      <w:pPr>
        <w:pStyle w:val="ManualConsidrant"/>
        <w:rPr>
          <w:noProof/>
        </w:rPr>
      </w:pPr>
      <w:r w:rsidRPr="00D91062">
        <w:rPr>
          <w:noProof/>
        </w:rPr>
        <w:t>(6)</w:t>
      </w:r>
      <w:r w:rsidRPr="00D91062">
        <w:rPr>
          <w:noProof/>
        </w:rPr>
        <w:tab/>
        <w:t>Banda MSS de 2 GHz armonizată la nivel mondial este deosebit de relevantă pentru dezvoltarea rapidă a conectivității D2D prin satelit și a conectivității în bandă largă, deoarece oferă caracteristici de propagare favorabile. În plus, aceasta poate integra convergența dintre rețelele terestre („TN”) și rețelele non-terestre („NTN”) într-un sistem hibrid, pentru a asigura interoperabilitatea și furnizarea neîntreruptă de servicii între infrastructura terestră – cum ar fi rețelele de fibră optică și 5G sau 6G – și infrastructura spațială, sprijinind astfel inovarea și utilizarea eficientă a spectrului. Pentru a promova poziția de lider tehnologic, reziliența și autonomia strategică, ar trebui să fie posibil ca autorizarea benzii MSS de 2 GHz să stimuleze noi generații de tehnologii și arhitecturi de conectivitate care să permită integrarea NT-urilor și a NTN</w:t>
      </w:r>
      <w:r w:rsidR="00216996">
        <w:rPr>
          <w:noProof/>
        </w:rPr>
        <w:t>­</w:t>
      </w:r>
      <w:r w:rsidRPr="00D91062">
        <w:rPr>
          <w:noProof/>
        </w:rPr>
        <w:t>urilor într-un sistem hibrid, incluzând, de asemenea, componente complementare terestre și aeriene ale NTN-urilor.</w:t>
      </w:r>
    </w:p>
    <w:p w14:paraId="5981A6E9" w14:textId="77777777" w:rsidR="00D664CB" w:rsidRPr="00D91062" w:rsidRDefault="00D664CB" w:rsidP="00D921F8">
      <w:pPr>
        <w:pStyle w:val="ManualConsidrant"/>
        <w:rPr>
          <w:noProof/>
        </w:rPr>
      </w:pPr>
      <w:r w:rsidRPr="00D91062">
        <w:rPr>
          <w:noProof/>
        </w:rPr>
        <w:lastRenderedPageBreak/>
        <w:t>(7)</w:t>
      </w:r>
      <w:r w:rsidRPr="00D91062">
        <w:rPr>
          <w:noProof/>
        </w:rPr>
        <w:tab/>
        <w:t>Uniunea a adoptat o serie de măsuri de politică de sprijin în vederea accelerării adoptării internetului obiectelor („IoT”), cum ar fi monitorizarea solului, urmărirea containerelor, monitorizarea conductelor, cu scopul de a maximiza potențialul acestuia în beneficiul cetățenilor și al întreprinderilor. MSS-urile cu rată scăzută de date, care completează sistemele terestre sau converg cu acestea, joacă un rol esențial în implementarea soluțiilor IoT în diverse sectoare, inclusiv infrastructura de apă și gestionarea calității apei, agricultura, energia, cercetarea în domeniul mediului și transporturile. Acestea pot utiliza blocuri înguste de spectru de până la 1 MHz, inclusiv pe baza utilizării în comun a spectrului de către diferiți operatori. Prin urmare, operatorii IoT ar trebui să aibă posibilitatea de a licita pentru o parte mai mică a spectrului decât un bloc pereche de 5 MHz.</w:t>
      </w:r>
    </w:p>
    <w:p w14:paraId="5DED134E" w14:textId="38FB2085" w:rsidR="00D664CB" w:rsidRPr="00D91062" w:rsidRDefault="00D664CB" w:rsidP="00D921F8">
      <w:pPr>
        <w:pStyle w:val="ManualConsidrant"/>
        <w:rPr>
          <w:noProof/>
        </w:rPr>
      </w:pPr>
      <w:r w:rsidRPr="00D91062">
        <w:rPr>
          <w:noProof/>
        </w:rPr>
        <w:t>(8)</w:t>
      </w:r>
      <w:r w:rsidRPr="00D91062">
        <w:rPr>
          <w:noProof/>
        </w:rPr>
        <w:tab/>
        <w:t xml:space="preserve">Viabilitatea financiară a constelațiilor de sateliți de pe orbita terestră joasă depinde de accesul la mai multe piețe la scară mondială. În plus, coerența autorizării spectrului între țările sau regiunile învecinate poate îmbunătăți eficiența spectrală și poate îmbunătăți coordonarea frecvențelor. </w:t>
      </w:r>
    </w:p>
    <w:p w14:paraId="6B0A8F4B" w14:textId="77777777" w:rsidR="00D664CB" w:rsidRPr="00D91062" w:rsidRDefault="00D664CB" w:rsidP="00D921F8">
      <w:pPr>
        <w:pStyle w:val="ManualConsidrant"/>
        <w:rPr>
          <w:noProof/>
        </w:rPr>
      </w:pPr>
      <w:r w:rsidRPr="00D91062">
        <w:rPr>
          <w:noProof/>
        </w:rPr>
        <w:t>(9)</w:t>
      </w:r>
      <w:r w:rsidRPr="00D91062">
        <w:rPr>
          <w:noProof/>
        </w:rPr>
        <w:tab/>
        <w:t>Strategia spațială a UE pentru securitate și apărare</w:t>
      </w:r>
      <w:r w:rsidRPr="00D91062">
        <w:rPr>
          <w:rStyle w:val="FootnoteReference"/>
          <w:noProof/>
        </w:rPr>
        <w:footnoteReference w:id="25"/>
      </w:r>
      <w:r w:rsidRPr="00D91062">
        <w:rPr>
          <w:noProof/>
        </w:rPr>
        <w:t xml:space="preserve"> recunoaște că sistemele și serviciile spațiale sunt vitale pentru societate, economie, securitate și apărare în Uniune, făcând din spațiu un domeniu strategic și pentru utilizarea guvernamentală în condiții de siguranță. Deși serviciile către utilizatorii guvernamentali pot fi furnizate de orice furnizor de servicii de comunicații prin satelit, considerentele de securitate justifică faptul că o parte din banda MSS de 2 GHz valoroasă ar trebui valorificată pentru a stimula capacitățile de comunicații guvernamentale securizate prin satelit ale Uniunii prin implementarea unui sistem MSS sau a unui sistem hibrid securizat și rezilient („un sistem MSS/hibrid securizat”). Sistemul ar trebui să furnizeze, printre altele, servicii de interes public pentru a asigura, printre altele, gestionarea crizelor, siguranța publică și protecția infrastructurii critice, în special atunci când sistemele de comunicații terestre nu sunt disponibile, sunt perturbate sau nu sunt fiabile, de exemplu din cauza dezastrelor legate de climă. În plus, pentru a asigura un nivel ridicat de securitate, criteriile de admisibilitate pentru sistemul MSS/hibrid securizat ar trebui să asigure faptul că numai furnizorilor deținuți sau controlați de UE li se poate aloca partea din bandă care este dedicată furnizării de servicii guvernamentale securizate.</w:t>
      </w:r>
    </w:p>
    <w:p w14:paraId="0F282909" w14:textId="77777777" w:rsidR="00D664CB" w:rsidRPr="00D91062" w:rsidRDefault="00D664CB" w:rsidP="00D921F8">
      <w:pPr>
        <w:pStyle w:val="ManualConsidrant"/>
        <w:rPr>
          <w:noProof/>
        </w:rPr>
      </w:pPr>
      <w:r w:rsidRPr="00D91062">
        <w:rPr>
          <w:noProof/>
        </w:rPr>
        <w:t>(10)</w:t>
      </w:r>
      <w:r w:rsidRPr="00D91062">
        <w:rPr>
          <w:noProof/>
        </w:rPr>
        <w:tab/>
        <w:t>Prin urmare, pentru a îndeplini obiectivele prezentului regulament de promovare a competitivității economiei europene prin furnizarea de servicii mobile prin satelit de înaltă calitate, de încurajare a dezvoltării pieței interne, precum și de consolidare a autonomiei strategice a Uniunii în ceea ce privește furnizarea de conectivitate securizată utilizatorilor guvernamentali, ar trebui stabilite trei proceduri de selecție distincte, una pentru un sistem MSS/hibrid securizat, una pentru o întreprindere nou-intrată din Uniune pe piața comercială și una care să fie deschisă și solicitanților din țări terțe.</w:t>
      </w:r>
    </w:p>
    <w:p w14:paraId="12BAEA41" w14:textId="77777777" w:rsidR="00D664CB" w:rsidRPr="00D91062" w:rsidRDefault="00D664CB" w:rsidP="00D921F8">
      <w:pPr>
        <w:pStyle w:val="ManualConsidrant"/>
        <w:rPr>
          <w:noProof/>
        </w:rPr>
      </w:pPr>
      <w:r w:rsidRPr="00D91062">
        <w:rPr>
          <w:noProof/>
        </w:rPr>
        <w:t>(11)</w:t>
      </w:r>
      <w:r w:rsidRPr="00D91062">
        <w:rPr>
          <w:noProof/>
        </w:rPr>
        <w:tab/>
        <w:t xml:space="preserve">Având în vedere lărgimea de bandă totală limitată a benzii MSS de 2 GHz, numărul de frecvențe dedicate sistemului MSS/hibrid securizat nu ar trebui să limiteze în mod disproporționat disponibilitatea spectrului pentru sistemele comerciale prin satelit. Un bloc pereche de 10 MHz este necesar pentru ca un astfel de sistem să poată furniza </w:t>
      </w:r>
      <w:r w:rsidRPr="00D91062">
        <w:rPr>
          <w:noProof/>
        </w:rPr>
        <w:lastRenderedPageBreak/>
        <w:t>utilizatorilor guvernamentali nu numai servicii de voce, ci și servicii de internet în bandă largă de o calitate suficientă</w:t>
      </w:r>
      <w:r w:rsidRPr="00D91062">
        <w:rPr>
          <w:rStyle w:val="FootnoteReference"/>
          <w:noProof/>
        </w:rPr>
        <w:footnoteReference w:id="26"/>
      </w:r>
      <w:r w:rsidRPr="00D91062">
        <w:rPr>
          <w:noProof/>
        </w:rPr>
        <w:t>.</w:t>
      </w:r>
    </w:p>
    <w:p w14:paraId="27B98AFE" w14:textId="77777777" w:rsidR="00D664CB" w:rsidRPr="00D91062" w:rsidRDefault="00D664CB" w:rsidP="00D921F8">
      <w:pPr>
        <w:pStyle w:val="ManualConsidrant"/>
        <w:rPr>
          <w:noProof/>
        </w:rPr>
      </w:pPr>
      <w:r w:rsidRPr="00D91062">
        <w:rPr>
          <w:noProof/>
        </w:rPr>
        <w:t>(12)</w:t>
      </w:r>
      <w:r w:rsidRPr="00D91062">
        <w:rPr>
          <w:noProof/>
        </w:rPr>
        <w:tab/>
        <w:t>Sistemul MSS/hibrid securizat ar trebui să furnizeze servicii omniprezente și versatile în bandă largă și îngustă pentru comunicații guvernamentale și critice securizate în întreaga Uniune, sprijinind comunicațiile de voce, de date, internetul obiectelor, precum și conectivitatea D2D. În plus, sistemul MSS/hibrid securizat și rezilient ar putea fi esențial pentru punerea în aplicare a Strategiei europene privind o uniune a pregătirii</w:t>
      </w:r>
      <w:r w:rsidRPr="00D91062">
        <w:rPr>
          <w:rStyle w:val="FootnoteReference"/>
          <w:noProof/>
        </w:rPr>
        <w:footnoteReference w:id="27"/>
      </w:r>
      <w:r w:rsidRPr="00D91062">
        <w:rPr>
          <w:noProof/>
        </w:rPr>
        <w:t>, care subliniază, printre altele, necesitatea de a integra pregătirea din faza de proiectare în politicile și acțiunile UE pentru a asigura reziliența funcțiilor societale vitale, inclusiv modernizarea comunicațiilor securizate dintre instituțiile UE și statele membre și promovarea dublei utilizări din faza de proiectare în investițiile în infrastructură pentru o conectivitate securizată în întreaga Uniune. Deși sistemul MSS/hibrid securizat ar trebui să furnizeze în primul rând servicii de comunicații guvernamentale securizate, pentru a asigura utilizarea eficientă a spectrului și beneficii maxime pentru economia și cetățenii europeni, sistemului respectiv ar trebui să i se permită să utilizeze orice capacitate de spectru disponibilă, care nu este utilizată pentru furnizarea de comunicații guvernamentale securizate, ca alternativă pentru furnizarea de servicii comerciale, cu condiția să fie garantată prioritatea furnizării de comunicații guvernamentale securizate.</w:t>
      </w:r>
    </w:p>
    <w:p w14:paraId="141601C6" w14:textId="5CBD5D4A" w:rsidR="00D664CB" w:rsidRPr="00D91062" w:rsidRDefault="00D664CB" w:rsidP="00D921F8">
      <w:pPr>
        <w:pStyle w:val="ManualConsidrant"/>
        <w:rPr>
          <w:noProof/>
        </w:rPr>
      </w:pPr>
      <w:r w:rsidRPr="00D91062">
        <w:rPr>
          <w:noProof/>
        </w:rPr>
        <w:t>(13)</w:t>
      </w:r>
      <w:r w:rsidRPr="00D91062">
        <w:rPr>
          <w:noProof/>
        </w:rPr>
        <w:tab/>
        <w:t>Infrastructura Uniunii pentru reziliență, interconectivitate și securitate prin satelit („IRIS²”), instituită prin Regulamentul (UE) 2023/588 al Parlamentului European și al Consiliului</w:t>
      </w:r>
      <w:r w:rsidRPr="00D91062">
        <w:rPr>
          <w:rStyle w:val="FootnoteReference"/>
          <w:noProof/>
        </w:rPr>
        <w:footnoteReference w:id="28"/>
      </w:r>
      <w:r w:rsidRPr="00D91062">
        <w:rPr>
          <w:noProof/>
        </w:rPr>
        <w:t>, este concepută pentru a furniza servicii de comunicații securizate, reziliente și de înaltă performanță pentru Uniune și statele sale membre, permițând în același timp servicii comerciale în bandă largă. Această infrastructură critică consolidează suveranitatea digitală a Uniunii, reduce dependența de furnizorii din afara Uniunii, sporește reziliența împotriva amenințărilor cibernetice și hibride și sprijină autonomia strategică și competitivitatea Uniunii pe piața mondială a comunicațiilor prin satelit, care evoluează rapid. IRIS² se bazează pe un model de parteneriat public-privat și implementează o constelație multiorbitală care combină sateliți geostaționari, medii, inferiori și polari de pe orbita terestră cu standarde avansate de securitate cibernetică și de criptare. Prin urmare, pentru a asigura un nivel ridicat de reziliență a rețelei, precum și complementaritatea și varietatea serviciilor, abordarea preferată pentru asigurarea furnizării de comunicații guvernamentale securizate prin satelit ale Uniunii utilizând banda MSS de 2 GHz ar trebui să se bazeze pe o arhitectură prin satelit multiorbitală.</w:t>
      </w:r>
    </w:p>
    <w:p w14:paraId="2B4ED80E" w14:textId="77777777" w:rsidR="00D664CB" w:rsidRPr="00D91062" w:rsidRDefault="00D664CB" w:rsidP="00D921F8">
      <w:pPr>
        <w:pStyle w:val="ManualConsidrant"/>
        <w:rPr>
          <w:noProof/>
        </w:rPr>
      </w:pPr>
      <w:r w:rsidRPr="00D91062">
        <w:rPr>
          <w:noProof/>
        </w:rPr>
        <w:t>(14)</w:t>
      </w:r>
      <w:r w:rsidRPr="00D91062">
        <w:rPr>
          <w:noProof/>
        </w:rPr>
        <w:tab/>
        <w:t>Astfel cum s-a anunțat în Cartea albă intitulată „Cum se pot gestiona nevoile Europei în materie de infrastructură digitală?”</w:t>
      </w:r>
      <w:r w:rsidRPr="00D91062">
        <w:rPr>
          <w:rStyle w:val="FootnoteReference"/>
          <w:noProof/>
        </w:rPr>
        <w:footnoteReference w:id="29"/>
      </w:r>
      <w:r w:rsidRPr="00D91062">
        <w:rPr>
          <w:noProof/>
        </w:rPr>
        <w:t xml:space="preserve">, Comisia colaborează cu statele membre </w:t>
      </w:r>
      <w:r w:rsidRPr="00D91062">
        <w:rPr>
          <w:noProof/>
        </w:rPr>
        <w:lastRenderedPageBreak/>
        <w:t>pentru a institui Sistemul de comunicații critice al UE (EUCCS), cu scopul de a conecta rețelele de comunicații ale tuturor autorităților publice de aplicare a legii, de protecție civilă și de intervenție în materie de siguranță din Europa până în 2030 astfel încât să faciliteze o comunicare critică și o mobilitate operațională neîntrerupte în spațiul Schengen. Conectivitatea prin satelit, inclusiv, în special, prin intermediul IRIS², va oferi o rezervă esențială și o acoperire suplimentară pentru EUCCS. În contextul celei mai importante inițiative de comunicare critică în domeniul securității civile, este esențial ca EUCCS să dispună de un spectru MSS suficient pentru banda largă și conectivitatea directă de la satelit la dispozitiv. Prin urmare, titularul autorizației pentru sistemul MSS/hibrid securizat ar trebui să sprijine funcționarea EUCCS.</w:t>
      </w:r>
    </w:p>
    <w:p w14:paraId="0AC363BC" w14:textId="77777777" w:rsidR="00D664CB" w:rsidRPr="00D91062" w:rsidRDefault="00D664CB" w:rsidP="00D921F8">
      <w:pPr>
        <w:pStyle w:val="ManualConsidrant"/>
        <w:rPr>
          <w:noProof/>
        </w:rPr>
      </w:pPr>
      <w:r w:rsidRPr="00D91062">
        <w:rPr>
          <w:noProof/>
        </w:rPr>
        <w:t>(15)</w:t>
      </w:r>
      <w:r w:rsidRPr="00D91062">
        <w:rPr>
          <w:noProof/>
        </w:rPr>
        <w:tab/>
      </w:r>
      <w:r w:rsidRPr="00D91062">
        <w:rPr>
          <w:noProof/>
          <w:color w:val="333333"/>
        </w:rPr>
        <w:t>Având în vedere importanța tot mai mare a comunicațiilor securizate, eficace și reziliente pentru securitate și apărare, precum și pentru funcționarea serviciilor critice, este esențial ca atribuirea drepturilor de utilizare pentru un sistem MSS/hibrid securizat în banda MSS de 2 GHz să asigure un nivel ridicat de securitate, precum și fiabilitatea și integritatea operațională. În cazul în care, în urma unei proceduri de selecție, Comisia concluzionează că niciunul dintre solicitanți nu este în măsură să demonstreze un nivel atât de ridicat de capacități pentru un sistem MSS/hibrid securizat, eficace și rezilient, în conformitate cu condițiile prevăzute în prezentul regulament, ar trebui să fie posibil să nu se atribuie această porțiune a benzii MSS de 2 GHz. În astfel de circumstanțe, Comisia ar trebui să fie în măsură să relanseze procedura de selecție, pentru a se asigura că blocul pereche de 10 MHz din banda MSS de 2 GHz este atribuit în cele din urmă unei întreprinderi capabile să îndeplinească cerințele sau să exploreze soluții alternative.</w:t>
      </w:r>
    </w:p>
    <w:p w14:paraId="04D5E430" w14:textId="77777777" w:rsidR="00B33F82" w:rsidRPr="00D91062" w:rsidRDefault="00D664CB" w:rsidP="00B33F82">
      <w:pPr>
        <w:pStyle w:val="ManualConsidrant"/>
        <w:rPr>
          <w:rFonts w:eastAsia="Times New Roman"/>
          <w:noProof/>
        </w:rPr>
      </w:pPr>
      <w:r w:rsidRPr="00D91062">
        <w:rPr>
          <w:noProof/>
        </w:rPr>
        <w:t>(16)</w:t>
      </w:r>
      <w:r w:rsidRPr="00D91062">
        <w:rPr>
          <w:noProof/>
        </w:rPr>
        <w:tab/>
        <w:t>Strategia europeană pentru securitate economică</w:t>
      </w:r>
      <w:r w:rsidRPr="00D91062">
        <w:rPr>
          <w:rStyle w:val="FootnoteReference"/>
          <w:noProof/>
          <w:lang w:eastAsia="en-IE"/>
        </w:rPr>
        <w:footnoteReference w:id="30"/>
      </w:r>
      <w:r w:rsidRPr="00D91062">
        <w:rPr>
          <w:noProof/>
        </w:rPr>
        <w:t xml:space="preserve"> urmărește să consolideze reziliența economică a Uniunii, protejându-i în același timp prosperitatea și capacitățile tehnologice într-un mediu din ce în ce mai incert și mai dificil din punct de vedere geopolitic. Printre altele, aceasta urmărește să protejeze ordinea publică a Uniunii și să consolideze autonomia strategică și securitatea acesteia prin diversificare și lanțuri de aprovizionare din ce în ce mai reziliente pentru infrastructura critică. Aceste obiective ar putea fi afectate dacă serviciile comerciale MSS din întreaga Uniune ar fi furnizate exclusiv de un singur operator dintr-o țară terță.</w:t>
      </w:r>
      <w:r w:rsidRPr="00D91062">
        <w:rPr>
          <w:noProof/>
          <w:color w:val="333333"/>
          <w:shd w:val="clear" w:color="auto" w:fill="FFFFFF"/>
        </w:rPr>
        <w:t xml:space="preserve"> În prezent, nu există niciun operator de satelit din Uniune care să dețină drepturi de utilizare a spectrului în banda MSS de 2 GHz.</w:t>
      </w:r>
      <w:r w:rsidRPr="00D91062">
        <w:rPr>
          <w:noProof/>
        </w:rPr>
        <w:t xml:space="preserve"> Pentru a asigura reziliența și a urmări diversificarea strategică a Uniunii, Comisia ar trebui să urmărească diversificarea furnizorilor, inclusiv prin stimularea intrării pe piață a operatorilor de sateliți deținuți sau controlați de Uniune. Din acest motiv, întreprinderilor nou-intrate din Uniune ar trebui să li se acorde prioritate pentru a obține două dintre cele patru blocuri pereche de 5 MHz disponibile pentru furnizarea de servicii MSS comerciale.</w:t>
      </w:r>
    </w:p>
    <w:p w14:paraId="1C9FC474" w14:textId="773A34AD" w:rsidR="00D664CB" w:rsidRPr="00D91062" w:rsidRDefault="00D664CB" w:rsidP="00D921F8">
      <w:pPr>
        <w:pStyle w:val="ManualConsidrant"/>
        <w:rPr>
          <w:noProof/>
        </w:rPr>
      </w:pPr>
      <w:r w:rsidRPr="00D91062">
        <w:rPr>
          <w:noProof/>
        </w:rPr>
        <w:t>(17)</w:t>
      </w:r>
      <w:r w:rsidRPr="00D91062">
        <w:rPr>
          <w:noProof/>
        </w:rPr>
        <w:tab/>
        <w:t xml:space="preserve">Pentru a proteja concurența, este necesar să se evite ca spectrul disponibil pentru MSS comerciale să fie deținut de o singură întreprindere sau să existe o asimetrie semnificativă între frecvențele deținute de operatorii MSS comerciali. Acest lucru ar trebui asigurat printr-un plafon de spectru de 10 MHz pentru blocurile pereche, care ar trebui să se aplice solicitanților care doresc să furnizeze servicii comerciale MSS. Solicitantul selectat pentru a furniza sistemul MSS/hibrid securizat ar trebui să poată obține, pe lângă cele două blocuri pereche de 5 MHz pentru furnizarea prioritară de </w:t>
      </w:r>
      <w:r w:rsidRPr="00D91062">
        <w:rPr>
          <w:noProof/>
        </w:rPr>
        <w:lastRenderedPageBreak/>
        <w:t xml:space="preserve">comunicații guvernamentale securizate, și maximum două blocuri pereche de 5 MHz pentru furnizarea de MSS comerciale. </w:t>
      </w:r>
    </w:p>
    <w:p w14:paraId="384066C4" w14:textId="77777777" w:rsidR="00D664CB" w:rsidRPr="00D91062" w:rsidRDefault="00D664CB" w:rsidP="00D921F8">
      <w:pPr>
        <w:pStyle w:val="ManualConsidrant"/>
        <w:rPr>
          <w:noProof/>
        </w:rPr>
      </w:pPr>
      <w:r w:rsidRPr="00D91062">
        <w:rPr>
          <w:noProof/>
        </w:rPr>
        <w:t>(18)</w:t>
      </w:r>
      <w:r w:rsidRPr="00D91062">
        <w:rPr>
          <w:noProof/>
        </w:rPr>
        <w:tab/>
        <w:t>În cazul sistemelor MSS comerciale din banda MSS de 2 GHz, nu ar trebui să se permită utilizarea în principal a unor componente complementare terestre și/sau aeriene pentru furnizarea de MSS, în comparație cu componenta spațială a sistemului MSS. Pentru a evita denaturarea concurenței pe piața comunicațiilor mobile terestre și pentru a încuraja implementarea rapidă și competitivă a sistemelor comerciale avansate de comunicații prin satelit de înaltă calitate, nu ar trebui permisă utilizarea benzii pentru sistemele comerciale hibride. Aceste componente ar trebui instalate doar în mod excepțional, în locuri în care disponibilitatea MSS la calitatea necesară nu a putut fi asigurată doar de stațiile spațiale. Dependența predominantă de componentele terestre deosebit de complementare ar putea schimba natura sistemului, trecând de la rețeaua mobilă prin satelit la rețeaua terestră, contrazicând scopul prezentului regulament, și ar putea afecta în mod negativ concurența pe rețelele terestre mobile.</w:t>
      </w:r>
    </w:p>
    <w:p w14:paraId="19B331C4" w14:textId="77777777" w:rsidR="00D664CB" w:rsidRPr="00D91062" w:rsidRDefault="00D664CB" w:rsidP="00D921F8">
      <w:pPr>
        <w:pStyle w:val="ManualConsidrant"/>
        <w:rPr>
          <w:noProof/>
        </w:rPr>
      </w:pPr>
      <w:r w:rsidRPr="00D91062">
        <w:rPr>
          <w:noProof/>
        </w:rPr>
        <w:t>(19)</w:t>
      </w:r>
      <w:r w:rsidRPr="00D91062">
        <w:rPr>
          <w:noProof/>
        </w:rPr>
        <w:tab/>
        <w:t>Un sistem hibrid în banda MSS de 2 GHz, care integrează o rețea terestră (TN) și o rețea non-terestră (NTN), inclusiv orice componente terestre sau aeriene complementare, ar trebui să asigure, după caz, gestionarea interferențelor radio și coexistența cu alte sisteme fără fir relevante în bandă și în benzile adiacente. În acest scop, Comisia poate include în cererea de candidaturi condiții tehnice și operaționale pentru sistemul MSS/hibrid securizat, sub rezerva unor studii tehnice prealabile.</w:t>
      </w:r>
    </w:p>
    <w:p w14:paraId="0A88E766" w14:textId="77777777" w:rsidR="00D664CB" w:rsidRPr="00D91062" w:rsidRDefault="00D664CB" w:rsidP="00D921F8">
      <w:pPr>
        <w:pStyle w:val="ManualConsidrant"/>
        <w:rPr>
          <w:noProof/>
        </w:rPr>
      </w:pPr>
      <w:r w:rsidRPr="00D91062">
        <w:rPr>
          <w:noProof/>
        </w:rPr>
        <w:t>(20)</w:t>
      </w:r>
      <w:r w:rsidRPr="00D91062">
        <w:rPr>
          <w:noProof/>
        </w:rPr>
        <w:tab/>
        <w:t>Datele transmise printr-o constelație de sateliți pot ajunge în locuri diferite. Pentru a preveni expunerea traficului de date la un regim juridic străin privind protecția datelor, solicitanții pentru orice sistem MSS din banda MSS de 2 GHz din Uniune nu ar trebui să facă obiectul unor obligații care să permită jurisdicțiilor din afara Uniunii să acceseze datele transmise prin sistemul MSS al Uniunii. În plus, întregul trafic ar trebui să fie direcționat pe teritoriul Uniunii, pentru a se asigura că autoritățile publice își pot exercita competența în ceea ce privește interceptarea legală. În plus, autorizarea benzii MSS de 2 GHz oferă ocazia de a promova un ecosistem la nivelul Uniunii, inclusiv un lanț de aprovizionare pentru fabricarea, implementarea și exploatarea sistemului, împreună cu un nivel ridicat de integrare a tehnologiilor dezvoltate în Uniune, în vederea reducerii dependențelor strategice și a prevenirii riscurilor de securitate, precum și a vulnerabilităților sistemice.</w:t>
      </w:r>
    </w:p>
    <w:p w14:paraId="4121FA90" w14:textId="77777777" w:rsidR="00D664CB" w:rsidRPr="00D91062" w:rsidRDefault="00D664CB" w:rsidP="00D921F8">
      <w:pPr>
        <w:pStyle w:val="ManualConsidrant"/>
        <w:rPr>
          <w:rFonts w:eastAsia="Times New Roman"/>
          <w:noProof/>
        </w:rPr>
      </w:pPr>
      <w:r w:rsidRPr="00D91062">
        <w:rPr>
          <w:noProof/>
        </w:rPr>
        <w:t>(21)</w:t>
      </w:r>
      <w:r w:rsidRPr="00D91062">
        <w:rPr>
          <w:noProof/>
        </w:rPr>
        <w:tab/>
        <w:t>Pentru a promova oportunitățile de intrare pe piață pentru noii operatori și concurența efectivă, pentru a stimula inovarea și pentru a asigura buna funcționare a pieței interne, solicitanții de sisteme MSS comerciale ar trebui să sprijine modelele de afaceri care oferă acces cu ridicata la capacitatea sau spectrul de frecvențe prin satelit în condiții echitabile, rezonabile și nediscriminatorii, de exemplu pentru operatorii de rețele mobile virtuale.</w:t>
      </w:r>
    </w:p>
    <w:p w14:paraId="4F963D3B" w14:textId="77777777" w:rsidR="00D664CB" w:rsidRPr="00D91062" w:rsidRDefault="00D664CB" w:rsidP="00D921F8">
      <w:pPr>
        <w:pStyle w:val="ManualConsidrant"/>
        <w:rPr>
          <w:noProof/>
        </w:rPr>
      </w:pPr>
      <w:r w:rsidRPr="00D91062">
        <w:rPr>
          <w:noProof/>
        </w:rPr>
        <w:t>(22)</w:t>
      </w:r>
      <w:r w:rsidRPr="00D91062">
        <w:rPr>
          <w:noProof/>
        </w:rPr>
        <w:tab/>
        <w:t>Directiva (UE) 2018/1972 a Parlamentului European și a Consiliului</w:t>
      </w:r>
      <w:r w:rsidRPr="00D91062">
        <w:rPr>
          <w:rStyle w:val="FootnoteReference"/>
          <w:noProof/>
        </w:rPr>
        <w:footnoteReference w:id="31"/>
      </w:r>
      <w:r w:rsidRPr="00D91062">
        <w:rPr>
          <w:noProof/>
        </w:rPr>
        <w:t xml:space="preserve"> de instituire a Codului european al comunicațiilor electronice prevede un cadru pentru gestionarea coordonată a spectrului în Uniune, inclusiv pentru spectrul de frecvențe prin satelit, stabilind principii generale care – în absența unor norme specifice – sunt relevante și pentru Decizia nr. 626/2008/CE. Ca regulă generală, în temeiul cadrului actual, autoritățile naționale competente sunt responsabile de autorizarea utilizării spectrului de frecvențe radio.</w:t>
      </w:r>
    </w:p>
    <w:p w14:paraId="51B7CEE2" w14:textId="77777777" w:rsidR="00D664CB" w:rsidRPr="00D91062" w:rsidRDefault="00D664CB" w:rsidP="00D921F8">
      <w:pPr>
        <w:pStyle w:val="ManualConsidrant"/>
        <w:rPr>
          <w:noProof/>
          <w:color w:val="333333"/>
        </w:rPr>
      </w:pPr>
      <w:r w:rsidRPr="00D91062">
        <w:rPr>
          <w:noProof/>
        </w:rPr>
        <w:lastRenderedPageBreak/>
        <w:t>(23)</w:t>
      </w:r>
      <w:r w:rsidRPr="00D91062">
        <w:rPr>
          <w:noProof/>
        </w:rPr>
        <w:tab/>
        <w:t>Cadrul MSS existent se bazează exclusiv pe autorizarea națională a serviciilor prin satelit și a resurselor spectrului și nu a permis abordarea problemei fragmentării condițiilor de autorizare care afectează buna funcționare a pieței unice.</w:t>
      </w:r>
      <w:r w:rsidRPr="00D91062">
        <w:rPr>
          <w:noProof/>
          <w:color w:val="333333"/>
        </w:rPr>
        <w:t xml:space="preserve"> </w:t>
      </w:r>
      <w:r w:rsidRPr="00D91062">
        <w:rPr>
          <w:noProof/>
        </w:rPr>
        <w:t>Deși Decizia nr. 626/2008/CE a armonizat anumite condiții de autorizare, punerea în aplicare la nivel național a fost inconsecventă și a dus la întârzieri și la fragmentare în procesul de autorizare. În avizele sale</w:t>
      </w:r>
      <w:r w:rsidRPr="00D91062">
        <w:rPr>
          <w:rStyle w:val="FootnoteReference"/>
          <w:noProof/>
        </w:rPr>
        <w:footnoteReference w:id="32"/>
      </w:r>
      <w:r w:rsidRPr="00D91062">
        <w:rPr>
          <w:noProof/>
          <w:color w:val="333333"/>
        </w:rPr>
        <w:t>, Grupul pentru politica în domeniul spectrului de frecvențe radio (RSPG) a solicitat o coordonare mai strânsă la nivelul Uniunii în ceea ce privește autorizarea sateliților, cerințele comune și mecanismele colective de asigurare a respectării legii. Aceste măsuri sunt esențiale pentru a preveni fragmentarea legislativă și pentru a spori competitivitatea Uniunii.</w:t>
      </w:r>
    </w:p>
    <w:p w14:paraId="138894C3" w14:textId="77777777" w:rsidR="00D664CB" w:rsidRPr="00D91062" w:rsidRDefault="00D664CB" w:rsidP="00D921F8">
      <w:pPr>
        <w:pStyle w:val="ManualConsidrant"/>
        <w:rPr>
          <w:noProof/>
        </w:rPr>
      </w:pPr>
      <w:r w:rsidRPr="00D91062">
        <w:rPr>
          <w:noProof/>
        </w:rPr>
        <w:t>(24)</w:t>
      </w:r>
      <w:r w:rsidRPr="00D91062">
        <w:rPr>
          <w:noProof/>
        </w:rPr>
        <w:tab/>
      </w:r>
      <w:r w:rsidRPr="00D91062">
        <w:rPr>
          <w:noProof/>
          <w:color w:val="333333"/>
        </w:rPr>
        <w:t>Ridicarea autorizării la nivelul Uniunii cu aplicare centralizată ar trebui să permită Comisiei să reacționeze în mod eficace în cazurile de neconformitate, în coordonare, dacă este necesar, cu autoritățile statelor membre, pentru a proteja interesele strategice, securitatea și suveranitatea tehnologică a Europei. Aceasta ar trebui, de asemenea, să creeze certitudinea în materie de reglementare necesară pentru a stimula inovarea, concurența și investițiile, în special, pe piața conectivității D2D, aflată în evoluție. Prin urmare, este necesar să se grupeze selecția și autorizarea titularilor de drepturi de utilizare în banda MSS de 2 GHz la nivelul Uniunii.</w:t>
      </w:r>
    </w:p>
    <w:p w14:paraId="79BFBC73" w14:textId="77777777" w:rsidR="00D664CB" w:rsidRPr="00D91062" w:rsidRDefault="00D664CB" w:rsidP="00D921F8">
      <w:pPr>
        <w:pStyle w:val="ManualConsidrant"/>
        <w:rPr>
          <w:noProof/>
        </w:rPr>
      </w:pPr>
      <w:r w:rsidRPr="00D91062">
        <w:rPr>
          <w:noProof/>
        </w:rPr>
        <w:t>(25)</w:t>
      </w:r>
      <w:r w:rsidRPr="00D91062">
        <w:rPr>
          <w:noProof/>
        </w:rPr>
        <w:tab/>
        <w:t>Prin urmare, prezentul regulament ar trebui să stabilească, de asemenea, un cadru pentru autorizarea la nivelul Uniunii a benzii MSS de 2 GHz. Întreprinderilor de sateliți selectate ar trebui să li se acorde drepturi la nivelul Uniunii pentru utilizarea spectrului, implementarea sistemului, inclusiv a componentelor terestre și aeriene complementare, și furnizarea de servicii. Acest lucru ar aborda fragmentarea legislativă și ar consolida autonomia strategică și securitatea Uniunii, sprijinind, de asemenea, obiectivele politicii spațiale și de conectivitate a UE. Autorizația Uniunii ar trebui să asigure evitarea interferențelor prejudiciabile, impunând titularilor de drepturi de utilizare să mențină controlul permanent asupra transmisiei tuturor stațiilor radio, inclusiv a celor exploatate în afara Uniunii. De asemenea, ar trebui să impună o coordonare eficace și eficientă cu sistemele de sateliți existente și viitoare ale Uniunii și să permită accesul la spectrul de frecvențe radio la cererea autorităților competente în perioade de criză.</w:t>
      </w:r>
    </w:p>
    <w:p w14:paraId="0DBE83B7" w14:textId="2432B95A" w:rsidR="00764BE2" w:rsidRPr="00D91062" w:rsidRDefault="00D664CB" w:rsidP="00D921F8">
      <w:pPr>
        <w:pStyle w:val="ManualConsidrant"/>
        <w:rPr>
          <w:noProof/>
        </w:rPr>
      </w:pPr>
      <w:r w:rsidRPr="00D91062">
        <w:rPr>
          <w:noProof/>
        </w:rPr>
        <w:t>(26)</w:t>
      </w:r>
      <w:r w:rsidRPr="00D91062">
        <w:rPr>
          <w:noProof/>
        </w:rPr>
        <w:tab/>
        <w:t>Având în vedere importanța strategică a sistemului MSS/hibrid securizat, dreptul de utilizare a benzii MSS de 2 GHz pentru sistemul respectiv ar trebui să facă obiectul unei autorizații a Uniunii în condiții de autorizare adaptate. Aceste condiții ar trebui să asigure faptul că solicitanții selectați se angajează să furnizeze și să exploateze în permanență servicii de comunicații guvernamentale securizate, inclusiv să exploateze, să întrețină, să reîntregească și să protejeze infrastructura terestră și prin satelit relevantă. Având în vedere caracterul esențial pentru misiune al serviciilor guvernamentale și legătura lor inerentă cu infrastructura guvernamentală a sistemului IRIS</w:t>
      </w:r>
      <w:r w:rsidRPr="00D91062">
        <w:rPr>
          <w:noProof/>
          <w:vertAlign w:val="superscript"/>
        </w:rPr>
        <w:t>2</w:t>
      </w:r>
      <w:r w:rsidRPr="00D91062">
        <w:rPr>
          <w:noProof/>
        </w:rPr>
        <w:t>, care este deținută de Uniune în temeiul articolului 6 din Regulamentul</w:t>
      </w:r>
      <w:r w:rsidR="003F69E7">
        <w:rPr>
          <w:noProof/>
        </w:rPr>
        <w:t> </w:t>
      </w:r>
      <w:r w:rsidRPr="00D91062">
        <w:rPr>
          <w:noProof/>
        </w:rPr>
        <w:t>(UE)</w:t>
      </w:r>
      <w:r w:rsidR="003F69E7">
        <w:rPr>
          <w:noProof/>
        </w:rPr>
        <w:t> </w:t>
      </w:r>
      <w:r w:rsidRPr="00D91062">
        <w:rPr>
          <w:noProof/>
        </w:rPr>
        <w:t>2023/588, autorizația Uniunii trebuie să asigure integrarea sistemului MSS/hibrid securizat cu sistemul IRIS</w:t>
      </w:r>
      <w:r w:rsidRPr="00D91062">
        <w:rPr>
          <w:noProof/>
          <w:vertAlign w:val="superscript"/>
        </w:rPr>
        <w:t>2</w:t>
      </w:r>
      <w:r w:rsidRPr="00D91062">
        <w:rPr>
          <w:noProof/>
        </w:rPr>
        <w:t>. Cererea de candidaturi ar trebui să specifice nivelul de integrare a sistemului MSS/hibrid securizat cu sistemul IRIS</w:t>
      </w:r>
      <w:r w:rsidRPr="00D91062">
        <w:rPr>
          <w:noProof/>
          <w:vertAlign w:val="superscript"/>
        </w:rPr>
        <w:t>2</w:t>
      </w:r>
      <w:r w:rsidRPr="00D91062">
        <w:rPr>
          <w:noProof/>
        </w:rPr>
        <w:t xml:space="preserve">, de exemplu abordând gestionarea generală a serviciilor de securitate de la un capăt la altul prin utilizarea hardware-ului, a software-ului și a standardelor în conformitate cu </w:t>
      </w:r>
      <w:r w:rsidRPr="00D91062">
        <w:rPr>
          <w:noProof/>
        </w:rPr>
        <w:lastRenderedPageBreak/>
        <w:t>specificațiile prevăzute în Regulamentul (UE) 2023/588, asigurând instituirea pe teritoriul Uniunii a unei stații principale de control la sol a sistemului MSS/hibrid securizat ca parte integrantă a gestionării rețelei IRIS</w:t>
      </w:r>
      <w:r w:rsidRPr="00D91062">
        <w:rPr>
          <w:noProof/>
          <w:vertAlign w:val="superscript"/>
        </w:rPr>
        <w:t>2</w:t>
      </w:r>
      <w:r w:rsidRPr="00D91062">
        <w:rPr>
          <w:noProof/>
        </w:rPr>
        <w:t xml:space="preserve"> sau găzduirea și gestionarea sarcinilor utile IRIS</w:t>
      </w:r>
      <w:r w:rsidRPr="00D91062">
        <w:rPr>
          <w:noProof/>
          <w:vertAlign w:val="superscript"/>
        </w:rPr>
        <w:t>2</w:t>
      </w:r>
      <w:r w:rsidRPr="00D91062">
        <w:rPr>
          <w:noProof/>
        </w:rPr>
        <w:t>. În plus, autorizația Uniunii ar trebui să asigure respectarea celor mai înalte cerințe de securitate cibernetică aplicabile și să impună măsuri adecvate pentru a garanta integritatea, securitatea și reziliența componentelor sistemului și funcționarea acestora, protejând astfel prioritatea și continuitatea serviciilor de comunicații guvernamentale.</w:t>
      </w:r>
    </w:p>
    <w:p w14:paraId="5C7FCBC2" w14:textId="77777777" w:rsidR="00D664CB" w:rsidRPr="00D91062" w:rsidRDefault="00D664CB" w:rsidP="00D921F8">
      <w:pPr>
        <w:pStyle w:val="ManualConsidrant"/>
        <w:rPr>
          <w:noProof/>
        </w:rPr>
      </w:pPr>
      <w:r w:rsidRPr="00D91062">
        <w:rPr>
          <w:noProof/>
        </w:rPr>
        <w:t>(27)</w:t>
      </w:r>
      <w:r w:rsidRPr="00D91062">
        <w:rPr>
          <w:noProof/>
        </w:rPr>
        <w:tab/>
        <w:t>Ambii titulari tradiționali ai drepturilor de utilizare a spectrului în banda MSS de 2 GHz au implementat anumite servicii mobile prin satelit, care au fost, într-o anumită măsură, adoptate de clienți. Prin urmare, condițiile de autorizare ar putea stimula un anumit grad de continuitate a serviciilor și soluționarea oricărui litigiu între operatorii tradiționali și operatorii nou-intrați în această privință, în cazul în care drepturile de utilizare vor fi alocate altor întreprinderi.</w:t>
      </w:r>
    </w:p>
    <w:p w14:paraId="2DB8B608" w14:textId="77777777" w:rsidR="00D664CB" w:rsidRPr="00D91062" w:rsidRDefault="00D664CB" w:rsidP="00D921F8">
      <w:pPr>
        <w:pStyle w:val="ManualConsidrant"/>
        <w:rPr>
          <w:noProof/>
        </w:rPr>
      </w:pPr>
      <w:r w:rsidRPr="00D91062">
        <w:rPr>
          <w:noProof/>
        </w:rPr>
        <w:t>(28)</w:t>
      </w:r>
      <w:r w:rsidRPr="00D91062">
        <w:rPr>
          <w:noProof/>
        </w:rPr>
        <w:tab/>
        <w:t>Ținând seama de faptul că implementarea tehnologiilor D2D este încă în evoluție, iar caracteristicile sale operaționale și adoptarea lor pe piață rămân incerte, este oportun să se limiteze durata drepturilor de utilizare pentru a permite Comisiei să reevalueze condițiile tehnologice, de piață și de securitate odată ce tehnologia a ajuns la maturitate. Drepturile de utilizare a spectrului în banda MSS de 2 GHz ar trebui, prin urmare, să fie autorizate pentru o perioadă de 20 de ani, care este suficientă pentru a recupera investiția inițială și, în același timp, menține flexibilitatea în materie de reglementare, promovează utilizarea eficientă a spectrului și permite adaptarea condițiilor de utilizare în funcție de evoluțiile tehnologice ulterioare implementării inițiale.</w:t>
      </w:r>
    </w:p>
    <w:p w14:paraId="222C219B" w14:textId="64BBBC6D" w:rsidR="00713E5E" w:rsidRPr="00D91062" w:rsidRDefault="00D664CB" w:rsidP="00414689">
      <w:pPr>
        <w:pStyle w:val="ManualConsidrant"/>
        <w:rPr>
          <w:noProof/>
        </w:rPr>
      </w:pPr>
      <w:r w:rsidRPr="00D91062">
        <w:rPr>
          <w:noProof/>
        </w:rPr>
        <w:t>(29)</w:t>
      </w:r>
      <w:r w:rsidRPr="00D91062">
        <w:rPr>
          <w:noProof/>
        </w:rPr>
        <w:tab/>
        <w:t>Pentru alocarea acestui spectru ar trebui utilizată o procedură de selecție comparativă, deoarece beneficiile indirecte pentru UE ale dezvoltării unui proiect de satelit și ale furnizării de servicii mobile prin satelit în această bandă sunt mai importante decât beneficiile directe ale eventualelor venituri din licitații. În plus, solicitanții ar trebui să fie selectați în principal pe baza calității și a capacității de inovare a ofertelor lor, precum și pe baza măsurii în care selecția unui anumit solicitant sau a anumitor solicitanți promovează concurența și evită orice amenințare la adresa concurenței, și nu pe baza cuantumului oferit drept contribuție financiară. Acest lucru ar trebui să se reflecte în special în ponderarea criteriului legat de evitarea amenințărilor datorate posibilei creări sau consolidări a unei poziții dominante, precum și printr-o ponderare mai scăzută a criteriului contribuției financiare unice.</w:t>
      </w:r>
    </w:p>
    <w:p w14:paraId="121202D7" w14:textId="45FF7EEA" w:rsidR="009B372E" w:rsidRPr="00D91062" w:rsidRDefault="00D664CB" w:rsidP="00414689">
      <w:pPr>
        <w:pStyle w:val="ManualConsidrant"/>
        <w:rPr>
          <w:noProof/>
        </w:rPr>
      </w:pPr>
      <w:r w:rsidRPr="00D91062">
        <w:rPr>
          <w:noProof/>
        </w:rPr>
        <w:t>(30)</w:t>
      </w:r>
      <w:r w:rsidRPr="00D91062">
        <w:rPr>
          <w:noProof/>
        </w:rPr>
        <w:tab/>
        <w:t>Drepturile de utilizare a unui sistem MSS/hibrid securizat ar trebui să fie atribuite printr-o procedură comparativă în raport cu angajamentul de dezvoltare și funcționare a unui proiect și cu orice contribuție financiară.</w:t>
      </w:r>
      <w:r w:rsidR="00216996">
        <w:rPr>
          <w:noProof/>
        </w:rPr>
        <w:t xml:space="preserve"> </w:t>
      </w:r>
      <w:r w:rsidRPr="00D91062">
        <w:rPr>
          <w:noProof/>
        </w:rPr>
        <w:t>Pentru a menține securitatea, integritatea și reziliența funcționării securizate a sistemului MSS/hibrid și pentru a permite compatibilitatea unui astfel de sistem cu sistemul IRIS</w:t>
      </w:r>
      <w:r w:rsidRPr="00D91062">
        <w:rPr>
          <w:noProof/>
          <w:vertAlign w:val="superscript"/>
        </w:rPr>
        <w:t>2</w:t>
      </w:r>
      <w:r w:rsidRPr="00D91062">
        <w:rPr>
          <w:noProof/>
        </w:rPr>
        <w:t>, cerințele de admisibilitate ar trebui să reflecte condițiile de eligibilitate și de participare prevăzute la articolul 24 din Regulamentul (UE) 2021/696.</w:t>
      </w:r>
    </w:p>
    <w:p w14:paraId="5803A92D" w14:textId="77777777" w:rsidR="00D664CB" w:rsidRPr="00D91062" w:rsidRDefault="00D664CB" w:rsidP="00D921F8">
      <w:pPr>
        <w:pStyle w:val="ManualConsidrant"/>
        <w:rPr>
          <w:noProof/>
        </w:rPr>
      </w:pPr>
      <w:r w:rsidRPr="00D91062">
        <w:rPr>
          <w:noProof/>
        </w:rPr>
        <w:t>(31)</w:t>
      </w:r>
      <w:r w:rsidRPr="00D91062">
        <w:rPr>
          <w:noProof/>
        </w:rPr>
        <w:tab/>
        <w:t xml:space="preserve">Având în vedere importanța MSS pentru Uniune, Comisia ar trebui să fie împuternicită să stabilească, în cadrul unei cereri de candidaturi, o dată până la care ar trebui să înceapă furnizarea continuă de MSS. Furnizarea continuă de MSS se referă la serviciul pentru care au fost încheiate toate testele, iar serviciul este pe deplin implementat din punct de vedere comercial și furnizat utilizatorilor în mod neîntrerupt, fără degradarea calității serviciului sau întreruperi ale serviciului. Acest lucru necesită </w:t>
      </w:r>
      <w:r w:rsidRPr="00D91062">
        <w:rPr>
          <w:noProof/>
        </w:rPr>
        <w:lastRenderedPageBreak/>
        <w:t>ca o legătură de comunicare să fie stabilită întotdeauna către o anumită zonă geografică fie prin includerea zonei respective în zona de acoperire a unui satelit geostaționar pe orbita terestră, fie prin asigurarea transferului neîntrerupt al legăturii de comunicare către zona respectivă de către sateliți pe orbita terestră negeostaționară sau pe orbite terestre negeostaționare sau printr-o combinație a acestora.</w:t>
      </w:r>
    </w:p>
    <w:p w14:paraId="1F7E1098" w14:textId="77777777" w:rsidR="00D664CB" w:rsidRPr="00D91062" w:rsidRDefault="00D664CB" w:rsidP="00D921F8">
      <w:pPr>
        <w:pStyle w:val="ManualConsidrant"/>
        <w:rPr>
          <w:noProof/>
        </w:rPr>
      </w:pPr>
      <w:r w:rsidRPr="00D91062">
        <w:rPr>
          <w:noProof/>
        </w:rPr>
        <w:t>(32)</w:t>
      </w:r>
      <w:r w:rsidRPr="00D91062">
        <w:rPr>
          <w:noProof/>
        </w:rPr>
        <w:tab/>
        <w:t>Drepturile de utilizare a benzii MSS de 2 GHz pentru sisteme MSS/hibride securizate nu ar trebui să fie transferabile sau închiriabile, pentru a se asigura că acestea sunt utilizate în scopul și în condițiile în care au fost atribuite. Dimpotrivă, drepturile de utilizare în scopuri comerciale ar trebui, în principiu, să fie transferabile. Comisia ar trebui să specifice condițiile care reglementează transferul sau închirierea drepturilor de utilizare pentru servicii comerciale la momentul acordării drepturilor. Transferul drepturilor ar trebui limitat la părțile care îndeplinesc criteriile de admisibilitate și eligibilitate specificate în prezentul regulament. Pentru a facilita astfel de tranzacții și cu condiția respectării măsurilor tehnice de punere în aplicare adoptate în temeiul Deciziei nr. 676/2002/CE a Parlamentului European și a Consiliului</w:t>
      </w:r>
      <w:r w:rsidRPr="00D91062">
        <w:rPr>
          <w:rStyle w:val="FootnoteReference"/>
          <w:noProof/>
        </w:rPr>
        <w:footnoteReference w:id="33"/>
      </w:r>
      <w:r w:rsidRPr="00D91062">
        <w:rPr>
          <w:noProof/>
        </w:rPr>
        <w:t>, Comisia ar trebui, de asemenea, să ia în considerare cererile de separare sau dezagregare a drepturilor de spectru și să revizuiască condițiile de utilizare aferente. Comisia ar trebui să poată refuza un transfer sau o închiriere din motive de securitate, suveranitate sau alte obiective de politică publică, inclusiv promovarea sau menținerea unei concurențe efective, sau în cazul în care nu există garanții suficiente că spectrul va fi utilizat în conformitate cu condițiile de autorizare sau în scopul preconizat.</w:t>
      </w:r>
    </w:p>
    <w:p w14:paraId="424F6A9D" w14:textId="5A59C3F2" w:rsidR="00D664CB" w:rsidRPr="00D91062" w:rsidRDefault="00D664CB" w:rsidP="00D921F8">
      <w:pPr>
        <w:pStyle w:val="ManualConsidrant"/>
        <w:rPr>
          <w:noProof/>
        </w:rPr>
      </w:pPr>
      <w:r w:rsidRPr="00D91062">
        <w:rPr>
          <w:noProof/>
        </w:rPr>
        <w:t>(33)</w:t>
      </w:r>
      <w:r w:rsidRPr="00D91062">
        <w:rPr>
          <w:noProof/>
        </w:rPr>
        <w:tab/>
      </w:r>
      <w:r w:rsidRPr="00D91062">
        <w:rPr>
          <w:noProof/>
          <w:color w:val="333333"/>
        </w:rPr>
        <w:t>Caracteristicile adecvate ale benzii MSS de 2 GHz pentru furnizarea de servicii D2D și utilizarea sa exclusivă sporesc valoarea economică a benzii pentru utilizatorii săi. Gestionarea generală a benzii de 2 GHz la nivelul Uniunii ar aduce îmbunătățiri pozitive semnificative pentru piața unică prin reducerea la minimum a fragmentării pieței, în comparație cu gestionarea la nivelul statelor membre. Pentru a asigura alocarea și utilizarea eficientă a benzii MSS de 2 GHz și pentru a sprijini activitățile Uniunii de gestionare a spectrului, precum și furnizarea continuă de comunicații guvernamentale securizate către Uniune și statele sale membre, este oportun să se stabilească contribuții financiare și taxe de spectru pentru utilizarea benzii MSS de 2 GHz.</w:t>
      </w:r>
    </w:p>
    <w:p w14:paraId="7BB9E93D" w14:textId="77777777" w:rsidR="00D664CB" w:rsidRPr="00D91062" w:rsidRDefault="00D664CB" w:rsidP="00D921F8">
      <w:pPr>
        <w:pStyle w:val="ManualConsidrant"/>
        <w:rPr>
          <w:noProof/>
        </w:rPr>
      </w:pPr>
      <w:r w:rsidRPr="00D91062">
        <w:rPr>
          <w:noProof/>
        </w:rPr>
        <w:t>(34)</w:t>
      </w:r>
      <w:r w:rsidRPr="00D91062">
        <w:rPr>
          <w:noProof/>
        </w:rPr>
        <w:tab/>
      </w:r>
      <w:r w:rsidRPr="00D91062">
        <w:rPr>
          <w:noProof/>
          <w:color w:val="333333"/>
        </w:rPr>
        <w:t>Având în vedere progresele tehnologice din domeniul comunicațiilor prin satelit, în special posibilitatea ca sateliții să comunice cu dispozitivele mobile standard ale utilizatorilor care nu fac obiectul unui drept de proprietate, precum și convergența dintre TN și NTN, gestionarea benzii MSS de 2 GHz la nivel european are potențialul de a maximiza valoarea acesteia pentru statele membre și pentru Uniune. Prin urmare, este necesar să se gestioneze în mod eficace și să se utilizeze în mod eficient spectrul de frecvențe radio într-un mod strategic, ca resursă comună. O autorizație a Uniunii permite titularului său să acceseze banda pe întreaga piață unică în condiții uniforme de autorizare, permițând implementarea unor servicii paneuropene neîntrerupte.</w:t>
      </w:r>
    </w:p>
    <w:p w14:paraId="2635D20E" w14:textId="77777777" w:rsidR="00D664CB" w:rsidRPr="00D91062" w:rsidRDefault="00D664CB" w:rsidP="00D921F8">
      <w:pPr>
        <w:pStyle w:val="ManualConsidrant"/>
        <w:rPr>
          <w:noProof/>
        </w:rPr>
      </w:pPr>
      <w:r w:rsidRPr="00D91062">
        <w:rPr>
          <w:noProof/>
        </w:rPr>
        <w:t>(35)</w:t>
      </w:r>
      <w:r w:rsidRPr="00D91062">
        <w:rPr>
          <w:noProof/>
        </w:rPr>
        <w:tab/>
        <w:t xml:space="preserve">Având în vedere valoarea ridicată a benzii MSS de 2 GHz, procedura de selecție comparativă ar trebui să includă printre criteriile de selecție cerința ca solicitanții să propună o contribuție financiară unică, sub forma unei oferte închise. Această contribuție reflectă disponibilitatea de a plăti pentru atribuirea resursei limitate a spectrului, în raport cu constrângerile condițiilor de autorizare, și promovează alocarea </w:t>
      </w:r>
      <w:r w:rsidRPr="00D91062">
        <w:rPr>
          <w:noProof/>
        </w:rPr>
        <w:lastRenderedPageBreak/>
        <w:t>eficientă prin captarea valorii sale de piață concurențiale. Cu toate acestea, aceste contribuții financiare nu ar trebui să conducă la stabilirea selecției în principal în funcție de suma oferită.</w:t>
      </w:r>
    </w:p>
    <w:p w14:paraId="79C83787" w14:textId="77777777" w:rsidR="00D664CB" w:rsidRPr="00D91062" w:rsidRDefault="00D664CB" w:rsidP="00D921F8">
      <w:pPr>
        <w:pStyle w:val="ManualConsidrant"/>
        <w:rPr>
          <w:noProof/>
        </w:rPr>
      </w:pPr>
      <w:r w:rsidRPr="00D91062">
        <w:rPr>
          <w:noProof/>
        </w:rPr>
        <w:t>(36)</w:t>
      </w:r>
      <w:r w:rsidRPr="00D91062">
        <w:rPr>
          <w:noProof/>
        </w:rPr>
        <w:tab/>
        <w:t>Comisia poate stabili condițiile de stabilire a cuantumului contribuțiilor unice minime prin intermediul unui act delegat, ținând seama de valoarea spectrului și de investițiile necesare. Contribuția minimă pentru dreptul de utilizare pentru sistemul MSS/hibrid securizat ar putea fi diferită de cea pentru sistemul MSS comercial și ar putea fi stabilită la zero, în funcție de cerințele de securitate mai ridicate și de investițiile suplimentare necesare pentru a asigura nivelul necesar de securitate și de riscul ca respectiva contribuție financiară să fie în detrimentul securității. O evaluare separată a cuantumului minim al contribuției financiare unice pentru sistemul MSS/hibrid securizat ar putea fi justificată, de asemenea, de costul mai ridicat preconizat al funcționării și de viabilitatea economică mai scăzută a acestor sisteme din cauza incertitudinii cererii de servicii de comunicații guvernamentale securizate. În plus, această incertitudine, combinată cu obligația de a acorda prioritate serviciilor de comunicații guvernamentale securizate, face dificilă anticiparea momentului în care spectrul ar fi disponibil pentru utilizare comercială.</w:t>
      </w:r>
    </w:p>
    <w:p w14:paraId="11072B16" w14:textId="77777777" w:rsidR="00D664CB" w:rsidRPr="00D91062" w:rsidRDefault="00D664CB" w:rsidP="00D921F8">
      <w:pPr>
        <w:pStyle w:val="ManualConsidrant"/>
        <w:rPr>
          <w:noProof/>
        </w:rPr>
      </w:pPr>
      <w:r w:rsidRPr="00D91062">
        <w:rPr>
          <w:noProof/>
        </w:rPr>
        <w:t>(37)</w:t>
      </w:r>
      <w:r w:rsidRPr="00D91062">
        <w:rPr>
          <w:noProof/>
        </w:rPr>
        <w:tab/>
        <w:t>Având în vedere importanța strategică tot mai mare a capacităților spațiale în peisajul global al conectivității și îmbunătățirile pozitive pentru piața unică în ceea ce privește gestionarea benzii MSS de 2 GHz la nivelul Uniunii, contribuția unică care asigură o alocare mai eficientă a spectrului ar trebui să fie colectată la nivelul Uniunii printr-o decizie adresată furnizorilor în cauză. Veniturile ar trebui să fie alocate bugetului componentei „Poziția de lider în sectorul digital” a Fondului european pentru competitivitate (FEC), pentru a contribui la consolidarea competitivității, a rezilienței și a autonomiei strategice a Uniunii în sectorul digital și spațial și în tehnologiile cu dublă utilizare. În special, FEC ar trebui să sprijine dezvoltarea, extinderea și implementarea industrială a tehnologiilor suverane emergente, de vârf și cu dublă utilizare cu potențial economic și strategic semnificativ, inclusiv a tehnologiilor care permit conectivitatea securizată, a serviciilor spațiale, a comunicațiilor reziliente și a infrastructurilor digitale conexe. FEC ar trebui, de asemenea, să promoveze ecosistemele inovatoare și să sprijine investițiile transfrontaliere care contribuie la poziția de lider tehnologic a Uniunii.</w:t>
      </w:r>
    </w:p>
    <w:p w14:paraId="5B0C93FA" w14:textId="77777777" w:rsidR="00BD315D" w:rsidRPr="00D91062" w:rsidDel="0063009A" w:rsidRDefault="00ED6C34" w:rsidP="0063009A">
      <w:pPr>
        <w:pStyle w:val="ManualConsidrant"/>
        <w:rPr>
          <w:noProof/>
        </w:rPr>
      </w:pPr>
      <w:r w:rsidRPr="00D91062">
        <w:rPr>
          <w:noProof/>
        </w:rPr>
        <w:t>(38)</w:t>
      </w:r>
      <w:r w:rsidRPr="00D91062">
        <w:rPr>
          <w:noProof/>
        </w:rPr>
        <w:tab/>
        <w:t>Titularii de drepturi asupra spectrului MSS de 2 GHz ar trebui să facă obiectul unei taxe anuale care să reflecte valoarea drepturilor actuale de utilizare a resursei publice, descurajând astfel tezaurizarea spectrului și stimulând utilizarea eficientă a spectrului. Taxa anuală ar trebui să acopere cel puțin costurile administrative de gestionare, control și asigurare a respectării autorizației generale pentru furnizarea de servicii și rețele, precum și costurile de gestionare a autorizației de utilizare a spectrului la nivelul Uniunii, inclusiv costurile de punere în aplicare a condițiilor de autorizare relevante și de monitorizare a utilizării spectrului. Aceasta ar trebui să acopere, de asemenea, costurile operaționale inițiale ale Oficiului pentru rețele digitale (ODN), instituit prin Regulamentul (UE) [XXX] al Parlamentului European și al Consiliului privind rețelele digitale (Actul legislativ privind rețelele digitale).</w:t>
      </w:r>
    </w:p>
    <w:p w14:paraId="0C95C560" w14:textId="77ED9591" w:rsidR="00D664CB" w:rsidRPr="00D91062" w:rsidRDefault="00D664CB" w:rsidP="00D921F8">
      <w:pPr>
        <w:pStyle w:val="ManualConsidrant"/>
        <w:rPr>
          <w:noProof/>
        </w:rPr>
      </w:pPr>
      <w:r w:rsidRPr="00D91062">
        <w:rPr>
          <w:noProof/>
        </w:rPr>
        <w:t>(39)</w:t>
      </w:r>
      <w:r w:rsidRPr="00D91062">
        <w:rPr>
          <w:noProof/>
        </w:rPr>
        <w:tab/>
        <w:t xml:space="preserve">Metodologia de stabilire a taxei anuale ar trebui definită printr-un act delegat. Taxa anuală ar trebui să fie proporțională și ar trebui să fie stabilită la un nivel adecvat, astfel încât să echilibreze utilizarea eficientă a spectrului cu îndeplinirea obiectivelor de politică mai ample ale Uniunii, să reflecte valoarea dreptului de utilizare și ar putea include mecanisme de stimulare a investițiilor, a implementării sau a calității serviciilor. Principiile și procedurile de colectare a taxelor și de utilizare a taxei anuale </w:t>
      </w:r>
      <w:r w:rsidRPr="00D91062">
        <w:rPr>
          <w:noProof/>
        </w:rPr>
        <w:lastRenderedPageBreak/>
        <w:t>pot fi stabilite printr-un act delegat. Orice sumă care depășește costurile administrative menționate mai sus ar trebui să fie vărsată la bugetul UE. Cuantumurile aplicabile ale taxelor anuale ar trebui stabilite printr-o decizie adresată titularilor selectați.</w:t>
      </w:r>
    </w:p>
    <w:p w14:paraId="68C1A866" w14:textId="77777777" w:rsidR="00D664CB" w:rsidRPr="00D91062" w:rsidRDefault="00D664CB" w:rsidP="00D921F8">
      <w:pPr>
        <w:pStyle w:val="ManualConsidrant"/>
        <w:rPr>
          <w:noProof/>
        </w:rPr>
      </w:pPr>
      <w:r w:rsidRPr="00D91062">
        <w:rPr>
          <w:noProof/>
        </w:rPr>
        <w:t>(40)</w:t>
      </w:r>
      <w:r w:rsidRPr="00D91062">
        <w:rPr>
          <w:noProof/>
        </w:rPr>
        <w:tab/>
        <w:t>Comisia, împreună cu statele membre, ar trebui să ia măsurile corespunzătoare pentru a asigura monitorizarea și aplicarea eficace a autorizațiilor Uniunii, cu respectarea deplină a drepturilor la apărare ale întreprinderilor în cauză. Mecanismele de monitorizare pentru evaluarea furnizării de servicii și a utilizării eficiente a spectrului ar trebui să se bazeze atât pe capacitățile naționale, cât și pe cooperarea cu Agenția Spațială Europeană. Autoritățile naționale competente responsabile cu gestionarea spectrului ar trebui să informeze Comisia cu privire la orice încălcare a condițiilor de autorizare. Comisia ar trebui să fie împuternicită să impună amenzi sau penalități cu titlu cominatoriu pentru încălcarea condițiilor de autorizare. Aceste amenzi ar trebui să fie proporționale și să țină seama de gravitatea și durata încălcării și, în cazul în care încălcarea se referă la încălcarea normelor naționale, de orice sancțiuni aplicate deja de autoritățile naționale. Pentru a asigura în mod eficace conformitatea, statele membre ar trebui să pună pe deplin în aplicare pe teritoriul lor deciziile de impunere a unor măsuri corective sau sancțiuni. În cazul în care condițiile aferente utilizării benzii MSS de 2 GHz sunt încălcate prin neconformități repetate și substanțiale, Comisia ar trebui să fie împuternicită să retragă autorizația Uniunii și ar trebui să lanseze o nouă procedură de selecție în conformitate cu prezentul regulament.</w:t>
      </w:r>
    </w:p>
    <w:p w14:paraId="6866378E" w14:textId="77777777" w:rsidR="00D664CB" w:rsidRPr="00D91062" w:rsidRDefault="00D664CB" w:rsidP="00D921F8">
      <w:pPr>
        <w:pStyle w:val="ManualConsidrant"/>
        <w:rPr>
          <w:noProof/>
        </w:rPr>
      </w:pPr>
      <w:r w:rsidRPr="00D91062">
        <w:rPr>
          <w:noProof/>
        </w:rPr>
        <w:t>(41)</w:t>
      </w:r>
      <w:r w:rsidRPr="00D91062">
        <w:rPr>
          <w:noProof/>
        </w:rPr>
        <w:tab/>
        <w:t>Drepturile de utilizare acordate în conformitate cu Decizia 2009/449/CE a Comisiei</w:t>
      </w:r>
      <w:r w:rsidRPr="00D91062">
        <w:rPr>
          <w:rStyle w:val="FootnoteReference"/>
          <w:noProof/>
        </w:rPr>
        <w:footnoteReference w:id="34"/>
      </w:r>
      <w:r w:rsidRPr="00D91062">
        <w:rPr>
          <w:noProof/>
        </w:rPr>
        <w:t xml:space="preserve"> ar trebui prelungite pentru o perioadă de doi ani, în aceleași condiții de autorizare prevăzute în prezent în Decizia nr. 626/2008/CE și în legislația națională. Prelungirea aduce beneficii numai titularilor de drepturi tradiționali și asigură continuitatea serviciilor acestora. În perioada de prelungire, drepturile de utilizare nu ar trebui să fie nici transferate, nici închiriate sau subînchiriate. Pentru a asigura utilizarea eficientă a spectrului, în perioada de prelungire a unei licențe existente, utilizarea în comun a spectrului ar trebui să permită efectuarea de experimente și teste de către noii utilizatori, fără protecție și fără interferențe. Aceste activități experimentale ar genera cunoștințe tehnice și operaționale valoroase cu privire la tehnologiile emergente, coexistența spectrului și provocările în materie de conformitate și ar accelera implementarea pe scară largă a serviciilor inovatoare;</w:t>
      </w:r>
    </w:p>
    <w:p w14:paraId="346E2F02" w14:textId="77777777" w:rsidR="00D664CB" w:rsidRPr="00D91062" w:rsidRDefault="00D664CB" w:rsidP="00CE7CB7">
      <w:pPr>
        <w:pStyle w:val="Formuledadoption"/>
        <w:rPr>
          <w:noProof/>
        </w:rPr>
      </w:pPr>
      <w:r w:rsidRPr="00D91062">
        <w:rPr>
          <w:noProof/>
        </w:rPr>
        <w:t>ADOPTĂ PREZENTUL REGULAMENT:</w:t>
      </w:r>
    </w:p>
    <w:p w14:paraId="020E3333" w14:textId="77777777" w:rsidR="00D664CB" w:rsidRPr="00D91062" w:rsidRDefault="00D664CB" w:rsidP="00561A58">
      <w:pPr>
        <w:pStyle w:val="PartTitle"/>
        <w:rPr>
          <w:noProof/>
        </w:rPr>
      </w:pPr>
      <w:r w:rsidRPr="00D91062">
        <w:rPr>
          <w:noProof/>
        </w:rPr>
        <w:lastRenderedPageBreak/>
        <w:t>CAPITOLUL I – DISPOZIȚII GENERALE</w:t>
      </w:r>
    </w:p>
    <w:p w14:paraId="75CEEC56" w14:textId="77777777" w:rsidR="00D664CB" w:rsidRPr="00D91062" w:rsidRDefault="00D664CB" w:rsidP="00F21920">
      <w:pPr>
        <w:pStyle w:val="Titrearticle"/>
        <w:rPr>
          <w:noProof/>
        </w:rPr>
      </w:pPr>
      <w:r w:rsidRPr="00D91062">
        <w:rPr>
          <w:noProof/>
        </w:rPr>
        <w:t>Articolul 1</w:t>
      </w:r>
    </w:p>
    <w:p w14:paraId="1E4DA405" w14:textId="77777777" w:rsidR="00D664CB" w:rsidRPr="00D91062" w:rsidRDefault="00D664CB" w:rsidP="00F21920">
      <w:pPr>
        <w:pStyle w:val="NormalCentered"/>
        <w:rPr>
          <w:b/>
          <w:bCs/>
          <w:noProof/>
        </w:rPr>
      </w:pPr>
      <w:r w:rsidRPr="00D91062">
        <w:rPr>
          <w:b/>
          <w:noProof/>
        </w:rPr>
        <w:t>Obiect și domeniu de aplicare</w:t>
      </w:r>
    </w:p>
    <w:p w14:paraId="239A1947" w14:textId="77777777" w:rsidR="00D664CB" w:rsidRPr="00D91062" w:rsidRDefault="00D664CB" w:rsidP="006A6914">
      <w:pPr>
        <w:pStyle w:val="ManualNumPar1"/>
        <w:rPr>
          <w:noProof/>
        </w:rPr>
      </w:pPr>
      <w:r w:rsidRPr="00D91062">
        <w:rPr>
          <w:noProof/>
        </w:rPr>
        <w:t>(1)</w:t>
      </w:r>
      <w:r w:rsidRPr="00D91062">
        <w:rPr>
          <w:noProof/>
        </w:rPr>
        <w:tab/>
      </w:r>
      <w:r w:rsidRPr="00D91062">
        <w:rPr>
          <w:noProof/>
          <w:color w:val="333333"/>
        </w:rPr>
        <w:t xml:space="preserve">Prezentul regulament </w:t>
      </w:r>
      <w:r w:rsidRPr="00D91062">
        <w:rPr>
          <w:noProof/>
        </w:rPr>
        <w:t>stabilește o procedură comparativă la nivelul Uniunii în sprijinul pieței interne pentru selectarea titularilor dreptului de utilizare a spectrului în banda de frecvențe de 2 GHz pentru serviciile mobile prin satelit (MSS) și pentru autorizarea titularilor respectivi să utilizeze spectrul respectiv pentru furnizarea de sisteme MSS sau de sisteme hibride în condiții comune în întreaga Uniune.</w:t>
      </w:r>
    </w:p>
    <w:p w14:paraId="69C87AE1" w14:textId="77777777" w:rsidR="00D664CB" w:rsidRPr="00D91062" w:rsidRDefault="00D664CB" w:rsidP="00F21920">
      <w:pPr>
        <w:pStyle w:val="ManualNumPar1"/>
        <w:rPr>
          <w:noProof/>
        </w:rPr>
      </w:pPr>
      <w:r w:rsidRPr="00D91062">
        <w:rPr>
          <w:noProof/>
        </w:rPr>
        <w:t>(2)</w:t>
      </w:r>
      <w:r w:rsidRPr="00D91062">
        <w:rPr>
          <w:noProof/>
        </w:rPr>
        <w:tab/>
        <w:t xml:space="preserve">Procedura comparativă la nivelul Uniunii contribuie la securitatea și pregătirea </w:t>
      </w:r>
      <w:r w:rsidRPr="00D91062">
        <w:rPr>
          <w:noProof/>
          <w:color w:val="333333"/>
        </w:rPr>
        <w:t xml:space="preserve">Uniunii </w:t>
      </w:r>
      <w:r w:rsidRPr="00D91062">
        <w:rPr>
          <w:noProof/>
        </w:rPr>
        <w:t>prin selectarea și autorizarea unui titular al dreptului de a utiliza o porțiune a benzii MSS de 2 GHz pentru furnizarea unui sistem MSS/hibrid securizat care să permită disponibilitatea omniprezentă pe termen lung pe teritoriul Uniunii a serviciilor de comunicații guvernamentale securizate, reziliente, de înaltă calitate și eficiente din punctul de vedere al costurilor pentru utilizatorii guvernamentali autorizați, precum și accesul neîntrerupt la acestea la nivel mondial.</w:t>
      </w:r>
    </w:p>
    <w:p w14:paraId="4B1EEB85" w14:textId="77777777" w:rsidR="00D664CB" w:rsidRPr="00D91062" w:rsidRDefault="00D664CB" w:rsidP="00F21920">
      <w:pPr>
        <w:pStyle w:val="ManualNumPar1"/>
        <w:rPr>
          <w:noProof/>
        </w:rPr>
      </w:pPr>
      <w:r w:rsidRPr="00D91062">
        <w:rPr>
          <w:noProof/>
        </w:rPr>
        <w:t>(3)</w:t>
      </w:r>
      <w:r w:rsidRPr="00D91062">
        <w:rPr>
          <w:noProof/>
        </w:rPr>
        <w:tab/>
        <w:t>Prezentul regulament sprijină, de asemenea, competitivitatea, reziliența, suveranitatea tehnologică și securitatea economică a Uniunii în ceea ce privește furnizarea de rețele și servicii mobile de comunicații prin satelit prin selectarea și autorizarea uneia sau mai multor întreprinderi nou-intrate din Uniune pentru un drept de utilizare a unei porțiuni dedicate din banda MSS de 2 GHz.</w:t>
      </w:r>
    </w:p>
    <w:p w14:paraId="7C3E28BA" w14:textId="77777777" w:rsidR="00D664CB" w:rsidRPr="00D91062" w:rsidRDefault="00D664CB" w:rsidP="00F21920">
      <w:pPr>
        <w:pStyle w:val="Titrearticle"/>
        <w:rPr>
          <w:noProof/>
        </w:rPr>
      </w:pPr>
      <w:r w:rsidRPr="00D91062">
        <w:rPr>
          <w:noProof/>
        </w:rPr>
        <w:t>Articolul 2</w:t>
      </w:r>
    </w:p>
    <w:p w14:paraId="77AD587C" w14:textId="77777777" w:rsidR="00D664CB" w:rsidRPr="00D91062" w:rsidRDefault="00D664CB" w:rsidP="00F21920">
      <w:pPr>
        <w:pStyle w:val="NormalCentered"/>
        <w:rPr>
          <w:b/>
          <w:bCs/>
          <w:noProof/>
        </w:rPr>
      </w:pPr>
      <w:r w:rsidRPr="00D91062">
        <w:rPr>
          <w:b/>
          <w:noProof/>
        </w:rPr>
        <w:t>Definiții</w:t>
      </w:r>
    </w:p>
    <w:p w14:paraId="5028830F" w14:textId="6389E7E0" w:rsidR="00D664CB" w:rsidRPr="00D91062" w:rsidRDefault="00D664CB" w:rsidP="00D664CB">
      <w:pPr>
        <w:rPr>
          <w:noProof/>
        </w:rPr>
      </w:pPr>
      <w:r w:rsidRPr="00D91062">
        <w:rPr>
          <w:noProof/>
        </w:rPr>
        <w:t>În sensul prezentului regulament, se aplică definițiile de la articolul 2 din Directiva</w:t>
      </w:r>
      <w:r w:rsidR="003F69E7">
        <w:rPr>
          <w:noProof/>
        </w:rPr>
        <w:t> </w:t>
      </w:r>
      <w:r w:rsidRPr="00D91062">
        <w:rPr>
          <w:noProof/>
        </w:rPr>
        <w:t>(UE)</w:t>
      </w:r>
      <w:r w:rsidR="003F69E7">
        <w:rPr>
          <w:noProof/>
        </w:rPr>
        <w:t> </w:t>
      </w:r>
      <w:r w:rsidRPr="00D91062">
        <w:rPr>
          <w:noProof/>
        </w:rPr>
        <w:t>2018/1972.</w:t>
      </w:r>
    </w:p>
    <w:p w14:paraId="3D38B396" w14:textId="77777777" w:rsidR="00D664CB" w:rsidRPr="00D91062" w:rsidRDefault="00D664CB" w:rsidP="00D664CB">
      <w:pPr>
        <w:rPr>
          <w:noProof/>
        </w:rPr>
      </w:pPr>
      <w:r w:rsidRPr="00D91062">
        <w:rPr>
          <w:noProof/>
        </w:rPr>
        <w:t>De asemenea, se aplică următoarele definiții:</w:t>
      </w:r>
    </w:p>
    <w:p w14:paraId="434E52DD" w14:textId="77777777" w:rsidR="00D664CB" w:rsidRPr="00D91062" w:rsidRDefault="00D664CB" w:rsidP="006A6914">
      <w:pPr>
        <w:pStyle w:val="Point0"/>
        <w:rPr>
          <w:noProof/>
        </w:rPr>
      </w:pPr>
      <w:r w:rsidRPr="00D91062">
        <w:rPr>
          <w:noProof/>
        </w:rPr>
        <w:t>1.</w:t>
      </w:r>
      <w:r w:rsidRPr="00D91062">
        <w:rPr>
          <w:noProof/>
        </w:rPr>
        <w:tab/>
        <w:t>„servicii mobile prin satelit (MSS)” înseamnă oricare dintre următoarele:</w:t>
      </w:r>
    </w:p>
    <w:p w14:paraId="2ECDCC2A" w14:textId="77777777" w:rsidR="00D664CB" w:rsidRPr="00D91062" w:rsidRDefault="00D664CB" w:rsidP="00F21920">
      <w:pPr>
        <w:pStyle w:val="Point1"/>
        <w:rPr>
          <w:noProof/>
        </w:rPr>
      </w:pPr>
      <w:r w:rsidRPr="00D91062">
        <w:rPr>
          <w:noProof/>
        </w:rPr>
        <w:t>(a)</w:t>
      </w:r>
      <w:r w:rsidRPr="00D91062">
        <w:rPr>
          <w:noProof/>
        </w:rPr>
        <w:tab/>
        <w:t>servicii de radiocomunicații între o stație terestră mobilă și una sau mai multe stații spațiale;</w:t>
      </w:r>
    </w:p>
    <w:p w14:paraId="281E45F8" w14:textId="77777777" w:rsidR="00D664CB" w:rsidRPr="00D91062" w:rsidRDefault="00D664CB" w:rsidP="00F21920">
      <w:pPr>
        <w:pStyle w:val="Point1"/>
        <w:rPr>
          <w:noProof/>
        </w:rPr>
      </w:pPr>
      <w:r w:rsidRPr="00D91062">
        <w:rPr>
          <w:noProof/>
        </w:rPr>
        <w:t>(b)</w:t>
      </w:r>
      <w:r w:rsidRPr="00D91062">
        <w:rPr>
          <w:noProof/>
        </w:rPr>
        <w:tab/>
        <w:t>servicii de radiocomunicații între stații mobile terestre prin intermediul uneia sau mai multor stații spațiale;</w:t>
      </w:r>
    </w:p>
    <w:p w14:paraId="2C6F0559" w14:textId="77777777" w:rsidR="00D664CB" w:rsidRPr="00D91062" w:rsidRDefault="00D664CB" w:rsidP="00F21920">
      <w:pPr>
        <w:pStyle w:val="Point1"/>
        <w:rPr>
          <w:noProof/>
        </w:rPr>
      </w:pPr>
      <w:r w:rsidRPr="00D91062">
        <w:rPr>
          <w:noProof/>
        </w:rPr>
        <w:t>(c)</w:t>
      </w:r>
      <w:r w:rsidRPr="00D91062">
        <w:rPr>
          <w:noProof/>
        </w:rPr>
        <w:tab/>
        <w:t>servicii de radiocomunicații între o stație terestră mobilă și una sau mai multe componente terestre și/sau aeriene complementare;</w:t>
      </w:r>
    </w:p>
    <w:p w14:paraId="3A2D0166" w14:textId="77777777" w:rsidR="00D664CB" w:rsidRPr="00D91062" w:rsidRDefault="00D664CB" w:rsidP="006A6914">
      <w:pPr>
        <w:pStyle w:val="Point0"/>
        <w:rPr>
          <w:noProof/>
        </w:rPr>
      </w:pPr>
      <w:r w:rsidRPr="00D91062">
        <w:rPr>
          <w:noProof/>
        </w:rPr>
        <w:t>2.</w:t>
      </w:r>
      <w:r w:rsidRPr="00D91062">
        <w:rPr>
          <w:noProof/>
        </w:rPr>
        <w:tab/>
        <w:t>„stație terestră” înseamnă un echipament terestru staționar care poate fi utilizat fie numai pentru transmisie („doar transmisie”), fie pentru transmisie și recepție („transmisie-recepție”), fie numai pentru recepție („numai recepție”) de semnale de radiocomunicații prin intermediul sateliților sau al altor stații spațiale și care inițiază și/sau în care ajunge în final traficul (de exemplu, pentru backhaul) pentru comunicarea cu stațiile spațiale;</w:t>
      </w:r>
    </w:p>
    <w:p w14:paraId="6B9B6644" w14:textId="77777777" w:rsidR="00D664CB" w:rsidRPr="00D91062" w:rsidRDefault="00D664CB" w:rsidP="006A6914">
      <w:pPr>
        <w:pStyle w:val="Point0"/>
        <w:rPr>
          <w:noProof/>
        </w:rPr>
      </w:pPr>
      <w:r w:rsidRPr="00D91062">
        <w:rPr>
          <w:noProof/>
        </w:rPr>
        <w:t>3.</w:t>
      </w:r>
      <w:r w:rsidRPr="00D91062">
        <w:rPr>
          <w:noProof/>
        </w:rPr>
        <w:tab/>
        <w:t>„componente terestre complementare” înseamnă stații terestre utilizate în poziții fixe și implementate pentru a spori gradul de disponibilitate al serviciilor prin satelit în zonele geografice din raza de acțiune a sateliților în care comunicațiile cu una sau mai multe stații spațiale nu pot fi asigurate la calitatea necesară;</w:t>
      </w:r>
    </w:p>
    <w:p w14:paraId="43AF3218" w14:textId="77777777" w:rsidR="00D664CB" w:rsidRPr="00D91062" w:rsidRDefault="00D664CB" w:rsidP="006A6914">
      <w:pPr>
        <w:pStyle w:val="Point0"/>
        <w:rPr>
          <w:noProof/>
        </w:rPr>
      </w:pPr>
      <w:r w:rsidRPr="00D91062">
        <w:rPr>
          <w:noProof/>
        </w:rPr>
        <w:lastRenderedPageBreak/>
        <w:t>4.</w:t>
      </w:r>
      <w:r w:rsidRPr="00D91062">
        <w:rPr>
          <w:noProof/>
        </w:rPr>
        <w:tab/>
        <w:t>„componente aeriene complementare” înseamnă stații aeriene utilizate în poziții fixe nominale specificate în raport cu suprafața terestră și implementate pentru a spori gradul de disponibilitate al serviciilor prin satelit în zonele geografice din raza de acțiune a sateliților în care comunicațiile cu una sau mai multe stații spațiale nu pot fi asigurate la calitatea necesară;</w:t>
      </w:r>
    </w:p>
    <w:p w14:paraId="33219212" w14:textId="77777777" w:rsidR="00D664CB" w:rsidRPr="00D91062" w:rsidRDefault="00D664CB" w:rsidP="006A6914">
      <w:pPr>
        <w:pStyle w:val="Point0"/>
        <w:rPr>
          <w:noProof/>
        </w:rPr>
      </w:pPr>
      <w:r w:rsidRPr="00D91062">
        <w:rPr>
          <w:noProof/>
        </w:rPr>
        <w:t>5.</w:t>
      </w:r>
      <w:r w:rsidRPr="00D91062">
        <w:rPr>
          <w:noProof/>
        </w:rPr>
        <w:tab/>
        <w:t>„furnizare continuă de MSS” înseamnă capacitatea de a menține în permanență servicii mobile de comunicații prin satelit neîntrerupte, fără degradarea calității serviciului sau întreruperi ale serviciului;</w:t>
      </w:r>
    </w:p>
    <w:p w14:paraId="29ED7DBA" w14:textId="77777777" w:rsidR="00D664CB" w:rsidRPr="00D91062" w:rsidRDefault="00D664CB" w:rsidP="006A6914">
      <w:pPr>
        <w:pStyle w:val="Point0"/>
        <w:rPr>
          <w:noProof/>
        </w:rPr>
      </w:pPr>
      <w:r w:rsidRPr="00D91062">
        <w:rPr>
          <w:noProof/>
        </w:rPr>
        <w:t>6.</w:t>
      </w:r>
      <w:r w:rsidRPr="00D91062">
        <w:rPr>
          <w:noProof/>
        </w:rPr>
        <w:tab/>
        <w:t>„banda MSS de 2 GHz” înseamnă spectrul de frecvențe radio din benzile de frecvențe de la 1 980 la 2 010 MHz pentru comunicațiile Pământ-spațiu și de la 2 170 la 2 200 MHz pentru comunicațiile spațiu-Pământ, care este armonizat la nivelul Uniunii în temeiul Deciziei 2007/98/CE;</w:t>
      </w:r>
    </w:p>
    <w:p w14:paraId="16FD2376" w14:textId="77777777" w:rsidR="00D664CB" w:rsidRPr="00D91062" w:rsidRDefault="00D664CB" w:rsidP="006A6914">
      <w:pPr>
        <w:pStyle w:val="Point0"/>
        <w:rPr>
          <w:noProof/>
        </w:rPr>
      </w:pPr>
      <w:r w:rsidRPr="00D91062">
        <w:rPr>
          <w:noProof/>
        </w:rPr>
        <w:t>7.</w:t>
      </w:r>
      <w:r w:rsidRPr="00D91062">
        <w:rPr>
          <w:noProof/>
        </w:rPr>
        <w:tab/>
        <w:t>„bloc pereche” înseamnă două blocuri de spectru în cantitate egală, cu un spațiu duplex de 190 MHz în banda MSS de 2 GHz, unul utilizat pentru comunicațiile Pământ-spațiu, iar celălalt utilizat pentru comunicațiile spațiu-Pământ.</w:t>
      </w:r>
    </w:p>
    <w:p w14:paraId="08462602" w14:textId="77777777" w:rsidR="00D664CB" w:rsidRPr="00D91062" w:rsidRDefault="00D664CB" w:rsidP="006A6914">
      <w:pPr>
        <w:pStyle w:val="Point0"/>
        <w:rPr>
          <w:noProof/>
        </w:rPr>
      </w:pPr>
      <w:r w:rsidRPr="00D91062">
        <w:rPr>
          <w:noProof/>
        </w:rPr>
        <w:t>8.</w:t>
      </w:r>
      <w:r w:rsidRPr="00D91062">
        <w:rPr>
          <w:noProof/>
        </w:rPr>
        <w:tab/>
        <w:t>„sistem MSS” înseamnă un sistem capabil să furnizeze servicii mobile prin satelit care include una sau mai multe stații spațiale pe o orbită terestră sau mai multe stații spațiale pe diferite orbite terestre și care poate cuprinde componente complementare terestre și/sau aeriene;</w:t>
      </w:r>
    </w:p>
    <w:p w14:paraId="062CE0CA" w14:textId="77777777" w:rsidR="00D664CB" w:rsidRPr="00D91062" w:rsidRDefault="00D664CB" w:rsidP="006A6914">
      <w:pPr>
        <w:pStyle w:val="Point0"/>
        <w:rPr>
          <w:noProof/>
        </w:rPr>
      </w:pPr>
      <w:r w:rsidRPr="00D91062">
        <w:rPr>
          <w:noProof/>
        </w:rPr>
        <w:t>9.</w:t>
      </w:r>
      <w:r w:rsidRPr="00D91062">
        <w:rPr>
          <w:noProof/>
        </w:rPr>
        <w:tab/>
        <w:t>„sistem hibrid” înseamnă un sistem integrat, care constă într-un sistem MSS și o rețea terestră (de exemplu, mobilă) și care furnizează servicii de comunicații astfel încât sistemul MSS să asigure o acoperire complementară pentru rețeaua terestră;</w:t>
      </w:r>
    </w:p>
    <w:p w14:paraId="02B8527E" w14:textId="77777777" w:rsidR="00FD62E8" w:rsidRPr="00D91062" w:rsidRDefault="00D664CB" w:rsidP="00F76805">
      <w:pPr>
        <w:pStyle w:val="Point0"/>
        <w:rPr>
          <w:noProof/>
        </w:rPr>
      </w:pPr>
      <w:r w:rsidRPr="00D91062">
        <w:rPr>
          <w:noProof/>
        </w:rPr>
        <w:t>10.</w:t>
      </w:r>
      <w:r w:rsidRPr="00D91062">
        <w:rPr>
          <w:noProof/>
        </w:rPr>
        <w:tab/>
        <w:t>„servicii de comunicații guvernamentale securizate” înseamnă servicii mobile prin satelit care sunt furnizate utilizatorilor autorizați de guverne de către furnizori care îndeplinesc cerințe adecvate de securitate și reziliență și care includ una sau mai multe dintre următoarele aplicații: supravegherea, gestionarea crizelor, asigurarea respectării legii, conectarea și protecția infrastructurilor esențiale, siguranța publică, protecția civilă/răspunsul în situații de urgență, securitatea și apărarea statului;</w:t>
      </w:r>
    </w:p>
    <w:p w14:paraId="0DD13933" w14:textId="6577C83A" w:rsidR="00D304B3" w:rsidRPr="00D91062" w:rsidRDefault="00E20577" w:rsidP="006A6914">
      <w:pPr>
        <w:pStyle w:val="Point0"/>
        <w:rPr>
          <w:noProof/>
        </w:rPr>
      </w:pPr>
      <w:r w:rsidRPr="00D91062">
        <w:rPr>
          <w:noProof/>
        </w:rPr>
        <w:t>11.</w:t>
      </w:r>
      <w:r w:rsidRPr="00D91062">
        <w:rPr>
          <w:noProof/>
        </w:rPr>
        <w:tab/>
        <w:t>„nivel de rețea dedicat pentru scopuri guvernamentale” înseamnă un nivel circumscris al sistemului MSS/hibrid, care este operat de operatorul selectat sub controlul Uniunii în conformitate cu prezentul regulament și cu cererea de candidaturi. Determinarea caracteristicilor sale principale, supravegherea exploatării sale și stabilirea utilizatorilor săi trebuie să se facă ținând seama de principiile și caracteristicile tehnice prevăzute în Regulamentul (UE) 2023/588. Această rețea furnizează un subset de servicii de comunicații guvernamentale securizate unei categorii limitate de utilizatori guvernamentali cu cerințe de securitate sporite, pentru uzul exclusiv al Uniunii, al statelor sale membre, al autorităților Uniunii sau al autorităților statelor membre;</w:t>
      </w:r>
    </w:p>
    <w:p w14:paraId="74416C95" w14:textId="77777777" w:rsidR="00D664CB" w:rsidRPr="00D91062" w:rsidRDefault="00D664CB" w:rsidP="006A6914">
      <w:pPr>
        <w:pStyle w:val="Point0"/>
        <w:rPr>
          <w:noProof/>
        </w:rPr>
      </w:pPr>
      <w:r w:rsidRPr="00D91062">
        <w:rPr>
          <w:noProof/>
        </w:rPr>
        <w:t>12.</w:t>
      </w:r>
      <w:r w:rsidRPr="00D91062">
        <w:rPr>
          <w:noProof/>
        </w:rPr>
        <w:tab/>
        <w:t>„sistem MSS/hibrid securizat” înseamnă un sistem MSS sau un sistem hibrid, deținut sau controlat fie de UE, fie de unul sau mai multe dintre statele sale membre, fie de una sau mai multe persoane fizice care au numai cetățenia unuia sau a mai multor state membre, care este destinat să furnizeze în principal servicii guvernamentale de comunicații securizate în banda MSS de 2 GHz;</w:t>
      </w:r>
    </w:p>
    <w:p w14:paraId="0CEF94E8" w14:textId="77777777" w:rsidR="00D664CB" w:rsidRPr="00D91062" w:rsidRDefault="00D664CB" w:rsidP="006A6914">
      <w:pPr>
        <w:pStyle w:val="Point0"/>
        <w:rPr>
          <w:noProof/>
        </w:rPr>
      </w:pPr>
      <w:r w:rsidRPr="00D91062">
        <w:rPr>
          <w:noProof/>
        </w:rPr>
        <w:t>13.</w:t>
      </w:r>
      <w:r w:rsidRPr="00D91062">
        <w:rPr>
          <w:noProof/>
        </w:rPr>
        <w:tab/>
        <w:t>„sistem MSS comercial” înseamnă un sistem MSS care furnizează MSS publicului;</w:t>
      </w:r>
    </w:p>
    <w:p w14:paraId="5E304DBD" w14:textId="77777777" w:rsidR="00D664CB" w:rsidRPr="00D91062" w:rsidRDefault="00D664CB" w:rsidP="006A6914">
      <w:pPr>
        <w:pStyle w:val="Point0"/>
        <w:rPr>
          <w:noProof/>
        </w:rPr>
      </w:pPr>
      <w:r w:rsidRPr="00D91062">
        <w:rPr>
          <w:noProof/>
        </w:rPr>
        <w:lastRenderedPageBreak/>
        <w:t>14.</w:t>
      </w:r>
      <w:r w:rsidRPr="00D91062">
        <w:rPr>
          <w:noProof/>
        </w:rPr>
        <w:tab/>
        <w:t>„sosirea traficului” înseamnă dirijarea traficului de comunicații mobile prin satelit printr-o componentă terestră complementară, o componentă aeriană complementară sau o stație terestră;</w:t>
      </w:r>
    </w:p>
    <w:p w14:paraId="7E23341B" w14:textId="77777777" w:rsidR="00D664CB" w:rsidRPr="00D91062" w:rsidRDefault="00D664CB" w:rsidP="006A6914">
      <w:pPr>
        <w:pStyle w:val="Point0"/>
        <w:rPr>
          <w:noProof/>
        </w:rPr>
      </w:pPr>
      <w:r w:rsidRPr="00D91062">
        <w:rPr>
          <w:noProof/>
        </w:rPr>
        <w:t>15.</w:t>
      </w:r>
      <w:r w:rsidRPr="00D91062">
        <w:rPr>
          <w:noProof/>
        </w:rPr>
        <w:tab/>
        <w:t>„securitatea lanțului de aprovizionare” înseamnă disponibilitatea, pe întreaga durată de viață a unui sistem, a componentelor, tehnologiilor, sistemelor și know-how-ului critice necesare pentru implementarea și exploatarea sistemului respectiv, inclusiv măsuri de atenuare a riscurilor legate de posibile perturbări ale aprovizionării cu astfel de componente, tehnologii și sisteme;</w:t>
      </w:r>
    </w:p>
    <w:p w14:paraId="2792F7F5" w14:textId="77777777" w:rsidR="00D664CB" w:rsidRPr="00D91062" w:rsidRDefault="00D664CB" w:rsidP="006A6914">
      <w:pPr>
        <w:pStyle w:val="Point0"/>
        <w:rPr>
          <w:noProof/>
        </w:rPr>
      </w:pPr>
      <w:r w:rsidRPr="00D91062">
        <w:rPr>
          <w:noProof/>
        </w:rPr>
        <w:t>16.</w:t>
      </w:r>
      <w:r w:rsidRPr="00D91062">
        <w:rPr>
          <w:noProof/>
        </w:rPr>
        <w:tab/>
        <w:t>„operator tradițional” înseamnă o întreprindere căreia i s-au atribuit drepturi de utilizare a benzii MSS de 2 GHz în conformitate cu Decizia nr. 626/2008/CE și cu Decizia 2009/449/CE a Comisiei, precum și orice întreprindere care a dobândit în mod legal controlul asupra acesteia;</w:t>
      </w:r>
    </w:p>
    <w:p w14:paraId="4C3F2721" w14:textId="77777777" w:rsidR="00D664CB" w:rsidRPr="00D91062" w:rsidRDefault="00D664CB" w:rsidP="006A6914">
      <w:pPr>
        <w:pStyle w:val="Point0"/>
        <w:rPr>
          <w:noProof/>
        </w:rPr>
      </w:pPr>
      <w:r w:rsidRPr="00D91062">
        <w:rPr>
          <w:noProof/>
        </w:rPr>
        <w:t>17.</w:t>
      </w:r>
      <w:r w:rsidRPr="00D91062">
        <w:rPr>
          <w:noProof/>
        </w:rPr>
        <w:tab/>
        <w:t>„cifră de afaceri” înseamnă suma obținută de o întreprindere în sensul articolului 5 alineatul (1) din Regulamentul (CE) nr. 139/2004 al Consiliului;</w:t>
      </w:r>
    </w:p>
    <w:p w14:paraId="2DCCEE83" w14:textId="77777777" w:rsidR="00D664CB" w:rsidRPr="00D91062" w:rsidRDefault="00D664CB" w:rsidP="006A6914">
      <w:pPr>
        <w:pStyle w:val="Point0"/>
        <w:rPr>
          <w:noProof/>
        </w:rPr>
      </w:pPr>
      <w:r w:rsidRPr="00D91062">
        <w:rPr>
          <w:noProof/>
        </w:rPr>
        <w:t>18.</w:t>
      </w:r>
      <w:r w:rsidRPr="00D91062">
        <w:rPr>
          <w:noProof/>
        </w:rPr>
        <w:tab/>
        <w:t>„întreprindere nou-intrată din Uniune” înseamnă o întreprindere care îndeplinește cerințele de admisibilitate prevăzute la articolul 9 din prezentul regulament.</w:t>
      </w:r>
    </w:p>
    <w:p w14:paraId="29E6E30B" w14:textId="77777777" w:rsidR="0002054F" w:rsidRPr="00D91062" w:rsidRDefault="0002054F" w:rsidP="0002054F">
      <w:pPr>
        <w:pStyle w:val="Point0"/>
        <w:rPr>
          <w:noProof/>
        </w:rPr>
      </w:pPr>
      <w:r w:rsidRPr="00D91062">
        <w:rPr>
          <w:noProof/>
        </w:rPr>
        <w:t>19.</w:t>
      </w:r>
      <w:r w:rsidRPr="00D91062">
        <w:rPr>
          <w:noProof/>
        </w:rPr>
        <w:tab/>
        <w:t xml:space="preserve">„control” înseamnă capacitatea de a exercita o influență decisivă asupra unei entități juridice, fie în mod direct, fie indirect prin intermediul uneia sau mai multor entități juridice intermediare; </w:t>
      </w:r>
    </w:p>
    <w:p w14:paraId="19A0F377" w14:textId="77777777" w:rsidR="0002054F" w:rsidRPr="00D91062" w:rsidRDefault="0002054F" w:rsidP="0002054F">
      <w:pPr>
        <w:pStyle w:val="Point0"/>
        <w:rPr>
          <w:noProof/>
        </w:rPr>
      </w:pPr>
      <w:r w:rsidRPr="00D91062">
        <w:rPr>
          <w:noProof/>
        </w:rPr>
        <w:t>20.</w:t>
      </w:r>
      <w:r w:rsidRPr="00D91062">
        <w:rPr>
          <w:noProof/>
        </w:rPr>
        <w:tab/>
        <w:t xml:space="preserve"> „structură de conducere executivă” înseamnă organul unei entități juridice desemnat în conformitate cu dreptul intern și care, după caz, este subordonat directorului general sau oricărei alte persoane cu o putere decizională comparabilă și care este autorizat să stabilească strategia, obiectivele și direcția de ansamblu ale entității juridice și supervizează și monitorizează procesul decizional în materie de management.</w:t>
      </w:r>
    </w:p>
    <w:p w14:paraId="4EA8E73C" w14:textId="77777777" w:rsidR="00D664CB" w:rsidRPr="00D91062" w:rsidRDefault="00D664CB" w:rsidP="00F21920">
      <w:pPr>
        <w:pStyle w:val="Titrearticle"/>
        <w:rPr>
          <w:noProof/>
        </w:rPr>
      </w:pPr>
      <w:r w:rsidRPr="00D91062">
        <w:rPr>
          <w:noProof/>
        </w:rPr>
        <w:t>Articolul 3</w:t>
      </w:r>
    </w:p>
    <w:p w14:paraId="40BBBBD1" w14:textId="77777777" w:rsidR="00DC6A95" w:rsidRPr="00D91062" w:rsidRDefault="00D664CB" w:rsidP="00F21920">
      <w:pPr>
        <w:pStyle w:val="NormalCentered"/>
        <w:rPr>
          <w:b/>
          <w:bCs/>
          <w:noProof/>
        </w:rPr>
      </w:pPr>
      <w:r w:rsidRPr="00D91062">
        <w:rPr>
          <w:b/>
          <w:noProof/>
        </w:rPr>
        <w:t>Coordonarea internă</w:t>
      </w:r>
    </w:p>
    <w:p w14:paraId="7B8811CD" w14:textId="77777777" w:rsidR="00D664CB" w:rsidRPr="00D91062" w:rsidRDefault="004E0E5C" w:rsidP="006A6914">
      <w:pPr>
        <w:pStyle w:val="ManualNumPar1"/>
        <w:rPr>
          <w:noProof/>
        </w:rPr>
      </w:pPr>
      <w:r w:rsidRPr="00D91062">
        <w:rPr>
          <w:noProof/>
        </w:rPr>
        <w:t>(1)</w:t>
      </w:r>
      <w:r w:rsidRPr="00D91062">
        <w:rPr>
          <w:noProof/>
        </w:rPr>
        <w:tab/>
        <w:t xml:space="preserve">În scopul coordonării utilizării frecvențelor, în imediata vecinătate geografică a Uniunii, inclusiv în regiunea arctică, Comisia are competența de a lua măsurile necesare pentru a coopera cu țările învecinate cu Uniunea și pentru a facilita coerența/alinierea în ceea ce privește autorizarea benzii MSS de 2 GHz și coordonarea internațională. </w:t>
      </w:r>
    </w:p>
    <w:p w14:paraId="2E1FDE7C" w14:textId="77777777" w:rsidR="00D664CB" w:rsidRPr="00D91062" w:rsidRDefault="00D664CB" w:rsidP="00F21920">
      <w:pPr>
        <w:pStyle w:val="ManualNumPar1"/>
        <w:rPr>
          <w:noProof/>
        </w:rPr>
      </w:pPr>
      <w:r w:rsidRPr="00D91062">
        <w:rPr>
          <w:noProof/>
        </w:rPr>
        <w:t>(2)</w:t>
      </w:r>
      <w:r w:rsidRPr="00D91062">
        <w:rPr>
          <w:noProof/>
        </w:rPr>
        <w:tab/>
        <w:t>Comisia, asistată de RSPG, promovează cooperarea cu autoritățile competente din țări terțe, în vederea maximizării utilizării eficiente a benzii MSS de 2 GHz la nivel mondial.</w:t>
      </w:r>
    </w:p>
    <w:p w14:paraId="17A6FC03" w14:textId="77777777" w:rsidR="00D664CB" w:rsidRPr="00D91062" w:rsidRDefault="00D664CB" w:rsidP="00F21920">
      <w:pPr>
        <w:pStyle w:val="PartTitle"/>
        <w:rPr>
          <w:noProof/>
        </w:rPr>
      </w:pPr>
      <w:r w:rsidRPr="00D91062">
        <w:rPr>
          <w:noProof/>
        </w:rPr>
        <w:lastRenderedPageBreak/>
        <w:t>CAPITOLUL II – PROCEDURA DE SELECȚIE</w:t>
      </w:r>
    </w:p>
    <w:p w14:paraId="7C1EC512" w14:textId="77777777" w:rsidR="00D664CB" w:rsidRPr="00D91062" w:rsidRDefault="00D664CB" w:rsidP="00F21920">
      <w:pPr>
        <w:pStyle w:val="Titrearticle"/>
        <w:rPr>
          <w:noProof/>
        </w:rPr>
      </w:pPr>
      <w:r w:rsidRPr="00D91062">
        <w:rPr>
          <w:noProof/>
        </w:rPr>
        <w:t>Articolul 4</w:t>
      </w:r>
    </w:p>
    <w:p w14:paraId="437B3667" w14:textId="77777777" w:rsidR="00D664CB" w:rsidRPr="00D91062" w:rsidRDefault="00D664CB" w:rsidP="00F21920">
      <w:pPr>
        <w:pStyle w:val="NormalCentered"/>
        <w:rPr>
          <w:b/>
          <w:bCs/>
          <w:noProof/>
        </w:rPr>
      </w:pPr>
      <w:r w:rsidRPr="00D91062">
        <w:rPr>
          <w:b/>
          <w:noProof/>
        </w:rPr>
        <w:t>Reguli generale</w:t>
      </w:r>
    </w:p>
    <w:p w14:paraId="68E2F8CA" w14:textId="77777777" w:rsidR="00D664CB" w:rsidRPr="00D91062" w:rsidRDefault="00D664CB" w:rsidP="006A6914">
      <w:pPr>
        <w:pStyle w:val="ManualNumPar1"/>
        <w:rPr>
          <w:noProof/>
        </w:rPr>
      </w:pPr>
      <w:r w:rsidRPr="00D91062">
        <w:rPr>
          <w:noProof/>
        </w:rPr>
        <w:t>(1)</w:t>
      </w:r>
      <w:r w:rsidRPr="00D91062">
        <w:rPr>
          <w:noProof/>
        </w:rPr>
        <w:tab/>
        <w:t xml:space="preserve">Comisia, </w:t>
      </w:r>
      <w:r w:rsidRPr="00D91062">
        <w:rPr>
          <w:noProof/>
          <w:color w:val="333333"/>
        </w:rPr>
        <w:t>asistată de Comitetul pentru comunicații menționat la articolul 22 alineatul (1)</w:t>
      </w:r>
      <w:r w:rsidRPr="00D91062">
        <w:rPr>
          <w:noProof/>
        </w:rPr>
        <w:t xml:space="preserve">, organizează și desfășoară o procedură de selecție comparativă pentru acordarea, la cerere, a drepturilor de utilizare a spectrului de frecvențe radio pentru șase blocuri pereche de 5 MHz în banda MSS de 2 GHz, după cum urmează: </w:t>
      </w:r>
    </w:p>
    <w:p w14:paraId="666F4262" w14:textId="77777777" w:rsidR="00D664CB" w:rsidRPr="00D91062" w:rsidRDefault="00D664CB" w:rsidP="00F21920">
      <w:pPr>
        <w:pStyle w:val="Point1"/>
        <w:rPr>
          <w:noProof/>
        </w:rPr>
      </w:pPr>
      <w:r w:rsidRPr="00D91062">
        <w:rPr>
          <w:noProof/>
        </w:rPr>
        <w:t>(a)</w:t>
      </w:r>
      <w:r w:rsidRPr="00D91062">
        <w:rPr>
          <w:noProof/>
        </w:rPr>
        <w:tab/>
        <w:t>dreptul de a utiliza două blocuri pereche contigue de 5 MHz în principal pentru furnizarea sistemului MSS/hibrid securizat;</w:t>
      </w:r>
    </w:p>
    <w:p w14:paraId="5552A41C" w14:textId="77777777" w:rsidR="00D664CB" w:rsidRPr="00D91062" w:rsidRDefault="00D664CB" w:rsidP="00F21920">
      <w:pPr>
        <w:pStyle w:val="Point1"/>
        <w:rPr>
          <w:noProof/>
        </w:rPr>
      </w:pPr>
      <w:r w:rsidRPr="00D91062">
        <w:rPr>
          <w:noProof/>
        </w:rPr>
        <w:t>(b)</w:t>
      </w:r>
      <w:r w:rsidRPr="00D91062">
        <w:rPr>
          <w:noProof/>
        </w:rPr>
        <w:tab/>
        <w:t>dreptul de a utiliza un bloc pereche de 5 MHz sau multipli ai acestuia sau o porțiune dintr-un bloc pereche comun de 5 MHz pentru furnizarea unui sistem MSS comercial de către o întreprindere nou-intrată din Uniune;</w:t>
      </w:r>
    </w:p>
    <w:p w14:paraId="5E6E9F56" w14:textId="77777777" w:rsidR="00D664CB" w:rsidRPr="00D91062" w:rsidRDefault="00D664CB" w:rsidP="00F21920">
      <w:pPr>
        <w:pStyle w:val="Point1"/>
        <w:rPr>
          <w:noProof/>
        </w:rPr>
      </w:pPr>
      <w:r w:rsidRPr="00D91062">
        <w:rPr>
          <w:noProof/>
        </w:rPr>
        <w:t>(c)</w:t>
      </w:r>
      <w:r w:rsidRPr="00D91062">
        <w:rPr>
          <w:noProof/>
        </w:rPr>
        <w:tab/>
        <w:t>dreptul de a utiliza un bloc pereche de 5 MHz sau multipli ai acestuia sau o porțiune a unui bloc pereche comun de 5 MHz pentru furnizarea unui sistem MSS comercial de către un solicitant dintr-un stat membru sau dintr-o țară terță.</w:t>
      </w:r>
    </w:p>
    <w:p w14:paraId="54E385ED" w14:textId="77777777" w:rsidR="00D664CB" w:rsidRPr="00D91062" w:rsidRDefault="00D664CB" w:rsidP="00F21920">
      <w:pPr>
        <w:pStyle w:val="Text1"/>
        <w:rPr>
          <w:noProof/>
        </w:rPr>
      </w:pPr>
      <w:r w:rsidRPr="00D91062">
        <w:rPr>
          <w:noProof/>
        </w:rPr>
        <w:t>Procedura menționată la primul paragraf trebuie să fie deschisă, transparentă, nediscriminatorie și proporțională și să se bazeze pe criterii obiective, nediscriminatorii și proporționale cunoscute în prealabil.</w:t>
      </w:r>
    </w:p>
    <w:p w14:paraId="3795AD37" w14:textId="77777777" w:rsidR="00D664CB" w:rsidRPr="00D91062" w:rsidDel="00A93B7A" w:rsidRDefault="00D664CB" w:rsidP="00F21920">
      <w:pPr>
        <w:pStyle w:val="Text1"/>
        <w:rPr>
          <w:noProof/>
        </w:rPr>
      </w:pPr>
      <w:r w:rsidRPr="00D91062">
        <w:rPr>
          <w:noProof/>
        </w:rPr>
        <w:t>Comisia își rezervă dreptul de a acorda sau nu orice drept de utilizare menționat la primul paragraf.</w:t>
      </w:r>
    </w:p>
    <w:p w14:paraId="0422E1D6" w14:textId="77777777" w:rsidR="00D664CB" w:rsidRPr="00D91062" w:rsidRDefault="00D664CB" w:rsidP="00F21920">
      <w:pPr>
        <w:pStyle w:val="ManualNumPar1"/>
        <w:rPr>
          <w:noProof/>
        </w:rPr>
      </w:pPr>
      <w:r w:rsidRPr="00D91062">
        <w:rPr>
          <w:noProof/>
        </w:rPr>
        <w:t>(2)</w:t>
      </w:r>
      <w:r w:rsidRPr="00D91062">
        <w:rPr>
          <w:noProof/>
        </w:rPr>
        <w:tab/>
        <w:t xml:space="preserve">Solicitanților </w:t>
      </w:r>
      <w:r w:rsidRPr="00D91062">
        <w:rPr>
          <w:noProof/>
          <w:color w:val="333333"/>
        </w:rPr>
        <w:t>li se oferă o posibilitate echitabilă și nediscriminatorie de a participa la procedura de selecție</w:t>
      </w:r>
      <w:r w:rsidRPr="00D91062">
        <w:rPr>
          <w:noProof/>
        </w:rPr>
        <w:t>. Procedura este deschisă întreprinderilor unice și întreprinderilor comune, chiar dacă acestea nu îndeplinesc în mod durabil toate funcțiile unei entități economice autonome, indiferent dacă proprietatea asupra acestora este publică sau privată.</w:t>
      </w:r>
    </w:p>
    <w:p w14:paraId="493E93D3" w14:textId="77777777" w:rsidR="00D664CB" w:rsidRPr="00D91062" w:rsidRDefault="00D664CB" w:rsidP="00F21920">
      <w:pPr>
        <w:pStyle w:val="ManualNumPar1"/>
        <w:rPr>
          <w:noProof/>
        </w:rPr>
      </w:pPr>
      <w:r w:rsidRPr="00D91062">
        <w:rPr>
          <w:noProof/>
        </w:rPr>
        <w:t>(3)</w:t>
      </w:r>
      <w:r w:rsidRPr="00D91062">
        <w:rPr>
          <w:noProof/>
        </w:rPr>
        <w:tab/>
        <w:t>Un solicitant poate depune mai multe cereri pentru drepturile de utilizare a sistemelor MSS comerciale menționate la alineatul (1) literele (b) și (c). O cerere poate fi condiționată de obținerea de către solicitant a drepturilor de utilizare pentru o un anumit număr minim de frecvențe.</w:t>
      </w:r>
    </w:p>
    <w:p w14:paraId="00B9F1A1" w14:textId="77777777" w:rsidR="00D664CB" w:rsidRPr="00D91062" w:rsidRDefault="00D664CB" w:rsidP="00F21920">
      <w:pPr>
        <w:pStyle w:val="Text1"/>
        <w:rPr>
          <w:noProof/>
        </w:rPr>
      </w:pPr>
      <w:r w:rsidRPr="00D91062">
        <w:rPr>
          <w:noProof/>
        </w:rPr>
        <w:t>Numărul maxim de frecvențe care poate fi acordat unui singur solicitant pentru furnizarea unui sistem MSS comercial menționat la alineatul (1) literele (b) și (c) este un bloc pereche de 10 MHz.</w:t>
      </w:r>
    </w:p>
    <w:p w14:paraId="15572659" w14:textId="2FEEC283" w:rsidR="00D664CB" w:rsidRPr="00D91062" w:rsidRDefault="00D664CB" w:rsidP="00587018">
      <w:pPr>
        <w:pStyle w:val="ManualNumPar1"/>
        <w:rPr>
          <w:noProof/>
        </w:rPr>
      </w:pPr>
      <w:r w:rsidRPr="00D91062">
        <w:rPr>
          <w:noProof/>
        </w:rPr>
        <w:t>(4)</w:t>
      </w:r>
      <w:r w:rsidRPr="00D91062">
        <w:rPr>
          <w:noProof/>
        </w:rPr>
        <w:tab/>
        <w:t xml:space="preserve">Un solicitant al dreptului de utilizare pentru furnizarea unui sistem MSS/hibrid securizat poate solicita, în plus, drepturi de utilizare pentru furnizarea unui sistem MSS comercial în condițiile specificate la alineatul (3) al doilea paragraf. </w:t>
      </w:r>
    </w:p>
    <w:p w14:paraId="4B66E5BE" w14:textId="77777777" w:rsidR="00D664CB" w:rsidRPr="00D91062" w:rsidRDefault="00572EA8" w:rsidP="00F21920">
      <w:pPr>
        <w:pStyle w:val="ManualNumPar1"/>
        <w:rPr>
          <w:noProof/>
        </w:rPr>
      </w:pPr>
      <w:r w:rsidRPr="00D91062">
        <w:rPr>
          <w:noProof/>
        </w:rPr>
        <w:t>(5)</w:t>
      </w:r>
      <w:r w:rsidRPr="00D91062">
        <w:rPr>
          <w:noProof/>
        </w:rPr>
        <w:tab/>
        <w:t xml:space="preserve">Cererea de candidaturi și toate deciziile luate de Comisie pe parcursul etapelor procedurii de selecție comparativă, precum și selecția finală a solicitanților se publică în </w:t>
      </w:r>
      <w:r w:rsidRPr="00D91062">
        <w:rPr>
          <w:i/>
          <w:noProof/>
        </w:rPr>
        <w:t>Jurnalul Oficial al Uniunii Europene</w:t>
      </w:r>
      <w:r w:rsidRPr="00D91062">
        <w:rPr>
          <w:noProof/>
        </w:rPr>
        <w:t>. Comisia apelează la un grup de experți externi pentru consultanță și asistență în vederea analizării și/sau evaluării solicitărilor. Acești experți externi trebuie să fie selectați pe baza experienței deținute și a gradului înalt de independență și imparțialitate.</w:t>
      </w:r>
    </w:p>
    <w:p w14:paraId="458899D1" w14:textId="77777777" w:rsidR="00D664CB" w:rsidRPr="00D91062" w:rsidRDefault="00D664CB" w:rsidP="00F21920">
      <w:pPr>
        <w:pStyle w:val="Titrearticle"/>
        <w:rPr>
          <w:noProof/>
        </w:rPr>
      </w:pPr>
      <w:r w:rsidRPr="00D91062">
        <w:rPr>
          <w:noProof/>
        </w:rPr>
        <w:lastRenderedPageBreak/>
        <w:t>Articolul 5</w:t>
      </w:r>
    </w:p>
    <w:p w14:paraId="2481C111" w14:textId="77777777" w:rsidR="00D664CB" w:rsidRPr="00D91062" w:rsidRDefault="00D664CB" w:rsidP="00F21920">
      <w:pPr>
        <w:pStyle w:val="NormalCentered"/>
        <w:rPr>
          <w:b/>
          <w:bCs/>
          <w:noProof/>
        </w:rPr>
      </w:pPr>
      <w:r w:rsidRPr="00D91062">
        <w:rPr>
          <w:b/>
          <w:noProof/>
        </w:rPr>
        <w:t>Procedura de selecție comparativă</w:t>
      </w:r>
    </w:p>
    <w:p w14:paraId="20D8705C" w14:textId="77777777" w:rsidR="00D664CB" w:rsidRPr="00D91062" w:rsidRDefault="00D664CB" w:rsidP="006A6914">
      <w:pPr>
        <w:pStyle w:val="ManualNumPar1"/>
        <w:rPr>
          <w:noProof/>
        </w:rPr>
      </w:pPr>
      <w:r w:rsidRPr="00D91062">
        <w:rPr>
          <w:noProof/>
        </w:rPr>
        <w:t>(1)</w:t>
      </w:r>
      <w:r w:rsidRPr="00D91062">
        <w:rPr>
          <w:noProof/>
        </w:rPr>
        <w:tab/>
        <w:t>Procedura de selecție comparativă trebuie să cuprindă cel mult o etapă de admisibilitate, o primă etapă de selecție și o a doua etapă de selecție.</w:t>
      </w:r>
    </w:p>
    <w:p w14:paraId="2A5B4254" w14:textId="77777777" w:rsidR="00D664CB" w:rsidRPr="00D91062" w:rsidRDefault="00D664CB" w:rsidP="00F21920">
      <w:pPr>
        <w:pStyle w:val="ManualNumPar1"/>
        <w:rPr>
          <w:noProof/>
        </w:rPr>
      </w:pPr>
      <w:r w:rsidRPr="00D91062">
        <w:rPr>
          <w:noProof/>
        </w:rPr>
        <w:t>(2)</w:t>
      </w:r>
      <w:r w:rsidRPr="00D91062">
        <w:rPr>
          <w:noProof/>
        </w:rPr>
        <w:tab/>
        <w:t>Comisia emite, prin intermediul unor acte de punere în aplicare, o cerere de candidaturi în care precizează, printre altele/în special, următoarele:</w:t>
      </w:r>
    </w:p>
    <w:p w14:paraId="0A0C603E" w14:textId="77777777" w:rsidR="00D664CB" w:rsidRPr="00D91062" w:rsidRDefault="00D664CB" w:rsidP="006A6914">
      <w:pPr>
        <w:pStyle w:val="Point1"/>
        <w:rPr>
          <w:noProof/>
        </w:rPr>
      </w:pPr>
      <w:r w:rsidRPr="00D91062">
        <w:rPr>
          <w:noProof/>
        </w:rPr>
        <w:t>(a)</w:t>
      </w:r>
      <w:r w:rsidRPr="00D91062">
        <w:rPr>
          <w:noProof/>
        </w:rPr>
        <w:tab/>
        <w:t>termenele procedurale, probele și documentele care trebuie incluse în cereri;</w:t>
      </w:r>
    </w:p>
    <w:p w14:paraId="78B6AB2D" w14:textId="19C2A8D4" w:rsidR="00EF40AB" w:rsidRPr="00D91062" w:rsidRDefault="00D664CB" w:rsidP="00E503F8">
      <w:pPr>
        <w:pStyle w:val="Point1"/>
        <w:rPr>
          <w:noProof/>
        </w:rPr>
      </w:pPr>
      <w:r w:rsidRPr="00D91062">
        <w:rPr>
          <w:noProof/>
        </w:rPr>
        <w:t>(b)</w:t>
      </w:r>
      <w:r w:rsidRPr="00D91062">
        <w:rPr>
          <w:noProof/>
        </w:rPr>
        <w:tab/>
        <w:t xml:space="preserve">cerințele de admisibilitate și eligibilitate, precum și criteriile de selecție și ponderea acestora; </w:t>
      </w:r>
    </w:p>
    <w:p w14:paraId="5DDC6615" w14:textId="77777777" w:rsidR="00D664CB" w:rsidRPr="00D91062" w:rsidRDefault="00D664CB" w:rsidP="00F21920">
      <w:pPr>
        <w:pStyle w:val="Point1"/>
        <w:rPr>
          <w:noProof/>
        </w:rPr>
      </w:pPr>
      <w:r w:rsidRPr="00D91062">
        <w:rPr>
          <w:noProof/>
        </w:rPr>
        <w:t>(c)</w:t>
      </w:r>
      <w:r w:rsidRPr="00D91062">
        <w:rPr>
          <w:noProof/>
        </w:rPr>
        <w:tab/>
        <w:t>condițiile de autorizare, inclusiv data începerii furnizării continue de servicii MSS;</w:t>
      </w:r>
    </w:p>
    <w:p w14:paraId="6B451C00" w14:textId="77777777" w:rsidR="00D664CB" w:rsidRPr="00D91062" w:rsidRDefault="00D664CB" w:rsidP="00F21920">
      <w:pPr>
        <w:pStyle w:val="Point1"/>
        <w:rPr>
          <w:noProof/>
        </w:rPr>
      </w:pPr>
      <w:r w:rsidRPr="00D91062">
        <w:rPr>
          <w:noProof/>
        </w:rPr>
        <w:t>(d)</w:t>
      </w:r>
      <w:r w:rsidRPr="00D91062">
        <w:rPr>
          <w:noProof/>
        </w:rPr>
        <w:tab/>
        <w:t>plata oricărei contribuții financiare și a oricărei taxe anuale;</w:t>
      </w:r>
    </w:p>
    <w:p w14:paraId="55502D2D" w14:textId="77777777" w:rsidR="00D664CB" w:rsidRPr="00D91062" w:rsidRDefault="00D664CB" w:rsidP="00F21920">
      <w:pPr>
        <w:pStyle w:val="Point1"/>
        <w:rPr>
          <w:noProof/>
        </w:rPr>
      </w:pPr>
      <w:r w:rsidRPr="00D91062">
        <w:rPr>
          <w:noProof/>
        </w:rPr>
        <w:t>(e)</w:t>
      </w:r>
      <w:r w:rsidRPr="00D91062">
        <w:rPr>
          <w:noProof/>
        </w:rPr>
        <w:tab/>
        <w:t>după caz, criterii adecvate care să asigure compatibilitatea dintre sistemele MSS și sistemele hibride, ceea ce ar permite continuitatea serviciilor tradiționale și furnizarea de servicii inovatoare.</w:t>
      </w:r>
    </w:p>
    <w:p w14:paraId="7FE1F6E1" w14:textId="22F2CF80" w:rsidR="00D664CB" w:rsidRPr="00D91062" w:rsidRDefault="00D664CB" w:rsidP="00F21920">
      <w:pPr>
        <w:pStyle w:val="Text1"/>
        <w:rPr>
          <w:noProof/>
        </w:rPr>
      </w:pPr>
      <w:r w:rsidRPr="00D91062">
        <w:rPr>
          <w:noProof/>
        </w:rPr>
        <w:t>Respectivele acte de punere în aplicare se adoptă în conformitate cu procedura de consultare menționată la articolul 22 alineatul (2).</w:t>
      </w:r>
    </w:p>
    <w:p w14:paraId="1AC90648" w14:textId="77777777" w:rsidR="00D664CB" w:rsidRPr="00D91062" w:rsidRDefault="00D664CB" w:rsidP="00F21920">
      <w:pPr>
        <w:pStyle w:val="ManualNumPar1"/>
        <w:rPr>
          <w:rFonts w:eastAsia="Aptos"/>
          <w:noProof/>
          <w:kern w:val="2"/>
          <w14:ligatures w14:val="standardContextual"/>
        </w:rPr>
      </w:pPr>
      <w:r w:rsidRPr="00D91062">
        <w:rPr>
          <w:noProof/>
        </w:rPr>
        <w:t>(3)</w:t>
      </w:r>
      <w:r w:rsidRPr="00D91062">
        <w:rPr>
          <w:noProof/>
        </w:rPr>
        <w:tab/>
        <w:t>Cererile se prezintă Comisiei.</w:t>
      </w:r>
    </w:p>
    <w:p w14:paraId="2D02CB67" w14:textId="77777777" w:rsidR="00D664CB" w:rsidRPr="00D91062" w:rsidRDefault="00D664CB" w:rsidP="00F21920">
      <w:pPr>
        <w:pStyle w:val="ManualNumPar1"/>
        <w:rPr>
          <w:noProof/>
        </w:rPr>
      </w:pPr>
      <w:r w:rsidRPr="00D91062">
        <w:rPr>
          <w:noProof/>
        </w:rPr>
        <w:t>(4)</w:t>
      </w:r>
      <w:r w:rsidRPr="00D91062">
        <w:rPr>
          <w:noProof/>
        </w:rPr>
        <w:tab/>
        <w:t xml:space="preserve">În etapa de admisibilitate, Comisia evaluează admisibilitatea solicitanților pe baza cerințelor de admisibilitate prevăzute la articolele 6, 9 și 10, după caz, și pe baza caracterului complet al cererilor acestora. Comisia poate solicita solicitanților să furnizeze informații suplimentare privind îndeplinirea cerințelor de admisibilitate în cadrul unei anumite perioade de timp, cuprinse între 5 și 20 de zile lucrătoare de la primirea notificării. Cererea este considerată inadmisibilă în cazul în care aceste informații nu sunt furnizate în termenul specificat. Comisia informează fără întârziere solicitanții dacă cererile lor sunt considerate admisibile sau nu și publică o listă a solicitanților admisibili. </w:t>
      </w:r>
    </w:p>
    <w:p w14:paraId="5F4200B0" w14:textId="77777777" w:rsidR="00D664CB" w:rsidRPr="00D91062" w:rsidRDefault="00D664CB" w:rsidP="00F21920">
      <w:pPr>
        <w:pStyle w:val="ManualNumPar1"/>
        <w:rPr>
          <w:noProof/>
        </w:rPr>
      </w:pPr>
      <w:r w:rsidRPr="00D91062">
        <w:rPr>
          <w:noProof/>
        </w:rPr>
        <w:t>(5)</w:t>
      </w:r>
      <w:r w:rsidRPr="00D91062">
        <w:rPr>
          <w:noProof/>
        </w:rPr>
        <w:tab/>
        <w:t xml:space="preserve">Prima etapă de selecție începe în termen de 40 de zile lucrătoare de la publicarea listei solicitanților admisibili menționate la alineatul (4). Comisia evaluează dacă solicitanții admisibili îndeplinesc cerințele de eligibilitate prevăzute la articolul 7 alineatul (1) sau la articolul 11 alineatul (1), după caz. </w:t>
      </w:r>
      <w:r w:rsidRPr="00D91062">
        <w:rPr>
          <w:noProof/>
          <w:color w:val="333333"/>
        </w:rPr>
        <w:t>Credibilitatea și viabilitatea cererilor sunt luate în considerare pe parcursul primei etape de selecție.</w:t>
      </w:r>
    </w:p>
    <w:p w14:paraId="02214AB7" w14:textId="311231B8" w:rsidR="00D664CB" w:rsidRPr="00D91062" w:rsidRDefault="00D664CB" w:rsidP="00F21920">
      <w:pPr>
        <w:pStyle w:val="ManualNumPar1"/>
        <w:rPr>
          <w:noProof/>
        </w:rPr>
      </w:pPr>
      <w:r w:rsidRPr="00D91062">
        <w:rPr>
          <w:noProof/>
        </w:rPr>
        <w:t>(6)</w:t>
      </w:r>
      <w:r w:rsidRPr="00D91062">
        <w:rPr>
          <w:noProof/>
        </w:rPr>
        <w:tab/>
        <w:t>În cazul în care solicitanții nu sunt selectați în prima etapă în conformitate cu articolul 7 alineatul (2) sau cu articolul 11 alineatul (2), Comisia desfășoară a doua</w:t>
      </w:r>
      <w:r w:rsidR="003F69E7">
        <w:rPr>
          <w:noProof/>
        </w:rPr>
        <w:t> </w:t>
      </w:r>
      <w:r w:rsidRPr="00D91062">
        <w:rPr>
          <w:noProof/>
        </w:rPr>
        <w:t>etapă de selecție și clasifică solicitanții eligibili pe baza criteriilor de selecție prevăzute la articolul 8 alineatul (1) sau la articolul 12 alineatul (1), după caz.</w:t>
      </w:r>
    </w:p>
    <w:p w14:paraId="523BFBBD" w14:textId="77777777" w:rsidR="000C7B57" w:rsidRPr="00D91062" w:rsidRDefault="000C7B57" w:rsidP="000C7B57">
      <w:pPr>
        <w:pStyle w:val="ManualNumPar1"/>
        <w:rPr>
          <w:noProof/>
        </w:rPr>
      </w:pPr>
      <w:r w:rsidRPr="00D91062">
        <w:rPr>
          <w:noProof/>
        </w:rPr>
        <w:t>(7)</w:t>
      </w:r>
      <w:r w:rsidRPr="00D91062">
        <w:rPr>
          <w:noProof/>
        </w:rPr>
        <w:tab/>
        <w:t xml:space="preserve">Comisia poate adopta un act delegat pentru a extinde cerințele de admisibilitate prevăzute la articolele 6 și 9 la solicitanții din țările învecinate din punct de vedere geografic, în special în cazul în care participarea solicitanților din aceste țări ar aduce o valoare adăugată semnificativă în ceea ce privește accesul la tehnologii, bunuri sau servicii specifice sau ar facilita coordonarea în beneficiul unei acoperiri neîntrerupte a zonelor de frontieră. Actul delegat trebuie să precizeze condițiile de participare și să includă măsuri de asigurare a protecției informațiilor UE clasificate (IUEC) și a informațiilor sensibile neclasificate, precum și orice limitări în ceea ce privește </w:t>
      </w:r>
      <w:r w:rsidRPr="00D91062">
        <w:rPr>
          <w:noProof/>
        </w:rPr>
        <w:lastRenderedPageBreak/>
        <w:t xml:space="preserve">accesul solicitanților, inclusiv al membrilor unei întreprinderi comune, din țări terțe la nivelul de rețea dedicat pentru scopuri guvernamentale. </w:t>
      </w:r>
    </w:p>
    <w:p w14:paraId="62355069" w14:textId="77777777" w:rsidR="00D664CB" w:rsidRPr="00D91062" w:rsidRDefault="00D664CB" w:rsidP="00F21920">
      <w:pPr>
        <w:pStyle w:val="ManualNumPar1"/>
        <w:rPr>
          <w:noProof/>
        </w:rPr>
      </w:pPr>
      <w:r w:rsidRPr="00D91062">
        <w:rPr>
          <w:noProof/>
        </w:rPr>
        <w:t>(8)</w:t>
      </w:r>
      <w:r w:rsidRPr="00D91062">
        <w:rPr>
          <w:noProof/>
        </w:rPr>
        <w:tab/>
      </w:r>
      <w:r w:rsidRPr="00D91062">
        <w:rPr>
          <w:noProof/>
          <w:color w:val="000000" w:themeColor="text1"/>
        </w:rPr>
        <w:t xml:space="preserve">Comisia </w:t>
      </w:r>
      <w:r w:rsidRPr="00D91062">
        <w:rPr>
          <w:noProof/>
        </w:rPr>
        <w:t xml:space="preserve">adoptă, prin intermediul unor acte de punere în aplicare, decizii motivate </w:t>
      </w:r>
      <w:r w:rsidRPr="00D91062">
        <w:rPr>
          <w:noProof/>
          <w:color w:val="000000" w:themeColor="text1"/>
        </w:rPr>
        <w:t xml:space="preserve">privind inadmisibilitatea sau neeligibilitatea unei cereri, după caz. </w:t>
      </w:r>
      <w:r w:rsidRPr="00D91062">
        <w:rPr>
          <w:noProof/>
        </w:rPr>
        <w:t>Respectivele acte de punere în aplicare se adoptă în conformitate cu procedura de consultare menționată la articolul 22 alineatul (2).</w:t>
      </w:r>
    </w:p>
    <w:p w14:paraId="325AB951" w14:textId="77777777" w:rsidR="00D664CB" w:rsidRPr="00D91062" w:rsidRDefault="00D664CB" w:rsidP="00F21920">
      <w:pPr>
        <w:pStyle w:val="Titrearticle"/>
        <w:rPr>
          <w:noProof/>
        </w:rPr>
      </w:pPr>
      <w:r w:rsidRPr="00D91062">
        <w:rPr>
          <w:noProof/>
        </w:rPr>
        <w:t>Articolul 6</w:t>
      </w:r>
    </w:p>
    <w:p w14:paraId="5D8424DA" w14:textId="77777777" w:rsidR="00D664CB" w:rsidRPr="00D91062" w:rsidRDefault="00D664CB" w:rsidP="00F21920">
      <w:pPr>
        <w:pStyle w:val="NormalCentered"/>
        <w:rPr>
          <w:b/>
          <w:bCs/>
          <w:noProof/>
        </w:rPr>
      </w:pPr>
      <w:r w:rsidRPr="00D91062">
        <w:rPr>
          <w:b/>
          <w:noProof/>
        </w:rPr>
        <w:t>Etapa de admisibilitate pentru sistemul MSS/hibrid securizat</w:t>
      </w:r>
    </w:p>
    <w:p w14:paraId="3186A387" w14:textId="77777777" w:rsidR="00D664CB" w:rsidRPr="00D91062" w:rsidRDefault="00D664CB" w:rsidP="006A6914">
      <w:pPr>
        <w:pStyle w:val="ManualNumPar1"/>
        <w:rPr>
          <w:noProof/>
        </w:rPr>
      </w:pPr>
      <w:r w:rsidRPr="00D91062">
        <w:rPr>
          <w:noProof/>
        </w:rPr>
        <w:t>(1)</w:t>
      </w:r>
      <w:r w:rsidRPr="00D91062">
        <w:rPr>
          <w:noProof/>
        </w:rPr>
        <w:tab/>
        <w:t>Solicitantului dreptului de utilizare a benzii MSS de 2 GHz pentru sistemul MSS/hibrid securizat i se aplică următoarele cerințe de admisibilitate:</w:t>
      </w:r>
    </w:p>
    <w:p w14:paraId="153C2DD7" w14:textId="77777777" w:rsidR="00D664CB" w:rsidRPr="00D91062" w:rsidRDefault="00D664CB" w:rsidP="006A6914">
      <w:pPr>
        <w:pStyle w:val="Point1"/>
        <w:rPr>
          <w:noProof/>
        </w:rPr>
      </w:pPr>
      <w:r w:rsidRPr="00D91062">
        <w:rPr>
          <w:noProof/>
        </w:rPr>
        <w:t>(a)</w:t>
      </w:r>
      <w:r w:rsidRPr="00D91062">
        <w:rPr>
          <w:noProof/>
        </w:rPr>
        <w:tab/>
        <w:t>să fie o entitate juridică, inclusiv o întreprindere comună, stabilită într-un stat membru, cu conducerea executivă stabilită în Uniune;</w:t>
      </w:r>
    </w:p>
    <w:p w14:paraId="40B742A2" w14:textId="303083A9" w:rsidR="00CF12DB" w:rsidRPr="00D91062" w:rsidRDefault="00D664CB" w:rsidP="00694839">
      <w:pPr>
        <w:pStyle w:val="Point1"/>
        <w:rPr>
          <w:noProof/>
        </w:rPr>
      </w:pPr>
      <w:r w:rsidRPr="00D91062">
        <w:rPr>
          <w:noProof/>
        </w:rPr>
        <w:t>(b)</w:t>
      </w:r>
      <w:r w:rsidRPr="00D91062">
        <w:rPr>
          <w:noProof/>
        </w:rPr>
        <w:tab/>
        <w:t>să fie controlat, direct sau indirect, numai de Uniune sau de unul sau mai multe state membre sau de persoane fizice care dețin numai cetățenia unuia sau a mai multor state membre și să nu fie supus controlului de către o țară terță sau de către un resortisant al unei țări terțe;</w:t>
      </w:r>
      <w:r w:rsidR="00216996">
        <w:rPr>
          <w:noProof/>
        </w:rPr>
        <w:t xml:space="preserve"> </w:t>
      </w:r>
    </w:p>
    <w:p w14:paraId="51841D2A" w14:textId="77777777" w:rsidR="00D664CB" w:rsidRPr="00D91062" w:rsidRDefault="00D664CB" w:rsidP="00F21920">
      <w:pPr>
        <w:pStyle w:val="Point1"/>
        <w:rPr>
          <w:noProof/>
        </w:rPr>
      </w:pPr>
      <w:r w:rsidRPr="00D91062">
        <w:rPr>
          <w:noProof/>
        </w:rPr>
        <w:t>(c)</w:t>
      </w:r>
      <w:r w:rsidRPr="00D91062">
        <w:rPr>
          <w:noProof/>
        </w:rPr>
        <w:tab/>
        <w:t>să nu facă obiectul unor obligații în temeiul jurisdicției unei țări terțe;</w:t>
      </w:r>
    </w:p>
    <w:p w14:paraId="545FA5B4" w14:textId="77777777" w:rsidR="00D664CB" w:rsidRPr="00D91062" w:rsidRDefault="00D664CB" w:rsidP="00F21920">
      <w:pPr>
        <w:pStyle w:val="Point1"/>
        <w:rPr>
          <w:noProof/>
        </w:rPr>
      </w:pPr>
      <w:r w:rsidRPr="00D91062">
        <w:rPr>
          <w:noProof/>
        </w:rPr>
        <w:t>(d)</w:t>
      </w:r>
      <w:r w:rsidRPr="00D91062">
        <w:rPr>
          <w:noProof/>
        </w:rPr>
        <w:tab/>
        <w:t>să se angajeze să sprijine și să promoveze interesele de securitate și apărare ale Uniunii și ale statelor sale membre, astfel cum sunt stabilite în cadrul politicii externe și de securitate comune în temeiul titlului V din Tratatul privind Uniunea Europeană;</w:t>
      </w:r>
    </w:p>
    <w:p w14:paraId="7464D53C" w14:textId="77777777" w:rsidR="00D664CB" w:rsidRPr="00D91062" w:rsidRDefault="00D664CB" w:rsidP="00F21920">
      <w:pPr>
        <w:pStyle w:val="Point1"/>
        <w:rPr>
          <w:noProof/>
        </w:rPr>
      </w:pPr>
      <w:r w:rsidRPr="00D91062">
        <w:rPr>
          <w:noProof/>
        </w:rPr>
        <w:t>(e)</w:t>
      </w:r>
      <w:r w:rsidRPr="00D91062">
        <w:rPr>
          <w:noProof/>
        </w:rPr>
        <w:tab/>
        <w:t>să se angajeze să desfășoare toate activitățile relevante legate de operarea sistemului MSS/hibrid securizat în unul sau mai multe state membre;</w:t>
      </w:r>
    </w:p>
    <w:p w14:paraId="75471373" w14:textId="64FA86D2" w:rsidR="001A4AA9" w:rsidRPr="00D91062" w:rsidRDefault="00D664CB" w:rsidP="00960440">
      <w:pPr>
        <w:pStyle w:val="Point1"/>
        <w:rPr>
          <w:noProof/>
        </w:rPr>
      </w:pPr>
      <w:r w:rsidRPr="00D91062">
        <w:rPr>
          <w:noProof/>
        </w:rPr>
        <w:t>(f)</w:t>
      </w:r>
      <w:r w:rsidRPr="00D91062">
        <w:rPr>
          <w:noProof/>
        </w:rPr>
        <w:tab/>
        <w:t>să aibă una sau mai multe cereri corespunzătoare depuse la Uniunea Internațională a Telecomunicațiilor (UIT) referitoare la banda MSS de 2 GHz de un stat membru și să ia toate măsurile necesare pentru a asigura conformitatea sistemului MSS/hibrid securizat cu reglementările radio ale UIT.</w:t>
      </w:r>
    </w:p>
    <w:p w14:paraId="42C226A7" w14:textId="7C178E78" w:rsidR="00D664CB" w:rsidRPr="00D91062" w:rsidRDefault="00D664CB" w:rsidP="00F21920">
      <w:pPr>
        <w:pStyle w:val="ManualNumPar1"/>
        <w:rPr>
          <w:noProof/>
        </w:rPr>
      </w:pPr>
      <w:r w:rsidRPr="00D91062">
        <w:rPr>
          <w:noProof/>
        </w:rPr>
        <w:t>(2)</w:t>
      </w:r>
      <w:r w:rsidRPr="00D91062">
        <w:rPr>
          <w:noProof/>
        </w:rPr>
        <w:tab/>
        <w:t>În cazul în care un solicitant este o persoană juridică sub forma unei întreprinderi comune, cerințele prevăzute la alineatul (1) literele (a)-(e) se aplică fiecărei persoane fizice sau juridice a întreprinderii comune, în timp ce cerința prevăzută la alineatul</w:t>
      </w:r>
      <w:r w:rsidR="003F69E7">
        <w:rPr>
          <w:noProof/>
        </w:rPr>
        <w:t> </w:t>
      </w:r>
      <w:r w:rsidRPr="00D91062">
        <w:rPr>
          <w:noProof/>
        </w:rPr>
        <w:t>(1) litera (f) se aplică cel puțin unui membru al întreprinderii comune.</w:t>
      </w:r>
    </w:p>
    <w:p w14:paraId="2D51A285" w14:textId="77777777" w:rsidR="00D664CB" w:rsidRPr="00D91062" w:rsidRDefault="00D664CB" w:rsidP="00F21920">
      <w:pPr>
        <w:pStyle w:val="ManualNumPar1"/>
        <w:rPr>
          <w:noProof/>
        </w:rPr>
      </w:pPr>
      <w:r w:rsidRPr="00D91062">
        <w:rPr>
          <w:noProof/>
        </w:rPr>
        <w:t>(3)</w:t>
      </w:r>
      <w:r w:rsidRPr="00D91062">
        <w:rPr>
          <w:noProof/>
        </w:rPr>
        <w:tab/>
        <w:t>În cazul în care un solicitant al unui sistem MSS/hibrid securizat solicită și un sistem MSS comercial, se aplică articolele 9, 11 și 12 pentru partea respectivă.</w:t>
      </w:r>
    </w:p>
    <w:p w14:paraId="2FD49798" w14:textId="77777777" w:rsidR="00DC6A95" w:rsidRPr="00D91062" w:rsidRDefault="00D664CB" w:rsidP="00F21920">
      <w:pPr>
        <w:pStyle w:val="ManualNumPar1"/>
        <w:rPr>
          <w:noProof/>
        </w:rPr>
      </w:pPr>
      <w:r w:rsidRPr="00D91062">
        <w:rPr>
          <w:noProof/>
        </w:rPr>
        <w:t>(4)</w:t>
      </w:r>
      <w:r w:rsidRPr="00D91062">
        <w:rPr>
          <w:noProof/>
        </w:rPr>
        <w:tab/>
        <w:t>Solicitanții trebuie să specifice suma pe care se angajează să o plătească drept contribuție financiară unică pentru dreptul de utilizare a unui bloc pereche de 5 MHz în banda MSS de 2 GHz, care trebuie să fie mai mare sau egală cu suma minimă specificată în cererea de candidaturi.</w:t>
      </w:r>
    </w:p>
    <w:p w14:paraId="668F13B2" w14:textId="77777777" w:rsidR="00D664CB" w:rsidRPr="00D91062" w:rsidRDefault="00D664CB" w:rsidP="00F21920">
      <w:pPr>
        <w:pStyle w:val="Titrearticle"/>
        <w:rPr>
          <w:noProof/>
        </w:rPr>
      </w:pPr>
      <w:r w:rsidRPr="00D91062">
        <w:rPr>
          <w:noProof/>
        </w:rPr>
        <w:t>Articolul 7</w:t>
      </w:r>
    </w:p>
    <w:p w14:paraId="19F379CB" w14:textId="77777777" w:rsidR="00D664CB" w:rsidRPr="00D91062" w:rsidRDefault="00D664CB" w:rsidP="00F21920">
      <w:pPr>
        <w:pStyle w:val="NormalCentered"/>
        <w:rPr>
          <w:b/>
          <w:bCs/>
          <w:noProof/>
        </w:rPr>
      </w:pPr>
      <w:r w:rsidRPr="00D91062">
        <w:rPr>
          <w:b/>
          <w:noProof/>
        </w:rPr>
        <w:t>Prima etapă de selecție pentru sistemul MSS/hibrid securizat</w:t>
      </w:r>
    </w:p>
    <w:p w14:paraId="2C942A54" w14:textId="77777777" w:rsidR="00D664CB" w:rsidRPr="00D91062" w:rsidRDefault="00D664CB" w:rsidP="006A6914">
      <w:pPr>
        <w:pStyle w:val="ManualNumPar1"/>
        <w:rPr>
          <w:noProof/>
        </w:rPr>
      </w:pPr>
      <w:r w:rsidRPr="00D91062">
        <w:rPr>
          <w:noProof/>
        </w:rPr>
        <w:t>(1)</w:t>
      </w:r>
      <w:r w:rsidRPr="00D91062">
        <w:rPr>
          <w:noProof/>
        </w:rPr>
        <w:tab/>
        <w:t>Solicitanților dreptului de utilizare a benzii MSS de 2 GHz pentru sistemul MSS/hibrid securizat li se aplică următoarele cerințe de eligibilitate:</w:t>
      </w:r>
    </w:p>
    <w:p w14:paraId="4B289A3A" w14:textId="51E39DCA" w:rsidR="00D664CB" w:rsidRPr="00D91062" w:rsidRDefault="00D664CB" w:rsidP="006A6914">
      <w:pPr>
        <w:pStyle w:val="Point1"/>
        <w:rPr>
          <w:noProof/>
        </w:rPr>
      </w:pPr>
      <w:r w:rsidRPr="00D91062">
        <w:rPr>
          <w:noProof/>
        </w:rPr>
        <w:lastRenderedPageBreak/>
        <w:t>(a)</w:t>
      </w:r>
      <w:r w:rsidRPr="00D91062">
        <w:rPr>
          <w:noProof/>
        </w:rPr>
        <w:tab/>
        <w:t>să demonstreze un nivel satisfăcător de conformitate cu condițiile prealabile 1</w:t>
      </w:r>
      <w:r w:rsidR="003F69E7">
        <w:rPr>
          <w:noProof/>
        </w:rPr>
        <w:t>­</w:t>
      </w:r>
      <w:r w:rsidRPr="00D91062">
        <w:rPr>
          <w:noProof/>
        </w:rPr>
        <w:t>4 prevăzute în anexă;</w:t>
      </w:r>
    </w:p>
    <w:p w14:paraId="6FB1885F" w14:textId="77777777" w:rsidR="00D664CB" w:rsidRPr="00D91062" w:rsidRDefault="00D664CB" w:rsidP="00F21920">
      <w:pPr>
        <w:pStyle w:val="Point1"/>
        <w:rPr>
          <w:noProof/>
        </w:rPr>
      </w:pPr>
      <w:r w:rsidRPr="00D91062">
        <w:rPr>
          <w:noProof/>
        </w:rPr>
        <w:t>(b)</w:t>
      </w:r>
      <w:r w:rsidRPr="00D91062">
        <w:rPr>
          <w:noProof/>
        </w:rPr>
        <w:tab/>
        <w:t>să se angajeze să asigure disponibilitatea unor servicii guvernamentale securizate prin satelit în toate statele membre și pentru cel puțin 95 % din populație și pentru cel puțin 90 % din suprafața terestră totală a fiecărui stat membru în termen de cel mult cinci ani de la data începerii furnizării continue de MSS;</w:t>
      </w:r>
    </w:p>
    <w:p w14:paraId="08C99489" w14:textId="77777777" w:rsidR="00D664CB" w:rsidRPr="00D91062" w:rsidRDefault="00D664CB" w:rsidP="00F21920">
      <w:pPr>
        <w:pStyle w:val="Point1"/>
        <w:rPr>
          <w:noProof/>
        </w:rPr>
      </w:pPr>
      <w:r w:rsidRPr="00D91062">
        <w:rPr>
          <w:noProof/>
        </w:rPr>
        <w:t>(c)</w:t>
      </w:r>
      <w:r w:rsidRPr="00D91062">
        <w:rPr>
          <w:noProof/>
        </w:rPr>
        <w:tab/>
        <w:t>să se angajeze să asigure sosirea pe teritoriul Uniunii a traficului generat prin utilizarea tuturor serviciilor de către utilizatorii finali situați pe teritoriul Uniunii sau direcționat către sau dinspre Uniune;</w:t>
      </w:r>
    </w:p>
    <w:p w14:paraId="3853EE2A" w14:textId="77777777" w:rsidR="00D664CB" w:rsidRPr="00D91062" w:rsidRDefault="00D664CB" w:rsidP="00F21920">
      <w:pPr>
        <w:pStyle w:val="Point1"/>
        <w:rPr>
          <w:noProof/>
        </w:rPr>
      </w:pPr>
      <w:r w:rsidRPr="00D91062">
        <w:rPr>
          <w:noProof/>
        </w:rPr>
        <w:t>(d)</w:t>
      </w:r>
      <w:r w:rsidRPr="00D91062">
        <w:rPr>
          <w:noProof/>
        </w:rPr>
        <w:tab/>
        <w:t>să demonstreze capacitatea tehnică și financiară și gradul de pregătire pentru dezvoltarea, lansarea și operarea sistemului MSS/hibrid securizat propus și furnizarea de servicii până la data începerii furnizării continue de MSS;</w:t>
      </w:r>
    </w:p>
    <w:p w14:paraId="06E4830C" w14:textId="77777777" w:rsidR="00D664CB" w:rsidRPr="00D91062" w:rsidRDefault="00D664CB" w:rsidP="00F21920">
      <w:pPr>
        <w:pStyle w:val="Point1"/>
        <w:rPr>
          <w:noProof/>
        </w:rPr>
      </w:pPr>
      <w:r w:rsidRPr="00D91062">
        <w:rPr>
          <w:noProof/>
        </w:rPr>
        <w:t>(e)</w:t>
      </w:r>
      <w:r w:rsidRPr="00D91062">
        <w:rPr>
          <w:noProof/>
        </w:rPr>
        <w:tab/>
        <w:t>să asigure un nivel ridicat de securitate a lanțului de aprovizionare cel puțin pentru componentele-cheie ale sistemului MSS/hibrid securizat, care să garanteze o furnizare fiabilă de servicii de comunicații guvernamentale securizate;</w:t>
      </w:r>
    </w:p>
    <w:p w14:paraId="07842945" w14:textId="77777777" w:rsidR="00D664CB" w:rsidRPr="00D91062" w:rsidRDefault="00D664CB" w:rsidP="00F21920">
      <w:pPr>
        <w:pStyle w:val="Point1"/>
        <w:rPr>
          <w:noProof/>
          <w:color w:val="333333"/>
        </w:rPr>
      </w:pPr>
      <w:r w:rsidRPr="00D91062">
        <w:rPr>
          <w:noProof/>
        </w:rPr>
        <w:t>(f)</w:t>
      </w:r>
      <w:r w:rsidRPr="00D91062">
        <w:rPr>
          <w:noProof/>
        </w:rPr>
        <w:tab/>
        <w:t>să se asigure că cel puțin componentele-cheie ale sistemului MSS/hibrid securizat, astfel cum se specifică în cererea de candidaturi, sunt fabricate în UE și integrează tehnologiile Uniunii;</w:t>
      </w:r>
    </w:p>
    <w:p w14:paraId="74300199" w14:textId="70F87396" w:rsidR="00A759D5" w:rsidRPr="00D91062" w:rsidRDefault="00AF2CC4" w:rsidP="00630080">
      <w:pPr>
        <w:pStyle w:val="Point1"/>
        <w:rPr>
          <w:noProof/>
        </w:rPr>
      </w:pPr>
      <w:r w:rsidRPr="00D91062">
        <w:rPr>
          <w:noProof/>
        </w:rPr>
        <w:t>(g)</w:t>
      </w:r>
      <w:r w:rsidRPr="00D91062">
        <w:rPr>
          <w:noProof/>
        </w:rPr>
        <w:tab/>
        <w:t>să asigure integrarea în capacitățile existente și viitoare a serviciilor de comunicații securizate IRIS</w:t>
      </w:r>
      <w:r w:rsidRPr="00D91062">
        <w:rPr>
          <w:noProof/>
          <w:vertAlign w:val="superscript"/>
        </w:rPr>
        <w:t>2</w:t>
      </w:r>
      <w:r w:rsidRPr="00D91062">
        <w:rPr>
          <w:noProof/>
        </w:rPr>
        <w:t>, astfel cum se prevede în Regulamentul</w:t>
      </w:r>
      <w:r w:rsidR="003F69E7">
        <w:rPr>
          <w:noProof/>
        </w:rPr>
        <w:t> </w:t>
      </w:r>
      <w:r w:rsidRPr="00D91062">
        <w:rPr>
          <w:noProof/>
        </w:rPr>
        <w:t>(UE)</w:t>
      </w:r>
      <w:r w:rsidR="003F69E7">
        <w:rPr>
          <w:noProof/>
        </w:rPr>
        <w:t> </w:t>
      </w:r>
      <w:r w:rsidRPr="00D91062">
        <w:rPr>
          <w:noProof/>
        </w:rPr>
        <w:t>2023/588, în special prin stabilirea unui nivel de rețea dedicat pentru scopuri guvernamentale cu cel mai înalt grad de securitate, garantând interconectarea cu infrastructura și tehnologiile terestre IRIS</w:t>
      </w:r>
      <w:r w:rsidRPr="00D91062">
        <w:rPr>
          <w:noProof/>
          <w:vertAlign w:val="superscript"/>
        </w:rPr>
        <w:t>2</w:t>
      </w:r>
      <w:r w:rsidRPr="00D91062">
        <w:rPr>
          <w:noProof/>
        </w:rPr>
        <w:t xml:space="preserve">; </w:t>
      </w:r>
    </w:p>
    <w:p w14:paraId="70BA39FF" w14:textId="77777777" w:rsidR="00D664CB" w:rsidRPr="00D91062" w:rsidRDefault="00D664CB" w:rsidP="00F21920">
      <w:pPr>
        <w:pStyle w:val="Point1"/>
        <w:rPr>
          <w:noProof/>
        </w:rPr>
      </w:pPr>
      <w:r w:rsidRPr="00D91062">
        <w:rPr>
          <w:noProof/>
        </w:rPr>
        <w:t>(h)</w:t>
      </w:r>
      <w:r w:rsidRPr="00D91062">
        <w:rPr>
          <w:noProof/>
        </w:rPr>
        <w:tab/>
        <w:t>să se angajeze să furnizeze capacitatea de acoperire de rezervă și complementară, precum și de conectivitate directă de la satelit la dispozitiv a sistemelor europene de comunicații critice instituite prin Regulamentul (UE) [XXX] al Parlamentului European și al Consiliului de instituire a sistemelor europene de comunicații critice;</w:t>
      </w:r>
    </w:p>
    <w:p w14:paraId="334FEFBD" w14:textId="77777777" w:rsidR="00D664CB" w:rsidRPr="00D91062" w:rsidRDefault="00D664CB" w:rsidP="00F21920">
      <w:pPr>
        <w:pStyle w:val="Point1"/>
        <w:rPr>
          <w:noProof/>
        </w:rPr>
      </w:pPr>
      <w:r w:rsidRPr="00D91062">
        <w:rPr>
          <w:noProof/>
        </w:rPr>
        <w:t>(i)</w:t>
      </w:r>
      <w:r w:rsidRPr="00D91062">
        <w:rPr>
          <w:noProof/>
        </w:rPr>
        <w:tab/>
        <w:t>să demonstreze securitatea funcționării, inclusiv prin asigurarea faptului că, pentru toate datele generate și direcționate pe teritoriul Uniunii, nu va exista nicio posibilitate de intervenție a terților în furnizarea de servicii de comunicații guvernamentale securizate;</w:t>
      </w:r>
    </w:p>
    <w:p w14:paraId="1CACE221" w14:textId="77777777" w:rsidR="00D664CB" w:rsidRPr="00D91062" w:rsidRDefault="00D664CB" w:rsidP="00F21920">
      <w:pPr>
        <w:pStyle w:val="Point1"/>
        <w:rPr>
          <w:noProof/>
        </w:rPr>
      </w:pPr>
      <w:r w:rsidRPr="00D91062">
        <w:rPr>
          <w:noProof/>
        </w:rPr>
        <w:t>(j)</w:t>
      </w:r>
      <w:r w:rsidRPr="00D91062">
        <w:rPr>
          <w:noProof/>
        </w:rPr>
        <w:tab/>
        <w:t>să demonstreze că informațiile UE clasificate (IUEC) și informațiile sensibile neclasificate legate de furnizarea de servicii de comunicații guvernamentale securizate sunt protejate în mod eficace împotriva accesului neautorizat.</w:t>
      </w:r>
    </w:p>
    <w:p w14:paraId="2F6BD5DE" w14:textId="77777777" w:rsidR="00932064" w:rsidRPr="00D91062" w:rsidRDefault="00D664CB" w:rsidP="00F21920">
      <w:pPr>
        <w:pStyle w:val="ManualNumPar1"/>
        <w:rPr>
          <w:noProof/>
        </w:rPr>
      </w:pPr>
      <w:r w:rsidRPr="00D91062">
        <w:rPr>
          <w:noProof/>
        </w:rPr>
        <w:t>(2)</w:t>
      </w:r>
      <w:r w:rsidRPr="00D91062">
        <w:rPr>
          <w:noProof/>
        </w:rPr>
        <w:tab/>
        <w:t>Procedura de selecție este considerată finalizată după prima etapă de selecție, în cazul în care un singur solicitant admisibil este considerat eligibil. Comisia adoptă, prin intermediul unor acte de punere în aplicare, o decizie motivată privind selectarea solicitantului respectiv pentru dreptul de utilizare a benzii MSS de 2 GHz pentru sistemul MSS/hibrid securizat. Respectivele acte de punere în aplicare se adoptă în conformitate cu procedura de examinare menționată la articolul 22 alineatul (3).</w:t>
      </w:r>
    </w:p>
    <w:p w14:paraId="56F8833C" w14:textId="77777777" w:rsidR="00D664CB" w:rsidRPr="00D91062" w:rsidDel="00066F19" w:rsidRDefault="00D664CB" w:rsidP="00F21920">
      <w:pPr>
        <w:pStyle w:val="ManualNumPar1"/>
        <w:rPr>
          <w:noProof/>
        </w:rPr>
      </w:pPr>
      <w:r w:rsidRPr="00D91062">
        <w:rPr>
          <w:noProof/>
        </w:rPr>
        <w:t>(3)</w:t>
      </w:r>
      <w:r w:rsidRPr="00D91062">
        <w:rPr>
          <w:noProof/>
        </w:rPr>
        <w:tab/>
        <w:t xml:space="preserve">Comisia poate decide să nu aloce porțiunea din banda MSS de 2 GHz menționată la articolul 4 alineatul (1) litera (a) în cazul în care </w:t>
      </w:r>
      <w:r w:rsidRPr="00D91062">
        <w:rPr>
          <w:noProof/>
          <w:color w:val="333333"/>
        </w:rPr>
        <w:t xml:space="preserve">concluzionează că, în pofida îndeplinirii cerințelor de admisibilitate și eligibilitate, niciunul dintre solicitanți nu a </w:t>
      </w:r>
      <w:r w:rsidRPr="00D91062">
        <w:rPr>
          <w:noProof/>
          <w:color w:val="333333"/>
        </w:rPr>
        <w:lastRenderedPageBreak/>
        <w:t>demonstrat în mod convingător un nivel ridicat de capacitate pentru implementarea și operarea unui sistem MSS/hibrid securizat</w:t>
      </w:r>
      <w:r w:rsidRPr="00D91062">
        <w:rPr>
          <w:noProof/>
        </w:rPr>
        <w:t>. În acest caz, Comisia poate relansa procedura de selecție pentru sistemul MSS/hibrid securizat.</w:t>
      </w:r>
    </w:p>
    <w:p w14:paraId="16CF699E" w14:textId="77777777" w:rsidR="00D664CB" w:rsidRPr="00D91062" w:rsidRDefault="00D664CB" w:rsidP="00F21920">
      <w:pPr>
        <w:pStyle w:val="Titrearticle"/>
        <w:rPr>
          <w:noProof/>
        </w:rPr>
      </w:pPr>
      <w:r w:rsidRPr="00D91062">
        <w:rPr>
          <w:noProof/>
        </w:rPr>
        <w:t>Articolul 8</w:t>
      </w:r>
    </w:p>
    <w:p w14:paraId="2E139D8E" w14:textId="77777777" w:rsidR="00D664CB" w:rsidRPr="00D91062" w:rsidRDefault="00D664CB" w:rsidP="00F21920">
      <w:pPr>
        <w:pStyle w:val="NormalCentered"/>
        <w:rPr>
          <w:b/>
          <w:bCs/>
          <w:noProof/>
        </w:rPr>
      </w:pPr>
      <w:r w:rsidRPr="00D91062">
        <w:rPr>
          <w:b/>
          <w:noProof/>
        </w:rPr>
        <w:t>A doua etapă de selecție pentru sistemul MSS/hibrid securizat</w:t>
      </w:r>
    </w:p>
    <w:p w14:paraId="41900B2E" w14:textId="77777777" w:rsidR="00D664CB" w:rsidRPr="00D91062" w:rsidRDefault="00D664CB" w:rsidP="006A6914">
      <w:pPr>
        <w:pStyle w:val="ManualNumPar1"/>
        <w:rPr>
          <w:noProof/>
        </w:rPr>
      </w:pPr>
      <w:r w:rsidRPr="00D91062">
        <w:rPr>
          <w:noProof/>
        </w:rPr>
        <w:t>(1)</w:t>
      </w:r>
      <w:r w:rsidRPr="00D91062">
        <w:rPr>
          <w:noProof/>
        </w:rPr>
        <w:tab/>
        <w:t>Comisia clasifică solicitanții eligibili pentru dreptul de utilizare a benzii MSS de 2 GHz pentru sistemul MSS/hibrid securizat pe baza următoarelor criterii de selecție, care trebuie să fie specificate mai în detaliu în cererea de candidaturi, inclusiv în ceea ce privește ponderea acestora:</w:t>
      </w:r>
    </w:p>
    <w:p w14:paraId="4E09BF33" w14:textId="77777777" w:rsidR="00D664CB" w:rsidRPr="00D91062" w:rsidRDefault="00D664CB" w:rsidP="006A6914">
      <w:pPr>
        <w:pStyle w:val="Point1"/>
        <w:rPr>
          <w:noProof/>
        </w:rPr>
      </w:pPr>
      <w:r w:rsidRPr="00D91062">
        <w:rPr>
          <w:noProof/>
        </w:rPr>
        <w:t>(a)</w:t>
      </w:r>
      <w:r w:rsidRPr="00D91062">
        <w:rPr>
          <w:noProof/>
        </w:rPr>
        <w:tab/>
        <w:t>populația și acoperirea geografică în Uniune în termen de zece ani de la data începerii furnizării continue de servicii MSS, cuprinzând următoarele subcriterii:</w:t>
      </w:r>
    </w:p>
    <w:p w14:paraId="66F8D90C" w14:textId="77777777" w:rsidR="00D664CB" w:rsidRPr="00D91062" w:rsidRDefault="00D664CB" w:rsidP="00E643F5">
      <w:pPr>
        <w:pStyle w:val="Point2"/>
        <w:rPr>
          <w:noProof/>
        </w:rPr>
      </w:pPr>
      <w:r w:rsidRPr="00D91062">
        <w:rPr>
          <w:noProof/>
        </w:rPr>
        <w:t>(i)</w:t>
      </w:r>
      <w:r w:rsidRPr="00D91062">
        <w:rPr>
          <w:noProof/>
        </w:rPr>
        <w:tab/>
        <w:t>gradul de acoperire demografică în Uniune, pe baza populației din zonele rezidențiale sau comerciale, inclusiv din zonele polare de mare latitudine de pe teritoriul Uniunii, care se află în zona de servicii a sistemului;</w:t>
      </w:r>
    </w:p>
    <w:p w14:paraId="73AB932C" w14:textId="77777777" w:rsidR="00D664CB" w:rsidRPr="00D91062" w:rsidRDefault="00D664CB" w:rsidP="00E643F5">
      <w:pPr>
        <w:pStyle w:val="Point2"/>
        <w:rPr>
          <w:noProof/>
        </w:rPr>
      </w:pPr>
      <w:r w:rsidRPr="00D91062">
        <w:rPr>
          <w:noProof/>
        </w:rPr>
        <w:t>(ii)</w:t>
      </w:r>
      <w:r w:rsidRPr="00D91062">
        <w:rPr>
          <w:noProof/>
        </w:rPr>
        <w:tab/>
        <w:t>gradul de acoperire geografică în Uniune, pe baza suprafeței terestre totale și a zonelor economice exclusive și a apelor teritoriale ale tuturor statelor membre, care se află în zona de servicii a sistemului;</w:t>
      </w:r>
    </w:p>
    <w:p w14:paraId="1839FBD1" w14:textId="06762D6B" w:rsidR="00D664CB" w:rsidRPr="00D91062" w:rsidRDefault="00D664CB" w:rsidP="00E643F5">
      <w:pPr>
        <w:pStyle w:val="Point2"/>
        <w:rPr>
          <w:noProof/>
        </w:rPr>
      </w:pPr>
      <w:r w:rsidRPr="00D91062">
        <w:rPr>
          <w:noProof/>
        </w:rPr>
        <w:t>(iii)</w:t>
      </w:r>
      <w:r w:rsidRPr="00D91062">
        <w:rPr>
          <w:noProof/>
        </w:rPr>
        <w:tab/>
        <w:t>gradul de acoperire geografică în afara Uniunii, în funcție de zona de servicii a sistemului pe teritoriile țărilor din afara UE și în marea liberă;</w:t>
      </w:r>
    </w:p>
    <w:p w14:paraId="037E4C15" w14:textId="77777777" w:rsidR="00D664CB" w:rsidRPr="00D91062" w:rsidRDefault="00D664CB" w:rsidP="00E643F5">
      <w:pPr>
        <w:pStyle w:val="Point1"/>
        <w:rPr>
          <w:noProof/>
        </w:rPr>
      </w:pPr>
      <w:r w:rsidRPr="00D91062">
        <w:rPr>
          <w:noProof/>
        </w:rPr>
        <w:t>(b)</w:t>
      </w:r>
      <w:r w:rsidRPr="00D91062">
        <w:rPr>
          <w:noProof/>
        </w:rPr>
        <w:tab/>
        <w:t>calendarul disponibilității serviciilor de comunicații guvernamentale securizate în toate statele membre în termen de zece ani de la data începerii furnizării continue de MSS;</w:t>
      </w:r>
    </w:p>
    <w:p w14:paraId="1F397C3A" w14:textId="77777777" w:rsidR="00D664CB" w:rsidRPr="00D91062" w:rsidRDefault="00D664CB" w:rsidP="00E643F5">
      <w:pPr>
        <w:pStyle w:val="Point1"/>
        <w:rPr>
          <w:noProof/>
        </w:rPr>
      </w:pPr>
      <w:r w:rsidRPr="00D91062">
        <w:rPr>
          <w:noProof/>
        </w:rPr>
        <w:t>(c)</w:t>
      </w:r>
      <w:r w:rsidRPr="00D91062">
        <w:rPr>
          <w:noProof/>
        </w:rPr>
        <w:tab/>
        <w:t>măsura în care sunt îndeplinite obiectivele de politică publică, integritatea, securitatea și reziliența serviciilor;</w:t>
      </w:r>
    </w:p>
    <w:p w14:paraId="7B5F7231" w14:textId="77777777" w:rsidR="00D664CB" w:rsidRPr="00D91062" w:rsidRDefault="00D664CB" w:rsidP="00E643F5">
      <w:pPr>
        <w:pStyle w:val="Point1"/>
        <w:rPr>
          <w:noProof/>
        </w:rPr>
      </w:pPr>
      <w:r w:rsidRPr="00D91062">
        <w:rPr>
          <w:noProof/>
        </w:rPr>
        <w:t>(d)</w:t>
      </w:r>
      <w:r w:rsidRPr="00D91062">
        <w:rPr>
          <w:noProof/>
        </w:rPr>
        <w:tab/>
        <w:t>capacitatea unui sistem MSS de a fi integrat într-un sistem hibrid și de a furniza straturi multiple pe orbită;</w:t>
      </w:r>
    </w:p>
    <w:p w14:paraId="17ACB9B0" w14:textId="495E1A3E" w:rsidR="009655A2" w:rsidRPr="00D91062" w:rsidRDefault="00BB16AF" w:rsidP="0034430D">
      <w:pPr>
        <w:pStyle w:val="Point1"/>
        <w:rPr>
          <w:noProof/>
        </w:rPr>
      </w:pPr>
      <w:r w:rsidRPr="00D91062">
        <w:rPr>
          <w:noProof/>
        </w:rPr>
        <w:t>(e)</w:t>
      </w:r>
      <w:r w:rsidRPr="00D91062">
        <w:rPr>
          <w:noProof/>
        </w:rPr>
        <w:tab/>
        <w:t>calitatea, caracterul adecvat și robustețea integrării cu IRIS</w:t>
      </w:r>
      <w:r w:rsidRPr="00D91062">
        <w:rPr>
          <w:noProof/>
          <w:vertAlign w:val="superscript"/>
        </w:rPr>
        <w:t>2</w:t>
      </w:r>
      <w:r w:rsidRPr="00D91062">
        <w:rPr>
          <w:noProof/>
        </w:rPr>
        <w:t>, astfel cum se specifică în cererea de candidaturi.</w:t>
      </w:r>
      <w:r w:rsidRPr="00D91062">
        <w:rPr>
          <w:noProof/>
          <w:sz w:val="22"/>
        </w:rPr>
        <w:t xml:space="preserve"> </w:t>
      </w:r>
    </w:p>
    <w:p w14:paraId="585C6064" w14:textId="77777777" w:rsidR="00D664CB" w:rsidRPr="00D91062" w:rsidRDefault="00D664CB" w:rsidP="00E643F5">
      <w:pPr>
        <w:pStyle w:val="Point1"/>
        <w:rPr>
          <w:noProof/>
        </w:rPr>
      </w:pPr>
      <w:r w:rsidRPr="00D91062">
        <w:rPr>
          <w:noProof/>
        </w:rPr>
        <w:t>(f)</w:t>
      </w:r>
      <w:r w:rsidRPr="00D91062">
        <w:rPr>
          <w:noProof/>
        </w:rPr>
        <w:tab/>
      </w:r>
      <w:bookmarkStart w:id="2" w:name="_Hlk230010845"/>
      <w:r w:rsidRPr="00D91062">
        <w:rPr>
          <w:noProof/>
        </w:rPr>
        <w:t>măsura în care sistemul MSS/hibrid securizat permite furnizarea cu dublă utilizare a serviciilor de comunicații guvernamentale și comerciale securizate;</w:t>
      </w:r>
    </w:p>
    <w:bookmarkEnd w:id="2"/>
    <w:p w14:paraId="6AEAB2CB" w14:textId="77777777" w:rsidR="00D664CB" w:rsidRPr="00D91062" w:rsidRDefault="00D664CB" w:rsidP="00E643F5">
      <w:pPr>
        <w:pStyle w:val="Point1"/>
        <w:rPr>
          <w:noProof/>
        </w:rPr>
      </w:pPr>
      <w:r w:rsidRPr="00D91062">
        <w:rPr>
          <w:noProof/>
        </w:rPr>
        <w:t>(g)</w:t>
      </w:r>
      <w:r w:rsidRPr="00D91062">
        <w:rPr>
          <w:noProof/>
        </w:rPr>
        <w:tab/>
        <w:t>valoarea adăugată a Uniunii, în conformitate cu următoarele subcriterii:</w:t>
      </w:r>
    </w:p>
    <w:p w14:paraId="48DA071D" w14:textId="77777777" w:rsidR="00D664CB" w:rsidRPr="00D91062" w:rsidRDefault="00D664CB" w:rsidP="00E643F5">
      <w:pPr>
        <w:pStyle w:val="Point2"/>
        <w:rPr>
          <w:noProof/>
        </w:rPr>
      </w:pPr>
      <w:r w:rsidRPr="00D91062">
        <w:rPr>
          <w:noProof/>
        </w:rPr>
        <w:t>(i)</w:t>
      </w:r>
      <w:r w:rsidRPr="00D91062">
        <w:rPr>
          <w:noProof/>
        </w:rPr>
        <w:tab/>
        <w:t>măsura în care sistemul MSS/hibrid securizat consolidează capacitățile industriale ale Uniunii de-a lungul lanțului de aprovizionare al tehnologiei digitale, printre altele în ceea ce privește proiectarea, construcția, lansarea și exploatarea sateliților, inclusiv a software-ului;</w:t>
      </w:r>
    </w:p>
    <w:p w14:paraId="6F4FB6A1" w14:textId="77777777" w:rsidR="00D664CB" w:rsidRPr="00D91062" w:rsidRDefault="00D664CB" w:rsidP="00E643F5">
      <w:pPr>
        <w:pStyle w:val="Point2"/>
        <w:rPr>
          <w:noProof/>
        </w:rPr>
      </w:pPr>
      <w:r w:rsidRPr="00D91062">
        <w:rPr>
          <w:noProof/>
        </w:rPr>
        <w:t>(ii)</w:t>
      </w:r>
      <w:r w:rsidRPr="00D91062">
        <w:rPr>
          <w:noProof/>
        </w:rPr>
        <w:tab/>
        <w:t>nivelul de integrare a tehnologiilor Uniunii, inclusiv utilizarea rezultatelor programelor de cercetare și inovare finanțate de Uniune;</w:t>
      </w:r>
    </w:p>
    <w:p w14:paraId="601E292F" w14:textId="77777777" w:rsidR="00D664CB" w:rsidRPr="00D91062" w:rsidRDefault="00D664CB" w:rsidP="00E643F5">
      <w:pPr>
        <w:pStyle w:val="Point1"/>
        <w:rPr>
          <w:noProof/>
        </w:rPr>
      </w:pPr>
      <w:r w:rsidRPr="00D91062">
        <w:rPr>
          <w:noProof/>
        </w:rPr>
        <w:t>(h)</w:t>
      </w:r>
      <w:r w:rsidRPr="00D91062">
        <w:rPr>
          <w:noProof/>
        </w:rPr>
        <w:tab/>
        <w:t>domeniul de aplicare al serviciilor de comunicații guvernamentale securizate, inclusiv o cale de implementare în vederea furnizării de servicii directe de la satelit la dispozitiv;</w:t>
      </w:r>
    </w:p>
    <w:p w14:paraId="001EE318" w14:textId="77777777" w:rsidR="00D664CB" w:rsidRPr="00D91062" w:rsidRDefault="00D664CB" w:rsidP="00E643F5">
      <w:pPr>
        <w:pStyle w:val="Point1"/>
        <w:rPr>
          <w:noProof/>
        </w:rPr>
      </w:pPr>
      <w:r w:rsidRPr="00D91062">
        <w:rPr>
          <w:noProof/>
        </w:rPr>
        <w:lastRenderedPageBreak/>
        <w:t>(i)</w:t>
      </w:r>
      <w:r w:rsidRPr="00D91062">
        <w:rPr>
          <w:noProof/>
        </w:rPr>
        <w:tab/>
        <w:t>reducerea oferită pentru servicii utilizatorilor guvernamentali în comparație cu utilizatorii comerciali (rata de actualizare);</w:t>
      </w:r>
    </w:p>
    <w:p w14:paraId="3BFABC3A" w14:textId="77777777" w:rsidR="00D664CB" w:rsidRPr="00D91062" w:rsidRDefault="00D664CB" w:rsidP="00E643F5">
      <w:pPr>
        <w:pStyle w:val="Point1"/>
        <w:rPr>
          <w:noProof/>
        </w:rPr>
      </w:pPr>
      <w:r w:rsidRPr="00D91062">
        <w:rPr>
          <w:noProof/>
        </w:rPr>
        <w:t>(j)</w:t>
      </w:r>
      <w:r w:rsidRPr="00D91062">
        <w:rPr>
          <w:noProof/>
        </w:rPr>
        <w:tab/>
        <w:t>nivelul de utilizare eficientă a spectrului;</w:t>
      </w:r>
    </w:p>
    <w:p w14:paraId="1D13D2DE" w14:textId="77777777" w:rsidR="00D664CB" w:rsidRPr="00D91062" w:rsidRDefault="00D664CB" w:rsidP="00E643F5">
      <w:pPr>
        <w:pStyle w:val="Point1"/>
        <w:rPr>
          <w:noProof/>
        </w:rPr>
      </w:pPr>
      <w:r w:rsidRPr="00D91062">
        <w:rPr>
          <w:noProof/>
        </w:rPr>
        <w:t>(k)</w:t>
      </w:r>
      <w:r w:rsidRPr="00D91062">
        <w:rPr>
          <w:noProof/>
        </w:rPr>
        <w:tab/>
        <w:t>nivelul de implementare a comunicațiilor cuantice securizate;</w:t>
      </w:r>
    </w:p>
    <w:p w14:paraId="1C8D4FB0" w14:textId="77777777" w:rsidR="001E0B40" w:rsidRPr="00D91062" w:rsidRDefault="001E0B40" w:rsidP="00E643F5">
      <w:pPr>
        <w:pStyle w:val="Point1"/>
        <w:rPr>
          <w:noProof/>
        </w:rPr>
      </w:pPr>
      <w:r w:rsidRPr="00D91062">
        <w:rPr>
          <w:noProof/>
        </w:rPr>
        <w:t>(l)</w:t>
      </w:r>
      <w:r w:rsidRPr="00D91062">
        <w:rPr>
          <w:noProof/>
        </w:rPr>
        <w:tab/>
        <w:t>valoarea contribuției financiare unice pentru un bloc pereche de 5 MHz.</w:t>
      </w:r>
    </w:p>
    <w:p w14:paraId="7436DFE3" w14:textId="77777777" w:rsidR="00D664CB" w:rsidRPr="00D91062" w:rsidRDefault="00D664CB" w:rsidP="00E643F5">
      <w:pPr>
        <w:pStyle w:val="ManualNumPar1"/>
        <w:rPr>
          <w:noProof/>
        </w:rPr>
      </w:pPr>
      <w:r w:rsidRPr="00D91062">
        <w:rPr>
          <w:noProof/>
        </w:rPr>
        <w:t>(2)</w:t>
      </w:r>
      <w:r w:rsidRPr="00D91062">
        <w:rPr>
          <w:noProof/>
        </w:rPr>
        <w:tab/>
        <w:t>După a doua etapă de selecție, Comisia adoptă, prin intermediul unor acte de punere în aplicare, o decizie motivată privind neeligibilitatea solicitanților și privind selectarea solicitantului eligibil care s-a clasat pe poziția cea mai înaltă pentru dreptul de utilizare a benzii MSS de 2 GHz pentru sistemul MSS/hibrid securizat. Respectivele acte de punere în aplicare se adoptă în conformitate cu procedura de examinare menționată la articolul 22 alineatul (3).</w:t>
      </w:r>
    </w:p>
    <w:p w14:paraId="7837F635" w14:textId="77777777" w:rsidR="00D664CB" w:rsidRPr="00D91062" w:rsidRDefault="00D664CB" w:rsidP="00E643F5">
      <w:pPr>
        <w:pStyle w:val="ManualNumPar1"/>
        <w:rPr>
          <w:noProof/>
        </w:rPr>
      </w:pPr>
      <w:r w:rsidRPr="00D91062">
        <w:rPr>
          <w:noProof/>
        </w:rPr>
        <w:t>(3)</w:t>
      </w:r>
      <w:r w:rsidRPr="00D91062">
        <w:rPr>
          <w:noProof/>
        </w:rPr>
        <w:tab/>
        <w:t xml:space="preserve">Comisia poate decide să nu aloce porțiunea din banda MSS de 2 GHz menționată la articolul 4 alineatul (1) litera (a) în cazul în care </w:t>
      </w:r>
      <w:r w:rsidRPr="00D91062">
        <w:rPr>
          <w:noProof/>
          <w:color w:val="333333"/>
        </w:rPr>
        <w:t>concluzionează că, în pofida îndeplinirii cerințelor de admisibilitate și eligibilitate și a criteriilor de selecție, niciunul dintre solicitanți nu a demonstrat în mod convingător un nivel ridicat de capacitate pentru implementarea și operarea unui sistem MSS/hibrid securizat</w:t>
      </w:r>
      <w:r w:rsidRPr="00D91062">
        <w:rPr>
          <w:noProof/>
        </w:rPr>
        <w:t>. În acest caz, Comisia poate relansa procedura de selecție pentru sistemul MSS/hibrid securizat.</w:t>
      </w:r>
    </w:p>
    <w:p w14:paraId="15ED3B14" w14:textId="77777777" w:rsidR="00D664CB" w:rsidRPr="00D91062" w:rsidRDefault="00D664CB" w:rsidP="00E643F5">
      <w:pPr>
        <w:pStyle w:val="Titrearticle"/>
        <w:rPr>
          <w:noProof/>
        </w:rPr>
      </w:pPr>
      <w:r w:rsidRPr="00D91062">
        <w:rPr>
          <w:noProof/>
        </w:rPr>
        <w:t>Articolul 9</w:t>
      </w:r>
    </w:p>
    <w:p w14:paraId="4900306D" w14:textId="77777777" w:rsidR="00D664CB" w:rsidRPr="00D91062" w:rsidRDefault="00D664CB" w:rsidP="00E643F5">
      <w:pPr>
        <w:pStyle w:val="NormalCentered"/>
        <w:rPr>
          <w:b/>
          <w:bCs/>
          <w:noProof/>
        </w:rPr>
      </w:pPr>
      <w:r w:rsidRPr="00D91062">
        <w:rPr>
          <w:b/>
          <w:noProof/>
        </w:rPr>
        <w:t>Etapa de admisibilitate pentru sistemele MSS comerciale ale întreprinderilor nou-intrate din Uniune</w:t>
      </w:r>
    </w:p>
    <w:p w14:paraId="274EAE59" w14:textId="77777777" w:rsidR="00D664CB" w:rsidRPr="00D91062" w:rsidRDefault="00D664CB" w:rsidP="006A6914">
      <w:pPr>
        <w:pStyle w:val="ManualNumPar1"/>
        <w:rPr>
          <w:noProof/>
        </w:rPr>
      </w:pPr>
      <w:r w:rsidRPr="00D91062">
        <w:rPr>
          <w:noProof/>
        </w:rPr>
        <w:t>(1)</w:t>
      </w:r>
      <w:r w:rsidRPr="00D91062">
        <w:rPr>
          <w:noProof/>
        </w:rPr>
        <w:tab/>
        <w:t>Următoarele cerințe de admisibilitate se aplică întreprinderilor nou-intrate din Uniune pentru dreptul de utilizare a benzii MSS de 2 GHz pentru sistemele MSS comerciale menționate la articolul 4 alineatul (1) litera (b):</w:t>
      </w:r>
    </w:p>
    <w:p w14:paraId="108363A0" w14:textId="1E196CCD" w:rsidR="00D664CB" w:rsidRPr="00D91062" w:rsidRDefault="00D664CB" w:rsidP="006A6914">
      <w:pPr>
        <w:pStyle w:val="Point1"/>
        <w:rPr>
          <w:noProof/>
        </w:rPr>
      </w:pPr>
      <w:r w:rsidRPr="00D91062">
        <w:rPr>
          <w:noProof/>
        </w:rPr>
        <w:t>(a)</w:t>
      </w:r>
      <w:r w:rsidRPr="00D91062">
        <w:rPr>
          <w:noProof/>
        </w:rPr>
        <w:tab/>
        <w:t>să fie o entitate juridică, inclusiv o întreprindere comună, stabilită într-un stat membru, cu conducerea executivă stabilită în Uniune;</w:t>
      </w:r>
    </w:p>
    <w:p w14:paraId="1B91BC0E" w14:textId="77777777" w:rsidR="00D664CB" w:rsidRPr="00D91062" w:rsidRDefault="00D664CB" w:rsidP="00E643F5">
      <w:pPr>
        <w:pStyle w:val="Point1"/>
        <w:rPr>
          <w:noProof/>
        </w:rPr>
      </w:pPr>
      <w:r w:rsidRPr="00D91062">
        <w:rPr>
          <w:noProof/>
        </w:rPr>
        <w:t>(b)</w:t>
      </w:r>
      <w:r w:rsidRPr="00D91062">
        <w:rPr>
          <w:noProof/>
        </w:rPr>
        <w:tab/>
        <w:t>să fie controlat, direct sau indirect, numai de Uniune sau de unul sau mai multe state membre sau de persoane fizice care dețin numai cetățenia unuia sau a mai multor state;</w:t>
      </w:r>
    </w:p>
    <w:p w14:paraId="40E83123" w14:textId="77777777" w:rsidR="00D664CB" w:rsidRPr="00D91062" w:rsidRDefault="00D664CB" w:rsidP="00E643F5">
      <w:pPr>
        <w:pStyle w:val="Point1"/>
        <w:rPr>
          <w:noProof/>
        </w:rPr>
      </w:pPr>
      <w:r w:rsidRPr="00D91062">
        <w:rPr>
          <w:noProof/>
        </w:rPr>
        <w:t>(c)</w:t>
      </w:r>
      <w:r w:rsidRPr="00D91062">
        <w:rPr>
          <w:noProof/>
        </w:rPr>
        <w:tab/>
        <w:t>să nu facă obiectul obligațiilor în temeiul jurisdicției unei țări terțe în ceea ce privește furnizarea de servicii MSS în Uniune;</w:t>
      </w:r>
    </w:p>
    <w:p w14:paraId="26B1F391" w14:textId="77777777" w:rsidR="00D664CB" w:rsidRPr="00D91062" w:rsidRDefault="00D664CB" w:rsidP="00E643F5">
      <w:pPr>
        <w:pStyle w:val="Point1"/>
        <w:rPr>
          <w:noProof/>
        </w:rPr>
      </w:pPr>
      <w:r w:rsidRPr="00D91062">
        <w:rPr>
          <w:noProof/>
        </w:rPr>
        <w:t>(d)</w:t>
      </w:r>
      <w:r w:rsidRPr="00D91062">
        <w:rPr>
          <w:noProof/>
        </w:rPr>
        <w:tab/>
        <w:t>să exercite un control deplin asupra structurii lor corporative și a procesului lor decizional într-un mod care să nu limiteze sau să restricționeze în niciun fel capacitatea lor de a-și realiza și de a-și îndeplini obligațiile care le revin în temeiul prezentului regulament;</w:t>
      </w:r>
    </w:p>
    <w:p w14:paraId="13D9D214" w14:textId="77777777" w:rsidR="00D664CB" w:rsidRPr="00D91062" w:rsidRDefault="00D664CB" w:rsidP="00E643F5">
      <w:pPr>
        <w:pStyle w:val="Point1"/>
        <w:rPr>
          <w:noProof/>
        </w:rPr>
      </w:pPr>
      <w:r w:rsidRPr="00D91062">
        <w:rPr>
          <w:noProof/>
        </w:rPr>
        <w:t>(e)</w:t>
      </w:r>
      <w:r w:rsidRPr="00D91062">
        <w:rPr>
          <w:noProof/>
        </w:rPr>
        <w:tab/>
        <w:t>să nu contravină intereselor de securitate și apărare ale Uniunii și ale statelor sale membre, astfel cum sunt stabilite în cadrul politicii externe și de securitate comune în temeiul titlului V din Tratatul privind Uniunea Europeană;</w:t>
      </w:r>
    </w:p>
    <w:p w14:paraId="265CF8EC" w14:textId="77777777" w:rsidR="00D664CB" w:rsidRPr="00D91062" w:rsidRDefault="00D664CB" w:rsidP="00E643F5">
      <w:pPr>
        <w:pStyle w:val="Point1"/>
        <w:rPr>
          <w:noProof/>
        </w:rPr>
      </w:pPr>
      <w:r w:rsidRPr="00D91062">
        <w:rPr>
          <w:noProof/>
        </w:rPr>
        <w:t>(f)</w:t>
      </w:r>
      <w:r w:rsidRPr="00D91062">
        <w:rPr>
          <w:noProof/>
        </w:rPr>
        <w:tab/>
        <w:t xml:space="preserve">în ceea ce privește securitatea cibernetică și securitatea datelor, să nu facă obiectul jurisdicției unei țări terțe care le impune să raporteze informații privind vulnerabilitățile software sau hardware autorităților din țara terță respectivă înainte ca vulnerabilitățile respective să fie cunoscute ca fiind exploatate sau să nu facă obiectul jurisdicției unei țări terțe împotriva căreia există o declarație publică în numele Uniunii sau al oricărui stat membru </w:t>
      </w:r>
      <w:r w:rsidRPr="00D91062">
        <w:rPr>
          <w:noProof/>
        </w:rPr>
        <w:lastRenderedPageBreak/>
        <w:t>potrivit căreia actori care generează amenințări și care își desfășoară activitatea în afara teritoriului țării terțe respective au desfășurat activități sau campanii cibernetice răuvoitoare;</w:t>
      </w:r>
    </w:p>
    <w:p w14:paraId="57C63D4A" w14:textId="77777777" w:rsidR="00D664CB" w:rsidRPr="00D91062" w:rsidRDefault="00D664CB" w:rsidP="00E643F5">
      <w:pPr>
        <w:pStyle w:val="Point1"/>
        <w:rPr>
          <w:noProof/>
        </w:rPr>
      </w:pPr>
      <w:r w:rsidRPr="00D91062">
        <w:rPr>
          <w:noProof/>
        </w:rPr>
        <w:t>(g)</w:t>
      </w:r>
      <w:r w:rsidRPr="00D91062">
        <w:rPr>
          <w:noProof/>
        </w:rPr>
        <w:tab/>
        <w:t>să fie acoperit de una sau mai multe cereri corespunzătoare depuse la UIT referitoare la banda MSS de 2 GHz și să ia toate măsurile necesare pentru a asigura conformitatea sistemului comercial MSS propus cu reglementările radio ale UIT.</w:t>
      </w:r>
    </w:p>
    <w:p w14:paraId="6B2A2BA1" w14:textId="77777777" w:rsidR="00D664CB" w:rsidRPr="00D91062" w:rsidRDefault="00D664CB" w:rsidP="00E643F5">
      <w:pPr>
        <w:pStyle w:val="ManualNumPar1"/>
        <w:rPr>
          <w:noProof/>
        </w:rPr>
      </w:pPr>
      <w:r w:rsidRPr="00D91062">
        <w:rPr>
          <w:noProof/>
        </w:rPr>
        <w:t>(2)</w:t>
      </w:r>
      <w:r w:rsidRPr="00D91062">
        <w:rPr>
          <w:noProof/>
        </w:rPr>
        <w:tab/>
        <w:t>Pentru fiecare cerere depusă la UIT de către o administrație de notificare dintr-o țară terță, solicitanții trebuie să furnizeze dovezi că jurisdicția țării respective prevede gestionarea eficace și soluționarea litigiilor privind interferențele dăunătoare și pune în aplicare instrumente de responsabilizare imediată în caz de utilizare ilegală.</w:t>
      </w:r>
    </w:p>
    <w:p w14:paraId="4BD8A0F8" w14:textId="77777777" w:rsidR="00D664CB" w:rsidRPr="00D91062" w:rsidRDefault="00D664CB" w:rsidP="00E643F5">
      <w:pPr>
        <w:pStyle w:val="ManualNumPar1"/>
        <w:rPr>
          <w:noProof/>
        </w:rPr>
      </w:pPr>
      <w:r w:rsidRPr="00D91062">
        <w:rPr>
          <w:noProof/>
        </w:rPr>
        <w:t>(3)</w:t>
      </w:r>
      <w:r w:rsidRPr="00D91062">
        <w:rPr>
          <w:noProof/>
        </w:rPr>
        <w:tab/>
        <w:t>În cazul în care un solicitant este o întreprindere comună, cerințele prevăzute la alineatul (1) literele (a)-(f) se aplică fiecărui membru al întreprinderii comune, în timp ce cerința prevăzută la alineatul (1) litera (g) se aplică cel puțin unui membru al întreprinderii comune.</w:t>
      </w:r>
    </w:p>
    <w:p w14:paraId="50A43012" w14:textId="77777777" w:rsidR="00D664CB" w:rsidRPr="00D91062" w:rsidRDefault="00D664CB" w:rsidP="00E643F5">
      <w:pPr>
        <w:pStyle w:val="ManualNumPar1"/>
        <w:rPr>
          <w:noProof/>
        </w:rPr>
      </w:pPr>
      <w:r w:rsidRPr="00D91062">
        <w:rPr>
          <w:noProof/>
        </w:rPr>
        <w:t>(4)</w:t>
      </w:r>
      <w:r w:rsidRPr="00D91062">
        <w:rPr>
          <w:noProof/>
        </w:rPr>
        <w:tab/>
        <w:t>Solicitanții trebuie să includă declarații și dovezi privind numărul solicitat de blocuri pereche de spectru de 5 MHz sau o parte a acestuia în banda MSS de 2 GHz și utilizarea efectivă a acesteia.</w:t>
      </w:r>
    </w:p>
    <w:p w14:paraId="45D5048C" w14:textId="77777777" w:rsidR="00D664CB" w:rsidRPr="00D91062" w:rsidRDefault="00D664CB" w:rsidP="00E643F5">
      <w:pPr>
        <w:pStyle w:val="ManualNumPar1"/>
        <w:rPr>
          <w:noProof/>
        </w:rPr>
      </w:pPr>
      <w:r w:rsidRPr="00D91062">
        <w:rPr>
          <w:noProof/>
        </w:rPr>
        <w:t>(5)</w:t>
      </w:r>
      <w:r w:rsidRPr="00D91062">
        <w:rPr>
          <w:noProof/>
        </w:rPr>
        <w:tab/>
        <w:t>Solicitanții trebuie să specifice suma pe care se angajează să o plătească drept contribuție financiară unică pentru dreptul de utilizare a benzii MSS de 2 GHz pe bloc pereche de 5 MHz sau pe o parte a acestuia, care trebuie să fie mai mare sau egală cu suma specificată în cererea de candidaturi.</w:t>
      </w:r>
    </w:p>
    <w:p w14:paraId="181C38D1" w14:textId="77777777" w:rsidR="00D664CB" w:rsidRPr="00D91062" w:rsidRDefault="00D664CB" w:rsidP="00E643F5">
      <w:pPr>
        <w:pStyle w:val="Titrearticle"/>
        <w:rPr>
          <w:noProof/>
        </w:rPr>
      </w:pPr>
      <w:r w:rsidRPr="00D91062">
        <w:rPr>
          <w:noProof/>
        </w:rPr>
        <w:t>Articolul 10</w:t>
      </w:r>
    </w:p>
    <w:p w14:paraId="0DBC681F" w14:textId="77777777" w:rsidR="00D664CB" w:rsidRPr="00D91062" w:rsidRDefault="00D664CB" w:rsidP="00E643F5">
      <w:pPr>
        <w:pStyle w:val="NormalCentered"/>
        <w:rPr>
          <w:b/>
          <w:bCs/>
          <w:noProof/>
        </w:rPr>
      </w:pPr>
      <w:r w:rsidRPr="00D91062">
        <w:rPr>
          <w:b/>
          <w:noProof/>
        </w:rPr>
        <w:t xml:space="preserve">Etapa de admisibilitate pentru sistemele MSS comerciale ale solicitanților dintr-un stat membru sau dintr-o țară terță </w:t>
      </w:r>
    </w:p>
    <w:p w14:paraId="0FF31799" w14:textId="77777777" w:rsidR="00D664CB" w:rsidRPr="00D91062" w:rsidRDefault="00D664CB" w:rsidP="006A6914">
      <w:pPr>
        <w:pStyle w:val="ManualNumPar1"/>
        <w:rPr>
          <w:noProof/>
        </w:rPr>
      </w:pPr>
      <w:r w:rsidRPr="00D91062">
        <w:rPr>
          <w:noProof/>
        </w:rPr>
        <w:t>(1)</w:t>
      </w:r>
      <w:r w:rsidRPr="00D91062">
        <w:rPr>
          <w:noProof/>
        </w:rPr>
        <w:tab/>
        <w:t>Următoarele cerințe de admisibilitate se aplică solicitanților pentru utilizarea benzii MSS de 2 GHz pentru sistemele MSS comerciale menționate la articolul 4 alineatul (1) litera (c):</w:t>
      </w:r>
    </w:p>
    <w:p w14:paraId="7BDD141B" w14:textId="77777777" w:rsidR="00D664CB" w:rsidRPr="00D91062" w:rsidRDefault="00D664CB" w:rsidP="006A6914">
      <w:pPr>
        <w:pStyle w:val="Point1"/>
        <w:rPr>
          <w:noProof/>
        </w:rPr>
      </w:pPr>
      <w:r w:rsidRPr="00D91062">
        <w:rPr>
          <w:noProof/>
        </w:rPr>
        <w:t>(a)</w:t>
      </w:r>
      <w:r w:rsidRPr="00D91062">
        <w:rPr>
          <w:noProof/>
        </w:rPr>
        <w:tab/>
      </w:r>
      <w:bookmarkStart w:id="3" w:name="_Hlk221613036"/>
      <w:r w:rsidRPr="00D91062">
        <w:rPr>
          <w:noProof/>
        </w:rPr>
        <w:t>să fie stabilit în Uniune sau, în absența acestei stabiliri, să desemneze un punct unic de contact în Uniune care să îi permită să comunice direct, prin mijloace electronice, cu autoritățile statelor membre și cu Comisia;</w:t>
      </w:r>
    </w:p>
    <w:p w14:paraId="6B59539B" w14:textId="77777777" w:rsidR="00D664CB" w:rsidRPr="00D91062" w:rsidRDefault="00D664CB" w:rsidP="00E643F5">
      <w:pPr>
        <w:pStyle w:val="Point1"/>
        <w:rPr>
          <w:noProof/>
        </w:rPr>
      </w:pPr>
      <w:r w:rsidRPr="00D91062">
        <w:rPr>
          <w:noProof/>
        </w:rPr>
        <w:t>(b)</w:t>
      </w:r>
      <w:r w:rsidRPr="00D91062">
        <w:rPr>
          <w:noProof/>
        </w:rPr>
        <w:tab/>
        <w:t>să exercite un control deplin asupra structurii lor corporative și a procesului lor decizional într-un mod care să nu limiteze sau să restricționeze în niciun fel capacitatea lor de a-și realiza și de a-și îndeplini obligațiile care le revin în temeiul prezentului regulament;</w:t>
      </w:r>
    </w:p>
    <w:p w14:paraId="5CE94EA1" w14:textId="77777777" w:rsidR="005326AF" w:rsidRPr="00D91062" w:rsidRDefault="005326AF" w:rsidP="005326AF">
      <w:pPr>
        <w:pStyle w:val="Point1"/>
        <w:rPr>
          <w:noProof/>
        </w:rPr>
      </w:pPr>
      <w:r w:rsidRPr="00D91062">
        <w:rPr>
          <w:noProof/>
        </w:rPr>
        <w:t>(c)</w:t>
      </w:r>
      <w:r w:rsidRPr="00D91062">
        <w:rPr>
          <w:noProof/>
        </w:rPr>
        <w:tab/>
        <w:t>în cazul în care solicitanții sunt supuși controlului unei țări terțe sau al unei entități juridice dintr-o țară terță, trebuie să se demonstreze că sunt puse în aplicare măsuri juridice, tehnice și organizatorice adecvate pentru a împiedica accesul unei țări terțe sau al unei entități dintr-o țară terță la datele clienților;</w:t>
      </w:r>
    </w:p>
    <w:p w14:paraId="7D7A50EC" w14:textId="77777777" w:rsidR="00D664CB" w:rsidRPr="00D91062" w:rsidRDefault="00D664CB" w:rsidP="00E643F5">
      <w:pPr>
        <w:pStyle w:val="Point1"/>
        <w:rPr>
          <w:noProof/>
        </w:rPr>
      </w:pPr>
      <w:r w:rsidRPr="00D91062">
        <w:rPr>
          <w:noProof/>
        </w:rPr>
        <w:t>(d)</w:t>
      </w:r>
      <w:r w:rsidRPr="00D91062">
        <w:rPr>
          <w:noProof/>
        </w:rPr>
        <w:tab/>
        <w:t>să nu contravină politicilor de securitate și apărare ale Uniunii și ale statelor sale membre, astfel cum sunt stabilite în cadrul politicii externe și de securitate comune în temeiul titlului V din Tratatul privind Uniunea Europeană;</w:t>
      </w:r>
    </w:p>
    <w:bookmarkEnd w:id="3"/>
    <w:p w14:paraId="587F7727" w14:textId="77777777" w:rsidR="00D664CB" w:rsidRPr="00D91062" w:rsidRDefault="00D664CB" w:rsidP="00E643F5">
      <w:pPr>
        <w:pStyle w:val="Point1"/>
        <w:rPr>
          <w:noProof/>
        </w:rPr>
      </w:pPr>
      <w:r w:rsidRPr="00D91062">
        <w:rPr>
          <w:noProof/>
        </w:rPr>
        <w:t>(e)</w:t>
      </w:r>
      <w:r w:rsidRPr="00D91062">
        <w:rPr>
          <w:noProof/>
        </w:rPr>
        <w:tab/>
        <w:t xml:space="preserve">în ceea ce privește securitatea cibernetică și securitatea datelor, să nu facă obiectul jurisdicției unei țări terțe care le impune să raporteze informații </w:t>
      </w:r>
      <w:r w:rsidRPr="00D91062">
        <w:rPr>
          <w:noProof/>
        </w:rPr>
        <w:lastRenderedPageBreak/>
        <w:t>privind vulnerabilitățile software sau hardware autorităților din țara terță respectivă înainte ca vulnerabilitățile respective să fie cunoscute ca fiind exploatate sau să nu facă obiectul jurisdicției unei țări terțe împotriva căreia există o declarație publică în numele Uniunii sau al oricărui stat membru potrivit căreia actori care generează amenințări și care își desfășoară activitatea în afara teritoriului țării terțe respective au desfășurat activități sau campanii cibernetice răuvoitoare;</w:t>
      </w:r>
    </w:p>
    <w:p w14:paraId="2D0AF21B" w14:textId="77777777" w:rsidR="00D664CB" w:rsidRPr="00D91062" w:rsidRDefault="00D664CB" w:rsidP="00E643F5">
      <w:pPr>
        <w:pStyle w:val="Point1"/>
        <w:rPr>
          <w:noProof/>
        </w:rPr>
      </w:pPr>
      <w:r w:rsidRPr="00D91062">
        <w:rPr>
          <w:noProof/>
        </w:rPr>
        <w:t>(f)</w:t>
      </w:r>
      <w:r w:rsidRPr="00D91062">
        <w:rPr>
          <w:noProof/>
        </w:rPr>
        <w:tab/>
        <w:t>să fie acoperit de una sau mai multe cereri corespunzătoare depuse la UIT referitoare la banda MSS de 2 GHz și să ia toate măsurile necesare pentru a asigura conformitatea sistemului comercial MSS propus cu reglementările radio ale UIT.</w:t>
      </w:r>
    </w:p>
    <w:p w14:paraId="17F6AE9B" w14:textId="77777777" w:rsidR="00D664CB" w:rsidRPr="00D91062" w:rsidRDefault="00D664CB" w:rsidP="00E643F5">
      <w:pPr>
        <w:pStyle w:val="ManualNumPar1"/>
        <w:rPr>
          <w:noProof/>
        </w:rPr>
      </w:pPr>
      <w:r w:rsidRPr="00D91062">
        <w:rPr>
          <w:noProof/>
        </w:rPr>
        <w:t>(2)</w:t>
      </w:r>
      <w:r w:rsidRPr="00D91062">
        <w:rPr>
          <w:noProof/>
        </w:rPr>
        <w:tab/>
        <w:t>Pentru fiecare cerere depusă la UIT de către o administrație de notificare dintr-o țară terță, solicitanții trebuie să furnizeze dovezi că jurisdicția țării respective prevede gestionarea eficace și soluționarea litigiilor privind interferențele dăunătoare și pune în aplicare instrumente de responsabilizare imediată în caz de utilizare ilegală.</w:t>
      </w:r>
    </w:p>
    <w:p w14:paraId="6D953E02" w14:textId="77777777" w:rsidR="00D664CB" w:rsidRPr="00D91062" w:rsidRDefault="00D664CB" w:rsidP="00E643F5">
      <w:pPr>
        <w:pStyle w:val="ManualNumPar1"/>
        <w:rPr>
          <w:noProof/>
        </w:rPr>
      </w:pPr>
      <w:r w:rsidRPr="00D91062">
        <w:rPr>
          <w:noProof/>
        </w:rPr>
        <w:t>(3)</w:t>
      </w:r>
      <w:r w:rsidRPr="00D91062">
        <w:rPr>
          <w:noProof/>
        </w:rPr>
        <w:tab/>
        <w:t>În cazul în care un solicitant este o întreprindere comună, cerințele prevăzute la alineatul (1) literele (a)-(e) se aplică fiecărui membru al întreprinderii comune, în timp ce cerința prevăzută la alineatul (1) litera (f) se aplică cel puțin unui membru al întreprinderii comune.</w:t>
      </w:r>
    </w:p>
    <w:p w14:paraId="1178BA6E" w14:textId="77777777" w:rsidR="00D664CB" w:rsidRPr="00D91062" w:rsidRDefault="00D664CB" w:rsidP="00E643F5">
      <w:pPr>
        <w:pStyle w:val="ManualNumPar1"/>
        <w:rPr>
          <w:noProof/>
        </w:rPr>
      </w:pPr>
      <w:r w:rsidRPr="00D91062">
        <w:rPr>
          <w:noProof/>
        </w:rPr>
        <w:t>(4)</w:t>
      </w:r>
      <w:r w:rsidRPr="00D91062">
        <w:rPr>
          <w:noProof/>
        </w:rPr>
        <w:tab/>
        <w:t>Solicitanții trebuie să includă declarații și dovezi privind numărul solicitat de blocuri pereche de spectru de 5 MHz sau o parte a acestuia în banda MSS de 2 GHz și utilizarea efectivă a acesteia.</w:t>
      </w:r>
    </w:p>
    <w:p w14:paraId="5F94D06C" w14:textId="77777777" w:rsidR="00D664CB" w:rsidRPr="00D91062" w:rsidRDefault="00D664CB" w:rsidP="00E643F5">
      <w:pPr>
        <w:pStyle w:val="ManualNumPar1"/>
        <w:rPr>
          <w:noProof/>
        </w:rPr>
      </w:pPr>
      <w:r w:rsidRPr="00D91062">
        <w:rPr>
          <w:noProof/>
        </w:rPr>
        <w:t>(5)</w:t>
      </w:r>
      <w:r w:rsidRPr="00D91062">
        <w:rPr>
          <w:noProof/>
        </w:rPr>
        <w:tab/>
        <w:t>Solicitanții trebuie să specifice suma pe care se angajează să o plătească drept contribuție financiară unică pentru dreptul de utilizare a benzii MSS de 2 GHz pe bloc pereche de 5 MHz sau pe o parte a acestuia, care trebuie să fie mai mare sau egală cu suma specificată în cererea de candidaturi.</w:t>
      </w:r>
    </w:p>
    <w:p w14:paraId="6B0C9D7E" w14:textId="77777777" w:rsidR="00D664CB" w:rsidRPr="00D91062" w:rsidRDefault="00D664CB" w:rsidP="00E643F5">
      <w:pPr>
        <w:pStyle w:val="Titrearticle"/>
        <w:rPr>
          <w:noProof/>
        </w:rPr>
      </w:pPr>
      <w:r w:rsidRPr="00D91062">
        <w:rPr>
          <w:noProof/>
        </w:rPr>
        <w:t>Articolul 11</w:t>
      </w:r>
    </w:p>
    <w:p w14:paraId="5E02D7F1" w14:textId="77777777" w:rsidR="00D664CB" w:rsidRPr="00D91062" w:rsidRDefault="00D664CB" w:rsidP="00E643F5">
      <w:pPr>
        <w:pStyle w:val="NormalCentered"/>
        <w:rPr>
          <w:b/>
          <w:bCs/>
          <w:noProof/>
        </w:rPr>
      </w:pPr>
      <w:r w:rsidRPr="00D91062">
        <w:rPr>
          <w:b/>
          <w:noProof/>
        </w:rPr>
        <w:t>Prima etapă de selecție pentru sistemele MSS comerciale</w:t>
      </w:r>
    </w:p>
    <w:p w14:paraId="2E232B6B" w14:textId="77777777" w:rsidR="00D664CB" w:rsidRPr="00D91062" w:rsidRDefault="00D664CB" w:rsidP="006A6914">
      <w:pPr>
        <w:pStyle w:val="ManualNumPar1"/>
        <w:rPr>
          <w:noProof/>
        </w:rPr>
      </w:pPr>
      <w:r w:rsidRPr="00D91062">
        <w:rPr>
          <w:noProof/>
        </w:rPr>
        <w:t>(1)</w:t>
      </w:r>
      <w:r w:rsidRPr="00D91062">
        <w:rPr>
          <w:noProof/>
        </w:rPr>
        <w:tab/>
        <w:t>Următoarele cerințe de eligibilitate se aplică solicitanților pentru dreptul de utilizare a benzii MSS de 2 GHz pentru sistemele MSS comerciale menționate la articolul 4 alineatul (1) literele (b) și (c):</w:t>
      </w:r>
    </w:p>
    <w:p w14:paraId="16456CCF" w14:textId="26C44B23" w:rsidR="00D664CB" w:rsidRPr="00D91062" w:rsidRDefault="00D664CB" w:rsidP="006A6914">
      <w:pPr>
        <w:pStyle w:val="Point1"/>
        <w:rPr>
          <w:noProof/>
        </w:rPr>
      </w:pPr>
      <w:r w:rsidRPr="00D91062">
        <w:rPr>
          <w:noProof/>
        </w:rPr>
        <w:t>(a)</w:t>
      </w:r>
      <w:r w:rsidRPr="00D91062">
        <w:rPr>
          <w:noProof/>
        </w:rPr>
        <w:tab/>
        <w:t>să demonstreze un nivel satisfăcător de conformitate cu condițiile prealabile 1</w:t>
      </w:r>
      <w:r w:rsidR="003F69E7">
        <w:rPr>
          <w:noProof/>
        </w:rPr>
        <w:t>­</w:t>
      </w:r>
      <w:r w:rsidRPr="00D91062">
        <w:rPr>
          <w:noProof/>
        </w:rPr>
        <w:t>4 prevăzute în anexă;</w:t>
      </w:r>
    </w:p>
    <w:p w14:paraId="006BF8E0" w14:textId="77777777" w:rsidR="00D664CB" w:rsidRPr="00D91062" w:rsidRDefault="00D664CB" w:rsidP="00E643F5">
      <w:pPr>
        <w:pStyle w:val="Point1"/>
        <w:rPr>
          <w:noProof/>
        </w:rPr>
      </w:pPr>
      <w:r w:rsidRPr="00D91062">
        <w:rPr>
          <w:noProof/>
        </w:rPr>
        <w:t>(b)</w:t>
      </w:r>
      <w:r w:rsidRPr="00D91062">
        <w:rPr>
          <w:noProof/>
        </w:rPr>
        <w:tab/>
        <w:t>să se angajeze să furnizeze servicii în toate statele membre și pentru cel puțin 95 % din populație și pentru cel puțin 90 % din suprafața terestră totală a fiecărui stat membru în termen de cel mult cinci ani de la data începerii furnizării continue de MSS;</w:t>
      </w:r>
    </w:p>
    <w:p w14:paraId="49375B47" w14:textId="77777777" w:rsidR="00D664CB" w:rsidRPr="00D91062" w:rsidRDefault="00D664CB" w:rsidP="00E643F5">
      <w:pPr>
        <w:pStyle w:val="Point1"/>
        <w:rPr>
          <w:noProof/>
        </w:rPr>
      </w:pPr>
      <w:r w:rsidRPr="00D91062">
        <w:rPr>
          <w:noProof/>
        </w:rPr>
        <w:t>(c)</w:t>
      </w:r>
      <w:r w:rsidRPr="00D91062">
        <w:rPr>
          <w:noProof/>
        </w:rPr>
        <w:tab/>
        <w:t>să se angajeze să asigure sosirea pe teritoriul Uniunii a traficului generat prin utilizarea tuturor serviciilor de către utilizatorii finali situați pe teritoriul Uniunii sau direcționat către sau dinspre Uniune;</w:t>
      </w:r>
    </w:p>
    <w:p w14:paraId="6BB58B95" w14:textId="77777777" w:rsidR="00D664CB" w:rsidRPr="00D91062" w:rsidRDefault="00D664CB" w:rsidP="00E643F5">
      <w:pPr>
        <w:pStyle w:val="Point1"/>
        <w:rPr>
          <w:noProof/>
          <w:color w:val="333333"/>
        </w:rPr>
      </w:pPr>
      <w:r w:rsidRPr="00D91062">
        <w:rPr>
          <w:noProof/>
        </w:rPr>
        <w:t>(d)</w:t>
      </w:r>
      <w:r w:rsidRPr="00D91062">
        <w:rPr>
          <w:noProof/>
        </w:rPr>
        <w:tab/>
        <w:t xml:space="preserve">să demonstreze capacitatea tehnică și financiară și gradul de pregătire pentru dezvoltarea, lansarea și operarea sistemului MSS comercial propus și </w:t>
      </w:r>
      <w:r w:rsidRPr="00D91062">
        <w:rPr>
          <w:noProof/>
          <w:color w:val="333333"/>
        </w:rPr>
        <w:t xml:space="preserve">furnizarea de MSS până la </w:t>
      </w:r>
      <w:r w:rsidRPr="00D91062">
        <w:rPr>
          <w:noProof/>
        </w:rPr>
        <w:t>data începerii furnizării continue de MSS</w:t>
      </w:r>
      <w:r w:rsidRPr="00D91062">
        <w:rPr>
          <w:noProof/>
          <w:color w:val="333333"/>
        </w:rPr>
        <w:t>;</w:t>
      </w:r>
    </w:p>
    <w:p w14:paraId="2EB8C1CD" w14:textId="77777777" w:rsidR="00D664CB" w:rsidRPr="00D91062" w:rsidRDefault="00D664CB" w:rsidP="00E643F5">
      <w:pPr>
        <w:pStyle w:val="Point1"/>
        <w:rPr>
          <w:noProof/>
          <w:color w:val="333333"/>
        </w:rPr>
      </w:pPr>
      <w:r w:rsidRPr="00D91062">
        <w:rPr>
          <w:noProof/>
        </w:rPr>
        <w:lastRenderedPageBreak/>
        <w:t>(e)</w:t>
      </w:r>
      <w:r w:rsidRPr="00D91062">
        <w:rPr>
          <w:noProof/>
        </w:rPr>
        <w:tab/>
        <w:t>să asigure un nivel ridicat de securitate a lanțului de aprovizionare cel puțin pentru componentele-cheie ale sistemului MSS comercial, astfel cum se specifică în cererea de candidaturi, care să garanteze furnizarea fiabilă de MSS</w:t>
      </w:r>
      <w:r w:rsidRPr="00D91062">
        <w:rPr>
          <w:noProof/>
          <w:color w:val="333333"/>
        </w:rPr>
        <w:t>;</w:t>
      </w:r>
    </w:p>
    <w:p w14:paraId="00EF93E4" w14:textId="77777777" w:rsidR="00D664CB" w:rsidRPr="00D91062" w:rsidRDefault="00D664CB" w:rsidP="00E643F5">
      <w:pPr>
        <w:pStyle w:val="Point1"/>
        <w:rPr>
          <w:noProof/>
        </w:rPr>
      </w:pPr>
      <w:r w:rsidRPr="00D91062">
        <w:rPr>
          <w:noProof/>
        </w:rPr>
        <w:t>(f)</w:t>
      </w:r>
      <w:r w:rsidRPr="00D91062">
        <w:rPr>
          <w:noProof/>
        </w:rPr>
        <w:tab/>
        <w:t>să demonstreze securitatea operațiunilor, inclusiv prin asigurarea faptului că, pentru toate datele generate și direcționate pe teritoriul Uniunii:</w:t>
      </w:r>
    </w:p>
    <w:p w14:paraId="02095112" w14:textId="77777777" w:rsidR="00D664CB" w:rsidRPr="00D91062" w:rsidRDefault="00337F30" w:rsidP="00E643F5">
      <w:pPr>
        <w:pStyle w:val="Point2"/>
        <w:rPr>
          <w:noProof/>
        </w:rPr>
      </w:pPr>
      <w:r w:rsidRPr="00D91062">
        <w:rPr>
          <w:noProof/>
        </w:rPr>
        <w:t>(i)</w:t>
      </w:r>
      <w:r w:rsidRPr="00D91062">
        <w:rPr>
          <w:noProof/>
        </w:rPr>
        <w:tab/>
        <w:t>nu există nicio posibilitate de intervenție a unui terț în furnizarea serviciului;</w:t>
      </w:r>
    </w:p>
    <w:p w14:paraId="3A77DEB5" w14:textId="77777777" w:rsidR="00D664CB" w:rsidRPr="00D91062" w:rsidRDefault="00337F30" w:rsidP="00E643F5">
      <w:pPr>
        <w:pStyle w:val="Point2"/>
        <w:rPr>
          <w:noProof/>
        </w:rPr>
      </w:pPr>
      <w:r w:rsidRPr="00D91062">
        <w:rPr>
          <w:noProof/>
        </w:rPr>
        <w:t>(ii)</w:t>
      </w:r>
      <w:r w:rsidRPr="00D91062">
        <w:rPr>
          <w:noProof/>
        </w:rPr>
        <w:tab/>
        <w:t>informațiile sensibile legate de furnizarea serviciului sunt protejate în mod eficace împotriva accesului neautorizat;</w:t>
      </w:r>
    </w:p>
    <w:p w14:paraId="23A78974" w14:textId="77777777" w:rsidR="00D664CB" w:rsidRPr="00D91062" w:rsidRDefault="00D664CB" w:rsidP="00337F30">
      <w:pPr>
        <w:pStyle w:val="Point1"/>
        <w:rPr>
          <w:noProof/>
        </w:rPr>
      </w:pPr>
      <w:r w:rsidRPr="00D91062">
        <w:rPr>
          <w:noProof/>
        </w:rPr>
        <w:t>(g)</w:t>
      </w:r>
      <w:r w:rsidRPr="00D91062">
        <w:rPr>
          <w:noProof/>
        </w:rPr>
        <w:tab/>
      </w:r>
      <w:bookmarkStart w:id="4" w:name="_Hlk224209654"/>
      <w:r w:rsidRPr="00D91062">
        <w:rPr>
          <w:noProof/>
        </w:rPr>
        <w:t>să demonstreze că integritatea, securitatea și reziliența serviciilor sunt asigurate de entități responsabile la nivelul UE;</w:t>
      </w:r>
    </w:p>
    <w:p w14:paraId="6D50DB23" w14:textId="77777777" w:rsidR="00D664CB" w:rsidRPr="00D91062" w:rsidRDefault="00D664CB" w:rsidP="00337F30">
      <w:pPr>
        <w:pStyle w:val="Point1"/>
        <w:rPr>
          <w:noProof/>
        </w:rPr>
      </w:pPr>
      <w:r w:rsidRPr="00D91062">
        <w:rPr>
          <w:noProof/>
        </w:rPr>
        <w:t>(h)</w:t>
      </w:r>
      <w:r w:rsidRPr="00D91062">
        <w:rPr>
          <w:noProof/>
        </w:rPr>
        <w:tab/>
        <w:t>să asigure utilizarea eficientă a spectrului</w:t>
      </w:r>
      <w:bookmarkEnd w:id="4"/>
      <w:r w:rsidRPr="00D91062">
        <w:rPr>
          <w:noProof/>
        </w:rPr>
        <w:t>.</w:t>
      </w:r>
    </w:p>
    <w:p w14:paraId="51F3D02A" w14:textId="77777777" w:rsidR="00D664CB" w:rsidRPr="00D91062" w:rsidRDefault="00D664CB" w:rsidP="00337F30">
      <w:pPr>
        <w:pStyle w:val="ManualNumPar1"/>
        <w:rPr>
          <w:noProof/>
        </w:rPr>
      </w:pPr>
      <w:r w:rsidRPr="00D91062">
        <w:rPr>
          <w:noProof/>
        </w:rPr>
        <w:t>(2)</w:t>
      </w:r>
      <w:r w:rsidRPr="00D91062">
        <w:rPr>
          <w:noProof/>
        </w:rPr>
        <w:tab/>
        <w:t xml:space="preserve">Procedura de selecție se încheie după prima etapă de selecție, în cazul în care </w:t>
      </w:r>
      <w:r w:rsidRPr="00D91062">
        <w:rPr>
          <w:noProof/>
          <w:color w:val="000000" w:themeColor="text1"/>
        </w:rPr>
        <w:t xml:space="preserve">numărul total de frecvențe </w:t>
      </w:r>
      <w:r w:rsidRPr="00D91062">
        <w:rPr>
          <w:noProof/>
        </w:rPr>
        <w:t>solicitate de toți solicitanții eligibili nu depășește numărul de frecvențe disponibile pentru sistemele MSS comerciale în temeiul articolului 4 alineatul (1) literele (b) și (c). Comisia adoptă, prin intermediul unor acte de punere în aplicare, o decizie motivată privind selectarea solicitanților respectivi pentru dreptul de utilizare a benzii MSS de 2 GHz pentru sistemele MSS comerciale. Respectivele acte de punere în aplicare se adoptă în conformitate cu procedura de examinare menționată la articolul 22 alineatul (3).</w:t>
      </w:r>
    </w:p>
    <w:p w14:paraId="1185BE3E" w14:textId="77777777" w:rsidR="00D664CB" w:rsidRPr="00D91062" w:rsidRDefault="00D664CB" w:rsidP="00337F30">
      <w:pPr>
        <w:pStyle w:val="Titrearticle"/>
        <w:rPr>
          <w:noProof/>
        </w:rPr>
      </w:pPr>
      <w:r w:rsidRPr="00D91062">
        <w:rPr>
          <w:noProof/>
        </w:rPr>
        <w:t>Articolul 12</w:t>
      </w:r>
    </w:p>
    <w:p w14:paraId="52E001FA" w14:textId="77777777" w:rsidR="00D664CB" w:rsidRPr="00D91062" w:rsidRDefault="00D664CB" w:rsidP="00337F30">
      <w:pPr>
        <w:pStyle w:val="NormalCentered"/>
        <w:rPr>
          <w:b/>
          <w:bCs/>
          <w:noProof/>
        </w:rPr>
      </w:pPr>
      <w:r w:rsidRPr="00D91062">
        <w:rPr>
          <w:b/>
          <w:noProof/>
        </w:rPr>
        <w:t>A doua etapă de selecție pentru sistemele MSS comerciale</w:t>
      </w:r>
    </w:p>
    <w:p w14:paraId="76B8A929" w14:textId="77777777" w:rsidR="00D664CB" w:rsidRPr="00D91062" w:rsidRDefault="00D664CB" w:rsidP="006A6914">
      <w:pPr>
        <w:pStyle w:val="ManualNumPar1"/>
        <w:rPr>
          <w:noProof/>
        </w:rPr>
      </w:pPr>
      <w:r w:rsidRPr="00D91062">
        <w:rPr>
          <w:noProof/>
        </w:rPr>
        <w:t>(1)</w:t>
      </w:r>
      <w:r w:rsidRPr="00D91062">
        <w:rPr>
          <w:noProof/>
        </w:rPr>
        <w:tab/>
        <w:t>Comisia clasifică solicitanții eligibili pentru drepturile de utilizare a benzii MSS de 2 GHz pentru sistemele MSS comerciale menționate la articolul 4 alineatul (1) literele (b) și (c) pe baza următoarelor criterii de selecție, care trebuie să fie specificate mai în detaliu în cererea de candidaturi, inclusiv în ceea ce privește ponderea acestora:</w:t>
      </w:r>
    </w:p>
    <w:p w14:paraId="253E85D4" w14:textId="77777777" w:rsidR="00D664CB" w:rsidRPr="00D91062" w:rsidRDefault="00D664CB" w:rsidP="006A6914">
      <w:pPr>
        <w:pStyle w:val="Point1"/>
        <w:rPr>
          <w:noProof/>
        </w:rPr>
      </w:pPr>
      <w:r w:rsidRPr="00D91062">
        <w:rPr>
          <w:noProof/>
        </w:rPr>
        <w:t>(a)</w:t>
      </w:r>
      <w:r w:rsidRPr="00D91062">
        <w:rPr>
          <w:noProof/>
        </w:rPr>
        <w:tab/>
        <w:t>populația și acoperirea geografică în Uniune în termen de zece ani de la data începerii furnizării continue de servicii MSS, cuprinzând următoarele subcriterii:</w:t>
      </w:r>
    </w:p>
    <w:p w14:paraId="6AA0DA46" w14:textId="77777777" w:rsidR="00D664CB" w:rsidRPr="00D91062" w:rsidRDefault="00D664CB" w:rsidP="00337F30">
      <w:pPr>
        <w:pStyle w:val="Point2"/>
        <w:rPr>
          <w:noProof/>
        </w:rPr>
      </w:pPr>
      <w:r w:rsidRPr="00D91062">
        <w:rPr>
          <w:noProof/>
        </w:rPr>
        <w:t>(i)</w:t>
      </w:r>
      <w:r w:rsidRPr="00D91062">
        <w:rPr>
          <w:noProof/>
        </w:rPr>
        <w:tab/>
        <w:t>gradul de acoperire demografică în Uniune, pe baza populației din zonele rezidențiale și comerciale, inclusiv din zonele polare de mare latitudine de pe teritoriul Uniunii, care se află în zona de servicii a sistemului;</w:t>
      </w:r>
    </w:p>
    <w:p w14:paraId="37E29B7A" w14:textId="77777777" w:rsidR="00D664CB" w:rsidRPr="00D91062" w:rsidRDefault="00D664CB" w:rsidP="00337F30">
      <w:pPr>
        <w:pStyle w:val="Point2"/>
        <w:rPr>
          <w:noProof/>
        </w:rPr>
      </w:pPr>
      <w:r w:rsidRPr="00D91062">
        <w:rPr>
          <w:noProof/>
        </w:rPr>
        <w:t>(ii)</w:t>
      </w:r>
      <w:r w:rsidRPr="00D91062">
        <w:rPr>
          <w:noProof/>
        </w:rPr>
        <w:tab/>
        <w:t>gradul de acoperire geografică, pe baza suprafeței terestre totale și a zonelor economice exclusive și a apelor teritoriale ale tuturor statelor membre, care se află în zonele de servicii ale sistemului;</w:t>
      </w:r>
    </w:p>
    <w:p w14:paraId="0B736E51" w14:textId="77777777" w:rsidR="00D664CB" w:rsidRPr="00D91062" w:rsidRDefault="00D664CB" w:rsidP="00337F30">
      <w:pPr>
        <w:pStyle w:val="Point1"/>
        <w:rPr>
          <w:noProof/>
        </w:rPr>
      </w:pPr>
      <w:r w:rsidRPr="00D91062">
        <w:rPr>
          <w:noProof/>
        </w:rPr>
        <w:t>(b)</w:t>
      </w:r>
      <w:r w:rsidRPr="00D91062">
        <w:rPr>
          <w:noProof/>
        </w:rPr>
        <w:tab/>
        <w:t xml:space="preserve">calendarul disponibilității serviciilor în toate statele membre în termen de zece ani de la data începerii furnizării continue de MSS; </w:t>
      </w:r>
    </w:p>
    <w:p w14:paraId="665BC87B" w14:textId="77777777" w:rsidR="00D664CB" w:rsidRPr="00D91062" w:rsidRDefault="00D664CB" w:rsidP="00337F30">
      <w:pPr>
        <w:pStyle w:val="Point1"/>
        <w:rPr>
          <w:noProof/>
        </w:rPr>
      </w:pPr>
      <w:r w:rsidRPr="00D91062">
        <w:rPr>
          <w:noProof/>
        </w:rPr>
        <w:t>(c)</w:t>
      </w:r>
      <w:r w:rsidRPr="00D91062">
        <w:rPr>
          <w:noProof/>
        </w:rPr>
        <w:tab/>
        <w:t>măsura în care sistemul MSS comercial permite furnizarea cu dublă utilizare a serviciilor de comunicații guvernamentale și comerciale securizate;</w:t>
      </w:r>
    </w:p>
    <w:p w14:paraId="6A26F338" w14:textId="77777777" w:rsidR="00D664CB" w:rsidRPr="00D91062" w:rsidRDefault="00D664CB" w:rsidP="00337F30">
      <w:pPr>
        <w:pStyle w:val="Point1"/>
        <w:rPr>
          <w:noProof/>
        </w:rPr>
      </w:pPr>
      <w:r w:rsidRPr="00D91062">
        <w:rPr>
          <w:noProof/>
        </w:rPr>
        <w:t>(d)</w:t>
      </w:r>
      <w:r w:rsidRPr="00D91062">
        <w:rPr>
          <w:noProof/>
        </w:rPr>
        <w:tab/>
        <w:t>valoarea adăugată a Uniunii, în conformitate cu următoarele subcriterii:</w:t>
      </w:r>
    </w:p>
    <w:p w14:paraId="734D91B1" w14:textId="77777777" w:rsidR="00D664CB" w:rsidRPr="00D91062" w:rsidRDefault="00D664CB" w:rsidP="00337F30">
      <w:pPr>
        <w:pStyle w:val="Point2"/>
        <w:rPr>
          <w:noProof/>
        </w:rPr>
      </w:pPr>
      <w:r w:rsidRPr="00D91062">
        <w:rPr>
          <w:noProof/>
        </w:rPr>
        <w:t>(i)</w:t>
      </w:r>
      <w:r w:rsidRPr="00D91062">
        <w:rPr>
          <w:noProof/>
        </w:rPr>
        <w:tab/>
        <w:t xml:space="preserve">măsura în care sistemul MSS comercial consolidează capacitățile industriale ale Uniunii de-a lungul lanțului de aprovizionare al </w:t>
      </w:r>
      <w:r w:rsidRPr="00D91062">
        <w:rPr>
          <w:noProof/>
        </w:rPr>
        <w:lastRenderedPageBreak/>
        <w:t>tehnologiei digitale, printre altele în ceea ce privește proiectarea, construcția, lansarea și exploatarea sateliților, inclusiv a software-ului;</w:t>
      </w:r>
    </w:p>
    <w:p w14:paraId="01DB3827" w14:textId="77777777" w:rsidR="00D664CB" w:rsidRPr="00D91062" w:rsidRDefault="00D664CB" w:rsidP="00337F30">
      <w:pPr>
        <w:pStyle w:val="Point2"/>
        <w:rPr>
          <w:noProof/>
        </w:rPr>
      </w:pPr>
      <w:r w:rsidRPr="00D91062">
        <w:rPr>
          <w:noProof/>
        </w:rPr>
        <w:t>(ii)</w:t>
      </w:r>
      <w:r w:rsidRPr="00D91062">
        <w:rPr>
          <w:noProof/>
        </w:rPr>
        <w:tab/>
        <w:t>nivelul de integrare a tehnologiilor Uniunii, inclusiv utilizarea rezultatelor programelor de cercetare și inovare finanțate de Uniune;</w:t>
      </w:r>
    </w:p>
    <w:p w14:paraId="5205E597" w14:textId="77777777" w:rsidR="00D664CB" w:rsidRPr="00D91062" w:rsidRDefault="00D664CB" w:rsidP="00337F30">
      <w:pPr>
        <w:pStyle w:val="Point2"/>
        <w:rPr>
          <w:noProof/>
        </w:rPr>
      </w:pPr>
      <w:r w:rsidRPr="00D91062">
        <w:rPr>
          <w:noProof/>
        </w:rPr>
        <w:t>(iii)</w:t>
      </w:r>
      <w:r w:rsidRPr="00D91062">
        <w:rPr>
          <w:noProof/>
        </w:rPr>
        <w:tab/>
        <w:t>măsura în care sunt îndeplinite obiectivele de politică publică, integritatea, securitatea și reziliența serviciilor;</w:t>
      </w:r>
    </w:p>
    <w:p w14:paraId="4745BF41" w14:textId="77777777" w:rsidR="00D664CB" w:rsidRPr="00D91062" w:rsidRDefault="00D664CB" w:rsidP="00337F30">
      <w:pPr>
        <w:pStyle w:val="Point1"/>
        <w:rPr>
          <w:noProof/>
        </w:rPr>
      </w:pPr>
      <w:r w:rsidRPr="00D91062">
        <w:rPr>
          <w:noProof/>
        </w:rPr>
        <w:t>(e)</w:t>
      </w:r>
      <w:r w:rsidRPr="00D91062">
        <w:rPr>
          <w:noProof/>
        </w:rPr>
        <w:tab/>
        <w:t>beneficii pentru consumatori și competitivitate, în conformitate cu următoarele subcriterii:</w:t>
      </w:r>
    </w:p>
    <w:p w14:paraId="59C6F295" w14:textId="77777777" w:rsidR="00D664CB" w:rsidRPr="00D91062" w:rsidRDefault="00D664CB" w:rsidP="00337F30">
      <w:pPr>
        <w:pStyle w:val="Point2"/>
        <w:rPr>
          <w:noProof/>
        </w:rPr>
      </w:pPr>
      <w:r w:rsidRPr="00D91062">
        <w:rPr>
          <w:noProof/>
        </w:rPr>
        <w:t>(i)</w:t>
      </w:r>
      <w:r w:rsidRPr="00D91062">
        <w:rPr>
          <w:noProof/>
        </w:rPr>
        <w:tab/>
        <w:t>calendarul furnizării la scară largă a serviciilor în banda MSS de 2 GHz și numărul aferent de utilizatori finali și/sau de dispozitive deservite cu capacități specifice ale sistemului în ceea ce privește calitatea serviciului;</w:t>
      </w:r>
    </w:p>
    <w:p w14:paraId="40553364" w14:textId="77777777" w:rsidR="00D664CB" w:rsidRPr="00D91062" w:rsidRDefault="00D664CB" w:rsidP="00337F30">
      <w:pPr>
        <w:pStyle w:val="Point2"/>
        <w:rPr>
          <w:noProof/>
        </w:rPr>
      </w:pPr>
      <w:r w:rsidRPr="00D91062">
        <w:rPr>
          <w:noProof/>
        </w:rPr>
        <w:t>(ii)</w:t>
      </w:r>
      <w:r w:rsidRPr="00D91062">
        <w:rPr>
          <w:noProof/>
        </w:rPr>
        <w:tab/>
        <w:t>domeniul de aplicare al serviciilor furnizate, inclusiv o cale de implementare către servicii directe de la satelit la dispozitiv;</w:t>
      </w:r>
    </w:p>
    <w:p w14:paraId="1FA1676F" w14:textId="77777777" w:rsidR="002E75C6" w:rsidRPr="00D91062" w:rsidRDefault="00D664CB" w:rsidP="00630080">
      <w:pPr>
        <w:pStyle w:val="Point1"/>
        <w:rPr>
          <w:noProof/>
        </w:rPr>
      </w:pPr>
      <w:r w:rsidRPr="00D91062">
        <w:rPr>
          <w:noProof/>
        </w:rPr>
        <w:t>(f)</w:t>
      </w:r>
      <w:r w:rsidRPr="00D91062">
        <w:rPr>
          <w:noProof/>
        </w:rPr>
        <w:tab/>
        <w:t>promovarea concurenței, inclusiv prin furnizarea de acces cu ridicata în condiții echitabile, rezonabile și nediscriminatorii sau a unei rețele exclusiv cu ridicata;</w:t>
      </w:r>
    </w:p>
    <w:p w14:paraId="0E09DA94" w14:textId="77777777" w:rsidR="004420EC" w:rsidRPr="00D91062" w:rsidRDefault="00653E0C" w:rsidP="004420EC">
      <w:pPr>
        <w:pStyle w:val="Point1"/>
        <w:rPr>
          <w:noProof/>
        </w:rPr>
      </w:pPr>
      <w:r w:rsidRPr="00D91062">
        <w:rPr>
          <w:noProof/>
        </w:rPr>
        <w:t>(g)</w:t>
      </w:r>
      <w:r w:rsidRPr="00D91062">
        <w:rPr>
          <w:noProof/>
        </w:rPr>
        <w:tab/>
        <w:t xml:space="preserve">evitarea amenințărilor la adresa concurenței, în special din cauza posibilei creări sau consolidări a unei poziții dominante; </w:t>
      </w:r>
    </w:p>
    <w:p w14:paraId="2B131DA8" w14:textId="77777777" w:rsidR="00D664CB" w:rsidRPr="00D91062" w:rsidRDefault="00D664CB" w:rsidP="00337F30">
      <w:pPr>
        <w:pStyle w:val="Point1"/>
        <w:rPr>
          <w:noProof/>
        </w:rPr>
      </w:pPr>
      <w:r w:rsidRPr="00D91062">
        <w:rPr>
          <w:noProof/>
        </w:rPr>
        <w:t>(h)</w:t>
      </w:r>
      <w:r w:rsidRPr="00D91062">
        <w:rPr>
          <w:noProof/>
        </w:rPr>
        <w:tab/>
        <w:t>utilizarea eficientă a spectrului, în conformitate cu următoarele subcriterii:</w:t>
      </w:r>
    </w:p>
    <w:p w14:paraId="17659139" w14:textId="77777777" w:rsidR="00D664CB" w:rsidRPr="00D91062" w:rsidRDefault="00D664CB" w:rsidP="00337F30">
      <w:pPr>
        <w:pStyle w:val="Point2"/>
        <w:rPr>
          <w:noProof/>
        </w:rPr>
      </w:pPr>
      <w:r w:rsidRPr="00D91062">
        <w:rPr>
          <w:noProof/>
        </w:rPr>
        <w:t>(i)</w:t>
      </w:r>
      <w:r w:rsidRPr="00D91062">
        <w:rPr>
          <w:noProof/>
        </w:rPr>
        <w:tab/>
        <w:t>numărul total de frecvențe solicitat;</w:t>
      </w:r>
    </w:p>
    <w:p w14:paraId="2E80ED5B" w14:textId="77777777" w:rsidR="00D664CB" w:rsidRPr="00D91062" w:rsidRDefault="00D664CB" w:rsidP="00337F30">
      <w:pPr>
        <w:pStyle w:val="Point2"/>
        <w:rPr>
          <w:noProof/>
        </w:rPr>
      </w:pPr>
      <w:r w:rsidRPr="00D91062">
        <w:rPr>
          <w:noProof/>
        </w:rPr>
        <w:t>(ii)</w:t>
      </w:r>
      <w:r w:rsidRPr="00D91062">
        <w:rPr>
          <w:noProof/>
        </w:rPr>
        <w:tab/>
        <w:t>caracteristicile capacității fluxului de date agregate, a sistemelor de antene, a tipurilor de sarcini utile, a reutilizării frecvenței, a orbitei și a sateliților care deservesc Uniunea;</w:t>
      </w:r>
    </w:p>
    <w:p w14:paraId="231E97FF" w14:textId="77777777" w:rsidR="00D664CB" w:rsidRPr="00D91062" w:rsidRDefault="00D664CB" w:rsidP="00337F30">
      <w:pPr>
        <w:pStyle w:val="Point2"/>
        <w:rPr>
          <w:noProof/>
        </w:rPr>
      </w:pPr>
      <w:r w:rsidRPr="00D91062">
        <w:rPr>
          <w:noProof/>
        </w:rPr>
        <w:t>(iii)</w:t>
      </w:r>
      <w:r w:rsidRPr="00D91062">
        <w:rPr>
          <w:noProof/>
        </w:rPr>
        <w:tab/>
        <w:t>capacitatea de a utiliza în comun spectrul și/sau de a coexista eficient cu alți utilizatori în banda MSS de 2 GHz;</w:t>
      </w:r>
    </w:p>
    <w:p w14:paraId="67B9E69A" w14:textId="77777777" w:rsidR="00D664CB" w:rsidRPr="00D91062" w:rsidRDefault="00D664CB" w:rsidP="00337F30">
      <w:pPr>
        <w:pStyle w:val="Point1"/>
        <w:rPr>
          <w:noProof/>
        </w:rPr>
      </w:pPr>
      <w:r w:rsidRPr="00D91062">
        <w:rPr>
          <w:noProof/>
        </w:rPr>
        <w:t>(i)</w:t>
      </w:r>
      <w:r w:rsidRPr="00D91062">
        <w:rPr>
          <w:noProof/>
        </w:rPr>
        <w:tab/>
        <w:t>măsura în care sunt îndeplinite obiectivele de politică publică care nu intră sub incidența literelor (a), (e) și (g), în conformitate cu următoarele subcriterii:</w:t>
      </w:r>
    </w:p>
    <w:p w14:paraId="61D0A166" w14:textId="77777777" w:rsidR="00D664CB" w:rsidRPr="00D91062" w:rsidRDefault="00D664CB" w:rsidP="00337F30">
      <w:pPr>
        <w:pStyle w:val="Point2"/>
        <w:rPr>
          <w:noProof/>
        </w:rPr>
      </w:pPr>
      <w:r w:rsidRPr="00D91062">
        <w:rPr>
          <w:noProof/>
        </w:rPr>
        <w:t>(i)</w:t>
      </w:r>
      <w:r w:rsidRPr="00D91062">
        <w:rPr>
          <w:noProof/>
        </w:rPr>
        <w:tab/>
        <w:t>furnizarea de servicii de interes public care contribuie la ocrotirea sănătății și la securitatea cetățenilor în general sau a unor anumite grupuri de cetățeni;</w:t>
      </w:r>
    </w:p>
    <w:p w14:paraId="1BCC9EC6" w14:textId="77777777" w:rsidR="00D664CB" w:rsidRPr="00D91062" w:rsidRDefault="00D664CB" w:rsidP="00337F30">
      <w:pPr>
        <w:pStyle w:val="Point2"/>
        <w:rPr>
          <w:noProof/>
        </w:rPr>
      </w:pPr>
      <w:r w:rsidRPr="00D91062">
        <w:rPr>
          <w:noProof/>
        </w:rPr>
        <w:t>(ii)</w:t>
      </w:r>
      <w:r w:rsidRPr="00D91062">
        <w:rPr>
          <w:noProof/>
        </w:rPr>
        <w:tab/>
        <w:t>asigurarea interoperabilității și modernizarea periodică a sistemului de sateliți;</w:t>
      </w:r>
    </w:p>
    <w:p w14:paraId="13F3C7CE" w14:textId="77777777" w:rsidR="00D664CB" w:rsidRPr="00D91062" w:rsidRDefault="00D664CB" w:rsidP="00337F30">
      <w:pPr>
        <w:pStyle w:val="Point2"/>
        <w:rPr>
          <w:noProof/>
        </w:rPr>
      </w:pPr>
      <w:r w:rsidRPr="00D91062">
        <w:rPr>
          <w:noProof/>
        </w:rPr>
        <w:t>(iii)</w:t>
      </w:r>
      <w:r w:rsidRPr="00D91062">
        <w:rPr>
          <w:noProof/>
        </w:rPr>
        <w:tab/>
        <w:t>impactul global al sistemului asupra mediului;</w:t>
      </w:r>
    </w:p>
    <w:p w14:paraId="0A44F451" w14:textId="77777777" w:rsidR="00D664CB" w:rsidRPr="00D91062" w:rsidRDefault="00D664CB" w:rsidP="00337F30">
      <w:pPr>
        <w:pStyle w:val="Point1"/>
        <w:rPr>
          <w:noProof/>
        </w:rPr>
      </w:pPr>
      <w:r w:rsidRPr="00D91062">
        <w:rPr>
          <w:noProof/>
        </w:rPr>
        <w:t>(j)</w:t>
      </w:r>
      <w:r w:rsidRPr="00D91062">
        <w:rPr>
          <w:noProof/>
        </w:rPr>
        <w:tab/>
        <w:t>cuantumul contribuției financiare unice pe MHz pentru dreptul de utilizare solicitat pentru banda MSS de 2 GHz pe bloc pereche de 5 MHz sau părți ale acesteia.</w:t>
      </w:r>
    </w:p>
    <w:p w14:paraId="125D9009" w14:textId="6D057F52" w:rsidR="00D664CB" w:rsidRPr="00D91062" w:rsidRDefault="00D664CB" w:rsidP="00337F30">
      <w:pPr>
        <w:pStyle w:val="ManualNumPar1"/>
        <w:rPr>
          <w:noProof/>
        </w:rPr>
      </w:pPr>
      <w:r w:rsidRPr="00D91062">
        <w:rPr>
          <w:noProof/>
        </w:rPr>
        <w:t>(2)</w:t>
      </w:r>
      <w:r w:rsidRPr="00D91062">
        <w:rPr>
          <w:noProof/>
        </w:rPr>
        <w:tab/>
        <w:t xml:space="preserve">După a doua etapă de selecție, Comisia adoptă, prin intermediul unor acte de punere în aplicare, o decizie motivată privind neeligibilitatea solicitanților și privind selectarea solicitanților de cel mai înalt rang pentru fiecare bloc pereche de 5 MHz, </w:t>
      </w:r>
      <w:r w:rsidRPr="00D91062">
        <w:rPr>
          <w:noProof/>
          <w:color w:val="000000" w:themeColor="text1"/>
        </w:rPr>
        <w:t xml:space="preserve">ținând seama de numărul de </w:t>
      </w:r>
      <w:r w:rsidRPr="00D91062">
        <w:rPr>
          <w:noProof/>
        </w:rPr>
        <w:t>frecvențe disponibile pentru sistemele MSS comerciale în temeiul articolului 4 alineatul (1) literele (b) și (c). Respectivele acte de punere în aplicare se adoptă în conformitate cu procedura de examinare menționată la articolul</w:t>
      </w:r>
      <w:r w:rsidR="003F69E7">
        <w:rPr>
          <w:noProof/>
        </w:rPr>
        <w:t> </w:t>
      </w:r>
      <w:r w:rsidRPr="00D91062">
        <w:rPr>
          <w:noProof/>
        </w:rPr>
        <w:t>22 alineatul (3).</w:t>
      </w:r>
    </w:p>
    <w:p w14:paraId="2A6B5D1F" w14:textId="77777777" w:rsidR="00D664CB" w:rsidRPr="00D91062" w:rsidRDefault="00D664CB" w:rsidP="00337F30">
      <w:pPr>
        <w:pStyle w:val="PartTitle"/>
        <w:rPr>
          <w:noProof/>
        </w:rPr>
      </w:pPr>
      <w:r w:rsidRPr="00D91062">
        <w:rPr>
          <w:noProof/>
        </w:rPr>
        <w:lastRenderedPageBreak/>
        <w:t>CAPITOLUL III – AUTORIZAREA LA NIVELUL UNIUNII PENTRU BANDA MSS DE 2 GHz</w:t>
      </w:r>
    </w:p>
    <w:p w14:paraId="73E03C69" w14:textId="77777777" w:rsidR="00D664CB" w:rsidRPr="00D91062" w:rsidRDefault="00D664CB" w:rsidP="00337F30">
      <w:pPr>
        <w:pStyle w:val="Titrearticle"/>
        <w:rPr>
          <w:noProof/>
        </w:rPr>
      </w:pPr>
      <w:r w:rsidRPr="00D91062">
        <w:rPr>
          <w:noProof/>
        </w:rPr>
        <w:t>Articolul 13</w:t>
      </w:r>
    </w:p>
    <w:p w14:paraId="7C7A734A" w14:textId="77777777" w:rsidR="00D664CB" w:rsidRPr="00D91062" w:rsidRDefault="00D664CB" w:rsidP="00337F30">
      <w:pPr>
        <w:pStyle w:val="NormalCentered"/>
        <w:rPr>
          <w:b/>
          <w:bCs/>
          <w:noProof/>
        </w:rPr>
      </w:pPr>
      <w:r w:rsidRPr="00D91062">
        <w:rPr>
          <w:b/>
          <w:noProof/>
        </w:rPr>
        <w:t>Autorizarea la nivelul Uniunii</w:t>
      </w:r>
    </w:p>
    <w:p w14:paraId="00A5D480" w14:textId="77777777" w:rsidR="00D664CB" w:rsidRPr="00D91062" w:rsidRDefault="00D664CB" w:rsidP="006A6914">
      <w:pPr>
        <w:pStyle w:val="ManualNumPar1"/>
        <w:rPr>
          <w:noProof/>
        </w:rPr>
      </w:pPr>
      <w:r w:rsidRPr="00D91062">
        <w:rPr>
          <w:noProof/>
        </w:rPr>
        <w:t>(1)</w:t>
      </w:r>
      <w:r w:rsidRPr="00D91062">
        <w:rPr>
          <w:noProof/>
        </w:rPr>
        <w:tab/>
        <w:t>Utilizarea spectrului de frecvențe radio în banda MSS de 2 GHz de către solicitanții selectați face obiectul unei autorizații a Uniunii, acordată de Comisie, sub rezerva condițiilor prevăzute la articolul 14 alineatul (1) sau la articolul 15 alineatul (1), după caz.</w:t>
      </w:r>
    </w:p>
    <w:p w14:paraId="74D5D44A" w14:textId="77777777" w:rsidR="00D664CB" w:rsidRPr="00D91062" w:rsidRDefault="00D664CB" w:rsidP="006A6914">
      <w:pPr>
        <w:pStyle w:val="ManualNumPar1"/>
        <w:rPr>
          <w:noProof/>
        </w:rPr>
      </w:pPr>
      <w:r w:rsidRPr="00D91062">
        <w:rPr>
          <w:noProof/>
        </w:rPr>
        <w:t>(2)</w:t>
      </w:r>
      <w:r w:rsidRPr="00D91062">
        <w:rPr>
          <w:noProof/>
        </w:rPr>
        <w:tab/>
        <w:t xml:space="preserve">Autorizația menționată la alineatul (1) trebuie să includă o autorizație generală pentru furnizarea de MSS și de rețele de sateliți care furnizează MSS, </w:t>
      </w:r>
      <w:r w:rsidRPr="00D91062">
        <w:rPr>
          <w:noProof/>
          <w:color w:val="333333"/>
        </w:rPr>
        <w:t>inclusiv stații terestre și, după caz, componente complementare terestre și aeriene</w:t>
      </w:r>
      <w:r w:rsidRPr="00D91062">
        <w:rPr>
          <w:noProof/>
        </w:rPr>
        <w:t>, care face doar obiectul unor condiții, dacă există, specificate în conformitate cu alineatul (5).</w:t>
      </w:r>
    </w:p>
    <w:p w14:paraId="4A3E1804" w14:textId="77777777" w:rsidR="00D664CB" w:rsidRPr="00D91062" w:rsidRDefault="00D664CB" w:rsidP="006A6914">
      <w:pPr>
        <w:pStyle w:val="ManualNumPar1"/>
        <w:rPr>
          <w:noProof/>
        </w:rPr>
      </w:pPr>
      <w:r w:rsidRPr="00D91062">
        <w:rPr>
          <w:noProof/>
        </w:rPr>
        <w:t>(3)</w:t>
      </w:r>
      <w:r w:rsidRPr="00D91062">
        <w:rPr>
          <w:noProof/>
        </w:rPr>
        <w:tab/>
        <w:t>Autorizația la nivelul Uniunii conferă întreprinderii autorizate aceleași drepturi și obligații în fiecare stat membru, fără a fi necesar să se notifice separat sau să se solicite o autorizație separată din partea oricărui stat membru.</w:t>
      </w:r>
    </w:p>
    <w:p w14:paraId="4B2C1D81" w14:textId="77777777" w:rsidR="00D664CB" w:rsidRPr="00D91062" w:rsidRDefault="00D664CB" w:rsidP="006A6914">
      <w:pPr>
        <w:pStyle w:val="ManualNumPar1"/>
        <w:rPr>
          <w:noProof/>
        </w:rPr>
      </w:pPr>
      <w:r w:rsidRPr="00D91062">
        <w:rPr>
          <w:noProof/>
        </w:rPr>
        <w:t>(4)</w:t>
      </w:r>
      <w:r w:rsidRPr="00D91062">
        <w:rPr>
          <w:noProof/>
        </w:rPr>
        <w:tab/>
        <w:t xml:space="preserve">Autorizația generală menționată la alineatul (2) conferă întreprinderii autorizate drepturile minime care decurg din autorizația generală prevăzută la articolul 15 din Directiva (UE) 2018/1972. Articolele 18 și 19 din directiva menționată se aplică </w:t>
      </w:r>
      <w:r w:rsidRPr="00D91062">
        <w:rPr>
          <w:i/>
          <w:noProof/>
        </w:rPr>
        <w:t xml:space="preserve">mutatis mutandis </w:t>
      </w:r>
      <w:r w:rsidRPr="00D91062">
        <w:rPr>
          <w:noProof/>
        </w:rPr>
        <w:t>autorizației generale menționate la alineatul (2) în ceea ce privește modificările, restricțiile și retragerea drepturilor și obligațiilor [în temeiul autorizației generale].</w:t>
      </w:r>
    </w:p>
    <w:p w14:paraId="7674C5B6" w14:textId="77777777" w:rsidR="00D664CB" w:rsidRPr="00D91062" w:rsidRDefault="00D664CB" w:rsidP="006A6914">
      <w:pPr>
        <w:pStyle w:val="ManualNumPar1"/>
        <w:rPr>
          <w:noProof/>
        </w:rPr>
      </w:pPr>
      <w:r w:rsidRPr="00D91062">
        <w:rPr>
          <w:noProof/>
        </w:rPr>
        <w:t>(5)</w:t>
      </w:r>
      <w:r w:rsidRPr="00D91062">
        <w:rPr>
          <w:noProof/>
        </w:rPr>
        <w:tab/>
        <w:t>Ținând seama de orice aviz al Grupului pentru politica în domeniul spectrului de frecvențe radio (RSPG), Comisia impune, prin intermediul unor acte de punere în aplicare, condițiile aferente autorizației menționate la alineatul (2) dintre condițiile enumerate în partea A din anexa I la Directiva (UE) 2018/1972, care includ, dar nu se limitează la:</w:t>
      </w:r>
    </w:p>
    <w:p w14:paraId="78D1CDE0" w14:textId="77777777" w:rsidR="00D664CB" w:rsidRPr="00D91062" w:rsidRDefault="00D664CB" w:rsidP="006A6914">
      <w:pPr>
        <w:pStyle w:val="Point1"/>
        <w:rPr>
          <w:noProof/>
        </w:rPr>
      </w:pPr>
      <w:r w:rsidRPr="00D91062">
        <w:rPr>
          <w:noProof/>
        </w:rPr>
        <w:t>(a)</w:t>
      </w:r>
      <w:r w:rsidRPr="00D91062">
        <w:rPr>
          <w:noProof/>
        </w:rPr>
        <w:tab/>
        <w:t xml:space="preserve">menținerea integrității, a securității și a rezilienței rețelelor prin satelit și a serviciilor de comunicații prin satelit; </w:t>
      </w:r>
    </w:p>
    <w:p w14:paraId="23D406D5" w14:textId="77777777" w:rsidR="00D664CB" w:rsidRPr="00D91062" w:rsidRDefault="00D664CB" w:rsidP="00337F30">
      <w:pPr>
        <w:pStyle w:val="Point1"/>
        <w:rPr>
          <w:noProof/>
        </w:rPr>
      </w:pPr>
      <w:r w:rsidRPr="00D91062">
        <w:rPr>
          <w:noProof/>
        </w:rPr>
        <w:t>(b)</w:t>
      </w:r>
      <w:r w:rsidRPr="00D91062">
        <w:rPr>
          <w:noProof/>
        </w:rPr>
        <w:tab/>
        <w:t>respectarea normelor în materie de securitate cibernetică, inclusiv a cerințelor privind lanțul de aprovizionare TIC în temeiul Regulamentului (UE) [XXX] al Parlamentului European și al Consiliului privind Regulamentul privind securitatea cibernetică 2;</w:t>
      </w:r>
    </w:p>
    <w:p w14:paraId="1816E7FB" w14:textId="77777777" w:rsidR="00D664CB" w:rsidRPr="00D91062" w:rsidRDefault="00D664CB" w:rsidP="00337F30">
      <w:pPr>
        <w:pStyle w:val="Point1"/>
        <w:rPr>
          <w:noProof/>
        </w:rPr>
      </w:pPr>
      <w:r w:rsidRPr="00D91062">
        <w:rPr>
          <w:noProof/>
        </w:rPr>
        <w:t>(c)</w:t>
      </w:r>
      <w:r w:rsidRPr="00D91062">
        <w:rPr>
          <w:noProof/>
        </w:rPr>
        <w:tab/>
        <w:t>menținerea controlului permanent asupra transmisiei tuturor stațiilor radio, inclusiv a stațiilor terestre și, după caz, a componentelor terestre și aeriene complementare, care utilizează spectrul de frecvențe radio autorizat în temeiul autorizației Uniunii, chiar și în cazul în care acestea sunt deținute, instalate sau exploatate de părți terțe sau nu sunt situate în interiorul Uniunii;</w:t>
      </w:r>
    </w:p>
    <w:p w14:paraId="41CE506A" w14:textId="77777777" w:rsidR="00DC6A95" w:rsidRPr="00D91062" w:rsidRDefault="00D664CB" w:rsidP="00337F30">
      <w:pPr>
        <w:pStyle w:val="Point1"/>
        <w:rPr>
          <w:noProof/>
        </w:rPr>
      </w:pPr>
      <w:r w:rsidRPr="00D91062">
        <w:rPr>
          <w:noProof/>
        </w:rPr>
        <w:t>(d)</w:t>
      </w:r>
      <w:r w:rsidRPr="00D91062">
        <w:rPr>
          <w:noProof/>
        </w:rPr>
        <w:tab/>
        <w:t>îndeplinirea obligațiilor de păstrare a datelor și de interceptare legală, precum și a obligațiilor legate de probele electronice în cadrul procedurilor penale, în conformitate cu Regulamentul (UE) 2023/1543 al Parlamentului European și al Consiliului</w:t>
      </w:r>
      <w:r w:rsidRPr="00D91062">
        <w:rPr>
          <w:rStyle w:val="FootnoteReference"/>
          <w:noProof/>
          <w:lang w:eastAsia="en-IE"/>
        </w:rPr>
        <w:footnoteReference w:id="35"/>
      </w:r>
      <w:r w:rsidRPr="00D91062">
        <w:rPr>
          <w:noProof/>
        </w:rPr>
        <w:t xml:space="preserve">. Actul de punere în aplicare adoptat în temeiul primului paragraf </w:t>
      </w:r>
      <w:r w:rsidRPr="00D91062">
        <w:rPr>
          <w:noProof/>
        </w:rPr>
        <w:lastRenderedPageBreak/>
        <w:t>stabilește criterii obiective pentru desemnarea obligațiilor privind păstrarea datelor și interceptarea legală și reprezentanții legali în conformitate cu Directiva (UE) 2023/1544 a Parlamentului European și a Consiliului</w:t>
      </w:r>
      <w:r w:rsidRPr="00D91062">
        <w:rPr>
          <w:rStyle w:val="FootnoteReference"/>
          <w:noProof/>
          <w:lang w:eastAsia="en-IE"/>
        </w:rPr>
        <w:footnoteReference w:id="36"/>
      </w:r>
      <w:r w:rsidRPr="00D91062">
        <w:rPr>
          <w:noProof/>
        </w:rPr>
        <w:t>, care sunt stabilite ca o condiție pentru autorizarea UE pentru sateliți.</w:t>
      </w:r>
    </w:p>
    <w:p w14:paraId="6514BD47" w14:textId="77777777" w:rsidR="00D664CB" w:rsidRPr="00D91062" w:rsidRDefault="00D664CB" w:rsidP="00337F30">
      <w:pPr>
        <w:pStyle w:val="Text1"/>
        <w:rPr>
          <w:noProof/>
        </w:rPr>
      </w:pPr>
      <w:r w:rsidRPr="00D91062">
        <w:rPr>
          <w:noProof/>
        </w:rPr>
        <w:t>Actele de punere în aplicare menționate la primul paragraf se adoptă în conformitate cu procedura de consultare prevăzută la articolul 22 alineatul (2).</w:t>
      </w:r>
    </w:p>
    <w:p w14:paraId="67AE3611" w14:textId="77777777" w:rsidR="00D664CB" w:rsidRPr="00D91062" w:rsidRDefault="00D664CB" w:rsidP="00337F30">
      <w:pPr>
        <w:pStyle w:val="ManualNumPar1"/>
        <w:rPr>
          <w:noProof/>
        </w:rPr>
      </w:pPr>
      <w:r w:rsidRPr="00D91062">
        <w:rPr>
          <w:noProof/>
        </w:rPr>
        <w:t>(6)</w:t>
      </w:r>
      <w:r w:rsidRPr="00D91062">
        <w:rPr>
          <w:noProof/>
        </w:rPr>
        <w:tab/>
        <w:t>Autorizația menționată la alineatele (1) și (2) nu îl scutește pe titularul său de obligațiile de coordonare a spectrului și de utilizare în comun a spectrului în ceea ce privește rețelele de satelit sau serviciile de comunicații prin satelit existente sau viitoare din Uniune, care decurg din reglementările radio ale UIT.</w:t>
      </w:r>
    </w:p>
    <w:p w14:paraId="215D0BE2" w14:textId="77777777" w:rsidR="00D664CB" w:rsidRPr="00D91062" w:rsidRDefault="00D664CB" w:rsidP="00337F30">
      <w:pPr>
        <w:pStyle w:val="ManualNumPar1"/>
        <w:rPr>
          <w:noProof/>
        </w:rPr>
      </w:pPr>
      <w:r w:rsidRPr="00D91062">
        <w:rPr>
          <w:noProof/>
        </w:rPr>
        <w:t>(7)</w:t>
      </w:r>
      <w:r w:rsidRPr="00D91062">
        <w:rPr>
          <w:noProof/>
        </w:rPr>
        <w:tab/>
        <w:t>În cazul în care o întreprindere autorizată care furnizează un sistem MSS comercial este diferită de un operator tradițional, întreprinderea autorizată negociază cu operatorul tradițional, la cererea acestuia din urmă, o soluție pentru continuarea temporară a serviciilor existente la momentul adoptării prezentei propuneri și descrise în cererea de candidaturi pentru o perioadă maximă de [cinci] ani de la data autorizării. O astfel de soluție poate include accesul partajat la un spectru suficient în temeiul dreptului de utilizare al solicitantului selectat. În urma negocierilor care urmează să fie purtate cu bună-credință de către ambele părți, operatorii tradiționali acordă acces la infrastructura lor sau la proprietatea lor intelectuală în conformitate cu condițiile FRAND și își pot supune litigiul arbitrajului în conformitate cu dreptul Uniunii și cu dreptul intern care respectă dreptul Uniunii, în conformitate cu dreptul Uniunii și cu dreptul intern.</w:t>
      </w:r>
    </w:p>
    <w:p w14:paraId="099DB18D" w14:textId="05BF43A0" w:rsidR="00D664CB" w:rsidRPr="00D91062" w:rsidRDefault="00D664CB" w:rsidP="00337F30">
      <w:pPr>
        <w:pStyle w:val="ManualNumPar1"/>
        <w:rPr>
          <w:noProof/>
        </w:rPr>
      </w:pPr>
      <w:r w:rsidRPr="00D91062">
        <w:rPr>
          <w:noProof/>
        </w:rPr>
        <w:t>(8)</w:t>
      </w:r>
      <w:r w:rsidRPr="00D91062">
        <w:rPr>
          <w:noProof/>
        </w:rPr>
        <w:tab/>
        <w:t xml:space="preserve">Orice loc de arbitraj convenit între părți pentru soluționarea oricărui litigiu sau a oricărei pretenții care decurge din prezentul regulament sau are legătură cu acesta trebuie să fie situat pe teritoriul Uniunii. Acest lucru nu aduce atingere dreptului părților de a prezenta Comisiei orice litigiu care decurge din prezentul regulament. În astfel de cazuri, Comisia acționează în calitate de autoritate de soluționare a litigiilor și aplică </w:t>
      </w:r>
      <w:r w:rsidRPr="00D91062">
        <w:rPr>
          <w:i/>
          <w:noProof/>
        </w:rPr>
        <w:t xml:space="preserve">mutatis mutandis </w:t>
      </w:r>
      <w:r w:rsidRPr="00D91062">
        <w:rPr>
          <w:noProof/>
        </w:rPr>
        <w:t>procedura prevăzută la articolul 26 din Directiva</w:t>
      </w:r>
      <w:r w:rsidR="003F69E7">
        <w:rPr>
          <w:noProof/>
        </w:rPr>
        <w:t> </w:t>
      </w:r>
      <w:r w:rsidRPr="00D91062">
        <w:rPr>
          <w:noProof/>
        </w:rPr>
        <w:t>(UE)</w:t>
      </w:r>
      <w:r w:rsidR="003F69E7">
        <w:rPr>
          <w:noProof/>
        </w:rPr>
        <w:t> </w:t>
      </w:r>
      <w:r w:rsidRPr="00D91062">
        <w:rPr>
          <w:noProof/>
        </w:rPr>
        <w:t>2018/1972.</w:t>
      </w:r>
    </w:p>
    <w:p w14:paraId="01B1168A" w14:textId="77777777" w:rsidR="00D664CB" w:rsidRPr="00D91062" w:rsidRDefault="00D664CB" w:rsidP="00337F30">
      <w:pPr>
        <w:pStyle w:val="Titrearticle"/>
        <w:rPr>
          <w:noProof/>
        </w:rPr>
      </w:pPr>
      <w:r w:rsidRPr="00D91062">
        <w:rPr>
          <w:noProof/>
        </w:rPr>
        <w:t>Articolul 14</w:t>
      </w:r>
    </w:p>
    <w:p w14:paraId="01BA54F9" w14:textId="77777777" w:rsidR="00D664CB" w:rsidRPr="00D91062" w:rsidRDefault="00D664CB" w:rsidP="00337F30">
      <w:pPr>
        <w:pStyle w:val="NormalCentered"/>
        <w:rPr>
          <w:b/>
          <w:bCs/>
          <w:noProof/>
        </w:rPr>
      </w:pPr>
      <w:r w:rsidRPr="00D91062">
        <w:rPr>
          <w:b/>
          <w:noProof/>
        </w:rPr>
        <w:t>Condiții de utilizare a benzii MSS de 2 GHz pentru furnizarea sistemului MSS/hibrid securizat</w:t>
      </w:r>
    </w:p>
    <w:p w14:paraId="645A87B5" w14:textId="77777777" w:rsidR="00D664CB" w:rsidRPr="00D91062" w:rsidRDefault="00D664CB" w:rsidP="006A6914">
      <w:pPr>
        <w:pStyle w:val="ManualNumPar1"/>
        <w:rPr>
          <w:noProof/>
        </w:rPr>
      </w:pPr>
      <w:r w:rsidRPr="00D91062">
        <w:rPr>
          <w:noProof/>
        </w:rPr>
        <w:t>(1)</w:t>
      </w:r>
      <w:r w:rsidRPr="00D91062">
        <w:rPr>
          <w:noProof/>
        </w:rPr>
        <w:tab/>
        <w:t>Titularul autorizației pentru sistemul MSS/hibrid securizat, acordată în temeiul articolului 13 alineatul (1) ca autorizație a Uniunii, se supune următoarelor condiții:</w:t>
      </w:r>
    </w:p>
    <w:p w14:paraId="001524E3" w14:textId="77777777" w:rsidR="00D664CB" w:rsidRPr="00D91062" w:rsidRDefault="00D664CB" w:rsidP="006A6914">
      <w:pPr>
        <w:pStyle w:val="Point1"/>
        <w:rPr>
          <w:noProof/>
        </w:rPr>
      </w:pPr>
      <w:r w:rsidRPr="00D91062">
        <w:rPr>
          <w:noProof/>
        </w:rPr>
        <w:t>(a)</w:t>
      </w:r>
      <w:r w:rsidRPr="00D91062">
        <w:rPr>
          <w:noProof/>
        </w:rPr>
        <w:tab/>
        <w:t>să utilizeze spectrul în principal pentru furnizarea unui sistem MSS sau hibrid securizat;</w:t>
      </w:r>
    </w:p>
    <w:p w14:paraId="4634C725" w14:textId="77777777" w:rsidR="00D664CB" w:rsidRPr="00D91062" w:rsidRDefault="00D664CB" w:rsidP="006A6914">
      <w:pPr>
        <w:pStyle w:val="Point1"/>
        <w:rPr>
          <w:noProof/>
        </w:rPr>
      </w:pPr>
      <w:r w:rsidRPr="00D91062">
        <w:rPr>
          <w:noProof/>
        </w:rPr>
        <w:t>(b)</w:t>
      </w:r>
      <w:r w:rsidRPr="00D91062">
        <w:rPr>
          <w:noProof/>
        </w:rPr>
        <w:tab/>
        <w:t>să plătească o contribuție financiară unică, astfel cum se propune în cererea sa, precum și taxe anuale pentru drepturile sale de utilizare a benzii MSS de 2 GHz;</w:t>
      </w:r>
    </w:p>
    <w:p w14:paraId="71C8B680" w14:textId="337EA98B" w:rsidR="00D664CB" w:rsidRPr="00D91062" w:rsidRDefault="00D664CB" w:rsidP="006A6914">
      <w:pPr>
        <w:pStyle w:val="Point1"/>
        <w:rPr>
          <w:noProof/>
        </w:rPr>
      </w:pPr>
      <w:r w:rsidRPr="00D91062">
        <w:rPr>
          <w:noProof/>
        </w:rPr>
        <w:lastRenderedPageBreak/>
        <w:t>(c)</w:t>
      </w:r>
      <w:r w:rsidRPr="00D91062">
        <w:rPr>
          <w:noProof/>
        </w:rPr>
        <w:tab/>
        <w:t>să furnizeze servicii de comunicații guvernamentale securizate conform unor clauze și condiții echitabile, rezonabile și nediscriminatorii în toate statele membre pentru:</w:t>
      </w:r>
    </w:p>
    <w:p w14:paraId="3C0E2EBB" w14:textId="60A46176" w:rsidR="00D664CB" w:rsidRPr="00D91062" w:rsidRDefault="00D664CB" w:rsidP="00337F30">
      <w:pPr>
        <w:pStyle w:val="Point2"/>
        <w:rPr>
          <w:noProof/>
        </w:rPr>
      </w:pPr>
      <w:r w:rsidRPr="00D91062">
        <w:rPr>
          <w:noProof/>
        </w:rPr>
        <w:t>(i)</w:t>
      </w:r>
      <w:r w:rsidRPr="00D91062">
        <w:rPr>
          <w:noProof/>
        </w:rPr>
        <w:tab/>
        <w:t>o autoritate publică a Uniunii sau a unui stat membru ori un organism însărcinat cu exercitarea autorității publice;</w:t>
      </w:r>
    </w:p>
    <w:p w14:paraId="07239ADF" w14:textId="1D3BCFE6" w:rsidR="004C4A71" w:rsidRPr="00D91062" w:rsidRDefault="00D664CB" w:rsidP="00630080">
      <w:pPr>
        <w:pStyle w:val="Point2"/>
        <w:rPr>
          <w:noProof/>
        </w:rPr>
      </w:pPr>
      <w:r w:rsidRPr="00D91062">
        <w:rPr>
          <w:noProof/>
        </w:rPr>
        <w:t>(ii)</w:t>
      </w:r>
      <w:r w:rsidRPr="00D91062">
        <w:rPr>
          <w:noProof/>
        </w:rPr>
        <w:tab/>
        <w:t>o persoană fizică sau juridică care acționează în numele și sub controlul unei entități menționate la litera (i);</w:t>
      </w:r>
    </w:p>
    <w:p w14:paraId="7BF915CE" w14:textId="77777777" w:rsidR="00D664CB" w:rsidRPr="00D91062" w:rsidRDefault="00D664CB" w:rsidP="00337F30">
      <w:pPr>
        <w:pStyle w:val="Point1"/>
        <w:rPr>
          <w:noProof/>
        </w:rPr>
      </w:pPr>
      <w:r w:rsidRPr="00D91062">
        <w:rPr>
          <w:noProof/>
        </w:rPr>
        <w:t>(d)</w:t>
      </w:r>
      <w:r w:rsidRPr="00D91062">
        <w:rPr>
          <w:noProof/>
        </w:rPr>
        <w:tab/>
        <w:t>după caz, să utilizeze capacitatea disponibilă, care nu este utilizată pentru furnizarea la scară largă de servicii de comunicații guvernamentale securizate, pentru furnizarea de servicii MSS comerciale la cerere, în conformitate cu alineatul (2), pe baza unui proces predefinit de stabilire a priorităților;</w:t>
      </w:r>
    </w:p>
    <w:p w14:paraId="1DC673E7" w14:textId="77777777" w:rsidR="008F0412" w:rsidRPr="00D91062" w:rsidRDefault="00D664CB" w:rsidP="0034430D">
      <w:pPr>
        <w:pStyle w:val="Point1"/>
        <w:rPr>
          <w:noProof/>
        </w:rPr>
      </w:pPr>
      <w:r w:rsidRPr="00D91062">
        <w:rPr>
          <w:noProof/>
        </w:rPr>
        <w:t>(e)</w:t>
      </w:r>
      <w:r w:rsidRPr="00D91062">
        <w:rPr>
          <w:noProof/>
        </w:rPr>
        <w:tab/>
        <w:t>să accepte să lucreze în numele sau sub controlul unei autorități publice a Uniunii sau a unui stat membru sau al unui organism însărcinat cu exercitarea unei autorități publice, în conformitate cu dreptul Uniunii;</w:t>
      </w:r>
    </w:p>
    <w:p w14:paraId="61592654" w14:textId="04481C4E" w:rsidR="00993871" w:rsidRPr="00D91062" w:rsidRDefault="00D664CB" w:rsidP="00C96077">
      <w:pPr>
        <w:pStyle w:val="Point1"/>
        <w:rPr>
          <w:noProof/>
        </w:rPr>
      </w:pPr>
      <w:r w:rsidRPr="00D91062">
        <w:rPr>
          <w:noProof/>
        </w:rPr>
        <w:t>(f)</w:t>
      </w:r>
      <w:r w:rsidRPr="00D91062">
        <w:rPr>
          <w:noProof/>
        </w:rPr>
        <w:tab/>
        <w:t>să asigure integrarea sistemului MSS/hibrid securizat cu arhitectura sistemului IRIS</w:t>
      </w:r>
      <w:r w:rsidRPr="00D91062">
        <w:rPr>
          <w:noProof/>
          <w:vertAlign w:val="superscript"/>
        </w:rPr>
        <w:t>2</w:t>
      </w:r>
      <w:r w:rsidRPr="00D91062">
        <w:rPr>
          <w:noProof/>
        </w:rPr>
        <w:t>, în conformitate cu specificațiile Regulamentului (UE) 2023/588 și cu cererea de candidaturi;</w:t>
      </w:r>
      <w:r w:rsidR="00216996">
        <w:rPr>
          <w:noProof/>
        </w:rPr>
        <w:t xml:space="preserve"> </w:t>
      </w:r>
    </w:p>
    <w:p w14:paraId="3420544F" w14:textId="77777777" w:rsidR="00D664CB" w:rsidRPr="00D91062" w:rsidRDefault="00D664CB" w:rsidP="00337F30">
      <w:pPr>
        <w:pStyle w:val="Point1"/>
        <w:rPr>
          <w:noProof/>
        </w:rPr>
      </w:pPr>
      <w:r w:rsidRPr="00D91062">
        <w:rPr>
          <w:noProof/>
        </w:rPr>
        <w:t>(g)</w:t>
      </w:r>
      <w:r w:rsidRPr="00D91062">
        <w:rPr>
          <w:noProof/>
        </w:rPr>
        <w:tab/>
        <w:t>să utilizeze spectrul în mod eficient, îndeplinind în același timp cerințele prevăzute la articolele 7 și 8, precum și obiectivele intermediare 5 și 6 prevăzute în anexă, în intervalul de timp specificat în cerere;</w:t>
      </w:r>
    </w:p>
    <w:p w14:paraId="574F34D6" w14:textId="77777777" w:rsidR="00D664CB" w:rsidRPr="00D91062" w:rsidRDefault="00D664CB" w:rsidP="00337F30">
      <w:pPr>
        <w:pStyle w:val="Point1"/>
        <w:rPr>
          <w:noProof/>
        </w:rPr>
      </w:pPr>
      <w:r w:rsidRPr="00D91062">
        <w:rPr>
          <w:noProof/>
        </w:rPr>
        <w:t>(h)</w:t>
      </w:r>
      <w:r w:rsidRPr="00D91062">
        <w:rPr>
          <w:noProof/>
        </w:rPr>
        <w:tab/>
        <w:t>să utilizeze drepturile de utilizare într-un mod coerent cu politicile Uniunii care se bazează pe spectrul de frecvențe radio, prin faptul că nu cauzează interferențe dăunătoare niciunui sistem de sateliți autorizat în Uniune sau finanțat în cadrul programelor Uniunii;</w:t>
      </w:r>
    </w:p>
    <w:p w14:paraId="14AAE34A" w14:textId="77777777" w:rsidR="00D664CB" w:rsidRPr="00D91062" w:rsidRDefault="00D664CB" w:rsidP="00337F30">
      <w:pPr>
        <w:pStyle w:val="Point1"/>
        <w:rPr>
          <w:noProof/>
        </w:rPr>
      </w:pPr>
      <w:r w:rsidRPr="00D91062">
        <w:rPr>
          <w:noProof/>
        </w:rPr>
        <w:t>(i)</w:t>
      </w:r>
      <w:r w:rsidRPr="00D91062">
        <w:rPr>
          <w:noProof/>
        </w:rPr>
        <w:tab/>
        <w:t>să onoreze orice angajament asumat în cererea sa sau în cursul procedurii de selecție comparativă, indiferent de etapa în care se află, pentru întreaga durată a dreptului de utilizare a spectrului;</w:t>
      </w:r>
    </w:p>
    <w:p w14:paraId="7ADE56C9" w14:textId="77777777" w:rsidR="00D664CB" w:rsidRPr="00D91062" w:rsidRDefault="00D664CB" w:rsidP="00337F30">
      <w:pPr>
        <w:pStyle w:val="Point1"/>
        <w:rPr>
          <w:noProof/>
        </w:rPr>
      </w:pPr>
      <w:r w:rsidRPr="00D91062">
        <w:rPr>
          <w:noProof/>
        </w:rPr>
        <w:t>(j)</w:t>
      </w:r>
      <w:r w:rsidRPr="00D91062">
        <w:rPr>
          <w:noProof/>
        </w:rPr>
        <w:tab/>
        <w:t>să exploateze activități care cuprind exploatarea, întreținerea, îmbunătățirea continuă și protecția infrastructurii satelitare și terestre, inclusiv reîntregirea și gestionarea ciclului de viață al tehnologiilor și componentelor critice;</w:t>
      </w:r>
    </w:p>
    <w:p w14:paraId="3EB4531B" w14:textId="77777777" w:rsidR="00D664CB" w:rsidRPr="00D91062" w:rsidRDefault="00D664CB" w:rsidP="00337F30">
      <w:pPr>
        <w:pStyle w:val="Point1"/>
        <w:rPr>
          <w:noProof/>
        </w:rPr>
      </w:pPr>
      <w:r w:rsidRPr="00D91062">
        <w:rPr>
          <w:noProof/>
        </w:rPr>
        <w:t>(k)</w:t>
      </w:r>
      <w:r w:rsidRPr="00D91062">
        <w:rPr>
          <w:noProof/>
        </w:rPr>
        <w:tab/>
        <w:t>să pună în aplicare măsuri de asigurare a protecției informațiilor UE clasificate (IUEC) în temeiul articolului 43 din Regulamentul (UE) 2021/696;</w:t>
      </w:r>
    </w:p>
    <w:p w14:paraId="26E516D7" w14:textId="77777777" w:rsidR="00D664CB" w:rsidRPr="00D91062" w:rsidRDefault="00D664CB" w:rsidP="00337F30">
      <w:pPr>
        <w:pStyle w:val="Point1"/>
        <w:rPr>
          <w:noProof/>
        </w:rPr>
      </w:pPr>
      <w:r w:rsidRPr="00D91062">
        <w:rPr>
          <w:noProof/>
        </w:rPr>
        <w:t>(l)</w:t>
      </w:r>
      <w:r w:rsidRPr="00D91062">
        <w:rPr>
          <w:noProof/>
        </w:rPr>
        <w:tab/>
        <w:t>să prezinte Comisiei și Comitetului pentru comunicații un raport anual care să detalieze stadiul de dezvoltare a sistemului propus.</w:t>
      </w:r>
    </w:p>
    <w:p w14:paraId="3DA9FC64" w14:textId="77777777" w:rsidR="00D664CB" w:rsidRPr="00D91062" w:rsidRDefault="00D664CB" w:rsidP="00337F30">
      <w:pPr>
        <w:pStyle w:val="ManualNumPar1"/>
        <w:rPr>
          <w:noProof/>
        </w:rPr>
      </w:pPr>
      <w:r w:rsidRPr="00D91062">
        <w:rPr>
          <w:noProof/>
        </w:rPr>
        <w:t>(2)</w:t>
      </w:r>
      <w:r w:rsidRPr="00D91062">
        <w:rPr>
          <w:noProof/>
        </w:rPr>
        <w:tab/>
        <w:t>Titularul dreptului de utilizare a sistemelor MSS/hibride securizate trebuie să acorde întotdeauna prioritate furnizării de servicii de comunicații guvernamentale securizate față de furnizarea de MSS comerciale.</w:t>
      </w:r>
    </w:p>
    <w:p w14:paraId="3D444A57" w14:textId="77777777" w:rsidR="00D664CB" w:rsidRPr="00D91062" w:rsidRDefault="00D664CB" w:rsidP="00337F30">
      <w:pPr>
        <w:pStyle w:val="Text1"/>
        <w:rPr>
          <w:noProof/>
        </w:rPr>
      </w:pPr>
      <w:r w:rsidRPr="00D91062">
        <w:rPr>
          <w:noProof/>
        </w:rPr>
        <w:t>În cazul în care titularul dreptului de utilizare pentru sistemul MSS/hibrid securizat obține și un drept de utilizare pentru un sistem MSS comercial în conformitate cu articolul 4 alineatul (4), titularul respectiv poate utiliza spectrul în temeiul ambelor drepturi în mod partajat pentru ambele sisteme, păstrând în același timp prioritatea necondiționată de a furniza servicii de comunicații guvernamentale securizate.</w:t>
      </w:r>
    </w:p>
    <w:p w14:paraId="7FE4C66A" w14:textId="77777777" w:rsidR="00D664CB" w:rsidRPr="00D91062" w:rsidRDefault="00D664CB" w:rsidP="00337F30">
      <w:pPr>
        <w:pStyle w:val="Text1"/>
        <w:rPr>
          <w:noProof/>
        </w:rPr>
      </w:pPr>
      <w:r w:rsidRPr="00D91062">
        <w:rPr>
          <w:noProof/>
        </w:rPr>
        <w:t>Furnizarea de servicii MSS comerciale nu trebuie să aducă atingere calității și securității serviciilor de comunicații guvernamentale securizate.</w:t>
      </w:r>
    </w:p>
    <w:p w14:paraId="069CD669" w14:textId="77777777" w:rsidR="00D664CB" w:rsidRPr="00D91062" w:rsidRDefault="00D664CB" w:rsidP="00337F30">
      <w:pPr>
        <w:pStyle w:val="ManualNumPar1"/>
        <w:rPr>
          <w:noProof/>
        </w:rPr>
      </w:pPr>
      <w:r w:rsidRPr="00D91062">
        <w:rPr>
          <w:noProof/>
        </w:rPr>
        <w:lastRenderedPageBreak/>
        <w:t>(3)</w:t>
      </w:r>
      <w:r w:rsidRPr="00D91062">
        <w:rPr>
          <w:noProof/>
        </w:rPr>
        <w:tab/>
        <w:t>Comisia poate retrage dreptul de utilizare a spectrului în conformitate cu articolul 19 alineatul (3) în cazul în care constată că spectrul nu este utilizat în mod eficient după o perioadă de cinci ani de la data la care a fost acordată autorizația Uniunii. Utilizarea eficientă a spectrului în banda MSS de 2 GHz este definită de Comisie în mecanismele detaliate de monitorizare stabilite în conformitate cu articolul 19 alineatul (1).</w:t>
      </w:r>
    </w:p>
    <w:p w14:paraId="49DA1E09" w14:textId="77777777" w:rsidR="00D664CB" w:rsidRPr="00D91062" w:rsidRDefault="00D664CB" w:rsidP="00337F30">
      <w:pPr>
        <w:pStyle w:val="Titrearticle"/>
        <w:rPr>
          <w:noProof/>
        </w:rPr>
      </w:pPr>
      <w:r w:rsidRPr="00D91062">
        <w:rPr>
          <w:noProof/>
        </w:rPr>
        <w:t>Articolul 15</w:t>
      </w:r>
    </w:p>
    <w:p w14:paraId="4FBF1955" w14:textId="77777777" w:rsidR="00D664CB" w:rsidRPr="00D91062" w:rsidRDefault="00D664CB" w:rsidP="00337F30">
      <w:pPr>
        <w:pStyle w:val="NormalCentered"/>
        <w:rPr>
          <w:b/>
          <w:bCs/>
          <w:noProof/>
        </w:rPr>
      </w:pPr>
      <w:r w:rsidRPr="00D91062">
        <w:rPr>
          <w:b/>
          <w:noProof/>
        </w:rPr>
        <w:t>Condiții de utilizare a benzii MSS de 2 GHz pentru furnizarea de sisteme MSS comerciale</w:t>
      </w:r>
    </w:p>
    <w:p w14:paraId="713BB874" w14:textId="77777777" w:rsidR="00D664CB" w:rsidRPr="00D91062" w:rsidRDefault="00D664CB" w:rsidP="006A6914">
      <w:pPr>
        <w:pStyle w:val="ManualNumPar1"/>
        <w:rPr>
          <w:noProof/>
        </w:rPr>
      </w:pPr>
      <w:r w:rsidRPr="00D91062">
        <w:rPr>
          <w:noProof/>
        </w:rPr>
        <w:t>(1)</w:t>
      </w:r>
      <w:r w:rsidRPr="00D91062">
        <w:rPr>
          <w:noProof/>
        </w:rPr>
        <w:tab/>
        <w:t>Titularul autorizației pentru un sistem MSS comercial, acordate în temeiul articolului 13 alineatul (1), se supune următoarelor condiții:</w:t>
      </w:r>
    </w:p>
    <w:p w14:paraId="1B202D88" w14:textId="77777777" w:rsidR="00D664CB" w:rsidRPr="00D91062" w:rsidRDefault="00D664CB" w:rsidP="006A6914">
      <w:pPr>
        <w:pStyle w:val="Point1"/>
        <w:rPr>
          <w:noProof/>
        </w:rPr>
      </w:pPr>
      <w:r w:rsidRPr="00D91062">
        <w:rPr>
          <w:noProof/>
        </w:rPr>
        <w:t>(a)</w:t>
      </w:r>
      <w:r w:rsidRPr="00D91062">
        <w:rPr>
          <w:noProof/>
        </w:rPr>
        <w:tab/>
        <w:t>să utilizeze spectrul exclusiv pentru furnizarea unui sistem MSS;</w:t>
      </w:r>
    </w:p>
    <w:p w14:paraId="3C7F89C1" w14:textId="77777777" w:rsidR="00D664CB" w:rsidRPr="00D91062" w:rsidRDefault="00D664CB" w:rsidP="006A6914">
      <w:pPr>
        <w:pStyle w:val="Point1"/>
        <w:rPr>
          <w:noProof/>
        </w:rPr>
      </w:pPr>
      <w:r w:rsidRPr="00D91062">
        <w:rPr>
          <w:noProof/>
        </w:rPr>
        <w:t>(b)</w:t>
      </w:r>
      <w:r w:rsidRPr="00D91062">
        <w:rPr>
          <w:noProof/>
        </w:rPr>
        <w:tab/>
        <w:t>să se asigure că componenta spațială a unui sistem MSS suportă cea mai mare parte a traficului total de date;</w:t>
      </w:r>
    </w:p>
    <w:p w14:paraId="03D498AB" w14:textId="77777777" w:rsidR="00D664CB" w:rsidRPr="00D91062" w:rsidRDefault="00D664CB" w:rsidP="006A6914">
      <w:pPr>
        <w:pStyle w:val="Point1"/>
        <w:rPr>
          <w:noProof/>
          <w:color w:val="000000"/>
        </w:rPr>
      </w:pPr>
      <w:r w:rsidRPr="00D91062">
        <w:rPr>
          <w:noProof/>
        </w:rPr>
        <w:t>(c)</w:t>
      </w:r>
      <w:r w:rsidRPr="00D91062">
        <w:rPr>
          <w:noProof/>
        </w:rPr>
        <w:tab/>
        <w:t>să utilizeze spectrul în mod eficient, îndeplinind în același timp cerințele prevăzute la articolele 10 și 11, precum și obiectivele intermediare 5 și 6 prevăzute în anexă, în intervalul de timp specificat în cerere;</w:t>
      </w:r>
    </w:p>
    <w:p w14:paraId="0DF18CA6" w14:textId="77777777" w:rsidR="00D664CB" w:rsidRPr="00D91062" w:rsidRDefault="00D664CB" w:rsidP="006A6914">
      <w:pPr>
        <w:pStyle w:val="Point1"/>
        <w:rPr>
          <w:noProof/>
        </w:rPr>
      </w:pPr>
      <w:r w:rsidRPr="00D91062">
        <w:rPr>
          <w:noProof/>
        </w:rPr>
        <w:t>(d)</w:t>
      </w:r>
      <w:r w:rsidRPr="00D91062">
        <w:rPr>
          <w:noProof/>
        </w:rPr>
        <w:tab/>
        <w:t>să utilizeze dreptul într-un mod coerent cu politicile Uniunii care se bazează pe spectrul radio, în special evitând riscul de a cauza sau evitând să cauzeze: interferențe prejudiciabile cu orice sistem de sateliți autorizat în Uniune sau finanțat în cadrul programelor Uniunii și acordarea accesului la banda MSS de 2 GHz în temeiul acestui drept la cererea unei autorități competente în perioade de criză, pe baza unui proces predefinit de stabilire a priorităților;</w:t>
      </w:r>
    </w:p>
    <w:p w14:paraId="06AD7C72" w14:textId="77777777" w:rsidR="00D664CB" w:rsidRPr="00D91062" w:rsidRDefault="00D664CB" w:rsidP="006A6914">
      <w:pPr>
        <w:pStyle w:val="Point1"/>
        <w:rPr>
          <w:noProof/>
        </w:rPr>
      </w:pPr>
      <w:r w:rsidRPr="00D91062">
        <w:rPr>
          <w:noProof/>
        </w:rPr>
        <w:t>(e)</w:t>
      </w:r>
      <w:r w:rsidRPr="00D91062">
        <w:rPr>
          <w:noProof/>
        </w:rPr>
        <w:tab/>
        <w:t>să onoreze orice angajament asumat în cererea sa sau în cursul procedurii de selecție comparativă, indiferent de etapa în care se află, pentru întreaga durată a dreptului de utilizare a spectrului;</w:t>
      </w:r>
    </w:p>
    <w:p w14:paraId="488BE779" w14:textId="77777777" w:rsidR="000B66C0" w:rsidRPr="00D91062" w:rsidRDefault="00D664CB" w:rsidP="006A6914">
      <w:pPr>
        <w:pStyle w:val="Point1"/>
        <w:rPr>
          <w:noProof/>
        </w:rPr>
      </w:pPr>
      <w:r w:rsidRPr="00D91062">
        <w:rPr>
          <w:noProof/>
        </w:rPr>
        <w:t>(f)</w:t>
      </w:r>
      <w:r w:rsidRPr="00D91062">
        <w:rPr>
          <w:noProof/>
        </w:rPr>
        <w:tab/>
        <w:t>să plătească o contribuție financiară unică, astfel cum se propune în cererea sa, precum și taxe anuale pentru drepturile sale de utilizare a benzii MSS de 2 GHz;</w:t>
      </w:r>
    </w:p>
    <w:p w14:paraId="3A3BE06E" w14:textId="77777777" w:rsidR="00DA70FD" w:rsidRPr="00D91062" w:rsidRDefault="00D664CB" w:rsidP="006A6914">
      <w:pPr>
        <w:pStyle w:val="Point1"/>
        <w:rPr>
          <w:noProof/>
        </w:rPr>
      </w:pPr>
      <w:r w:rsidRPr="00D91062">
        <w:rPr>
          <w:noProof/>
        </w:rPr>
        <w:t>(g)</w:t>
      </w:r>
      <w:r w:rsidRPr="00D91062">
        <w:rPr>
          <w:noProof/>
        </w:rPr>
        <w:tab/>
      </w:r>
      <w:bookmarkStart w:id="5" w:name="_Hlk220272769"/>
      <w:r w:rsidRPr="00D91062">
        <w:rPr>
          <w:noProof/>
        </w:rPr>
        <w:t xml:space="preserve">să acorde, la cerere, acces cu ridicata, în </w:t>
      </w:r>
      <w:bookmarkEnd w:id="5"/>
      <w:r w:rsidRPr="00D91062">
        <w:rPr>
          <w:noProof/>
        </w:rPr>
        <w:t>condiții justificate în mod obiectiv, nediscriminatorii, proporționale și transparente;</w:t>
      </w:r>
    </w:p>
    <w:p w14:paraId="261D9CC7" w14:textId="68F3C7FF" w:rsidR="00D664CB" w:rsidRPr="00D91062" w:rsidRDefault="00732884" w:rsidP="006A6914">
      <w:pPr>
        <w:pStyle w:val="Point1"/>
        <w:rPr>
          <w:noProof/>
        </w:rPr>
      </w:pPr>
      <w:r w:rsidRPr="00D91062">
        <w:rPr>
          <w:noProof/>
        </w:rPr>
        <w:t>(h)</w:t>
      </w:r>
      <w:r w:rsidRPr="00D91062">
        <w:rPr>
          <w:noProof/>
        </w:rPr>
        <w:tab/>
        <w:t>să nu încheie acorduri exclusive cu furnizorii de servicii cu amănuntul, în cazul în care întreprinderea selectată furnizează peste 50 % din serviciile mobile de comunicații prin satelit cu ridicata sau cu amănuntul într-un anumit stat membru;</w:t>
      </w:r>
    </w:p>
    <w:p w14:paraId="59143657" w14:textId="77777777" w:rsidR="00D664CB" w:rsidRPr="00D91062" w:rsidRDefault="00D664CB" w:rsidP="006A6914">
      <w:pPr>
        <w:pStyle w:val="Point1"/>
        <w:rPr>
          <w:noProof/>
        </w:rPr>
      </w:pPr>
      <w:r w:rsidRPr="00D91062">
        <w:rPr>
          <w:noProof/>
        </w:rPr>
        <w:t>(i)</w:t>
      </w:r>
      <w:r w:rsidRPr="00D91062">
        <w:rPr>
          <w:noProof/>
        </w:rPr>
        <w:tab/>
        <w:t>să prezinte Comisiei și comitetului un raport anual care să detalieze stadiul de dezvoltare a sistemului propus</w:t>
      </w:r>
      <w:r w:rsidRPr="00D91062">
        <w:rPr>
          <w:noProof/>
          <w:color w:val="000000"/>
        </w:rPr>
        <w:t>.</w:t>
      </w:r>
    </w:p>
    <w:p w14:paraId="77757C59" w14:textId="77777777" w:rsidR="00D664CB" w:rsidRPr="00D91062" w:rsidRDefault="00D664CB" w:rsidP="00337F30">
      <w:pPr>
        <w:pStyle w:val="ManualNumPar1"/>
        <w:rPr>
          <w:noProof/>
        </w:rPr>
      </w:pPr>
      <w:r w:rsidRPr="00D91062">
        <w:rPr>
          <w:noProof/>
        </w:rPr>
        <w:t>(2)</w:t>
      </w:r>
      <w:r w:rsidRPr="00D91062">
        <w:rPr>
          <w:noProof/>
        </w:rPr>
        <w:tab/>
        <w:t>Comisia poate retrage dreptul de utilizare a spectrului în conformitate cu articolul 19 alineatul (3) în cazul în care constată că spectrul nu este utilizat în mod eficient după o perioadă de cinci ani de la data la care a fost acordată autorizația Uniunii. Utilizarea eficientă a blocurilor pereche de 5 MHz în banda MSS de 2 GHz este definită de Comisie în mecanismele detaliate de monitorizare stabilite în conformitate cu articolul 19 alineatul (1).</w:t>
      </w:r>
    </w:p>
    <w:p w14:paraId="71304CE1" w14:textId="77777777" w:rsidR="00D664CB" w:rsidRPr="00D91062" w:rsidRDefault="00D664CB" w:rsidP="00337F30">
      <w:pPr>
        <w:pStyle w:val="Titrearticle"/>
        <w:rPr>
          <w:noProof/>
        </w:rPr>
      </w:pPr>
      <w:r w:rsidRPr="00D91062">
        <w:rPr>
          <w:noProof/>
        </w:rPr>
        <w:lastRenderedPageBreak/>
        <w:t>Articolul 16</w:t>
      </w:r>
    </w:p>
    <w:p w14:paraId="650238F7" w14:textId="77777777" w:rsidR="00D664CB" w:rsidRPr="00D91062" w:rsidRDefault="00D664CB" w:rsidP="004E5D44">
      <w:pPr>
        <w:pStyle w:val="NormalCentered"/>
        <w:rPr>
          <w:b/>
          <w:bCs/>
          <w:noProof/>
        </w:rPr>
      </w:pPr>
      <w:r w:rsidRPr="00D91062">
        <w:rPr>
          <w:b/>
          <w:noProof/>
        </w:rPr>
        <w:t>Durata și reînnoirea drepturilor de utilizare</w:t>
      </w:r>
    </w:p>
    <w:p w14:paraId="215044DB" w14:textId="77777777" w:rsidR="00D664CB" w:rsidRPr="00D91062" w:rsidRDefault="00D664CB" w:rsidP="006A6914">
      <w:pPr>
        <w:pStyle w:val="ManualNumPar1"/>
        <w:rPr>
          <w:noProof/>
        </w:rPr>
      </w:pPr>
      <w:r w:rsidRPr="00D91062">
        <w:rPr>
          <w:noProof/>
        </w:rPr>
        <w:t>(1)</w:t>
      </w:r>
      <w:r w:rsidRPr="00D91062">
        <w:rPr>
          <w:noProof/>
        </w:rPr>
        <w:tab/>
        <w:t>Durata dreptului de utilizare a benzii MSS de 2 GHz se stabilește de către Comisie în conformitate cu articolul 14 alineatul (1) și cu articolul 15 alineatul (1). Durata este de 20 de ani.</w:t>
      </w:r>
    </w:p>
    <w:p w14:paraId="1F6E5955" w14:textId="77777777" w:rsidR="00D664CB" w:rsidRPr="00D91062" w:rsidRDefault="00D664CB" w:rsidP="00337F30">
      <w:pPr>
        <w:pStyle w:val="ManualNumPar1"/>
        <w:rPr>
          <w:noProof/>
        </w:rPr>
      </w:pPr>
      <w:r w:rsidRPr="00D91062">
        <w:rPr>
          <w:noProof/>
        </w:rPr>
        <w:t>(2)</w:t>
      </w:r>
      <w:r w:rsidRPr="00D91062">
        <w:rPr>
          <w:noProof/>
        </w:rPr>
        <w:tab/>
        <w:t>Întreprinderile selectate, precum și orice succesor legal, trebuie să îndeplinească criteriile de admisibilitate și eligibilitate și condițiile de autorizare pe întreaga durată a dreptului de utilizare.</w:t>
      </w:r>
    </w:p>
    <w:p w14:paraId="6765C833" w14:textId="77777777" w:rsidR="00D664CB" w:rsidRPr="00D91062" w:rsidRDefault="00D664CB" w:rsidP="00337F30">
      <w:pPr>
        <w:pStyle w:val="ManualNumPar1"/>
        <w:rPr>
          <w:noProof/>
        </w:rPr>
      </w:pPr>
      <w:r w:rsidRPr="00D91062">
        <w:rPr>
          <w:noProof/>
        </w:rPr>
        <w:t>(3)</w:t>
      </w:r>
      <w:r w:rsidRPr="00D91062">
        <w:rPr>
          <w:noProof/>
        </w:rPr>
        <w:tab/>
        <w:t>Dreptul de utilizare a benzii MSS de 2 GHz se reînnoiește o singură dată pentru o durată similară și în condiții similare, la cererea titularului acestuia.</w:t>
      </w:r>
    </w:p>
    <w:p w14:paraId="46BE40D1" w14:textId="77777777" w:rsidR="00D664CB" w:rsidRPr="00D91062" w:rsidRDefault="00D664CB" w:rsidP="00337F30">
      <w:pPr>
        <w:pStyle w:val="ManualNumPar1"/>
        <w:rPr>
          <w:noProof/>
        </w:rPr>
      </w:pPr>
      <w:r w:rsidRPr="00D91062">
        <w:rPr>
          <w:noProof/>
        </w:rPr>
        <w:t>(4)</w:t>
      </w:r>
      <w:r w:rsidRPr="00D91062">
        <w:rPr>
          <w:noProof/>
        </w:rPr>
        <w:tab/>
        <w:t>Comisia poate decide, cu cel puțin cinci ani înainte de expirarea dreptului de utilizare, să nu reînnoiască dreptul de utilizare, ci să îl lase să expire. Înainte de expirarea respectivă și pentru a asigura continuitatea serviciului, Comisia organizează o procedură de selecție și autorizare deschisă, transparentă și nediscriminatorie pentru a acorda noi drepturi sau pentru a reînnoi drepturile existente sub rezerva unei durate diferite sau a unor condiții diferite, pentru unul sau mai multe dintre următoarele motive:</w:t>
      </w:r>
    </w:p>
    <w:p w14:paraId="0BC9682C" w14:textId="77777777" w:rsidR="00D664CB" w:rsidRPr="00D91062" w:rsidRDefault="00D664CB" w:rsidP="006A6914">
      <w:pPr>
        <w:pStyle w:val="Point1"/>
        <w:rPr>
          <w:noProof/>
        </w:rPr>
      </w:pPr>
      <w:r w:rsidRPr="00D91062">
        <w:rPr>
          <w:noProof/>
        </w:rPr>
        <w:t>(a)</w:t>
      </w:r>
      <w:r w:rsidRPr="00D91062">
        <w:rPr>
          <w:noProof/>
        </w:rPr>
        <w:tab/>
        <w:t>îndeplinirea obiectivelor de politică publică în temeiul dreptului Uniunii sau al dreptului intern, ținând seama, de asemenea, de importanța investițiilor existente;</w:t>
      </w:r>
    </w:p>
    <w:p w14:paraId="48AE1615" w14:textId="77777777" w:rsidR="00D664CB" w:rsidRPr="00D91062" w:rsidRDefault="00D664CB" w:rsidP="006A6914">
      <w:pPr>
        <w:pStyle w:val="Point1"/>
        <w:rPr>
          <w:noProof/>
        </w:rPr>
      </w:pPr>
      <w:r w:rsidRPr="00D91062">
        <w:rPr>
          <w:noProof/>
        </w:rPr>
        <w:t>(b)</w:t>
      </w:r>
      <w:r w:rsidRPr="00D91062">
        <w:rPr>
          <w:noProof/>
        </w:rPr>
        <w:tab/>
        <w:t>punerea în aplicare a unei noi măsuri tehnice de punere în aplicare adoptate în conformitate cu articolul 4 din Decizia nr. 676/2002/CE;</w:t>
      </w:r>
    </w:p>
    <w:p w14:paraId="59920303" w14:textId="77777777" w:rsidR="00D664CB" w:rsidRPr="00D91062" w:rsidRDefault="00D664CB" w:rsidP="006A6914">
      <w:pPr>
        <w:pStyle w:val="Point1"/>
        <w:rPr>
          <w:noProof/>
        </w:rPr>
      </w:pPr>
      <w:r w:rsidRPr="00D91062">
        <w:rPr>
          <w:noProof/>
        </w:rPr>
        <w:t>(c)</w:t>
      </w:r>
      <w:r w:rsidRPr="00D91062">
        <w:rPr>
          <w:noProof/>
        </w:rPr>
        <w:tab/>
        <w:t>neaplicarea de către titularul său a uneia dintre condițiile aferente dreptului de utilizare în cauză;</w:t>
      </w:r>
    </w:p>
    <w:p w14:paraId="518A6CB2" w14:textId="77777777" w:rsidR="00D664CB" w:rsidRPr="00D91062" w:rsidRDefault="00D664CB" w:rsidP="006A6914">
      <w:pPr>
        <w:pStyle w:val="Point1"/>
        <w:rPr>
          <w:noProof/>
        </w:rPr>
      </w:pPr>
      <w:r w:rsidRPr="00D91062">
        <w:rPr>
          <w:noProof/>
        </w:rPr>
        <w:t>(d)</w:t>
      </w:r>
      <w:r w:rsidRPr="00D91062">
        <w:rPr>
          <w:noProof/>
        </w:rPr>
        <w:tab/>
        <w:t>necesitatea de a promova concurența sau de a evita orice denaturare a acesteia;</w:t>
      </w:r>
    </w:p>
    <w:p w14:paraId="4678C400" w14:textId="77777777" w:rsidR="00D664CB" w:rsidRPr="00D91062" w:rsidRDefault="00D664CB" w:rsidP="006A6914">
      <w:pPr>
        <w:pStyle w:val="Point1"/>
        <w:rPr>
          <w:noProof/>
        </w:rPr>
      </w:pPr>
      <w:r w:rsidRPr="00D91062">
        <w:rPr>
          <w:noProof/>
        </w:rPr>
        <w:t>(e)</w:t>
      </w:r>
      <w:r w:rsidRPr="00D91062">
        <w:rPr>
          <w:noProof/>
        </w:rPr>
        <w:tab/>
        <w:t>necesitatea de a spori gradul de eficiență a utilizării spectrului de frecvențe radio, având în vedere evoluția tehnologică sau evoluția pieței;</w:t>
      </w:r>
    </w:p>
    <w:p w14:paraId="22041DF3" w14:textId="77777777" w:rsidR="00D664CB" w:rsidRPr="00D91062" w:rsidRDefault="00D664CB" w:rsidP="006A6914">
      <w:pPr>
        <w:pStyle w:val="Point1"/>
        <w:rPr>
          <w:noProof/>
        </w:rPr>
      </w:pPr>
      <w:r w:rsidRPr="00D91062">
        <w:rPr>
          <w:noProof/>
        </w:rPr>
        <w:t>(f)</w:t>
      </w:r>
      <w:r w:rsidRPr="00D91062">
        <w:rPr>
          <w:noProof/>
        </w:rPr>
        <w:tab/>
        <w:t>evoluția semnificativă a valorii spectrului.</w:t>
      </w:r>
    </w:p>
    <w:p w14:paraId="12FDC6FA" w14:textId="77777777" w:rsidR="00D664CB" w:rsidRPr="00D91062" w:rsidRDefault="00D664CB" w:rsidP="004E5D44">
      <w:pPr>
        <w:pStyle w:val="ManualNumPar1"/>
        <w:rPr>
          <w:noProof/>
          <w:szCs w:val="24"/>
        </w:rPr>
      </w:pPr>
      <w:r w:rsidRPr="00D91062">
        <w:rPr>
          <w:noProof/>
        </w:rPr>
        <w:t>(5)</w:t>
      </w:r>
      <w:r w:rsidRPr="00D91062">
        <w:rPr>
          <w:noProof/>
        </w:rPr>
        <w:tab/>
        <w:t>Decizia de reînnoire trebuie să fie însoțită de o revizuire a taxelor anuale și a contribuțiilor financiare unice pentru utilizarea benzii MSS de 2 GHz.</w:t>
      </w:r>
    </w:p>
    <w:p w14:paraId="2CC7142D" w14:textId="77777777" w:rsidR="00D664CB" w:rsidRPr="00D91062" w:rsidRDefault="00D664CB" w:rsidP="004E5D44">
      <w:pPr>
        <w:pStyle w:val="Titrearticle"/>
        <w:rPr>
          <w:noProof/>
        </w:rPr>
      </w:pPr>
      <w:r w:rsidRPr="00D91062">
        <w:rPr>
          <w:noProof/>
        </w:rPr>
        <w:t>Articolul 17</w:t>
      </w:r>
    </w:p>
    <w:p w14:paraId="6C5DD464" w14:textId="77777777" w:rsidR="00D664CB" w:rsidRPr="00D91062" w:rsidRDefault="00D664CB" w:rsidP="004E5D44">
      <w:pPr>
        <w:pStyle w:val="NormalCentered"/>
        <w:rPr>
          <w:b/>
          <w:bCs/>
          <w:noProof/>
        </w:rPr>
      </w:pPr>
      <w:r w:rsidRPr="00D91062">
        <w:rPr>
          <w:b/>
          <w:noProof/>
        </w:rPr>
        <w:t>Transferul și închirierea drepturilor de utilizare</w:t>
      </w:r>
    </w:p>
    <w:p w14:paraId="66A9FC8F" w14:textId="77777777" w:rsidR="00D664CB" w:rsidRPr="00D91062" w:rsidRDefault="00D664CB" w:rsidP="006A6914">
      <w:pPr>
        <w:pStyle w:val="ManualNumPar1"/>
        <w:rPr>
          <w:noProof/>
        </w:rPr>
      </w:pPr>
      <w:r w:rsidRPr="00D91062">
        <w:rPr>
          <w:noProof/>
        </w:rPr>
        <w:t>(1)</w:t>
      </w:r>
      <w:r w:rsidRPr="00D91062">
        <w:rPr>
          <w:noProof/>
        </w:rPr>
        <w:tab/>
        <w:t>Drepturile de utilizare a sistemelor MSS comerciale pot fi transferate numai întreprinderilor care îndeplinesc criteriile de admisibilitate și eligibilitate și condițiile de autorizare.</w:t>
      </w:r>
    </w:p>
    <w:p w14:paraId="224ADA16" w14:textId="77777777" w:rsidR="00D664CB" w:rsidRPr="00D91062" w:rsidRDefault="00D664CB" w:rsidP="006A6914">
      <w:pPr>
        <w:pStyle w:val="ManualNumPar1"/>
        <w:rPr>
          <w:noProof/>
        </w:rPr>
      </w:pPr>
      <w:r w:rsidRPr="00D91062">
        <w:rPr>
          <w:noProof/>
        </w:rPr>
        <w:t>(2)</w:t>
      </w:r>
      <w:r w:rsidRPr="00D91062">
        <w:rPr>
          <w:noProof/>
        </w:rPr>
        <w:tab/>
        <w:t>Drepturile de utilizare pentru furnizarea de sisteme MSS/hibride securizate nu pot fi transferate.</w:t>
      </w:r>
    </w:p>
    <w:p w14:paraId="2C9D3331" w14:textId="77777777" w:rsidR="00D664CB" w:rsidRPr="00D91062" w:rsidRDefault="00D664CB" w:rsidP="006A6914">
      <w:pPr>
        <w:pStyle w:val="ManualNumPar1"/>
        <w:rPr>
          <w:noProof/>
        </w:rPr>
      </w:pPr>
      <w:r w:rsidRPr="00D91062">
        <w:rPr>
          <w:noProof/>
        </w:rPr>
        <w:t>(3)</w:t>
      </w:r>
      <w:r w:rsidRPr="00D91062">
        <w:rPr>
          <w:noProof/>
        </w:rPr>
        <w:tab/>
        <w:t>Titularul drepturilor de utilizare a sistemelor MSS comerciale trebuie să notifice Comisiei intenția sa de a transfera sau de a închiria oricare dintre drepturile de utilizare a blocurilor benzii MSS de 2 GHz, precum și data intrării în vigoare și condițiile aferente, iar Comisia face publice aceste informații.</w:t>
      </w:r>
    </w:p>
    <w:p w14:paraId="25C1B74B" w14:textId="77777777" w:rsidR="00D664CB" w:rsidRPr="00D91062" w:rsidRDefault="00D664CB" w:rsidP="006A6914">
      <w:pPr>
        <w:pStyle w:val="ManualNumPar1"/>
        <w:rPr>
          <w:noProof/>
        </w:rPr>
      </w:pPr>
      <w:r w:rsidRPr="00D91062">
        <w:rPr>
          <w:noProof/>
        </w:rPr>
        <w:lastRenderedPageBreak/>
        <w:t>(4)</w:t>
      </w:r>
      <w:r w:rsidRPr="00D91062">
        <w:rPr>
          <w:noProof/>
        </w:rPr>
        <w:tab/>
        <w:t>Comisia ia decizia de a autoriza transferul sau închirierea drepturilor de utilizare a unui sistem mobil comercial de comunicații prin satelit, cu excepția cazului în care:</w:t>
      </w:r>
    </w:p>
    <w:p w14:paraId="13A17F95" w14:textId="77777777" w:rsidR="00D664CB" w:rsidRPr="00D91062" w:rsidRDefault="00D664CB" w:rsidP="006A6914">
      <w:pPr>
        <w:pStyle w:val="Point1"/>
        <w:rPr>
          <w:noProof/>
        </w:rPr>
      </w:pPr>
      <w:r w:rsidRPr="00D91062">
        <w:rPr>
          <w:noProof/>
        </w:rPr>
        <w:t>(a)</w:t>
      </w:r>
      <w:r w:rsidRPr="00D91062">
        <w:rPr>
          <w:noProof/>
        </w:rPr>
        <w:tab/>
        <w:t>există un risc de denaturare a concurenței;</w:t>
      </w:r>
    </w:p>
    <w:p w14:paraId="35A8279C" w14:textId="77777777" w:rsidR="00D664CB" w:rsidRPr="00D91062" w:rsidRDefault="00D664CB" w:rsidP="006A6914">
      <w:pPr>
        <w:pStyle w:val="Point1"/>
        <w:rPr>
          <w:noProof/>
        </w:rPr>
      </w:pPr>
      <w:r w:rsidRPr="00D91062">
        <w:rPr>
          <w:noProof/>
        </w:rPr>
        <w:t>(b)</w:t>
      </w:r>
      <w:r w:rsidRPr="00D91062">
        <w:rPr>
          <w:noProof/>
        </w:rPr>
        <w:tab/>
        <w:t>există riscul ca noul utilizator să nu poată îndeplini criteriile de admisibilitate și eligibilitate sau condițiile de autorizare sau angajamentele asumate de titularul inițial al dreptului de utilizare în cursul procedurii de selecție;</w:t>
      </w:r>
    </w:p>
    <w:p w14:paraId="0F045328" w14:textId="77777777" w:rsidR="00D664CB" w:rsidRPr="00D91062" w:rsidRDefault="00D664CB" w:rsidP="006A6914">
      <w:pPr>
        <w:pStyle w:val="Point1"/>
        <w:rPr>
          <w:noProof/>
        </w:rPr>
      </w:pPr>
      <w:r w:rsidRPr="00D91062">
        <w:rPr>
          <w:noProof/>
        </w:rPr>
        <w:t>(c)</w:t>
      </w:r>
      <w:r w:rsidRPr="00D91062">
        <w:rPr>
          <w:noProof/>
        </w:rPr>
        <w:tab/>
        <w:t>există un risc pentru suveranitatea, reziliența, securitatea sau apărarea Uniunii;</w:t>
      </w:r>
    </w:p>
    <w:p w14:paraId="33F6E3F3" w14:textId="77777777" w:rsidR="00D664CB" w:rsidRPr="00D91062" w:rsidRDefault="00D664CB" w:rsidP="006A6914">
      <w:pPr>
        <w:pStyle w:val="Point1"/>
        <w:rPr>
          <w:noProof/>
        </w:rPr>
      </w:pPr>
      <w:r w:rsidRPr="00D91062">
        <w:rPr>
          <w:noProof/>
        </w:rPr>
        <w:t>(d)</w:t>
      </w:r>
      <w:r w:rsidRPr="00D91062">
        <w:rPr>
          <w:noProof/>
        </w:rPr>
        <w:tab/>
        <w:t>există un risc semnificativ de perturbare a continuității serviciului sau de utilizare ineficientă a spectrului;</w:t>
      </w:r>
    </w:p>
    <w:p w14:paraId="2193A085" w14:textId="77777777" w:rsidR="009F11A6" w:rsidRPr="00D91062" w:rsidRDefault="007E2A07" w:rsidP="006A6914">
      <w:pPr>
        <w:pStyle w:val="Point1"/>
        <w:rPr>
          <w:noProof/>
        </w:rPr>
      </w:pPr>
      <w:r w:rsidRPr="00D91062">
        <w:rPr>
          <w:noProof/>
        </w:rPr>
        <w:t>(e)</w:t>
      </w:r>
      <w:r w:rsidRPr="00D91062">
        <w:rPr>
          <w:noProof/>
        </w:rPr>
        <w:tab/>
        <w:t>plafonul de frecvențe prevăzut la articolul 4 alineatul (3) este deja atins.</w:t>
      </w:r>
    </w:p>
    <w:p w14:paraId="3781CD7B" w14:textId="77777777" w:rsidR="00D664CB" w:rsidRPr="00D91062" w:rsidRDefault="00D664CB" w:rsidP="004E5D44">
      <w:pPr>
        <w:pStyle w:val="ManualNumPar1"/>
        <w:rPr>
          <w:noProof/>
        </w:rPr>
      </w:pPr>
      <w:r w:rsidRPr="00D91062">
        <w:rPr>
          <w:noProof/>
        </w:rPr>
        <w:t>(5)</w:t>
      </w:r>
      <w:r w:rsidRPr="00D91062">
        <w:rPr>
          <w:noProof/>
        </w:rPr>
        <w:tab/>
        <w:t>De la data transferului sau a închirierii, cesionarul sau locatarul este obligat să respecte condițiile inițiale aferente dreptului de utilizare, precum și angajamentele asumate de titularul inițial al dreptului de utilizare în cursul procedurii de selecție. Dreptul de utilizare nu se utilizează pentru furnizarea către utilizatorii finali a unui serviciu diferit de serviciul prevăzut inițial în cerere, cu excepția cazului în care acest lucru este autorizat de Comisie.</w:t>
      </w:r>
    </w:p>
    <w:p w14:paraId="09B4C63F" w14:textId="57ED6AB3" w:rsidR="00D664CB" w:rsidRPr="00D91062" w:rsidRDefault="00D664CB" w:rsidP="004E5D44">
      <w:pPr>
        <w:pStyle w:val="ManualNumPar1"/>
        <w:rPr>
          <w:noProof/>
        </w:rPr>
      </w:pPr>
      <w:r w:rsidRPr="00D91062">
        <w:rPr>
          <w:noProof/>
        </w:rPr>
        <w:t>(6)</w:t>
      </w:r>
      <w:r w:rsidRPr="00D91062">
        <w:rPr>
          <w:noProof/>
        </w:rPr>
        <w:tab/>
        <w:t>Orice acord care implică schimbarea controlului asupra unei întreprinderi selectate trebuie să fie notificat Comisiei înainte de a intra în vigoare și se supune aprobării Comisiei. Comisia retrage dreptul de utilizare în cazul în care, ca urmare a modificării controlului, oricare dintre cerințele sau criteriile prevăzute la articolele</w:t>
      </w:r>
      <w:r w:rsidR="003F69E7">
        <w:rPr>
          <w:noProof/>
        </w:rPr>
        <w:t> </w:t>
      </w:r>
      <w:r w:rsidRPr="00D91062">
        <w:rPr>
          <w:noProof/>
        </w:rPr>
        <w:t>6</w:t>
      </w:r>
      <w:r w:rsidR="003F69E7">
        <w:rPr>
          <w:noProof/>
        </w:rPr>
        <w:t>­</w:t>
      </w:r>
      <w:r w:rsidRPr="00D91062">
        <w:rPr>
          <w:noProof/>
        </w:rPr>
        <w:t>12, după caz, nu mai sunt îndeplinite.</w:t>
      </w:r>
    </w:p>
    <w:p w14:paraId="77261B33" w14:textId="77777777" w:rsidR="00D664CB" w:rsidRPr="00D91062" w:rsidRDefault="00D664CB" w:rsidP="004E5D44">
      <w:pPr>
        <w:pStyle w:val="Titrearticle"/>
        <w:rPr>
          <w:noProof/>
        </w:rPr>
      </w:pPr>
      <w:r w:rsidRPr="00D91062">
        <w:rPr>
          <w:noProof/>
        </w:rPr>
        <w:t>Articolul 18</w:t>
      </w:r>
    </w:p>
    <w:p w14:paraId="0BEE7C33" w14:textId="77777777" w:rsidR="00D664CB" w:rsidRPr="00D91062" w:rsidRDefault="00D664CB" w:rsidP="004E5D44">
      <w:pPr>
        <w:pStyle w:val="NormalCentered"/>
        <w:rPr>
          <w:b/>
          <w:bCs/>
          <w:noProof/>
        </w:rPr>
      </w:pPr>
      <w:r w:rsidRPr="00D91062">
        <w:rPr>
          <w:b/>
          <w:noProof/>
        </w:rPr>
        <w:t>Contribuții și taxe pentru drepturile de utilizare a benzii MSS de 2 GHz</w:t>
      </w:r>
    </w:p>
    <w:p w14:paraId="571F6FFE" w14:textId="77777777" w:rsidR="00D664CB" w:rsidRPr="00D91062" w:rsidRDefault="00D664CB" w:rsidP="006A6914">
      <w:pPr>
        <w:pStyle w:val="ManualNumPar1"/>
        <w:rPr>
          <w:noProof/>
        </w:rPr>
      </w:pPr>
      <w:r w:rsidRPr="00D91062">
        <w:rPr>
          <w:noProof/>
        </w:rPr>
        <w:t>(1)</w:t>
      </w:r>
      <w:r w:rsidRPr="00D91062">
        <w:rPr>
          <w:noProof/>
        </w:rPr>
        <w:tab/>
        <w:t>Titularul unui drept de utilizare a benzii MSS de 2 GHz trebuie să plătească o contribuție financiară unică care reflectă valoarea dreptului pentru solicitant și asigură alocarea eficientă a spectrului. Cuantumul propus al contribuției trebuie specificat în cerere. La cerere, Comisia poate permite ca plata contribuției financiare unice să fie efectuată în tranșe.</w:t>
      </w:r>
    </w:p>
    <w:p w14:paraId="6C183757" w14:textId="77777777" w:rsidR="00D664CB" w:rsidRPr="00D91062" w:rsidRDefault="00D664CB" w:rsidP="006A6914">
      <w:pPr>
        <w:pStyle w:val="ManualNumPar1"/>
        <w:rPr>
          <w:noProof/>
        </w:rPr>
      </w:pPr>
      <w:r w:rsidRPr="00D91062">
        <w:rPr>
          <w:noProof/>
        </w:rPr>
        <w:t>(2)</w:t>
      </w:r>
      <w:r w:rsidRPr="00D91062">
        <w:rPr>
          <w:noProof/>
        </w:rPr>
        <w:tab/>
        <w:t>Comisia stabilește nivelul minim al contribuției financiare unice, pentru a asigura alocarea eficientă a benzii MSS de 2 GHz, precum și investițiile și implementarea eficace a sistemelor și serviciilor mobile de comunicații prin satelit. Solicitanții trebuie să ia în considerare acest nivel minim în cererile lor. Nivelul minim al contribuției unice poate fi diferit pentru sistemele MSS comerciale și pentru sistemul MSS hibrid securizat.</w:t>
      </w:r>
    </w:p>
    <w:p w14:paraId="780FFD29" w14:textId="77777777" w:rsidR="00D664CB" w:rsidRPr="00D91062" w:rsidRDefault="00D664CB" w:rsidP="006A6914">
      <w:pPr>
        <w:pStyle w:val="ManualNumPar1"/>
        <w:rPr>
          <w:noProof/>
        </w:rPr>
      </w:pPr>
      <w:r w:rsidRPr="00D91062">
        <w:rPr>
          <w:noProof/>
        </w:rPr>
        <w:t>(3)</w:t>
      </w:r>
      <w:r w:rsidRPr="00D91062">
        <w:rPr>
          <w:noProof/>
        </w:rPr>
        <w:tab/>
        <w:t xml:space="preserve">Comisia colectează contribuțiile financiare unice printr-o decizie care poate fi adresată solicitanților selectați. Cuantumul total al tuturor contribuțiilor financiare unice se alocă pentru a sprijini obiectivele poziției de lider în domeniul digital în temeiul Regulamentului (UE) [ref] de instituire a Fondului european pentru competitivitate </w:t>
      </w:r>
      <w:r w:rsidRPr="00D91062">
        <w:rPr>
          <w:noProof/>
          <w:vertAlign w:val="superscript"/>
        </w:rPr>
        <w:t xml:space="preserve">[nota de subsol] </w:t>
      </w:r>
      <w:r w:rsidRPr="00D91062">
        <w:rPr>
          <w:noProof/>
        </w:rPr>
        <w:t xml:space="preserve">sau al regulamentelor care îi vor succeda. Contribuția financiară unică constituie venituri alocate externe în conformitate cu articolul [5 alineatul (1)] din Regulamentul (UE) [XXX] al Parlamentului European și al </w:t>
      </w:r>
      <w:r w:rsidRPr="00D91062">
        <w:rPr>
          <w:noProof/>
        </w:rPr>
        <w:lastRenderedPageBreak/>
        <w:t>Consiliului de instituire a Fondului european pentru competitivitate și cu articolul 21 alineatul (5) din Regulamentul (UE, Euratom) 2024/2509</w:t>
      </w:r>
      <w:r w:rsidRPr="00D91062">
        <w:rPr>
          <w:rStyle w:val="FootnoteReference"/>
          <w:noProof/>
          <w:lang w:eastAsia="en-IE"/>
        </w:rPr>
        <w:footnoteReference w:id="37"/>
      </w:r>
      <w:r w:rsidRPr="00D91062">
        <w:rPr>
          <w:noProof/>
        </w:rPr>
        <w:t>.</w:t>
      </w:r>
    </w:p>
    <w:p w14:paraId="18701824" w14:textId="77777777" w:rsidR="00F50238" w:rsidRPr="00D91062" w:rsidRDefault="00D664CB" w:rsidP="009A2BEE">
      <w:pPr>
        <w:pStyle w:val="ManualNumPar1"/>
        <w:rPr>
          <w:noProof/>
        </w:rPr>
      </w:pPr>
      <w:r w:rsidRPr="00D91062">
        <w:rPr>
          <w:noProof/>
        </w:rPr>
        <w:t>(4)</w:t>
      </w:r>
      <w:r w:rsidRPr="00D91062">
        <w:rPr>
          <w:noProof/>
        </w:rPr>
        <w:tab/>
        <w:t>Toți titularii de drepturi de utilizare a benzii MSS de 2 GHz trebuie să plătească o taxă anuală. Comisia stabilește taxele anuale pentru fiecare bloc de frecvențe sau părți ale acestuia astfel încât să reflecte valoarea reală a dreptului de utilizare pentru a contribui la utilizarea eficientă a benzii MSS de 2 GHz. Taxele anuale trebuie să acopere cel puțin costurile legate de gestionarea, controlul și asigurarea respectării autorizației generale, a procedurilor privind spectrul de frecvențe radio și a măsurilor de autorizare la nivelul Uniunii, inclusiv costurile aferente condițiilor de autorizare, monitorizării și conformității, precum și costurile suportate de orice organism al Uniunii care sprijină Comisia în gestionarea spectrului de frecvențe radio.</w:t>
      </w:r>
    </w:p>
    <w:p w14:paraId="1F5AD580" w14:textId="6008CF06" w:rsidR="00D664CB" w:rsidRPr="00D91062" w:rsidRDefault="00D664CB" w:rsidP="006A6914">
      <w:pPr>
        <w:pStyle w:val="ManualNumPar1"/>
        <w:rPr>
          <w:noProof/>
        </w:rPr>
      </w:pPr>
      <w:r w:rsidRPr="00D91062">
        <w:rPr>
          <w:noProof/>
        </w:rPr>
        <w:t>(5)</w:t>
      </w:r>
      <w:r w:rsidRPr="00D91062">
        <w:rPr>
          <w:noProof/>
        </w:rPr>
        <w:tab/>
        <w:t>Comisia sau orice organism al Uniunii care sprijină Comisia în gestionarea spectrului colectează taxele anuale, astfel cum se prevede în una sau mai multe decizii care pot fi adresate titularilor selectați. Veniturile generate de taxele anuale constituie venituri</w:t>
      </w:r>
      <w:r w:rsidR="002D79FA">
        <w:rPr>
          <w:noProof/>
        </w:rPr>
        <w:t> </w:t>
      </w:r>
      <w:r w:rsidRPr="00D91062">
        <w:rPr>
          <w:noProof/>
        </w:rPr>
        <w:t>alocate externe în conformitate cu articolul 21 alineatul (5) din Regulamentul (UE, Euratom) 2024/2509. Veniturile respective se alocă pentru a acoperi costurile administrative estimate legate de gestionarea, controlul și asigurarea respectării autorizației generale, precum și de procedurile privind spectrul de frecvențe radio și măsurile de autorizare la nivelul Uniunii, inclusiv monitorizarea și conformitatea. Eventualele venituri rămase după acoperirea acestor costuri se alocă bugetului Uniunii.</w:t>
      </w:r>
    </w:p>
    <w:p w14:paraId="7ABD60B8" w14:textId="77777777" w:rsidR="00D664CB" w:rsidRPr="00D91062" w:rsidRDefault="00D664CB" w:rsidP="006A6914">
      <w:pPr>
        <w:pStyle w:val="ManualNumPar1"/>
        <w:rPr>
          <w:noProof/>
        </w:rPr>
      </w:pPr>
      <w:r w:rsidRPr="00D91062">
        <w:rPr>
          <w:noProof/>
        </w:rPr>
        <w:t>(6)</w:t>
      </w:r>
      <w:r w:rsidRPr="00D91062">
        <w:rPr>
          <w:noProof/>
        </w:rPr>
        <w:tab/>
        <w:t>Până la [</w:t>
      </w:r>
      <w:r w:rsidRPr="00D91062">
        <w:rPr>
          <w:i/>
          <w:noProof/>
        </w:rPr>
        <w:t>12 luni de la data intrării în vigoare a prezentului regulament</w:t>
      </w:r>
      <w:r w:rsidRPr="00D91062">
        <w:rPr>
          <w:noProof/>
        </w:rPr>
        <w:t>], Comisia stabilește, printr-un act delegat, metodologia de stabilire a nivelurilor minime ale contribuției financiare unice și a cuantumului taxelor anuale, precum și alte detalii relevante referitoare la stabilirea, colectarea, revizuirea, alocarea și, dacă este necesar, gestionarea fondurilor. Actul delegat trebuie să precizeze, de asemenea, tratamentul bugetar exact al Uniunii aplicat veniturilor și tipul de alocare a acestora pentru o anumită cheltuială.</w:t>
      </w:r>
    </w:p>
    <w:p w14:paraId="4E346F26" w14:textId="77777777" w:rsidR="00DC6A95" w:rsidRPr="00D91062" w:rsidRDefault="00D664CB" w:rsidP="006A6914">
      <w:pPr>
        <w:pStyle w:val="ManualNumPar1"/>
        <w:rPr>
          <w:noProof/>
        </w:rPr>
      </w:pPr>
      <w:r w:rsidRPr="00D91062">
        <w:rPr>
          <w:noProof/>
        </w:rPr>
        <w:t>(7)</w:t>
      </w:r>
      <w:r w:rsidRPr="00D91062">
        <w:rPr>
          <w:noProof/>
        </w:rPr>
        <w:tab/>
        <w:t>Comisia stabilește, prin intermediul unor acte de punere în aplicare, nivelul taxei anuale și nivelurile minime ale contribuției financiare unice, ținând seama de metodologia menționată la alineatul (6). Aceste acte de punere în aplicare se adoptă în conformitate cu procedura menționată la articolul 22 alineatul (3).</w:t>
      </w:r>
    </w:p>
    <w:p w14:paraId="219C1ADB" w14:textId="77777777" w:rsidR="00D664CB" w:rsidRPr="00D91062" w:rsidRDefault="00D664CB" w:rsidP="004E5D44">
      <w:pPr>
        <w:pStyle w:val="Titrearticle"/>
        <w:rPr>
          <w:noProof/>
        </w:rPr>
      </w:pPr>
      <w:r w:rsidRPr="00D91062">
        <w:rPr>
          <w:noProof/>
        </w:rPr>
        <w:t>Articolul 19</w:t>
      </w:r>
    </w:p>
    <w:p w14:paraId="7CBEFA2E" w14:textId="77777777" w:rsidR="00D664CB" w:rsidRPr="00D91062" w:rsidRDefault="00D664CB" w:rsidP="004E5D44">
      <w:pPr>
        <w:pStyle w:val="NormalCentered"/>
        <w:rPr>
          <w:b/>
          <w:bCs/>
          <w:noProof/>
        </w:rPr>
      </w:pPr>
      <w:r w:rsidRPr="00D91062">
        <w:rPr>
          <w:b/>
          <w:noProof/>
        </w:rPr>
        <w:t>Monitorizare și asigurarea respectării normelor</w:t>
      </w:r>
    </w:p>
    <w:p w14:paraId="4590A082" w14:textId="77777777" w:rsidR="00D664CB" w:rsidRPr="00D91062" w:rsidRDefault="00D664CB" w:rsidP="006A6914">
      <w:pPr>
        <w:pStyle w:val="ManualNumPar1"/>
        <w:rPr>
          <w:noProof/>
          <w:color w:val="333333"/>
        </w:rPr>
      </w:pPr>
      <w:r w:rsidRPr="00D91062">
        <w:rPr>
          <w:noProof/>
        </w:rPr>
        <w:t>(1)</w:t>
      </w:r>
      <w:r w:rsidRPr="00D91062">
        <w:rPr>
          <w:noProof/>
        </w:rPr>
        <w:tab/>
        <w:t xml:space="preserve">Comisia și statele membre [care colaborează în cadrul comitetului și al RSPG] monitorizează conformitatea titularilor autorizațiilor Uniunii pentru drepturile de utilizare a benzii MSS de 2 GHz cu condițiile relevante în conformitate cu articolul 13 alineatul (5), al articolului 14 alineatul (1) și al articolului 15 alineatul (1), precum și cu dreptul Uniunii și cu reglementările radio ale UIT aplicabile și </w:t>
      </w:r>
      <w:r w:rsidRPr="00D91062">
        <w:rPr>
          <w:noProof/>
          <w:color w:val="333333"/>
        </w:rPr>
        <w:t>iau măsurile corespunzătoare pentru a remedia orice neconformitate.</w:t>
      </w:r>
    </w:p>
    <w:p w14:paraId="586A8759" w14:textId="77777777" w:rsidR="00D664CB" w:rsidRPr="00D91062" w:rsidRDefault="00D664CB" w:rsidP="004E5D44">
      <w:pPr>
        <w:pStyle w:val="Text1"/>
        <w:rPr>
          <w:noProof/>
          <w:color w:val="333333"/>
        </w:rPr>
      </w:pPr>
      <w:r w:rsidRPr="00D91062">
        <w:rPr>
          <w:noProof/>
        </w:rPr>
        <w:t xml:space="preserve">Comisia stabilește, prin intermediul unor acte de punere în aplicare, mecanisme detaliate pentru monitorizarea coordonată și asigurarea respectării autorizațiilor Uniunii pentru banda MSS de 2 GHz. Respectivele acte de punere în aplicare se </w:t>
      </w:r>
      <w:r w:rsidRPr="00D91062">
        <w:rPr>
          <w:noProof/>
        </w:rPr>
        <w:lastRenderedPageBreak/>
        <w:t>adoptă în conformitate cu procedura de consultare menționată la articolul 22 alineatul (2).</w:t>
      </w:r>
    </w:p>
    <w:p w14:paraId="09D73F4C" w14:textId="77777777" w:rsidR="00D664CB" w:rsidRPr="00D91062" w:rsidRDefault="00D664CB" w:rsidP="006A6914">
      <w:pPr>
        <w:pStyle w:val="ManualNumPar1"/>
        <w:rPr>
          <w:noProof/>
        </w:rPr>
      </w:pPr>
      <w:r w:rsidRPr="00D91062">
        <w:rPr>
          <w:noProof/>
        </w:rPr>
        <w:t>(2)</w:t>
      </w:r>
      <w:r w:rsidRPr="00D91062">
        <w:rPr>
          <w:noProof/>
        </w:rPr>
        <w:tab/>
        <w:t>Comisia examinează orice presupusă încălcare specifică a unei condiții a unei autorizații a Uniunii sau a oricărei dispoziții din prezentul regulament. RSPG asistă Comisia în examinarea acestora.</w:t>
      </w:r>
    </w:p>
    <w:p w14:paraId="21A3F18C" w14:textId="77777777" w:rsidR="00D664CB" w:rsidRPr="00D91062" w:rsidRDefault="00D664CB" w:rsidP="004E5D44">
      <w:pPr>
        <w:pStyle w:val="Text1"/>
        <w:rPr>
          <w:noProof/>
        </w:rPr>
      </w:pPr>
      <w:r w:rsidRPr="00D91062">
        <w:rPr>
          <w:noProof/>
        </w:rPr>
        <w:t>În cazul în care o autoritate națională competentă consideră că un titular al unei autorizații a Uniunii nu respectă oricare dintre condițiile de autorizare pentru spectru sau orice dispoziție a prezentului regulament, aceasta aduce chestiunea în atenția Comisiei și a RSPG.</w:t>
      </w:r>
    </w:p>
    <w:p w14:paraId="29763E69" w14:textId="2DE692B1" w:rsidR="00D664CB" w:rsidRPr="00D91062" w:rsidRDefault="00D664CB" w:rsidP="004E5D44">
      <w:pPr>
        <w:pStyle w:val="Text1"/>
        <w:rPr>
          <w:noProof/>
        </w:rPr>
      </w:pPr>
      <w:r w:rsidRPr="00D91062">
        <w:rPr>
          <w:noProof/>
        </w:rPr>
        <w:t>În cazul în care Comisia constată că titularul unei autorizații a Uniunii nu respectă oricare dintre condițiile prevăzute la articolul 13 alineatul (5), la articolul 14 alineatul</w:t>
      </w:r>
      <w:r w:rsidR="002D79FA">
        <w:rPr>
          <w:noProof/>
        </w:rPr>
        <w:t> </w:t>
      </w:r>
      <w:r w:rsidRPr="00D91062">
        <w:rPr>
          <w:noProof/>
        </w:rPr>
        <w:t>(1) sau la articolul 15 alineatul (1), aceasta informează entitatea respectivă cu privire la constatările sale.</w:t>
      </w:r>
    </w:p>
    <w:p w14:paraId="3844FE9D" w14:textId="77777777" w:rsidR="00D664CB" w:rsidRPr="00D91062" w:rsidRDefault="00D664CB" w:rsidP="006A6914">
      <w:pPr>
        <w:pStyle w:val="ManualNumPar1"/>
        <w:rPr>
          <w:noProof/>
        </w:rPr>
      </w:pPr>
      <w:r w:rsidRPr="00D91062">
        <w:rPr>
          <w:noProof/>
        </w:rPr>
        <w:t>(3)</w:t>
      </w:r>
      <w:r w:rsidRPr="00D91062">
        <w:rPr>
          <w:noProof/>
        </w:rPr>
        <w:tab/>
        <w:t xml:space="preserve">În cazul încălcării condițiilor prevăzute la articolul 14 sau 15 din prezentul regulament sau a oricărei alte dispoziții din prezentul regulament, Comisia adoptă, prin intermediul unor acte de punere în aplicare, </w:t>
      </w:r>
      <w:bookmarkStart w:id="6" w:name="_Hlk228962174"/>
      <w:r w:rsidRPr="00D91062">
        <w:rPr>
          <w:noProof/>
        </w:rPr>
        <w:t xml:space="preserve">măsuri corective </w:t>
      </w:r>
      <w:bookmarkEnd w:id="6"/>
      <w:r w:rsidRPr="00D91062">
        <w:rPr>
          <w:noProof/>
        </w:rPr>
        <w:t>adecvate și proporționale. Aceste măsuri corective pot include, în special:</w:t>
      </w:r>
    </w:p>
    <w:p w14:paraId="49E896EA" w14:textId="77777777" w:rsidR="00D664CB" w:rsidRPr="00D91062" w:rsidRDefault="00D664CB" w:rsidP="006A6914">
      <w:pPr>
        <w:pStyle w:val="Point1"/>
        <w:rPr>
          <w:noProof/>
        </w:rPr>
      </w:pPr>
      <w:r w:rsidRPr="00D91062">
        <w:rPr>
          <w:noProof/>
        </w:rPr>
        <w:t>(a)</w:t>
      </w:r>
      <w:r w:rsidRPr="00D91062">
        <w:rPr>
          <w:noProof/>
        </w:rPr>
        <w:tab/>
        <w:t>interzicerea temporară sau permanentă a utilizării anumitor blocuri din banda MSS de 2 GHz pentru componente terestre și aeriene complementare prin satelit în Uniune;</w:t>
      </w:r>
    </w:p>
    <w:p w14:paraId="7AF26C97" w14:textId="77777777" w:rsidR="00D664CB" w:rsidRPr="00D91062" w:rsidRDefault="00D664CB" w:rsidP="006A6914">
      <w:pPr>
        <w:pStyle w:val="Point1"/>
        <w:rPr>
          <w:noProof/>
        </w:rPr>
      </w:pPr>
      <w:r w:rsidRPr="00D91062">
        <w:rPr>
          <w:noProof/>
        </w:rPr>
        <w:t>(b)</w:t>
      </w:r>
      <w:r w:rsidRPr="00D91062">
        <w:rPr>
          <w:noProof/>
        </w:rPr>
        <w:tab/>
        <w:t>suspendarea sau retragerea autorizației Uniunii.</w:t>
      </w:r>
    </w:p>
    <w:p w14:paraId="413CD80A" w14:textId="77777777" w:rsidR="00D664CB" w:rsidRPr="00D91062" w:rsidRDefault="00D664CB" w:rsidP="004E5D44">
      <w:pPr>
        <w:pStyle w:val="Text1"/>
        <w:rPr>
          <w:noProof/>
        </w:rPr>
      </w:pPr>
      <w:r w:rsidRPr="00D91062">
        <w:rPr>
          <w:noProof/>
        </w:rPr>
        <w:t>Comisia poate retrage autorizația Uniunii în cazul în care constată că una sau mai multe dintre condițiile enumerate la articolul 14 alineatul (1) și la articolul 15 alineatul (1) nu sunt respectate în mod grav sau persistent. În cazul retragerii unei autorizații a Uniunii, Comisia poate permite utilizarea temporară a spectrului de către orice alt solicitant selectat. Comisia lansează o nouă procedură de selecție în conformitate cu articolul 3 din prezentul regulament pentru reatribuirea spectrului de frecvențe radio care face obiectul retragerii autorizației Uniunii.</w:t>
      </w:r>
    </w:p>
    <w:p w14:paraId="5638C2C9" w14:textId="77777777" w:rsidR="00D664CB" w:rsidRPr="00D91062" w:rsidRDefault="00D664CB" w:rsidP="004E5D44">
      <w:pPr>
        <w:pStyle w:val="Text1"/>
        <w:rPr>
          <w:noProof/>
        </w:rPr>
      </w:pPr>
      <w:r w:rsidRPr="00D91062">
        <w:rPr>
          <w:noProof/>
        </w:rPr>
        <w:t>Actele de punere în aplicare menționate la primul paragraf se adoptă în conformitate cu procedura prevăzută la articolul 22 alineatul (3).</w:t>
      </w:r>
    </w:p>
    <w:p w14:paraId="5A9579FA" w14:textId="001FB386" w:rsidR="00D664CB" w:rsidRPr="00D91062" w:rsidRDefault="00D664CB" w:rsidP="006A6914">
      <w:pPr>
        <w:pStyle w:val="ManualNumPar1"/>
        <w:rPr>
          <w:noProof/>
        </w:rPr>
      </w:pPr>
      <w:r w:rsidRPr="00D91062">
        <w:rPr>
          <w:noProof/>
        </w:rPr>
        <w:t>(4)</w:t>
      </w:r>
      <w:r w:rsidRPr="00D91062">
        <w:rPr>
          <w:noProof/>
        </w:rPr>
        <w:tab/>
        <w:t>Comisia poate impune întreprinderilor amenzi sau penalități cu titlu cominatoriu pentru încălcarea condițiilor de autorizare sau a dispozițiilor prezentului regulament, cu excepția condițiilor prevăzute la articolul 14 alineatul (1) litera (b) și la articolul</w:t>
      </w:r>
      <w:r w:rsidR="002D79FA">
        <w:rPr>
          <w:noProof/>
        </w:rPr>
        <w:t> </w:t>
      </w:r>
      <w:r w:rsidRPr="00D91062">
        <w:rPr>
          <w:noProof/>
        </w:rPr>
        <w:t>15 alineatul (1) litera (f). Aceste amenzi sau penalități cu titlu cominatoriu se stabilesc ținând seama de gravitatea și durata încălcării și nu trebuie să depășească 5 % din cifra de afaceri totală la nivel mondial a titularului autorizației din exercițiul financiar precedent. Amenzile sunt reglementate în conformitate cu articolele 107 și 108 din Regulamentul (UE, Euratom) 2024/2509.</w:t>
      </w:r>
    </w:p>
    <w:p w14:paraId="3375474F" w14:textId="77777777" w:rsidR="00D664CB" w:rsidRPr="00D91062" w:rsidRDefault="00D664CB" w:rsidP="004E5D44">
      <w:pPr>
        <w:pStyle w:val="Text1"/>
        <w:rPr>
          <w:noProof/>
        </w:rPr>
      </w:pPr>
      <w:r w:rsidRPr="00D91062">
        <w:rPr>
          <w:noProof/>
        </w:rPr>
        <w:t>Orice măsură decisă de Comisie în temeiul alineatelor (1) și (2) este pusă în aplicare pe deplin de autoritățile naționale competente și în termenul stabilit de Comisie.</w:t>
      </w:r>
    </w:p>
    <w:p w14:paraId="353D7339" w14:textId="77777777" w:rsidR="00D664CB" w:rsidRPr="00D91062" w:rsidRDefault="00D664CB" w:rsidP="006A6914">
      <w:pPr>
        <w:pStyle w:val="ManualNumPar1"/>
        <w:rPr>
          <w:noProof/>
        </w:rPr>
      </w:pPr>
      <w:r w:rsidRPr="00D91062">
        <w:rPr>
          <w:noProof/>
        </w:rPr>
        <w:t>(5)</w:t>
      </w:r>
      <w:r w:rsidRPr="00D91062">
        <w:rPr>
          <w:noProof/>
        </w:rPr>
        <w:tab/>
        <w:t xml:space="preserve">În pofida alineatelor (1)-(4) de la prezentul articol, în cazul în care taxele și contribuțiile pentru spectrul de frecvențe radio nu au fost plătite și în cazul nerespectării condițiilor prevăzute la articolul 13 alineatele (2) și (5) din prezentul regulament, procedura prevăzută la articolul 30 din Directiva (UE) 2018/1972 se aplică </w:t>
      </w:r>
      <w:r w:rsidRPr="00D91062">
        <w:rPr>
          <w:i/>
          <w:noProof/>
        </w:rPr>
        <w:t>mutatis mutandis</w:t>
      </w:r>
      <w:r w:rsidRPr="00D91062">
        <w:rPr>
          <w:noProof/>
        </w:rPr>
        <w:t>.</w:t>
      </w:r>
    </w:p>
    <w:p w14:paraId="117A1D2A" w14:textId="77777777" w:rsidR="00D664CB" w:rsidRPr="00D91062" w:rsidRDefault="00D664CB" w:rsidP="004E5D44">
      <w:pPr>
        <w:pStyle w:val="PartTitle"/>
        <w:rPr>
          <w:noProof/>
        </w:rPr>
      </w:pPr>
      <w:r w:rsidRPr="00D91062">
        <w:rPr>
          <w:noProof/>
        </w:rPr>
        <w:lastRenderedPageBreak/>
        <w:t>CAPITOLUL IV – DISPOZIȚII FINALE</w:t>
      </w:r>
    </w:p>
    <w:p w14:paraId="14BD845D" w14:textId="77777777" w:rsidR="00D664CB" w:rsidRPr="00D91062" w:rsidRDefault="00D664CB" w:rsidP="004E5D44">
      <w:pPr>
        <w:pStyle w:val="Titrearticle"/>
        <w:rPr>
          <w:noProof/>
        </w:rPr>
      </w:pPr>
      <w:r w:rsidRPr="00D91062">
        <w:rPr>
          <w:noProof/>
        </w:rPr>
        <w:t>Articolul 20</w:t>
      </w:r>
    </w:p>
    <w:p w14:paraId="458BAECA" w14:textId="77777777" w:rsidR="00D664CB" w:rsidRPr="00D91062" w:rsidRDefault="00D664CB" w:rsidP="004E5D44">
      <w:pPr>
        <w:pStyle w:val="NormalCentered"/>
        <w:rPr>
          <w:b/>
          <w:bCs/>
          <w:noProof/>
        </w:rPr>
      </w:pPr>
      <w:r w:rsidRPr="00D91062">
        <w:rPr>
          <w:b/>
          <w:noProof/>
        </w:rPr>
        <w:t>Dispoziții tranzitorii</w:t>
      </w:r>
    </w:p>
    <w:p w14:paraId="1ABD4E68" w14:textId="62009FD4" w:rsidR="00D664CB" w:rsidRPr="00D91062" w:rsidRDefault="00D664CB" w:rsidP="006A6914">
      <w:pPr>
        <w:pStyle w:val="ManualNumPar1"/>
        <w:rPr>
          <w:noProof/>
        </w:rPr>
      </w:pPr>
      <w:r w:rsidRPr="00D91062">
        <w:rPr>
          <w:noProof/>
        </w:rPr>
        <w:t>(1)</w:t>
      </w:r>
      <w:r w:rsidRPr="00D91062">
        <w:rPr>
          <w:noProof/>
        </w:rPr>
        <w:tab/>
        <w:t>Durata drepturilor de utilizare existente acordate în conformitate cu Decizia</w:t>
      </w:r>
      <w:r w:rsidR="002D79FA">
        <w:rPr>
          <w:noProof/>
        </w:rPr>
        <w:t> </w:t>
      </w:r>
      <w:r w:rsidRPr="00D91062">
        <w:rPr>
          <w:noProof/>
        </w:rPr>
        <w:t>2009/449/CE operatorilor tradiționali Viasat și Echostar se prelungește, la cerere, cu o perioadă de doi ani, în condițiile de autorizare aplicabile la data intrării în vigoare a prezentului regulament. Această prelungire este în beneficiul operatorilor tradiționali și este acordată numai pentru a asigura continuitatea serviciilor furnizate timp de cel puțin cinci ani înainte de intrarea în vigoare a prezentului regulament. Pentru a beneficia de această prelungire, în cursul acestei perioade de prelungire drepturile nu trebuie să fie transferate, nici închiriate sau subînchiriate. În scopul aplicării coordonate a normelor privind monitorizarea și asigurarea respectării legislației, continuă să se aplice Decizia 2011/667 a Comisiei din 10 octombrie 2011</w:t>
      </w:r>
      <w:r w:rsidRPr="00D91062">
        <w:rPr>
          <w:rStyle w:val="FootnoteReference"/>
          <w:noProof/>
        </w:rPr>
        <w:footnoteReference w:id="38"/>
      </w:r>
      <w:r w:rsidRPr="00D91062">
        <w:rPr>
          <w:noProof/>
        </w:rPr>
        <w:t>.</w:t>
      </w:r>
    </w:p>
    <w:p w14:paraId="6B75A925" w14:textId="77777777" w:rsidR="00D664CB" w:rsidRPr="00D91062" w:rsidRDefault="00D664CB" w:rsidP="006A6914">
      <w:pPr>
        <w:pStyle w:val="ManualNumPar1"/>
        <w:rPr>
          <w:noProof/>
        </w:rPr>
      </w:pPr>
      <w:r w:rsidRPr="00D91062">
        <w:rPr>
          <w:noProof/>
        </w:rPr>
        <w:t>(2)</w:t>
      </w:r>
      <w:r w:rsidRPr="00D91062">
        <w:rPr>
          <w:noProof/>
        </w:rPr>
        <w:tab/>
        <w:t>În timpul perioadei de prelungire, Comisia poate lua decizia de a impune condiții de utilizare în comun pentru testare și utilizare experimentală în cadrul benzii, în conformitate cu procedura de consultare menționată la articolul 22 alineatul (2).</w:t>
      </w:r>
    </w:p>
    <w:p w14:paraId="1BE6E794" w14:textId="77777777" w:rsidR="00D664CB" w:rsidRPr="00D91062" w:rsidRDefault="00D664CB" w:rsidP="004E5D44">
      <w:pPr>
        <w:pStyle w:val="Titrearticle"/>
        <w:rPr>
          <w:noProof/>
        </w:rPr>
      </w:pPr>
      <w:r w:rsidRPr="00D91062">
        <w:rPr>
          <w:noProof/>
        </w:rPr>
        <w:t>Articolul 21</w:t>
      </w:r>
    </w:p>
    <w:p w14:paraId="044EEB6A" w14:textId="77777777" w:rsidR="00D664CB" w:rsidRPr="00D91062" w:rsidRDefault="00D664CB" w:rsidP="004E5D44">
      <w:pPr>
        <w:pStyle w:val="NormalCentered"/>
        <w:rPr>
          <w:b/>
          <w:bCs/>
          <w:noProof/>
        </w:rPr>
      </w:pPr>
      <w:r w:rsidRPr="00D91062">
        <w:rPr>
          <w:b/>
          <w:noProof/>
        </w:rPr>
        <w:t>Exercitarea delegării de competențe</w:t>
      </w:r>
    </w:p>
    <w:p w14:paraId="62AA0265" w14:textId="77777777" w:rsidR="00D664CB" w:rsidRPr="00D91062" w:rsidRDefault="00D664CB" w:rsidP="00752AEC">
      <w:pPr>
        <w:pStyle w:val="ManualNumPar1"/>
        <w:rPr>
          <w:noProof/>
        </w:rPr>
      </w:pPr>
      <w:r w:rsidRPr="00D91062">
        <w:rPr>
          <w:noProof/>
        </w:rPr>
        <w:t>(1)</w:t>
      </w:r>
      <w:r w:rsidRPr="00D91062">
        <w:rPr>
          <w:noProof/>
        </w:rPr>
        <w:tab/>
        <w:t>Se conferă Comisiei competența de a adopta acte delegate, sub rezerva îndeplinirii condițiilor prevăzute la prezentul articol.</w:t>
      </w:r>
    </w:p>
    <w:p w14:paraId="2F2AC212" w14:textId="77777777" w:rsidR="00D664CB" w:rsidRPr="00D91062" w:rsidRDefault="00D664CB" w:rsidP="004E5D44">
      <w:pPr>
        <w:pStyle w:val="ManualNumPar1"/>
        <w:rPr>
          <w:noProof/>
        </w:rPr>
      </w:pPr>
      <w:r w:rsidRPr="00D91062">
        <w:rPr>
          <w:noProof/>
        </w:rPr>
        <w:t>(2)</w:t>
      </w:r>
      <w:r w:rsidRPr="00D91062">
        <w:rPr>
          <w:noProof/>
        </w:rPr>
        <w:tab/>
        <w:t>Competența de a adopta acte delegate menționată la articolul 5 alineatul (7) și la articolul 18 alineatul (6) se conferă Comisiei pe o perioadă nedeterminată de la [</w:t>
      </w:r>
      <w:r w:rsidRPr="00D91062">
        <w:rPr>
          <w:i/>
          <w:noProof/>
        </w:rPr>
        <w:t>data intrării în vigoare a prezentului regulament].</w:t>
      </w:r>
    </w:p>
    <w:p w14:paraId="1663FD2A" w14:textId="4E422FF9" w:rsidR="00D664CB" w:rsidRPr="00D91062" w:rsidRDefault="00D664CB" w:rsidP="004E5D44">
      <w:pPr>
        <w:pStyle w:val="ManualNumPar1"/>
        <w:rPr>
          <w:noProof/>
          <w:color w:val="000000"/>
        </w:rPr>
      </w:pPr>
      <w:r w:rsidRPr="00D91062">
        <w:rPr>
          <w:noProof/>
        </w:rPr>
        <w:t>(3)</w:t>
      </w:r>
      <w:r w:rsidRPr="00D91062">
        <w:rPr>
          <w:noProof/>
        </w:rPr>
        <w:tab/>
        <w:t>Delegarea de competențe menționată la articolul 5 alineatul (7) și la articolul 18 alineatul (6) poate fi revocată oricând de Parlamentul European sau de Consiliu. O</w:t>
      </w:r>
      <w:r w:rsidR="002D79FA">
        <w:rPr>
          <w:noProof/>
        </w:rPr>
        <w:t> </w:t>
      </w:r>
      <w:r w:rsidRPr="00D91062">
        <w:rPr>
          <w:noProof/>
        </w:rPr>
        <w:t xml:space="preserve">decizie de revocare pune capăt delegării competenței specificate în decizia respectivă. Decizia intră în vigoare în ziua următoare publicării sale în </w:t>
      </w:r>
      <w:r w:rsidRPr="00D91062">
        <w:rPr>
          <w:i/>
          <w:noProof/>
        </w:rPr>
        <w:t>Jurnalul</w:t>
      </w:r>
      <w:r w:rsidR="002D79FA">
        <w:rPr>
          <w:i/>
          <w:noProof/>
        </w:rPr>
        <w:t> </w:t>
      </w:r>
      <w:r w:rsidRPr="00D91062">
        <w:rPr>
          <w:i/>
          <w:noProof/>
        </w:rPr>
        <w:t xml:space="preserve">Oficial al Uniunii Europene </w:t>
      </w:r>
      <w:r w:rsidRPr="00D91062">
        <w:rPr>
          <w:noProof/>
        </w:rPr>
        <w:t>sau la o dată ulterioară, menționată în decizie. Decizia nu aduce atingere valabilității niciunuia dintre actele delegate aflate deja în vigoare.</w:t>
      </w:r>
    </w:p>
    <w:p w14:paraId="14F3F8D2" w14:textId="77777777" w:rsidR="00D664CB" w:rsidRPr="00D91062" w:rsidRDefault="00D664CB" w:rsidP="004E5D44">
      <w:pPr>
        <w:pStyle w:val="ManualNumPar1"/>
        <w:rPr>
          <w:noProof/>
          <w:color w:val="000000"/>
        </w:rPr>
      </w:pPr>
      <w:r w:rsidRPr="00D91062">
        <w:rPr>
          <w:noProof/>
        </w:rPr>
        <w:t>(4)</w:t>
      </w:r>
      <w:r w:rsidRPr="00D91062">
        <w:rPr>
          <w:noProof/>
        </w:rPr>
        <w:tab/>
        <w:t>Înainte de adoptarea unui act delegat, Comisia consultă experții desemnați de fiecare stat membru în conformitate cu principiile prevăzute în Acordul interinstituțional din 13 aprilie 2016 privind o mai bună legiferare.</w:t>
      </w:r>
    </w:p>
    <w:p w14:paraId="6E9D4B7B" w14:textId="51173D2C" w:rsidR="00D664CB" w:rsidRPr="00D91062" w:rsidRDefault="00D664CB" w:rsidP="004E5D44">
      <w:pPr>
        <w:pStyle w:val="ManualNumPar1"/>
        <w:rPr>
          <w:noProof/>
          <w:color w:val="000000"/>
        </w:rPr>
      </w:pPr>
      <w:r w:rsidRPr="00D91062">
        <w:rPr>
          <w:noProof/>
        </w:rPr>
        <w:t>(5)</w:t>
      </w:r>
      <w:r w:rsidRPr="00D91062">
        <w:rPr>
          <w:noProof/>
        </w:rPr>
        <w:tab/>
        <w:t>De îndată ce adoptă un act delegat, Comisia îl notifică simultan Parlamentului</w:t>
      </w:r>
      <w:r w:rsidR="002D79FA">
        <w:rPr>
          <w:noProof/>
        </w:rPr>
        <w:t> </w:t>
      </w:r>
      <w:r w:rsidRPr="00D91062">
        <w:rPr>
          <w:noProof/>
        </w:rPr>
        <w:t>European și Consiliului.</w:t>
      </w:r>
    </w:p>
    <w:p w14:paraId="23659A8E" w14:textId="77777777" w:rsidR="00D664CB" w:rsidRPr="00D91062" w:rsidRDefault="00D664CB" w:rsidP="004E5D44">
      <w:pPr>
        <w:pStyle w:val="ManualNumPar1"/>
        <w:rPr>
          <w:noProof/>
        </w:rPr>
      </w:pPr>
      <w:r w:rsidRPr="00D91062">
        <w:rPr>
          <w:noProof/>
        </w:rPr>
        <w:t>(6)</w:t>
      </w:r>
      <w:r w:rsidRPr="00D91062">
        <w:rPr>
          <w:noProof/>
        </w:rPr>
        <w:tab/>
        <w:t xml:space="preserve">Un act delegat adoptat în temeiul articolului 5 alineatul (7) și al articolului 18 alineatul (6) intră în vigoare numai în cazul în care nici Parlamentul European și nici Consiliul nu au formulat obiecții în termen de două luni de la notificarea acestuia </w:t>
      </w:r>
      <w:r w:rsidRPr="00D91062">
        <w:rPr>
          <w:noProof/>
        </w:rPr>
        <w:lastRenderedPageBreak/>
        <w:t>către Parlamentul European și Consiliu sau în cazul în care, înaintea expirării termenului respectiv, atât Parlamentul European, cât și Consiliul au informat Comisia că nu vor formula obiecții. Respectivul termen se prelungește cu două luni la inițiativa Parlamentului European sau a Consiliului.</w:t>
      </w:r>
    </w:p>
    <w:p w14:paraId="0BE71095" w14:textId="77777777" w:rsidR="00D664CB" w:rsidRPr="00D91062" w:rsidRDefault="00D664CB" w:rsidP="004E5D44">
      <w:pPr>
        <w:pStyle w:val="Titrearticle"/>
        <w:rPr>
          <w:noProof/>
        </w:rPr>
      </w:pPr>
      <w:r w:rsidRPr="00D91062">
        <w:rPr>
          <w:noProof/>
        </w:rPr>
        <w:t>Articolul 22</w:t>
      </w:r>
    </w:p>
    <w:p w14:paraId="3A73D32F" w14:textId="77777777" w:rsidR="00D664CB" w:rsidRPr="00D91062" w:rsidRDefault="00D664CB" w:rsidP="004E5D44">
      <w:pPr>
        <w:pStyle w:val="NormalCentered"/>
        <w:rPr>
          <w:b/>
          <w:bCs/>
          <w:noProof/>
        </w:rPr>
      </w:pPr>
      <w:r w:rsidRPr="00D91062">
        <w:rPr>
          <w:b/>
          <w:noProof/>
        </w:rPr>
        <w:t>Procedura comitetului</w:t>
      </w:r>
    </w:p>
    <w:p w14:paraId="08798E9D" w14:textId="77777777" w:rsidR="00D664CB" w:rsidRPr="00D91062" w:rsidRDefault="00D664CB" w:rsidP="006A6914">
      <w:pPr>
        <w:pStyle w:val="ManualNumPar1"/>
        <w:rPr>
          <w:noProof/>
          <w:color w:val="000000"/>
        </w:rPr>
      </w:pPr>
      <w:r w:rsidRPr="00D91062">
        <w:rPr>
          <w:noProof/>
        </w:rPr>
        <w:t>(1)</w:t>
      </w:r>
      <w:r w:rsidRPr="00D91062">
        <w:rPr>
          <w:noProof/>
        </w:rPr>
        <w:tab/>
        <w:t xml:space="preserve">Comisia este asistată de comitetul („Comitetul pentru comunicații”) instituit </w:t>
      </w:r>
      <w:r w:rsidRPr="00D91062">
        <w:rPr>
          <w:noProof/>
          <w:color w:val="000000"/>
        </w:rPr>
        <w:t xml:space="preserve">în temeiul articolului 118 din </w:t>
      </w:r>
      <w:r w:rsidRPr="00D91062">
        <w:rPr>
          <w:noProof/>
        </w:rPr>
        <w:t>Directiva (UE) 2018/1972</w:t>
      </w:r>
      <w:r w:rsidRPr="00D91062">
        <w:rPr>
          <w:noProof/>
          <w:color w:val="000000"/>
        </w:rPr>
        <w:t xml:space="preserve">. </w:t>
      </w:r>
      <w:r w:rsidRPr="00D91062">
        <w:rPr>
          <w:noProof/>
        </w:rPr>
        <w:t>Acesta este un comitet în înțelesul Regulamentului (UE) nr. 182/2011.</w:t>
      </w:r>
    </w:p>
    <w:p w14:paraId="3A60DD06" w14:textId="77777777" w:rsidR="00D664CB" w:rsidRPr="00D91062" w:rsidRDefault="00D664CB" w:rsidP="006A6914">
      <w:pPr>
        <w:pStyle w:val="ManualNumPar1"/>
        <w:rPr>
          <w:noProof/>
          <w:color w:val="000000"/>
        </w:rPr>
      </w:pPr>
      <w:r w:rsidRPr="00D91062">
        <w:rPr>
          <w:noProof/>
        </w:rPr>
        <w:t>(2)</w:t>
      </w:r>
      <w:r w:rsidRPr="00D91062">
        <w:rPr>
          <w:noProof/>
        </w:rPr>
        <w:tab/>
        <w:t>În cazul în care se face trimitere la prezentul alineat, se aplică articolul 4 din Regulamentul (UE) nr. 182/2011.</w:t>
      </w:r>
    </w:p>
    <w:p w14:paraId="310C0DAA" w14:textId="77777777" w:rsidR="00D664CB" w:rsidRPr="00D91062" w:rsidRDefault="00D664CB" w:rsidP="006A6914">
      <w:pPr>
        <w:pStyle w:val="ManualNumPar1"/>
        <w:rPr>
          <w:noProof/>
        </w:rPr>
      </w:pPr>
      <w:r w:rsidRPr="00D91062">
        <w:rPr>
          <w:noProof/>
        </w:rPr>
        <w:t>(3)</w:t>
      </w:r>
      <w:r w:rsidRPr="00D91062">
        <w:rPr>
          <w:noProof/>
        </w:rPr>
        <w:tab/>
        <w:t>În cazul în care se face trimitere la prezentul alineat, se aplică articolul 5 din Regulamentul (UE) nr. 182/2011.</w:t>
      </w:r>
    </w:p>
    <w:p w14:paraId="36750E79" w14:textId="77777777" w:rsidR="00D664CB" w:rsidRPr="00D91062" w:rsidRDefault="00D664CB" w:rsidP="004E5D44">
      <w:pPr>
        <w:pStyle w:val="Titrearticle"/>
        <w:rPr>
          <w:noProof/>
        </w:rPr>
      </w:pPr>
      <w:r w:rsidRPr="00D91062">
        <w:rPr>
          <w:noProof/>
        </w:rPr>
        <w:t>Articolul 23</w:t>
      </w:r>
    </w:p>
    <w:p w14:paraId="43B8F805" w14:textId="77777777" w:rsidR="00D664CB" w:rsidRPr="00D91062" w:rsidRDefault="00D664CB" w:rsidP="004E5D44">
      <w:pPr>
        <w:pStyle w:val="NormalCentered"/>
        <w:rPr>
          <w:b/>
          <w:bCs/>
          <w:noProof/>
        </w:rPr>
      </w:pPr>
      <w:r w:rsidRPr="00D91062">
        <w:rPr>
          <w:b/>
          <w:noProof/>
        </w:rPr>
        <w:t>Abrogare</w:t>
      </w:r>
    </w:p>
    <w:p w14:paraId="2A0FBD45" w14:textId="77777777" w:rsidR="00D664CB" w:rsidRPr="00D91062" w:rsidRDefault="00D664CB" w:rsidP="00D664CB">
      <w:pPr>
        <w:shd w:val="clear" w:color="auto" w:fill="FFFFFF"/>
        <w:spacing w:after="0" w:line="312" w:lineRule="atLeast"/>
        <w:rPr>
          <w:rFonts w:eastAsia="Times New Roman"/>
          <w:noProof/>
          <w:color w:val="333333"/>
        </w:rPr>
      </w:pPr>
      <w:r w:rsidRPr="00D91062">
        <w:rPr>
          <w:noProof/>
          <w:color w:val="333333"/>
        </w:rPr>
        <w:t>Decizia nr. 626/2008/CE se abrogă începând cu [data].</w:t>
      </w:r>
    </w:p>
    <w:p w14:paraId="38DCD7A9" w14:textId="77777777" w:rsidR="00D664CB" w:rsidRPr="00D91062" w:rsidRDefault="00D664CB" w:rsidP="004E5D44">
      <w:pPr>
        <w:pStyle w:val="Titrearticle"/>
        <w:rPr>
          <w:noProof/>
        </w:rPr>
      </w:pPr>
      <w:r w:rsidRPr="00D91062">
        <w:rPr>
          <w:noProof/>
        </w:rPr>
        <w:t>Articolul 24</w:t>
      </w:r>
    </w:p>
    <w:p w14:paraId="0B4A2ED6" w14:textId="77777777" w:rsidR="00D664CB" w:rsidRPr="00D91062" w:rsidRDefault="00D664CB" w:rsidP="004E5D44">
      <w:pPr>
        <w:pStyle w:val="NormalCentered"/>
        <w:rPr>
          <w:b/>
          <w:bCs/>
          <w:noProof/>
        </w:rPr>
      </w:pPr>
      <w:r w:rsidRPr="00D91062">
        <w:rPr>
          <w:b/>
          <w:noProof/>
        </w:rPr>
        <w:t>Intrarea în vigoare</w:t>
      </w:r>
    </w:p>
    <w:p w14:paraId="37F38350" w14:textId="77777777" w:rsidR="00D664CB" w:rsidRPr="00D91062" w:rsidRDefault="00D664CB" w:rsidP="00D664CB">
      <w:pPr>
        <w:rPr>
          <w:noProof/>
        </w:rPr>
      </w:pPr>
      <w:r w:rsidRPr="00D91062">
        <w:rPr>
          <w:noProof/>
          <w:color w:val="333333"/>
        </w:rPr>
        <w:t xml:space="preserve">Prezentul </w:t>
      </w:r>
      <w:r w:rsidRPr="00D91062">
        <w:rPr>
          <w:noProof/>
        </w:rPr>
        <w:t xml:space="preserve">regulament </w:t>
      </w:r>
      <w:r w:rsidRPr="00D91062">
        <w:rPr>
          <w:noProof/>
          <w:color w:val="333333"/>
        </w:rPr>
        <w:t xml:space="preserve">intră în vigoare în a treia zi de la data publicării în </w:t>
      </w:r>
      <w:r w:rsidRPr="00D91062">
        <w:rPr>
          <w:i/>
          <w:noProof/>
          <w:color w:val="333333"/>
        </w:rPr>
        <w:t>Jurnalul Oficial al Uniunii Europene</w:t>
      </w:r>
      <w:r w:rsidRPr="00D91062">
        <w:rPr>
          <w:noProof/>
          <w:color w:val="333333"/>
        </w:rPr>
        <w:t>.</w:t>
      </w:r>
    </w:p>
    <w:p w14:paraId="1401570D" w14:textId="2D1901FF" w:rsidR="00EA073C" w:rsidRPr="00D91062" w:rsidRDefault="009F0781" w:rsidP="003D07F0">
      <w:pPr>
        <w:rPr>
          <w:noProof/>
        </w:rPr>
      </w:pPr>
      <w:r w:rsidRPr="00D91062">
        <w:rPr>
          <w:noProof/>
        </w:rPr>
        <w:t>Prezentul regulament este obligatoriu în toate elementele sale și se aplică direct în toate statele</w:t>
      </w:r>
      <w:r w:rsidR="002D79FA">
        <w:rPr>
          <w:noProof/>
        </w:rPr>
        <w:t> </w:t>
      </w:r>
      <w:r w:rsidRPr="00D91062">
        <w:rPr>
          <w:noProof/>
        </w:rPr>
        <w:t>membre.</w:t>
      </w:r>
    </w:p>
    <w:p w14:paraId="1275500A" w14:textId="6FA3027D" w:rsidR="00D664CB" w:rsidRPr="00D91062" w:rsidRDefault="00D91062" w:rsidP="003352CB">
      <w:pPr>
        <w:pStyle w:val="Fait"/>
        <w:rPr>
          <w:noProof/>
        </w:rPr>
      </w:pPr>
      <w:r>
        <w:rPr>
          <w:noProof/>
        </w:rPr>
        <w:t>Adoptat la Bruxelles,</w:t>
      </w:r>
    </w:p>
    <w:p w14:paraId="398C3998" w14:textId="77777777" w:rsidR="00D664CB" w:rsidRPr="00D91062" w:rsidRDefault="00D664CB" w:rsidP="003352CB">
      <w:pPr>
        <w:pStyle w:val="Institutionquisigne"/>
        <w:rPr>
          <w:noProof/>
        </w:rPr>
      </w:pPr>
      <w:r w:rsidRPr="00D91062">
        <w:rPr>
          <w:noProof/>
        </w:rPr>
        <w:t>Pentru Parlamentul European</w:t>
      </w:r>
      <w:r w:rsidRPr="00D91062">
        <w:rPr>
          <w:noProof/>
        </w:rPr>
        <w:tab/>
        <w:t>Pentru Consiliu</w:t>
      </w:r>
    </w:p>
    <w:p w14:paraId="538A4B44" w14:textId="77777777" w:rsidR="00D664CB" w:rsidRPr="00D91062" w:rsidRDefault="00D664CB" w:rsidP="004E5D44">
      <w:pPr>
        <w:pStyle w:val="Personnequisigne"/>
        <w:rPr>
          <w:noProof/>
        </w:rPr>
        <w:sectPr w:rsidR="00D664CB" w:rsidRPr="00D91062" w:rsidSect="00A8433C">
          <w:pgSz w:w="11907" w:h="16840" w:code="9"/>
          <w:pgMar w:top="1134" w:right="1418" w:bottom="1134" w:left="1418" w:header="709" w:footer="709" w:gutter="0"/>
          <w:cols w:space="708"/>
          <w:docGrid w:linePitch="360"/>
        </w:sectPr>
      </w:pPr>
      <w:r w:rsidRPr="00D91062">
        <w:rPr>
          <w:noProof/>
        </w:rPr>
        <w:t>Președinta</w:t>
      </w:r>
      <w:r w:rsidRPr="00D91062">
        <w:rPr>
          <w:noProof/>
        </w:rPr>
        <w:tab/>
        <w:t>Președintele</w:t>
      </w:r>
      <w:bookmarkStart w:id="7" w:name="_Toc514938007"/>
      <w:bookmarkStart w:id="8" w:name="_Toc520485025"/>
      <w:bookmarkStart w:id="9" w:name="_Toc160804567"/>
      <w:bookmarkStart w:id="10" w:name="_Toc167220259"/>
      <w:bookmarkStart w:id="11" w:name="_Toc177548992"/>
    </w:p>
    <w:p w14:paraId="7B7661BE" w14:textId="77777777" w:rsidR="00D664CB" w:rsidRPr="00D91062" w:rsidRDefault="00D664CB" w:rsidP="00561A58">
      <w:pPr>
        <w:pStyle w:val="Fichefinanciretitre"/>
        <w:rPr>
          <w:noProof/>
        </w:rPr>
      </w:pPr>
      <w:bookmarkStart w:id="12" w:name="_Hlk225257220"/>
      <w:r w:rsidRPr="00D91062">
        <w:rPr>
          <w:noProof/>
        </w:rPr>
        <w:lastRenderedPageBreak/>
        <w:t>FIȘĂ FINANCIARĂ LEGISLATIVĂ ȘI DIGITALĂ</w:t>
      </w:r>
    </w:p>
    <w:bookmarkEnd w:id="12"/>
    <w:p w14:paraId="0790A166" w14:textId="77777777" w:rsidR="00923DC0" w:rsidRPr="00D91062" w:rsidRDefault="00923DC0" w:rsidP="00923DC0">
      <w:pPr>
        <w:pStyle w:val="TOC1"/>
        <w:rPr>
          <w:rFonts w:asciiTheme="minorHAnsi" w:eastAsiaTheme="minorEastAsia" w:hAnsiTheme="minorHAnsi" w:cstheme="minorBidi"/>
          <w:noProof/>
          <w:kern w:val="2"/>
          <w:sz w:val="22"/>
          <w14:ligatures w14:val="standardContextual"/>
        </w:rPr>
      </w:pPr>
      <w:r w:rsidRPr="00D91062">
        <w:rPr>
          <w:noProof/>
        </w:rPr>
        <w:t>(1)</w:t>
      </w:r>
      <w:r w:rsidRPr="00D91062">
        <w:rPr>
          <w:noProof/>
        </w:rPr>
        <w:tab/>
        <w:t>CADRUL PROPUNERII/INIȚIATIVEI</w:t>
      </w:r>
      <w:r w:rsidRPr="00D91062">
        <w:rPr>
          <w:noProof/>
        </w:rPr>
        <w:tab/>
      </w:r>
      <w:r w:rsidRPr="00D91062">
        <w:rPr>
          <w:noProof/>
          <w:webHidden/>
        </w:rPr>
        <w:t>39</w:t>
      </w:r>
    </w:p>
    <w:p w14:paraId="528C84C5" w14:textId="77777777" w:rsidR="00923DC0" w:rsidRPr="00D91062" w:rsidRDefault="00923DC0" w:rsidP="00923DC0">
      <w:pPr>
        <w:pStyle w:val="TOC2"/>
        <w:rPr>
          <w:rFonts w:asciiTheme="minorHAnsi" w:eastAsiaTheme="minorEastAsia" w:hAnsiTheme="minorHAnsi" w:cstheme="minorBidi"/>
          <w:noProof/>
          <w:kern w:val="2"/>
          <w:sz w:val="22"/>
          <w14:ligatures w14:val="standardContextual"/>
        </w:rPr>
      </w:pPr>
      <w:r w:rsidRPr="00D91062">
        <w:rPr>
          <w:noProof/>
        </w:rPr>
        <w:t>1.1.</w:t>
      </w:r>
      <w:r w:rsidRPr="00D91062">
        <w:rPr>
          <w:noProof/>
        </w:rPr>
        <w:tab/>
        <w:t>Titlul propunerii/inițiativei</w:t>
      </w:r>
      <w:r w:rsidRPr="00D91062">
        <w:rPr>
          <w:noProof/>
        </w:rPr>
        <w:tab/>
      </w:r>
      <w:r w:rsidRPr="00D91062">
        <w:rPr>
          <w:noProof/>
          <w:webHidden/>
        </w:rPr>
        <w:t>39</w:t>
      </w:r>
    </w:p>
    <w:p w14:paraId="73CE54AD" w14:textId="77777777" w:rsidR="00923DC0" w:rsidRPr="00D91062" w:rsidRDefault="00923DC0" w:rsidP="00923DC0">
      <w:pPr>
        <w:pStyle w:val="TOC2"/>
        <w:rPr>
          <w:rFonts w:asciiTheme="minorHAnsi" w:eastAsiaTheme="minorEastAsia" w:hAnsiTheme="minorHAnsi" w:cstheme="minorBidi"/>
          <w:noProof/>
          <w:kern w:val="2"/>
          <w:sz w:val="22"/>
          <w14:ligatures w14:val="standardContextual"/>
        </w:rPr>
      </w:pPr>
      <w:r w:rsidRPr="00D91062">
        <w:rPr>
          <w:noProof/>
        </w:rPr>
        <w:t>1.2.</w:t>
      </w:r>
      <w:r w:rsidRPr="00D91062">
        <w:rPr>
          <w:noProof/>
        </w:rPr>
        <w:tab/>
        <w:t>Domeniul (domeniile) de politică vizat(e)</w:t>
      </w:r>
      <w:r w:rsidRPr="00D91062">
        <w:rPr>
          <w:noProof/>
        </w:rPr>
        <w:tab/>
      </w:r>
      <w:r w:rsidRPr="00D91062">
        <w:rPr>
          <w:noProof/>
          <w:webHidden/>
        </w:rPr>
        <w:t>39</w:t>
      </w:r>
    </w:p>
    <w:p w14:paraId="4D936C41" w14:textId="77777777" w:rsidR="00923DC0" w:rsidRPr="00D91062" w:rsidRDefault="00923DC0" w:rsidP="00923DC0">
      <w:pPr>
        <w:pStyle w:val="TOC2"/>
        <w:rPr>
          <w:rFonts w:asciiTheme="minorHAnsi" w:eastAsiaTheme="minorEastAsia" w:hAnsiTheme="minorHAnsi" w:cstheme="minorBidi"/>
          <w:noProof/>
          <w:kern w:val="2"/>
          <w:sz w:val="22"/>
          <w14:ligatures w14:val="standardContextual"/>
        </w:rPr>
      </w:pPr>
      <w:r w:rsidRPr="00D91062">
        <w:rPr>
          <w:noProof/>
        </w:rPr>
        <w:t>1.3.</w:t>
      </w:r>
      <w:r w:rsidRPr="00D91062">
        <w:rPr>
          <w:noProof/>
        </w:rPr>
        <w:tab/>
        <w:t>Obiectiv(e)</w:t>
      </w:r>
      <w:r w:rsidRPr="00D91062">
        <w:rPr>
          <w:noProof/>
        </w:rPr>
        <w:tab/>
      </w:r>
      <w:r w:rsidRPr="00D91062">
        <w:rPr>
          <w:noProof/>
          <w:webHidden/>
        </w:rPr>
        <w:t>39</w:t>
      </w:r>
    </w:p>
    <w:p w14:paraId="2BACD9BF" w14:textId="77777777" w:rsidR="00923DC0" w:rsidRPr="00D91062" w:rsidRDefault="00923DC0" w:rsidP="00923DC0">
      <w:pPr>
        <w:pStyle w:val="TOC3"/>
        <w:rPr>
          <w:rFonts w:asciiTheme="minorHAnsi" w:eastAsiaTheme="minorEastAsia" w:hAnsiTheme="minorHAnsi" w:cstheme="minorBidi"/>
          <w:noProof/>
          <w:kern w:val="2"/>
          <w:sz w:val="22"/>
          <w14:ligatures w14:val="standardContextual"/>
        </w:rPr>
      </w:pPr>
      <w:r w:rsidRPr="00D91062">
        <w:rPr>
          <w:noProof/>
        </w:rPr>
        <w:t>1.3.1.</w:t>
      </w:r>
      <w:r w:rsidRPr="00D91062">
        <w:rPr>
          <w:noProof/>
        </w:rPr>
        <w:tab/>
        <w:t>Obiectiv(e) general(e)</w:t>
      </w:r>
      <w:r w:rsidRPr="00D91062">
        <w:rPr>
          <w:noProof/>
        </w:rPr>
        <w:tab/>
      </w:r>
      <w:r w:rsidRPr="00D91062">
        <w:rPr>
          <w:noProof/>
          <w:webHidden/>
        </w:rPr>
        <w:t>39</w:t>
      </w:r>
    </w:p>
    <w:p w14:paraId="212A4FF4" w14:textId="77777777" w:rsidR="00923DC0" w:rsidRPr="00D91062" w:rsidRDefault="00923DC0" w:rsidP="00923DC0">
      <w:pPr>
        <w:pStyle w:val="TOC3"/>
        <w:rPr>
          <w:rFonts w:asciiTheme="minorHAnsi" w:eastAsiaTheme="minorEastAsia" w:hAnsiTheme="minorHAnsi" w:cstheme="minorBidi"/>
          <w:noProof/>
          <w:kern w:val="2"/>
          <w:sz w:val="22"/>
          <w14:ligatures w14:val="standardContextual"/>
        </w:rPr>
      </w:pPr>
      <w:r w:rsidRPr="00D91062">
        <w:rPr>
          <w:noProof/>
        </w:rPr>
        <w:t>1.3.2.</w:t>
      </w:r>
      <w:r w:rsidRPr="00D91062">
        <w:rPr>
          <w:noProof/>
        </w:rPr>
        <w:tab/>
        <w:t>Obiectiv(e) specific(e)</w:t>
      </w:r>
      <w:r w:rsidRPr="00D91062">
        <w:rPr>
          <w:noProof/>
        </w:rPr>
        <w:tab/>
      </w:r>
      <w:r w:rsidRPr="00D91062">
        <w:rPr>
          <w:noProof/>
          <w:webHidden/>
        </w:rPr>
        <w:t>39</w:t>
      </w:r>
    </w:p>
    <w:p w14:paraId="6F49F5C4" w14:textId="77777777" w:rsidR="00923DC0" w:rsidRPr="00D91062" w:rsidRDefault="00923DC0" w:rsidP="00923DC0">
      <w:pPr>
        <w:pStyle w:val="TOC3"/>
        <w:rPr>
          <w:rFonts w:asciiTheme="minorHAnsi" w:eastAsiaTheme="minorEastAsia" w:hAnsiTheme="minorHAnsi" w:cstheme="minorBidi"/>
          <w:noProof/>
          <w:kern w:val="2"/>
          <w:sz w:val="22"/>
          <w14:ligatures w14:val="standardContextual"/>
        </w:rPr>
      </w:pPr>
      <w:r w:rsidRPr="00D91062">
        <w:rPr>
          <w:noProof/>
        </w:rPr>
        <w:t>1.3.3.</w:t>
      </w:r>
      <w:r w:rsidRPr="00D91062">
        <w:rPr>
          <w:noProof/>
        </w:rPr>
        <w:tab/>
        <w:t>Rezultatul (rezultatele) și impactul preconizate</w:t>
      </w:r>
      <w:r w:rsidRPr="00D91062">
        <w:rPr>
          <w:noProof/>
        </w:rPr>
        <w:tab/>
      </w:r>
      <w:r w:rsidRPr="00D91062">
        <w:rPr>
          <w:noProof/>
          <w:webHidden/>
        </w:rPr>
        <w:t>39</w:t>
      </w:r>
    </w:p>
    <w:p w14:paraId="03664DE7" w14:textId="77777777" w:rsidR="00923DC0" w:rsidRPr="00D91062" w:rsidRDefault="00923DC0" w:rsidP="00923DC0">
      <w:pPr>
        <w:pStyle w:val="TOC3"/>
        <w:rPr>
          <w:rFonts w:asciiTheme="minorHAnsi" w:eastAsiaTheme="minorEastAsia" w:hAnsiTheme="minorHAnsi" w:cstheme="minorBidi"/>
          <w:noProof/>
          <w:kern w:val="2"/>
          <w:sz w:val="22"/>
          <w14:ligatures w14:val="standardContextual"/>
        </w:rPr>
      </w:pPr>
      <w:r w:rsidRPr="00D91062">
        <w:rPr>
          <w:noProof/>
        </w:rPr>
        <w:t>1.3.4.</w:t>
      </w:r>
      <w:r w:rsidRPr="00D91062">
        <w:rPr>
          <w:noProof/>
        </w:rPr>
        <w:tab/>
        <w:t>Indicatori de performanță</w:t>
      </w:r>
      <w:r w:rsidRPr="00D91062">
        <w:rPr>
          <w:noProof/>
        </w:rPr>
        <w:tab/>
      </w:r>
      <w:r w:rsidRPr="00D91062">
        <w:rPr>
          <w:noProof/>
          <w:webHidden/>
        </w:rPr>
        <w:t>40</w:t>
      </w:r>
    </w:p>
    <w:p w14:paraId="06C74767" w14:textId="77777777" w:rsidR="00923DC0" w:rsidRPr="00D91062" w:rsidRDefault="00923DC0" w:rsidP="00923DC0">
      <w:pPr>
        <w:pStyle w:val="TOC2"/>
        <w:rPr>
          <w:rFonts w:asciiTheme="minorHAnsi" w:eastAsiaTheme="minorEastAsia" w:hAnsiTheme="minorHAnsi" w:cstheme="minorBidi"/>
          <w:noProof/>
          <w:kern w:val="2"/>
          <w:sz w:val="22"/>
          <w14:ligatures w14:val="standardContextual"/>
        </w:rPr>
      </w:pPr>
      <w:r w:rsidRPr="00D91062">
        <w:rPr>
          <w:noProof/>
        </w:rPr>
        <w:t>1.4.</w:t>
      </w:r>
      <w:r w:rsidRPr="00D91062">
        <w:rPr>
          <w:noProof/>
        </w:rPr>
        <w:tab/>
        <w:t>Obiectul propunerii/inițiativei</w:t>
      </w:r>
      <w:r w:rsidRPr="00D91062">
        <w:rPr>
          <w:noProof/>
        </w:rPr>
        <w:tab/>
      </w:r>
      <w:r w:rsidRPr="00D91062">
        <w:rPr>
          <w:noProof/>
          <w:webHidden/>
        </w:rPr>
        <w:t>40</w:t>
      </w:r>
    </w:p>
    <w:p w14:paraId="260ADB8A" w14:textId="77777777" w:rsidR="00923DC0" w:rsidRPr="00D91062" w:rsidRDefault="00923DC0" w:rsidP="00923DC0">
      <w:pPr>
        <w:pStyle w:val="TOC2"/>
        <w:rPr>
          <w:rFonts w:asciiTheme="minorHAnsi" w:eastAsiaTheme="minorEastAsia" w:hAnsiTheme="minorHAnsi" w:cstheme="minorBidi"/>
          <w:noProof/>
          <w:kern w:val="2"/>
          <w:sz w:val="22"/>
          <w14:ligatures w14:val="standardContextual"/>
        </w:rPr>
      </w:pPr>
      <w:r w:rsidRPr="00D91062">
        <w:rPr>
          <w:noProof/>
        </w:rPr>
        <w:t>1.5.</w:t>
      </w:r>
      <w:r w:rsidRPr="00D91062">
        <w:rPr>
          <w:noProof/>
        </w:rPr>
        <w:tab/>
        <w:t>Motivele propunerii/inițiativei</w:t>
      </w:r>
      <w:r w:rsidRPr="00D91062">
        <w:rPr>
          <w:noProof/>
        </w:rPr>
        <w:tab/>
      </w:r>
      <w:r w:rsidRPr="00D91062">
        <w:rPr>
          <w:noProof/>
          <w:webHidden/>
        </w:rPr>
        <w:t>41</w:t>
      </w:r>
    </w:p>
    <w:p w14:paraId="0994FB8D" w14:textId="77777777" w:rsidR="00923DC0" w:rsidRPr="00D91062" w:rsidRDefault="00923DC0" w:rsidP="00923DC0">
      <w:pPr>
        <w:pStyle w:val="TOC3"/>
        <w:rPr>
          <w:rFonts w:asciiTheme="minorHAnsi" w:eastAsiaTheme="minorEastAsia" w:hAnsiTheme="minorHAnsi" w:cstheme="minorBidi"/>
          <w:noProof/>
          <w:kern w:val="2"/>
          <w:sz w:val="22"/>
          <w14:ligatures w14:val="standardContextual"/>
        </w:rPr>
      </w:pPr>
      <w:r w:rsidRPr="00D91062">
        <w:rPr>
          <w:noProof/>
        </w:rPr>
        <w:t>1.5.1.</w:t>
      </w:r>
      <w:r w:rsidRPr="00D91062">
        <w:rPr>
          <w:noProof/>
        </w:rPr>
        <w:tab/>
        <w:t>Cerința (cerințele) care trebuie îndeplinită (îndeplinite) pe termen scurt sau lung, inclusiv un calendar detaliat pentru punerea în aplicare a inițiativei</w:t>
      </w:r>
      <w:r w:rsidRPr="00D91062">
        <w:rPr>
          <w:noProof/>
        </w:rPr>
        <w:tab/>
      </w:r>
      <w:r w:rsidRPr="00D91062">
        <w:rPr>
          <w:noProof/>
          <w:webHidden/>
        </w:rPr>
        <w:t>41</w:t>
      </w:r>
    </w:p>
    <w:p w14:paraId="33830F77" w14:textId="77777777" w:rsidR="00923DC0" w:rsidRPr="00D91062" w:rsidRDefault="00923DC0" w:rsidP="00923DC0">
      <w:pPr>
        <w:pStyle w:val="TOC3"/>
        <w:rPr>
          <w:rFonts w:asciiTheme="minorHAnsi" w:eastAsiaTheme="minorEastAsia" w:hAnsiTheme="minorHAnsi" w:cstheme="minorBidi"/>
          <w:noProof/>
          <w:kern w:val="2"/>
          <w:sz w:val="22"/>
          <w14:ligatures w14:val="standardContextual"/>
        </w:rPr>
      </w:pPr>
      <w:r w:rsidRPr="00D91062">
        <w:rPr>
          <w:noProof/>
        </w:rPr>
        <w:t>1.5.2.</w:t>
      </w:r>
      <w:r w:rsidRPr="00D91062">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r w:rsidRPr="00D91062">
        <w:rPr>
          <w:noProof/>
        </w:rPr>
        <w:tab/>
      </w:r>
      <w:r w:rsidRPr="00D91062">
        <w:rPr>
          <w:noProof/>
          <w:webHidden/>
        </w:rPr>
        <w:t>41</w:t>
      </w:r>
    </w:p>
    <w:p w14:paraId="45F50765" w14:textId="77777777" w:rsidR="00923DC0" w:rsidRPr="00D91062" w:rsidRDefault="00923DC0" w:rsidP="00923DC0">
      <w:pPr>
        <w:pStyle w:val="TOC3"/>
        <w:rPr>
          <w:rFonts w:asciiTheme="minorHAnsi" w:eastAsiaTheme="minorEastAsia" w:hAnsiTheme="minorHAnsi" w:cstheme="minorBidi"/>
          <w:noProof/>
          <w:kern w:val="2"/>
          <w:sz w:val="22"/>
          <w14:ligatures w14:val="standardContextual"/>
        </w:rPr>
      </w:pPr>
      <w:r w:rsidRPr="00D91062">
        <w:rPr>
          <w:noProof/>
        </w:rPr>
        <w:t>1.5.3.</w:t>
      </w:r>
      <w:r w:rsidRPr="00D91062">
        <w:rPr>
          <w:noProof/>
        </w:rPr>
        <w:tab/>
        <w:t>Învățăminte desprinse din experiențele anterioare similare</w:t>
      </w:r>
      <w:r w:rsidRPr="00D91062">
        <w:rPr>
          <w:noProof/>
        </w:rPr>
        <w:tab/>
      </w:r>
      <w:r w:rsidRPr="00D91062">
        <w:rPr>
          <w:noProof/>
          <w:webHidden/>
        </w:rPr>
        <w:t>42</w:t>
      </w:r>
    </w:p>
    <w:p w14:paraId="64298C40" w14:textId="77777777" w:rsidR="00923DC0" w:rsidRPr="00D91062" w:rsidRDefault="00923DC0" w:rsidP="00923DC0">
      <w:pPr>
        <w:pStyle w:val="TOC3"/>
        <w:rPr>
          <w:rFonts w:asciiTheme="minorHAnsi" w:eastAsiaTheme="minorEastAsia" w:hAnsiTheme="minorHAnsi" w:cstheme="minorBidi"/>
          <w:noProof/>
          <w:kern w:val="2"/>
          <w:sz w:val="22"/>
          <w14:ligatures w14:val="standardContextual"/>
        </w:rPr>
      </w:pPr>
      <w:r w:rsidRPr="00D91062">
        <w:rPr>
          <w:noProof/>
        </w:rPr>
        <w:t>1.5.4.</w:t>
      </w:r>
      <w:r w:rsidRPr="00D91062">
        <w:rPr>
          <w:noProof/>
        </w:rPr>
        <w:tab/>
        <w:t>Compatibilitatea cu cadrul financiar multianual și posibilele sinergii cu alte instrumente corespunzătoare</w:t>
      </w:r>
      <w:r w:rsidRPr="00D91062">
        <w:rPr>
          <w:noProof/>
        </w:rPr>
        <w:tab/>
      </w:r>
      <w:r w:rsidRPr="00D91062">
        <w:rPr>
          <w:noProof/>
          <w:webHidden/>
        </w:rPr>
        <w:t>42</w:t>
      </w:r>
    </w:p>
    <w:p w14:paraId="28F655EF" w14:textId="77777777" w:rsidR="00923DC0" w:rsidRPr="00D91062" w:rsidRDefault="00923DC0" w:rsidP="00923DC0">
      <w:pPr>
        <w:pStyle w:val="TOC3"/>
        <w:rPr>
          <w:rFonts w:asciiTheme="minorHAnsi" w:eastAsiaTheme="minorEastAsia" w:hAnsiTheme="minorHAnsi" w:cstheme="minorBidi"/>
          <w:noProof/>
          <w:kern w:val="2"/>
          <w:sz w:val="22"/>
          <w14:ligatures w14:val="standardContextual"/>
        </w:rPr>
      </w:pPr>
      <w:r w:rsidRPr="00D91062">
        <w:rPr>
          <w:noProof/>
        </w:rPr>
        <w:t>1.5.5.</w:t>
      </w:r>
      <w:r w:rsidRPr="00D91062">
        <w:rPr>
          <w:noProof/>
        </w:rPr>
        <w:tab/>
        <w:t>Evaluarea diferitelor opțiuni de finanțare disponibile, inclusiv a posibilităților de realocare a creditelor</w:t>
      </w:r>
      <w:r w:rsidRPr="00D91062">
        <w:rPr>
          <w:noProof/>
        </w:rPr>
        <w:tab/>
      </w:r>
      <w:r w:rsidRPr="00D91062">
        <w:rPr>
          <w:noProof/>
          <w:webHidden/>
        </w:rPr>
        <w:t>43</w:t>
      </w:r>
    </w:p>
    <w:p w14:paraId="0D4B6DC5" w14:textId="77777777" w:rsidR="00923DC0" w:rsidRPr="00D91062" w:rsidRDefault="00923DC0" w:rsidP="00923DC0">
      <w:pPr>
        <w:pStyle w:val="TOC2"/>
        <w:rPr>
          <w:rFonts w:asciiTheme="minorHAnsi" w:eastAsiaTheme="minorEastAsia" w:hAnsiTheme="minorHAnsi" w:cstheme="minorBidi"/>
          <w:noProof/>
          <w:kern w:val="2"/>
          <w:sz w:val="22"/>
          <w14:ligatures w14:val="standardContextual"/>
        </w:rPr>
      </w:pPr>
      <w:r w:rsidRPr="00D91062">
        <w:rPr>
          <w:noProof/>
        </w:rPr>
        <w:t>1.6.</w:t>
      </w:r>
      <w:r w:rsidRPr="00D91062">
        <w:rPr>
          <w:noProof/>
        </w:rPr>
        <w:tab/>
        <w:t>Durata propunerii/inițiativei și a impactului său financiar</w:t>
      </w:r>
      <w:r w:rsidRPr="00D91062">
        <w:rPr>
          <w:noProof/>
        </w:rPr>
        <w:tab/>
      </w:r>
      <w:r w:rsidRPr="00D91062">
        <w:rPr>
          <w:noProof/>
          <w:webHidden/>
        </w:rPr>
        <w:t>43</w:t>
      </w:r>
    </w:p>
    <w:p w14:paraId="21BEDE08" w14:textId="77777777" w:rsidR="00923DC0" w:rsidRPr="00D91062" w:rsidRDefault="00923DC0" w:rsidP="00923DC0">
      <w:pPr>
        <w:pStyle w:val="TOC2"/>
        <w:rPr>
          <w:rFonts w:asciiTheme="minorHAnsi" w:eastAsiaTheme="minorEastAsia" w:hAnsiTheme="minorHAnsi" w:cstheme="minorBidi"/>
          <w:noProof/>
          <w:kern w:val="2"/>
          <w:sz w:val="22"/>
          <w14:ligatures w14:val="standardContextual"/>
        </w:rPr>
      </w:pPr>
      <w:r w:rsidRPr="00D91062">
        <w:rPr>
          <w:noProof/>
        </w:rPr>
        <w:t>1.7.</w:t>
      </w:r>
      <w:r w:rsidRPr="00D91062">
        <w:rPr>
          <w:noProof/>
        </w:rPr>
        <w:tab/>
        <w:t>Metoda (metodele) de execuție a bugetului planificată (planificate)</w:t>
      </w:r>
      <w:r w:rsidRPr="00D91062">
        <w:rPr>
          <w:noProof/>
        </w:rPr>
        <w:tab/>
      </w:r>
      <w:r w:rsidRPr="00D91062">
        <w:rPr>
          <w:noProof/>
          <w:webHidden/>
        </w:rPr>
        <w:t>43</w:t>
      </w:r>
    </w:p>
    <w:p w14:paraId="3258ACFA" w14:textId="77777777" w:rsidR="00923DC0" w:rsidRPr="00D91062" w:rsidRDefault="00923DC0" w:rsidP="00923DC0">
      <w:pPr>
        <w:pStyle w:val="TOC1"/>
        <w:rPr>
          <w:rFonts w:asciiTheme="minorHAnsi" w:eastAsiaTheme="minorEastAsia" w:hAnsiTheme="minorHAnsi" w:cstheme="minorBidi"/>
          <w:noProof/>
          <w:kern w:val="2"/>
          <w:sz w:val="22"/>
          <w14:ligatures w14:val="standardContextual"/>
        </w:rPr>
      </w:pPr>
      <w:r w:rsidRPr="00D91062">
        <w:rPr>
          <w:noProof/>
        </w:rPr>
        <w:t>2.</w:t>
      </w:r>
      <w:r w:rsidRPr="00D91062">
        <w:rPr>
          <w:noProof/>
        </w:rPr>
        <w:tab/>
        <w:t>MĂSURI DE GESTIUNE</w:t>
      </w:r>
      <w:r w:rsidRPr="00D91062">
        <w:rPr>
          <w:noProof/>
        </w:rPr>
        <w:tab/>
      </w:r>
      <w:r w:rsidRPr="00D91062">
        <w:rPr>
          <w:noProof/>
          <w:webHidden/>
        </w:rPr>
        <w:t>45</w:t>
      </w:r>
    </w:p>
    <w:p w14:paraId="0EF0C505" w14:textId="77777777" w:rsidR="00923DC0" w:rsidRPr="00D91062" w:rsidRDefault="00923DC0" w:rsidP="00923DC0">
      <w:pPr>
        <w:pStyle w:val="TOC2"/>
        <w:rPr>
          <w:rFonts w:asciiTheme="minorHAnsi" w:eastAsiaTheme="minorEastAsia" w:hAnsiTheme="minorHAnsi" w:cstheme="minorBidi"/>
          <w:noProof/>
          <w:kern w:val="2"/>
          <w:sz w:val="22"/>
          <w14:ligatures w14:val="standardContextual"/>
        </w:rPr>
      </w:pPr>
      <w:r w:rsidRPr="00D91062">
        <w:rPr>
          <w:noProof/>
        </w:rPr>
        <w:t>2.1.</w:t>
      </w:r>
      <w:r w:rsidRPr="00D91062">
        <w:rPr>
          <w:noProof/>
        </w:rPr>
        <w:tab/>
        <w:t>Dispoziții în materie de monitorizare și de raportare</w:t>
      </w:r>
      <w:r w:rsidRPr="00D91062">
        <w:rPr>
          <w:noProof/>
        </w:rPr>
        <w:tab/>
      </w:r>
      <w:r w:rsidRPr="00D91062">
        <w:rPr>
          <w:noProof/>
          <w:webHidden/>
        </w:rPr>
        <w:t>45</w:t>
      </w:r>
    </w:p>
    <w:p w14:paraId="45C30E42" w14:textId="77777777" w:rsidR="00923DC0" w:rsidRPr="00D91062" w:rsidRDefault="00923DC0" w:rsidP="00923DC0">
      <w:pPr>
        <w:pStyle w:val="TOC2"/>
        <w:rPr>
          <w:rFonts w:asciiTheme="minorHAnsi" w:eastAsiaTheme="minorEastAsia" w:hAnsiTheme="minorHAnsi" w:cstheme="minorBidi"/>
          <w:noProof/>
          <w:kern w:val="2"/>
          <w:sz w:val="22"/>
          <w14:ligatures w14:val="standardContextual"/>
        </w:rPr>
      </w:pPr>
      <w:r w:rsidRPr="00D91062">
        <w:rPr>
          <w:noProof/>
        </w:rPr>
        <w:t>2.2.</w:t>
      </w:r>
      <w:r w:rsidRPr="00D91062">
        <w:rPr>
          <w:noProof/>
        </w:rPr>
        <w:tab/>
        <w:t>Sistemul (sistemele) de gestiune și de control</w:t>
      </w:r>
      <w:r w:rsidRPr="00D91062">
        <w:rPr>
          <w:noProof/>
        </w:rPr>
        <w:tab/>
      </w:r>
      <w:r w:rsidRPr="00D91062">
        <w:rPr>
          <w:noProof/>
          <w:webHidden/>
        </w:rPr>
        <w:t>45</w:t>
      </w:r>
    </w:p>
    <w:p w14:paraId="6706D1B7" w14:textId="77777777" w:rsidR="00923DC0" w:rsidRPr="00D91062" w:rsidRDefault="00923DC0" w:rsidP="00923DC0">
      <w:pPr>
        <w:pStyle w:val="TOC3"/>
        <w:rPr>
          <w:rFonts w:asciiTheme="minorHAnsi" w:eastAsiaTheme="minorEastAsia" w:hAnsiTheme="minorHAnsi" w:cstheme="minorBidi"/>
          <w:noProof/>
          <w:kern w:val="2"/>
          <w:sz w:val="22"/>
          <w14:ligatures w14:val="standardContextual"/>
        </w:rPr>
      </w:pPr>
      <w:r w:rsidRPr="00D91062">
        <w:rPr>
          <w:noProof/>
        </w:rPr>
        <w:t>2.2.1.</w:t>
      </w:r>
      <w:r w:rsidRPr="00D91062">
        <w:rPr>
          <w:noProof/>
        </w:rPr>
        <w:tab/>
        <w:t>Justificarea metodei (metodelor) de execuție bugetară, a mecanismului (mecanismelor) de punere în aplicare a finanțării, a modalităților de plată și a strategiei de control propuse</w:t>
      </w:r>
      <w:r w:rsidRPr="00D91062">
        <w:rPr>
          <w:noProof/>
        </w:rPr>
        <w:tab/>
      </w:r>
      <w:r w:rsidRPr="00D91062">
        <w:rPr>
          <w:noProof/>
          <w:webHidden/>
        </w:rPr>
        <w:t>45</w:t>
      </w:r>
    </w:p>
    <w:p w14:paraId="0BA84E39" w14:textId="77777777" w:rsidR="00923DC0" w:rsidRPr="00D91062" w:rsidRDefault="00923DC0" w:rsidP="00923DC0">
      <w:pPr>
        <w:pStyle w:val="TOC3"/>
        <w:rPr>
          <w:rFonts w:asciiTheme="minorHAnsi" w:eastAsiaTheme="minorEastAsia" w:hAnsiTheme="minorHAnsi" w:cstheme="minorBidi"/>
          <w:noProof/>
          <w:kern w:val="2"/>
          <w:sz w:val="22"/>
          <w14:ligatures w14:val="standardContextual"/>
        </w:rPr>
      </w:pPr>
      <w:r w:rsidRPr="00D91062">
        <w:rPr>
          <w:noProof/>
        </w:rPr>
        <w:t>2.2.2.</w:t>
      </w:r>
      <w:r w:rsidRPr="00D91062">
        <w:rPr>
          <w:noProof/>
        </w:rPr>
        <w:tab/>
        <w:t>Informații privind riscurile identificate și sistemul (sistemele) de control intern instituit(e) pentru atenuarea lor</w:t>
      </w:r>
      <w:r w:rsidRPr="00D91062">
        <w:rPr>
          <w:noProof/>
        </w:rPr>
        <w:tab/>
      </w:r>
      <w:r w:rsidRPr="00D91062">
        <w:rPr>
          <w:noProof/>
          <w:webHidden/>
        </w:rPr>
        <w:t>46</w:t>
      </w:r>
    </w:p>
    <w:p w14:paraId="52CD9408" w14:textId="77777777" w:rsidR="00923DC0" w:rsidRPr="00D91062" w:rsidRDefault="00923DC0" w:rsidP="00923DC0">
      <w:pPr>
        <w:pStyle w:val="TOC3"/>
        <w:rPr>
          <w:rFonts w:asciiTheme="minorHAnsi" w:eastAsiaTheme="minorEastAsia" w:hAnsiTheme="minorHAnsi" w:cstheme="minorBidi"/>
          <w:noProof/>
          <w:kern w:val="2"/>
          <w:sz w:val="22"/>
          <w14:ligatures w14:val="standardContextual"/>
        </w:rPr>
      </w:pPr>
      <w:r w:rsidRPr="00D91062">
        <w:rPr>
          <w:noProof/>
        </w:rPr>
        <w:t>2.2.3.</w:t>
      </w:r>
      <w:r w:rsidRPr="00D91062">
        <w:rPr>
          <w:noProof/>
        </w:rPr>
        <w:tab/>
        <w:t>Estimarea și justificarea raportului cost-eficacitate al controalelor (raportul dintre costurile controalelor și valoarea fondurilor aferente gestionate) și evaluarea nivelurilor preconizate ale riscurilor de eroare (la plată și la închidere)</w:t>
      </w:r>
      <w:r w:rsidRPr="00D91062">
        <w:rPr>
          <w:noProof/>
        </w:rPr>
        <w:tab/>
      </w:r>
      <w:r w:rsidRPr="00D91062">
        <w:rPr>
          <w:noProof/>
          <w:webHidden/>
        </w:rPr>
        <w:t>46</w:t>
      </w:r>
    </w:p>
    <w:p w14:paraId="33B4E101" w14:textId="77777777" w:rsidR="00923DC0" w:rsidRPr="00D91062" w:rsidRDefault="00923DC0" w:rsidP="00923DC0">
      <w:pPr>
        <w:pStyle w:val="TOC2"/>
        <w:rPr>
          <w:rFonts w:asciiTheme="minorHAnsi" w:eastAsiaTheme="minorEastAsia" w:hAnsiTheme="minorHAnsi" w:cstheme="minorBidi"/>
          <w:noProof/>
          <w:kern w:val="2"/>
          <w:sz w:val="22"/>
          <w14:ligatures w14:val="standardContextual"/>
        </w:rPr>
      </w:pPr>
      <w:r w:rsidRPr="00D91062">
        <w:rPr>
          <w:noProof/>
        </w:rPr>
        <w:t>2.3.</w:t>
      </w:r>
      <w:r w:rsidRPr="00D91062">
        <w:rPr>
          <w:noProof/>
        </w:rPr>
        <w:tab/>
        <w:t>Măsuri de prevenire a fraudelor și a neregulilor</w:t>
      </w:r>
      <w:r w:rsidRPr="00D91062">
        <w:rPr>
          <w:noProof/>
        </w:rPr>
        <w:tab/>
      </w:r>
      <w:r w:rsidRPr="00D91062">
        <w:rPr>
          <w:noProof/>
          <w:webHidden/>
        </w:rPr>
        <w:t>46</w:t>
      </w:r>
    </w:p>
    <w:p w14:paraId="3D28C4FF" w14:textId="77777777" w:rsidR="00923DC0" w:rsidRPr="00D91062" w:rsidRDefault="00923DC0" w:rsidP="00923DC0">
      <w:pPr>
        <w:pStyle w:val="TOC1"/>
        <w:rPr>
          <w:rFonts w:asciiTheme="minorHAnsi" w:eastAsiaTheme="minorEastAsia" w:hAnsiTheme="minorHAnsi" w:cstheme="minorBidi"/>
          <w:noProof/>
          <w:kern w:val="2"/>
          <w:sz w:val="22"/>
          <w14:ligatures w14:val="standardContextual"/>
        </w:rPr>
      </w:pPr>
      <w:r w:rsidRPr="00D91062">
        <w:rPr>
          <w:noProof/>
        </w:rPr>
        <w:t>3.</w:t>
      </w:r>
      <w:r w:rsidRPr="00D91062">
        <w:rPr>
          <w:noProof/>
        </w:rPr>
        <w:tab/>
        <w:t>IMPACTUL FINANCIAR ESTIMAT AL PROPUNERII/INIȚIATIVEI</w:t>
      </w:r>
      <w:r w:rsidRPr="00D91062">
        <w:rPr>
          <w:noProof/>
        </w:rPr>
        <w:tab/>
      </w:r>
      <w:r w:rsidRPr="00D91062">
        <w:rPr>
          <w:noProof/>
          <w:webHidden/>
        </w:rPr>
        <w:t>47</w:t>
      </w:r>
    </w:p>
    <w:p w14:paraId="601A381C" w14:textId="77777777" w:rsidR="00923DC0" w:rsidRPr="00D91062" w:rsidRDefault="00923DC0" w:rsidP="00923DC0">
      <w:pPr>
        <w:pStyle w:val="TOC2"/>
        <w:rPr>
          <w:rFonts w:asciiTheme="minorHAnsi" w:eastAsiaTheme="minorEastAsia" w:hAnsiTheme="minorHAnsi" w:cstheme="minorBidi"/>
          <w:noProof/>
          <w:kern w:val="2"/>
          <w:sz w:val="22"/>
          <w14:ligatures w14:val="standardContextual"/>
        </w:rPr>
      </w:pPr>
      <w:r w:rsidRPr="00D91062">
        <w:rPr>
          <w:noProof/>
        </w:rPr>
        <w:t>3.1.</w:t>
      </w:r>
      <w:r w:rsidRPr="00D91062">
        <w:rPr>
          <w:noProof/>
        </w:rPr>
        <w:tab/>
        <w:t>Rubrica (rubricile) din cadrul financiar multianual și linia (liniile) bugetară (bugetare) de cheltuieli afectată (afectate)</w:t>
      </w:r>
      <w:r w:rsidRPr="00D91062">
        <w:rPr>
          <w:noProof/>
        </w:rPr>
        <w:tab/>
      </w:r>
      <w:r w:rsidRPr="00D91062">
        <w:rPr>
          <w:noProof/>
          <w:webHidden/>
        </w:rPr>
        <w:t>47</w:t>
      </w:r>
    </w:p>
    <w:p w14:paraId="68E78354" w14:textId="77777777" w:rsidR="00923DC0" w:rsidRPr="00D91062" w:rsidRDefault="00923DC0" w:rsidP="00923DC0">
      <w:pPr>
        <w:pStyle w:val="TOC2"/>
        <w:rPr>
          <w:rFonts w:asciiTheme="minorHAnsi" w:eastAsiaTheme="minorEastAsia" w:hAnsiTheme="minorHAnsi" w:cstheme="minorBidi"/>
          <w:noProof/>
          <w:kern w:val="2"/>
          <w:sz w:val="22"/>
          <w14:ligatures w14:val="standardContextual"/>
        </w:rPr>
      </w:pPr>
      <w:r w:rsidRPr="00D91062">
        <w:rPr>
          <w:noProof/>
        </w:rPr>
        <w:t>3.2.</w:t>
      </w:r>
      <w:r w:rsidRPr="00D91062">
        <w:rPr>
          <w:noProof/>
        </w:rPr>
        <w:tab/>
        <w:t>Impactul financiar estimat al propunerii asupra creditelor</w:t>
      </w:r>
      <w:r w:rsidRPr="00D91062">
        <w:rPr>
          <w:noProof/>
        </w:rPr>
        <w:tab/>
      </w:r>
      <w:r w:rsidRPr="00D91062">
        <w:rPr>
          <w:noProof/>
          <w:webHidden/>
        </w:rPr>
        <w:t>48</w:t>
      </w:r>
    </w:p>
    <w:p w14:paraId="14A622B5" w14:textId="77777777" w:rsidR="00923DC0" w:rsidRPr="00D91062" w:rsidRDefault="00923DC0" w:rsidP="00923DC0">
      <w:pPr>
        <w:pStyle w:val="TOC3"/>
        <w:rPr>
          <w:rFonts w:asciiTheme="minorHAnsi" w:eastAsiaTheme="minorEastAsia" w:hAnsiTheme="minorHAnsi" w:cstheme="minorBidi"/>
          <w:noProof/>
          <w:kern w:val="2"/>
          <w:sz w:val="22"/>
          <w14:ligatures w14:val="standardContextual"/>
        </w:rPr>
      </w:pPr>
      <w:r w:rsidRPr="00D91062">
        <w:rPr>
          <w:noProof/>
        </w:rPr>
        <w:t>3.2.1.</w:t>
      </w:r>
      <w:r w:rsidRPr="00D91062">
        <w:rPr>
          <w:noProof/>
        </w:rPr>
        <w:tab/>
        <w:t>Sinteza impactului estimat asupra creditelor operaționale</w:t>
      </w:r>
      <w:r w:rsidRPr="00D91062">
        <w:rPr>
          <w:noProof/>
        </w:rPr>
        <w:tab/>
      </w:r>
      <w:r w:rsidRPr="00D91062">
        <w:rPr>
          <w:noProof/>
          <w:webHidden/>
        </w:rPr>
        <w:t>48</w:t>
      </w:r>
    </w:p>
    <w:p w14:paraId="448E3087" w14:textId="77777777" w:rsidR="00923DC0" w:rsidRPr="00D91062" w:rsidRDefault="00923DC0" w:rsidP="00923DC0">
      <w:pPr>
        <w:pStyle w:val="TOC3"/>
        <w:rPr>
          <w:rFonts w:asciiTheme="minorHAnsi" w:eastAsiaTheme="minorEastAsia" w:hAnsiTheme="minorHAnsi" w:cstheme="minorBidi"/>
          <w:noProof/>
          <w:kern w:val="2"/>
          <w:sz w:val="22"/>
          <w14:ligatures w14:val="standardContextual"/>
        </w:rPr>
      </w:pPr>
      <w:r w:rsidRPr="00D91062">
        <w:rPr>
          <w:noProof/>
        </w:rPr>
        <w:t>3.2.1.1.</w:t>
      </w:r>
      <w:r w:rsidRPr="00D91062">
        <w:rPr>
          <w:noProof/>
        </w:rPr>
        <w:tab/>
        <w:t>Credite din bugetul votat</w:t>
      </w:r>
      <w:r w:rsidRPr="00D91062">
        <w:rPr>
          <w:noProof/>
        </w:rPr>
        <w:tab/>
      </w:r>
      <w:r w:rsidRPr="00D91062">
        <w:rPr>
          <w:noProof/>
          <w:webHidden/>
        </w:rPr>
        <w:t>48</w:t>
      </w:r>
    </w:p>
    <w:p w14:paraId="1DE87C6B" w14:textId="77777777" w:rsidR="00923DC0" w:rsidRPr="00D91062" w:rsidRDefault="00923DC0" w:rsidP="00923DC0">
      <w:pPr>
        <w:pStyle w:val="TOC3"/>
        <w:rPr>
          <w:rFonts w:asciiTheme="minorHAnsi" w:eastAsiaTheme="minorEastAsia" w:hAnsiTheme="minorHAnsi" w:cstheme="minorBidi"/>
          <w:noProof/>
          <w:kern w:val="2"/>
          <w:sz w:val="22"/>
          <w14:ligatures w14:val="standardContextual"/>
        </w:rPr>
      </w:pPr>
      <w:r w:rsidRPr="00D91062">
        <w:rPr>
          <w:noProof/>
        </w:rPr>
        <w:t>3.2.3.</w:t>
      </w:r>
      <w:r w:rsidRPr="00D91062">
        <w:rPr>
          <w:noProof/>
        </w:rPr>
        <w:tab/>
        <w:t>Sinteza impactului estimat asupra creditelor administrative</w:t>
      </w:r>
      <w:r w:rsidRPr="00D91062">
        <w:rPr>
          <w:noProof/>
        </w:rPr>
        <w:tab/>
      </w:r>
      <w:r w:rsidRPr="00D91062">
        <w:rPr>
          <w:noProof/>
          <w:webHidden/>
        </w:rPr>
        <w:t>51</w:t>
      </w:r>
    </w:p>
    <w:p w14:paraId="7AF9D262" w14:textId="77777777" w:rsidR="00923DC0" w:rsidRPr="00D91062" w:rsidRDefault="00923DC0" w:rsidP="00923DC0">
      <w:pPr>
        <w:pStyle w:val="TOC3"/>
        <w:rPr>
          <w:rFonts w:asciiTheme="minorHAnsi" w:eastAsiaTheme="minorEastAsia" w:hAnsiTheme="minorHAnsi" w:cstheme="minorBidi"/>
          <w:noProof/>
          <w:kern w:val="2"/>
          <w:sz w:val="22"/>
          <w14:ligatures w14:val="standardContextual"/>
        </w:rPr>
      </w:pPr>
      <w:r w:rsidRPr="00D91062">
        <w:rPr>
          <w:noProof/>
        </w:rPr>
        <w:t>3.2.3.1. Credite din bugetul votat</w:t>
      </w:r>
      <w:r w:rsidRPr="00D91062">
        <w:rPr>
          <w:noProof/>
        </w:rPr>
        <w:tab/>
      </w:r>
      <w:r w:rsidRPr="00D91062">
        <w:rPr>
          <w:noProof/>
          <w:webHidden/>
        </w:rPr>
        <w:t>51</w:t>
      </w:r>
    </w:p>
    <w:p w14:paraId="5D08FEAC" w14:textId="77777777" w:rsidR="00923DC0" w:rsidRPr="00D91062" w:rsidRDefault="00923DC0" w:rsidP="00923DC0">
      <w:pPr>
        <w:pStyle w:val="TOC3"/>
        <w:rPr>
          <w:rFonts w:asciiTheme="minorHAnsi" w:eastAsiaTheme="minorEastAsia" w:hAnsiTheme="minorHAnsi" w:cstheme="minorBidi"/>
          <w:noProof/>
          <w:kern w:val="2"/>
          <w:sz w:val="22"/>
          <w14:ligatures w14:val="standardContextual"/>
        </w:rPr>
      </w:pPr>
      <w:r w:rsidRPr="00D91062">
        <w:rPr>
          <w:noProof/>
        </w:rPr>
        <w:t>3.2.4.</w:t>
      </w:r>
      <w:r w:rsidRPr="00D91062">
        <w:rPr>
          <w:noProof/>
        </w:rPr>
        <w:tab/>
        <w:t>Necesarul de resurse umane estimat</w:t>
      </w:r>
      <w:r w:rsidRPr="00D91062">
        <w:rPr>
          <w:noProof/>
        </w:rPr>
        <w:tab/>
      </w:r>
      <w:r w:rsidRPr="00D91062">
        <w:rPr>
          <w:noProof/>
          <w:webHidden/>
        </w:rPr>
        <w:t>51</w:t>
      </w:r>
    </w:p>
    <w:p w14:paraId="3D1EFD1A" w14:textId="77777777" w:rsidR="00923DC0" w:rsidRPr="00D91062" w:rsidRDefault="00923DC0" w:rsidP="00923DC0">
      <w:pPr>
        <w:pStyle w:val="TOC3"/>
        <w:rPr>
          <w:rFonts w:asciiTheme="minorHAnsi" w:eastAsiaTheme="minorEastAsia" w:hAnsiTheme="minorHAnsi" w:cstheme="minorBidi"/>
          <w:noProof/>
          <w:kern w:val="2"/>
          <w:sz w:val="22"/>
          <w14:ligatures w14:val="standardContextual"/>
        </w:rPr>
      </w:pPr>
      <w:r w:rsidRPr="00D91062">
        <w:rPr>
          <w:noProof/>
        </w:rPr>
        <w:t>3.2.4.1.</w:t>
      </w:r>
      <w:r w:rsidRPr="00D91062">
        <w:rPr>
          <w:noProof/>
        </w:rPr>
        <w:tab/>
        <w:t>Finanțare din bugetul votat</w:t>
      </w:r>
      <w:r w:rsidRPr="00D91062">
        <w:rPr>
          <w:noProof/>
        </w:rPr>
        <w:tab/>
      </w:r>
      <w:r w:rsidRPr="00D91062">
        <w:rPr>
          <w:noProof/>
          <w:webHidden/>
        </w:rPr>
        <w:t>51</w:t>
      </w:r>
    </w:p>
    <w:p w14:paraId="68E0A882" w14:textId="77777777" w:rsidR="00923DC0" w:rsidRPr="00D91062" w:rsidRDefault="00923DC0" w:rsidP="00923DC0">
      <w:pPr>
        <w:pStyle w:val="TOC3"/>
        <w:rPr>
          <w:rFonts w:asciiTheme="minorHAnsi" w:eastAsiaTheme="minorEastAsia" w:hAnsiTheme="minorHAnsi" w:cstheme="minorBidi"/>
          <w:noProof/>
          <w:kern w:val="2"/>
          <w:sz w:val="22"/>
          <w14:ligatures w14:val="standardContextual"/>
        </w:rPr>
      </w:pPr>
      <w:r w:rsidRPr="00D91062">
        <w:rPr>
          <w:noProof/>
        </w:rPr>
        <w:t>3.2.5.</w:t>
      </w:r>
      <w:r w:rsidRPr="00D91062">
        <w:rPr>
          <w:noProof/>
        </w:rPr>
        <w:tab/>
        <w:t>Prezentare generală a impactului estimat asupra investițiilor legate de tehnologia digitală</w:t>
      </w:r>
      <w:r w:rsidRPr="00D91062">
        <w:rPr>
          <w:noProof/>
        </w:rPr>
        <w:tab/>
      </w:r>
      <w:r w:rsidRPr="00D91062">
        <w:rPr>
          <w:noProof/>
          <w:webHidden/>
        </w:rPr>
        <w:t>53</w:t>
      </w:r>
    </w:p>
    <w:p w14:paraId="0DAD69CF" w14:textId="77777777" w:rsidR="00923DC0" w:rsidRPr="00D91062" w:rsidRDefault="00923DC0" w:rsidP="00923DC0">
      <w:pPr>
        <w:pStyle w:val="TOC3"/>
        <w:rPr>
          <w:rFonts w:asciiTheme="minorHAnsi" w:eastAsiaTheme="minorEastAsia" w:hAnsiTheme="minorHAnsi" w:cstheme="minorBidi"/>
          <w:noProof/>
          <w:kern w:val="2"/>
          <w:sz w:val="22"/>
          <w14:ligatures w14:val="standardContextual"/>
        </w:rPr>
      </w:pPr>
      <w:r w:rsidRPr="00D91062">
        <w:rPr>
          <w:noProof/>
        </w:rPr>
        <w:t>3.2.6.</w:t>
      </w:r>
      <w:r w:rsidRPr="00D91062">
        <w:rPr>
          <w:noProof/>
        </w:rPr>
        <w:tab/>
        <w:t>Compatibilitatea cu cadrul financiar multianual actual</w:t>
      </w:r>
      <w:r w:rsidRPr="00D91062">
        <w:rPr>
          <w:noProof/>
        </w:rPr>
        <w:tab/>
      </w:r>
      <w:r w:rsidRPr="00D91062">
        <w:rPr>
          <w:noProof/>
          <w:webHidden/>
        </w:rPr>
        <w:t>54</w:t>
      </w:r>
    </w:p>
    <w:p w14:paraId="50C0D0DD" w14:textId="77777777" w:rsidR="00923DC0" w:rsidRPr="00D91062" w:rsidRDefault="00923DC0" w:rsidP="00923DC0">
      <w:pPr>
        <w:pStyle w:val="TOC3"/>
        <w:rPr>
          <w:noProof/>
          <w:webHidden/>
        </w:rPr>
      </w:pPr>
      <w:r w:rsidRPr="00D91062">
        <w:rPr>
          <w:noProof/>
        </w:rPr>
        <w:t>3.2.7.</w:t>
      </w:r>
      <w:r w:rsidRPr="00D91062">
        <w:rPr>
          <w:noProof/>
        </w:rPr>
        <w:tab/>
        <w:t>Contribuțiile terților</w:t>
      </w:r>
      <w:r w:rsidRPr="00D91062">
        <w:rPr>
          <w:noProof/>
        </w:rPr>
        <w:tab/>
      </w:r>
      <w:r w:rsidRPr="00D91062">
        <w:rPr>
          <w:noProof/>
          <w:webHidden/>
        </w:rPr>
        <w:t>54</w:t>
      </w:r>
    </w:p>
    <w:p w14:paraId="10197DA3" w14:textId="77777777" w:rsidR="00923DC0" w:rsidRPr="00D91062" w:rsidRDefault="00923DC0" w:rsidP="00923DC0">
      <w:pPr>
        <w:pStyle w:val="TOC3"/>
        <w:rPr>
          <w:noProof/>
        </w:rPr>
      </w:pPr>
      <w:r w:rsidRPr="00D91062">
        <w:rPr>
          <w:noProof/>
        </w:rPr>
        <w:t>3.2.8.</w:t>
      </w:r>
      <w:r w:rsidRPr="00D91062">
        <w:rPr>
          <w:noProof/>
        </w:rPr>
        <w:tab/>
        <w:t>Estimarea resurselor umane și utilizarea creditelor necesare în cadrul unei agenții descentralizate</w:t>
      </w:r>
      <w:r w:rsidRPr="00D91062">
        <w:rPr>
          <w:noProof/>
        </w:rPr>
        <w:tab/>
      </w:r>
      <w:r w:rsidRPr="00D91062">
        <w:rPr>
          <w:noProof/>
          <w:webHidden/>
        </w:rPr>
        <w:t>54</w:t>
      </w:r>
    </w:p>
    <w:p w14:paraId="3CF59767" w14:textId="77777777" w:rsidR="00923DC0" w:rsidRPr="00D91062" w:rsidRDefault="00923DC0" w:rsidP="00923DC0">
      <w:pPr>
        <w:pStyle w:val="TOC2"/>
        <w:rPr>
          <w:rFonts w:asciiTheme="minorHAnsi" w:eastAsiaTheme="minorEastAsia" w:hAnsiTheme="minorHAnsi" w:cstheme="minorBidi"/>
          <w:noProof/>
          <w:kern w:val="2"/>
          <w:sz w:val="22"/>
          <w14:ligatures w14:val="standardContextual"/>
        </w:rPr>
      </w:pPr>
      <w:r w:rsidRPr="00D91062">
        <w:rPr>
          <w:noProof/>
        </w:rPr>
        <w:t>3.3.</w:t>
      </w:r>
      <w:r w:rsidRPr="00D91062">
        <w:rPr>
          <w:noProof/>
        </w:rPr>
        <w:tab/>
        <w:t>Impactul estimat asupra veniturilor</w:t>
      </w:r>
      <w:r w:rsidRPr="00D91062">
        <w:rPr>
          <w:noProof/>
        </w:rPr>
        <w:tab/>
      </w:r>
      <w:r w:rsidRPr="00D91062">
        <w:rPr>
          <w:noProof/>
          <w:webHidden/>
        </w:rPr>
        <w:t>55</w:t>
      </w:r>
    </w:p>
    <w:p w14:paraId="34BE254F" w14:textId="77777777" w:rsidR="00923DC0" w:rsidRPr="00D91062" w:rsidRDefault="00923DC0" w:rsidP="00923DC0">
      <w:pPr>
        <w:pStyle w:val="TOC1"/>
        <w:rPr>
          <w:rFonts w:asciiTheme="minorHAnsi" w:eastAsiaTheme="minorEastAsia" w:hAnsiTheme="minorHAnsi" w:cstheme="minorBidi"/>
          <w:noProof/>
          <w:kern w:val="2"/>
          <w:sz w:val="22"/>
          <w14:ligatures w14:val="standardContextual"/>
        </w:rPr>
      </w:pPr>
      <w:r w:rsidRPr="00D91062">
        <w:rPr>
          <w:noProof/>
        </w:rPr>
        <w:t>4.</w:t>
      </w:r>
      <w:r w:rsidRPr="00D91062">
        <w:rPr>
          <w:noProof/>
        </w:rPr>
        <w:tab/>
      </w:r>
      <w:r w:rsidRPr="00D91062">
        <w:rPr>
          <w:caps/>
          <w:noProof/>
        </w:rPr>
        <w:t>Dimensiunile digitale</w:t>
      </w:r>
      <w:r w:rsidRPr="00D91062">
        <w:rPr>
          <w:noProof/>
        </w:rPr>
        <w:tab/>
      </w:r>
      <w:r w:rsidRPr="00D91062">
        <w:rPr>
          <w:noProof/>
          <w:webHidden/>
        </w:rPr>
        <w:t>56</w:t>
      </w:r>
    </w:p>
    <w:p w14:paraId="7DAA07D6" w14:textId="77777777" w:rsidR="00923DC0" w:rsidRPr="00D91062" w:rsidRDefault="00923DC0" w:rsidP="00923DC0">
      <w:pPr>
        <w:pStyle w:val="TOC2"/>
        <w:rPr>
          <w:rFonts w:asciiTheme="minorHAnsi" w:eastAsiaTheme="minorEastAsia" w:hAnsiTheme="minorHAnsi" w:cstheme="minorBidi"/>
          <w:noProof/>
          <w:kern w:val="2"/>
          <w:sz w:val="22"/>
          <w14:ligatures w14:val="standardContextual"/>
        </w:rPr>
      </w:pPr>
      <w:r w:rsidRPr="00D91062">
        <w:rPr>
          <w:noProof/>
        </w:rPr>
        <w:t>4.1.</w:t>
      </w:r>
      <w:r w:rsidRPr="00D91062">
        <w:rPr>
          <w:noProof/>
        </w:rPr>
        <w:tab/>
        <w:t>Cerințe cu relevanță digitală</w:t>
      </w:r>
      <w:r w:rsidRPr="00D91062">
        <w:rPr>
          <w:noProof/>
        </w:rPr>
        <w:tab/>
      </w:r>
      <w:r w:rsidRPr="00D91062">
        <w:rPr>
          <w:noProof/>
          <w:webHidden/>
        </w:rPr>
        <w:t>56</w:t>
      </w:r>
    </w:p>
    <w:p w14:paraId="7EFB8929" w14:textId="77777777" w:rsidR="00923DC0" w:rsidRPr="00D91062" w:rsidRDefault="00923DC0" w:rsidP="00923DC0">
      <w:pPr>
        <w:pStyle w:val="TOC2"/>
        <w:rPr>
          <w:noProof/>
          <w:webHidden/>
        </w:rPr>
      </w:pPr>
      <w:r w:rsidRPr="00D91062">
        <w:rPr>
          <w:noProof/>
        </w:rPr>
        <w:t>4.2.</w:t>
      </w:r>
      <w:r w:rsidRPr="00D91062">
        <w:rPr>
          <w:noProof/>
        </w:rPr>
        <w:tab/>
        <w:t>Date</w:t>
      </w:r>
      <w:r w:rsidRPr="00D91062">
        <w:rPr>
          <w:noProof/>
        </w:rPr>
        <w:tab/>
      </w:r>
      <w:r w:rsidRPr="00D91062">
        <w:rPr>
          <w:noProof/>
          <w:webHidden/>
        </w:rPr>
        <w:t>59</w:t>
      </w:r>
    </w:p>
    <w:p w14:paraId="12C9E3CE" w14:textId="77777777" w:rsidR="00923DC0" w:rsidRPr="00D91062" w:rsidRDefault="00923DC0" w:rsidP="00923DC0">
      <w:pPr>
        <w:pStyle w:val="TOC2"/>
        <w:rPr>
          <w:noProof/>
        </w:rPr>
      </w:pPr>
      <w:r w:rsidRPr="00D91062">
        <w:rPr>
          <w:noProof/>
        </w:rPr>
        <w:t>4.3.</w:t>
      </w:r>
      <w:r w:rsidRPr="00D91062">
        <w:rPr>
          <w:noProof/>
        </w:rPr>
        <w:tab/>
        <w:t>Fluxuri de date</w:t>
      </w:r>
      <w:r w:rsidRPr="00D91062">
        <w:rPr>
          <w:noProof/>
        </w:rPr>
        <w:tab/>
      </w:r>
      <w:r w:rsidRPr="00D91062">
        <w:rPr>
          <w:noProof/>
          <w:webHidden/>
        </w:rPr>
        <w:t>61</w:t>
      </w:r>
    </w:p>
    <w:p w14:paraId="66351DB1" w14:textId="77777777" w:rsidR="00923DC0" w:rsidRPr="00D91062" w:rsidRDefault="00923DC0" w:rsidP="00923DC0">
      <w:pPr>
        <w:pStyle w:val="TOC2"/>
        <w:rPr>
          <w:rFonts w:asciiTheme="minorHAnsi" w:eastAsiaTheme="minorEastAsia" w:hAnsiTheme="minorHAnsi" w:cstheme="minorBidi"/>
          <w:noProof/>
          <w:kern w:val="2"/>
          <w:sz w:val="22"/>
          <w14:ligatures w14:val="standardContextual"/>
        </w:rPr>
      </w:pPr>
      <w:r w:rsidRPr="00D91062">
        <w:rPr>
          <w:noProof/>
        </w:rPr>
        <w:t>4.4.</w:t>
      </w:r>
      <w:r w:rsidRPr="00D91062">
        <w:rPr>
          <w:noProof/>
        </w:rPr>
        <w:tab/>
        <w:t>Soluții digitale</w:t>
      </w:r>
      <w:r w:rsidRPr="00D91062">
        <w:rPr>
          <w:noProof/>
        </w:rPr>
        <w:tab/>
      </w:r>
      <w:r w:rsidRPr="00D91062">
        <w:rPr>
          <w:noProof/>
          <w:webHidden/>
        </w:rPr>
        <w:t>65</w:t>
      </w:r>
    </w:p>
    <w:p w14:paraId="1EC0F08F" w14:textId="77777777" w:rsidR="00923DC0" w:rsidRPr="00D91062" w:rsidRDefault="00923DC0" w:rsidP="00923DC0">
      <w:pPr>
        <w:pStyle w:val="TOC2"/>
        <w:rPr>
          <w:rFonts w:asciiTheme="minorHAnsi" w:eastAsiaTheme="minorEastAsia" w:hAnsiTheme="minorHAnsi" w:cstheme="minorBidi"/>
          <w:noProof/>
          <w:kern w:val="2"/>
          <w:sz w:val="22"/>
          <w14:ligatures w14:val="standardContextual"/>
        </w:rPr>
      </w:pPr>
      <w:r w:rsidRPr="00D91062">
        <w:rPr>
          <w:noProof/>
        </w:rPr>
        <w:t>4.5.</w:t>
      </w:r>
      <w:r w:rsidRPr="00D91062">
        <w:rPr>
          <w:noProof/>
        </w:rPr>
        <w:tab/>
        <w:t>Evaluarea interoperabilității</w:t>
      </w:r>
      <w:r w:rsidRPr="00D91062">
        <w:rPr>
          <w:noProof/>
        </w:rPr>
        <w:tab/>
      </w:r>
      <w:r w:rsidRPr="00D91062">
        <w:rPr>
          <w:noProof/>
          <w:webHidden/>
        </w:rPr>
        <w:t>65</w:t>
      </w:r>
    </w:p>
    <w:p w14:paraId="6AD96EF2" w14:textId="77777777" w:rsidR="00923DC0" w:rsidRPr="00D91062" w:rsidRDefault="00923DC0" w:rsidP="00923DC0">
      <w:pPr>
        <w:pStyle w:val="TOC2"/>
        <w:rPr>
          <w:rFonts w:asciiTheme="minorHAnsi" w:eastAsiaTheme="minorEastAsia" w:hAnsiTheme="minorHAnsi" w:cstheme="minorBidi"/>
          <w:noProof/>
          <w:kern w:val="2"/>
          <w:sz w:val="22"/>
          <w14:ligatures w14:val="standardContextual"/>
        </w:rPr>
      </w:pPr>
      <w:r w:rsidRPr="00D91062">
        <w:rPr>
          <w:noProof/>
        </w:rPr>
        <w:t>4.6.</w:t>
      </w:r>
      <w:r w:rsidRPr="00D91062">
        <w:rPr>
          <w:noProof/>
        </w:rPr>
        <w:tab/>
        <w:t>Măsuri de sprijinire a implementării digitale</w:t>
      </w:r>
      <w:r w:rsidRPr="00D91062">
        <w:rPr>
          <w:noProof/>
        </w:rPr>
        <w:tab/>
      </w:r>
      <w:r w:rsidRPr="00D91062">
        <w:rPr>
          <w:noProof/>
          <w:webHidden/>
        </w:rPr>
        <w:t>66</w:t>
      </w:r>
    </w:p>
    <w:p w14:paraId="32822151" w14:textId="77777777" w:rsidR="00D664CB" w:rsidRPr="00D91062" w:rsidRDefault="00D664CB" w:rsidP="009B43DF">
      <w:pPr>
        <w:keepNext/>
        <w:tabs>
          <w:tab w:val="left" w:pos="850"/>
        </w:tabs>
        <w:spacing w:before="360"/>
        <w:outlineLvl w:val="0"/>
        <w:rPr>
          <w:b/>
          <w:smallCaps/>
          <w:noProof/>
        </w:rPr>
        <w:sectPr w:rsidR="00D664CB" w:rsidRPr="00D91062" w:rsidSect="00A8433C">
          <w:pgSz w:w="11907" w:h="16840" w:code="9"/>
          <w:pgMar w:top="1134" w:right="1418" w:bottom="1134" w:left="1418" w:header="709" w:footer="709" w:gutter="0"/>
          <w:cols w:space="708"/>
          <w:docGrid w:linePitch="360"/>
        </w:sectPr>
      </w:pPr>
    </w:p>
    <w:p w14:paraId="4544ED61" w14:textId="77777777" w:rsidR="00D664CB" w:rsidRPr="00D91062" w:rsidRDefault="00D664CB" w:rsidP="006967D1">
      <w:pPr>
        <w:pStyle w:val="ManualHeading1"/>
        <w:rPr>
          <w:noProof/>
        </w:rPr>
      </w:pPr>
      <w:r w:rsidRPr="00D91062">
        <w:rPr>
          <w:noProof/>
        </w:rPr>
        <w:t>(1)</w:t>
      </w:r>
      <w:r w:rsidRPr="00D91062">
        <w:rPr>
          <w:noProof/>
        </w:rPr>
        <w:tab/>
        <w:t>CADRUL PROPUNERII/INIȚIATIVEI</w:t>
      </w:r>
      <w:bookmarkEnd w:id="7"/>
      <w:bookmarkEnd w:id="8"/>
      <w:bookmarkEnd w:id="9"/>
      <w:bookmarkEnd w:id="10"/>
      <w:bookmarkEnd w:id="11"/>
    </w:p>
    <w:p w14:paraId="00536AA0" w14:textId="77777777" w:rsidR="00D664CB" w:rsidRPr="00D91062" w:rsidRDefault="00D664CB" w:rsidP="006967D1">
      <w:pPr>
        <w:pStyle w:val="ManualHeading2"/>
        <w:rPr>
          <w:noProof/>
        </w:rPr>
      </w:pPr>
      <w:bookmarkStart w:id="13" w:name="_Toc514938008"/>
      <w:bookmarkStart w:id="14" w:name="_Toc520485026"/>
      <w:bookmarkStart w:id="15" w:name="_Toc160804568"/>
      <w:bookmarkStart w:id="16" w:name="_Toc167220260"/>
      <w:bookmarkStart w:id="17" w:name="_Toc177548993"/>
      <w:r w:rsidRPr="00D91062">
        <w:rPr>
          <w:noProof/>
        </w:rPr>
        <w:t>1.1.</w:t>
      </w:r>
      <w:r w:rsidRPr="00D91062">
        <w:rPr>
          <w:noProof/>
        </w:rPr>
        <w:tab/>
        <w:t>Titlul propunerii/inițiativei</w:t>
      </w:r>
      <w:bookmarkEnd w:id="13"/>
      <w:bookmarkEnd w:id="14"/>
      <w:bookmarkEnd w:id="15"/>
      <w:bookmarkEnd w:id="16"/>
      <w:bookmarkEnd w:id="17"/>
    </w:p>
    <w:p w14:paraId="1B2E1B13" w14:textId="77777777" w:rsidR="006967D1" w:rsidRPr="00D91062" w:rsidRDefault="00D71544" w:rsidP="006967D1">
      <w:pPr>
        <w:pStyle w:val="Text1"/>
        <w:pBdr>
          <w:top w:val="single" w:sz="4" w:space="1" w:color="auto"/>
          <w:left w:val="single" w:sz="4" w:space="4" w:color="auto"/>
          <w:bottom w:val="single" w:sz="4" w:space="1" w:color="auto"/>
          <w:right w:val="single" w:sz="4" w:space="4" w:color="auto"/>
        </w:pBdr>
        <w:rPr>
          <w:noProof/>
        </w:rPr>
      </w:pPr>
      <w:bookmarkStart w:id="18" w:name="_Toc514938011"/>
      <w:bookmarkStart w:id="19" w:name="_Toc520485027"/>
      <w:bookmarkStart w:id="20" w:name="_Toc160804569"/>
      <w:bookmarkStart w:id="21" w:name="_Toc167220261"/>
      <w:bookmarkStart w:id="22" w:name="_Toc177548994"/>
      <w:r w:rsidRPr="00D91062">
        <w:rPr>
          <w:noProof/>
        </w:rPr>
        <w:t xml:space="preserve">Regulamentul Parlamentului European și al Consiliului privind procedura de autorizare a sistemelor care furnizează servicii mobile prin satelit (MSS) utilizând banda de frecvențe armonizată de 2 GHz și de abrogare a Deciziei nr. 626/2008/CE </w:t>
      </w:r>
    </w:p>
    <w:p w14:paraId="52D15C0E" w14:textId="77777777" w:rsidR="00D664CB" w:rsidRPr="00D91062" w:rsidRDefault="00D664CB" w:rsidP="006967D1">
      <w:pPr>
        <w:pStyle w:val="ManualHeading2"/>
        <w:rPr>
          <w:noProof/>
        </w:rPr>
      </w:pPr>
      <w:r w:rsidRPr="00D91062">
        <w:rPr>
          <w:noProof/>
        </w:rPr>
        <w:t>1.2.</w:t>
      </w:r>
      <w:r w:rsidRPr="00D91062">
        <w:rPr>
          <w:noProof/>
        </w:rPr>
        <w:tab/>
        <w:t>Domeniul (domeniile) de politică vizat(e)</w:t>
      </w:r>
      <w:bookmarkEnd w:id="18"/>
      <w:bookmarkEnd w:id="19"/>
      <w:bookmarkEnd w:id="20"/>
      <w:bookmarkEnd w:id="21"/>
      <w:bookmarkEnd w:id="22"/>
    </w:p>
    <w:p w14:paraId="44C55722" w14:textId="77777777" w:rsidR="00D664CB" w:rsidRPr="00D91062" w:rsidRDefault="00D664CB" w:rsidP="006967D1">
      <w:pPr>
        <w:pStyle w:val="Text1"/>
        <w:pBdr>
          <w:top w:val="single" w:sz="4" w:space="1" w:color="auto"/>
          <w:left w:val="single" w:sz="4" w:space="4" w:color="auto"/>
          <w:bottom w:val="single" w:sz="4" w:space="1" w:color="auto"/>
          <w:right w:val="single" w:sz="4" w:space="4" w:color="auto"/>
        </w:pBdr>
        <w:rPr>
          <w:noProof/>
        </w:rPr>
      </w:pPr>
      <w:r w:rsidRPr="00D91062">
        <w:rPr>
          <w:noProof/>
        </w:rPr>
        <w:t>Politica în domeniul spectrului de frecvențe radio</w:t>
      </w:r>
    </w:p>
    <w:p w14:paraId="61AC8938" w14:textId="77777777" w:rsidR="00D664CB" w:rsidRPr="00D91062" w:rsidRDefault="00D664CB" w:rsidP="006967D1">
      <w:pPr>
        <w:pStyle w:val="ManualHeading2"/>
        <w:rPr>
          <w:noProof/>
        </w:rPr>
      </w:pPr>
      <w:bookmarkStart w:id="23" w:name="_Toc514938015"/>
      <w:bookmarkStart w:id="24" w:name="_Toc520485029"/>
      <w:bookmarkStart w:id="25" w:name="_Toc160804571"/>
      <w:bookmarkStart w:id="26" w:name="_Toc167220263"/>
      <w:bookmarkStart w:id="27" w:name="_Toc177548995"/>
      <w:r w:rsidRPr="00D91062">
        <w:rPr>
          <w:noProof/>
        </w:rPr>
        <w:t>1.3.</w:t>
      </w:r>
      <w:r w:rsidRPr="00D91062">
        <w:rPr>
          <w:noProof/>
        </w:rPr>
        <w:tab/>
        <w:t>Obiectiv(e)</w:t>
      </w:r>
      <w:bookmarkEnd w:id="23"/>
      <w:bookmarkEnd w:id="24"/>
      <w:bookmarkEnd w:id="25"/>
      <w:bookmarkEnd w:id="26"/>
      <w:bookmarkEnd w:id="27"/>
    </w:p>
    <w:p w14:paraId="33190954" w14:textId="77777777" w:rsidR="00D664CB" w:rsidRPr="00D91062" w:rsidRDefault="00D664CB" w:rsidP="006967D1">
      <w:pPr>
        <w:pStyle w:val="ManualHeading3"/>
        <w:rPr>
          <w:noProof/>
        </w:rPr>
      </w:pPr>
      <w:bookmarkStart w:id="28" w:name="_Toc514938016"/>
      <w:bookmarkStart w:id="29" w:name="_Toc520485030"/>
      <w:bookmarkStart w:id="30" w:name="_Toc160804572"/>
      <w:bookmarkStart w:id="31" w:name="_Toc167220264"/>
      <w:bookmarkStart w:id="32" w:name="_Toc177548996"/>
      <w:r w:rsidRPr="00D91062">
        <w:rPr>
          <w:noProof/>
        </w:rPr>
        <w:t>1.3.1.</w:t>
      </w:r>
      <w:r w:rsidRPr="00D91062">
        <w:rPr>
          <w:noProof/>
        </w:rPr>
        <w:tab/>
        <w:t>Obiectiv(e) general(e)</w:t>
      </w:r>
      <w:bookmarkEnd w:id="28"/>
      <w:bookmarkEnd w:id="29"/>
      <w:bookmarkEnd w:id="30"/>
      <w:bookmarkEnd w:id="31"/>
      <w:bookmarkEnd w:id="32"/>
    </w:p>
    <w:p w14:paraId="6287A924" w14:textId="77777777" w:rsidR="00D664CB" w:rsidRPr="00D91062" w:rsidRDefault="00D664CB" w:rsidP="006967D1">
      <w:pPr>
        <w:pStyle w:val="Text1"/>
        <w:pBdr>
          <w:top w:val="single" w:sz="4" w:space="1" w:color="auto"/>
          <w:left w:val="single" w:sz="4" w:space="4" w:color="auto"/>
          <w:bottom w:val="single" w:sz="4" w:space="1" w:color="auto"/>
          <w:right w:val="single" w:sz="4" w:space="4" w:color="auto"/>
        </w:pBdr>
        <w:rPr>
          <w:noProof/>
        </w:rPr>
      </w:pPr>
      <w:r w:rsidRPr="00D91062">
        <w:rPr>
          <w:noProof/>
        </w:rPr>
        <w:t>Asigurarea unei conectivități de înaltă calitate, fiabile și reziliente pentru toți, inclusiv în zonele rurale și îndepărtate, este esențială pentru ca UE să își mențină avantajul competitiv și standardele sociale. Realizarea acestui obiectiv necesită reducerea dependențelor tehnologice de-a lungul lanțului valoric. Acest obiectiv principal al intervenției propuse este adânc înrădăcinat în principalele constatări ale rapoartelor Draghi, Letta și Niinistö.</w:t>
      </w:r>
    </w:p>
    <w:p w14:paraId="0970AAD0" w14:textId="77777777" w:rsidR="00D664CB" w:rsidRPr="00D91062" w:rsidRDefault="00D664CB" w:rsidP="006967D1">
      <w:pPr>
        <w:pStyle w:val="Text1"/>
        <w:pBdr>
          <w:top w:val="single" w:sz="4" w:space="1" w:color="auto"/>
          <w:left w:val="single" w:sz="4" w:space="4" w:color="auto"/>
          <w:bottom w:val="single" w:sz="4" w:space="1" w:color="auto"/>
          <w:right w:val="single" w:sz="4" w:space="4" w:color="auto"/>
        </w:pBdr>
        <w:rPr>
          <w:noProof/>
        </w:rPr>
      </w:pPr>
      <w:r w:rsidRPr="00D91062">
        <w:rPr>
          <w:noProof/>
        </w:rPr>
        <w:t>Programul de politică al UE pentru 2030 privind deceniul digital și Strategia pentru continentul inteligenței artificiale pun accentul pe dezvoltarea unei infrastructuri avansate de rețele digitale pentru a stimula competitivitatea și inovarea în industria europeană și în economia digitală. Această dezvoltare a infrastructurii este legată de îmbunătățirea competitivității pieței și implică eliminarea obstacolelor, crearea unui mediu de reglementare echitabil și facilitarea serviciilor transfrontaliere.</w:t>
      </w:r>
    </w:p>
    <w:p w14:paraId="4255B425" w14:textId="77777777" w:rsidR="00D664CB" w:rsidRPr="00D91062" w:rsidRDefault="00D664CB" w:rsidP="006967D1">
      <w:pPr>
        <w:pStyle w:val="ManualHeading3"/>
        <w:rPr>
          <w:noProof/>
        </w:rPr>
      </w:pPr>
      <w:bookmarkStart w:id="33" w:name="_Toc514938018"/>
      <w:bookmarkStart w:id="34" w:name="_Toc520485031"/>
      <w:bookmarkStart w:id="35" w:name="_Toc160804573"/>
      <w:bookmarkStart w:id="36" w:name="_Toc167220265"/>
      <w:bookmarkStart w:id="37" w:name="_Toc177548997"/>
      <w:r w:rsidRPr="00D91062">
        <w:rPr>
          <w:noProof/>
        </w:rPr>
        <w:t>1.3.2.</w:t>
      </w:r>
      <w:r w:rsidRPr="00D91062">
        <w:rPr>
          <w:noProof/>
        </w:rPr>
        <w:tab/>
        <w:t>Obiectiv(e) specific(e)</w:t>
      </w:r>
      <w:bookmarkEnd w:id="33"/>
      <w:bookmarkEnd w:id="34"/>
      <w:bookmarkEnd w:id="35"/>
      <w:bookmarkEnd w:id="36"/>
      <w:bookmarkEnd w:id="37"/>
    </w:p>
    <w:p w14:paraId="6CECCD53" w14:textId="77777777" w:rsidR="00D664CB" w:rsidRPr="00D91062" w:rsidRDefault="00D664CB" w:rsidP="006967D1">
      <w:pPr>
        <w:pStyle w:val="Text1"/>
        <w:pBdr>
          <w:top w:val="single" w:sz="4" w:space="1" w:color="auto"/>
          <w:left w:val="single" w:sz="4" w:space="4" w:color="auto"/>
          <w:bottom w:val="single" w:sz="4" w:space="1" w:color="auto"/>
          <w:right w:val="single" w:sz="4" w:space="4" w:color="auto"/>
        </w:pBdr>
        <w:rPr>
          <w:noProof/>
          <w:u w:val="single"/>
        </w:rPr>
      </w:pPr>
      <w:r w:rsidRPr="00D91062">
        <w:rPr>
          <w:noProof/>
          <w:u w:val="single"/>
        </w:rPr>
        <w:t>Obiectivul specific nr. 1</w:t>
      </w:r>
    </w:p>
    <w:p w14:paraId="538DD9D8" w14:textId="77777777" w:rsidR="00D664CB" w:rsidRPr="00D91062" w:rsidRDefault="00D664CB" w:rsidP="006967D1">
      <w:pPr>
        <w:pStyle w:val="Text1"/>
        <w:pBdr>
          <w:top w:val="single" w:sz="4" w:space="1" w:color="auto"/>
          <w:left w:val="single" w:sz="4" w:space="4" w:color="auto"/>
          <w:bottom w:val="single" w:sz="4" w:space="1" w:color="auto"/>
          <w:right w:val="single" w:sz="4" w:space="4" w:color="auto"/>
        </w:pBdr>
        <w:rPr>
          <w:noProof/>
        </w:rPr>
      </w:pPr>
      <w:r w:rsidRPr="00D91062">
        <w:rPr>
          <w:noProof/>
        </w:rPr>
        <w:t>Sprijinirea implementării rețelelor paneuropene prin satelit și a serviciilor inovatoare în banda MSS.</w:t>
      </w:r>
    </w:p>
    <w:p w14:paraId="03EB1481" w14:textId="77777777" w:rsidR="00D664CB" w:rsidRPr="00D91062" w:rsidRDefault="00D664CB" w:rsidP="006967D1">
      <w:pPr>
        <w:pStyle w:val="Text1"/>
        <w:pBdr>
          <w:top w:val="single" w:sz="4" w:space="1" w:color="auto"/>
          <w:left w:val="single" w:sz="4" w:space="4" w:color="auto"/>
          <w:bottom w:val="single" w:sz="4" w:space="1" w:color="auto"/>
          <w:right w:val="single" w:sz="4" w:space="4" w:color="auto"/>
        </w:pBdr>
        <w:rPr>
          <w:noProof/>
        </w:rPr>
      </w:pPr>
      <w:r w:rsidRPr="00D91062">
        <w:rPr>
          <w:noProof/>
        </w:rPr>
        <w:t>Această inițiativă urmărește să instituie autorizații paneuropene pentru sateliți în MSS, asigurând un cadru unificat pentru selectarea titularilor de licențe, alocarea spectrului și asigurarea respectării legislației, eliminând astfel fragmentarea și incertitudinea în materie de reglementare. Acest lucru va permite exploatarea deplină a pieței unice, îmbunătățirea conectivității prin promovarea inovării, a amplorii și a concurenței loiale de-a lungul lanțului valoric, în sectorul spațial și, în cele din urmă, consolidarea capacităților industriale și științifice ale UE.</w:t>
      </w:r>
    </w:p>
    <w:p w14:paraId="6C7E54F4" w14:textId="77777777" w:rsidR="00D664CB" w:rsidRPr="00D91062" w:rsidRDefault="00D664CB" w:rsidP="006967D1">
      <w:pPr>
        <w:pStyle w:val="Text1"/>
        <w:pBdr>
          <w:top w:val="single" w:sz="4" w:space="1" w:color="auto"/>
          <w:left w:val="single" w:sz="4" w:space="4" w:color="auto"/>
          <w:bottom w:val="single" w:sz="4" w:space="1" w:color="auto"/>
          <w:right w:val="single" w:sz="4" w:space="4" w:color="auto"/>
        </w:pBdr>
        <w:rPr>
          <w:noProof/>
          <w:u w:val="single"/>
        </w:rPr>
      </w:pPr>
      <w:r w:rsidRPr="00D91062">
        <w:rPr>
          <w:noProof/>
          <w:u w:val="single"/>
        </w:rPr>
        <w:t>Obiectivul specific nr. 2</w:t>
      </w:r>
    </w:p>
    <w:p w14:paraId="458E0868" w14:textId="77777777" w:rsidR="00D664CB" w:rsidRPr="00D91062" w:rsidRDefault="00D664CB" w:rsidP="006967D1">
      <w:pPr>
        <w:pStyle w:val="Text1"/>
        <w:pBdr>
          <w:top w:val="single" w:sz="4" w:space="1" w:color="auto"/>
          <w:left w:val="single" w:sz="4" w:space="4" w:color="auto"/>
          <w:bottom w:val="single" w:sz="4" w:space="1" w:color="auto"/>
          <w:right w:val="single" w:sz="4" w:space="4" w:color="auto"/>
        </w:pBdr>
        <w:rPr>
          <w:noProof/>
        </w:rPr>
      </w:pPr>
      <w:r w:rsidRPr="00D91062">
        <w:rPr>
          <w:noProof/>
        </w:rPr>
        <w:t>Asigurarea utilizării strategice și sigure a spectrului și serviciilor mobile prin satelit</w:t>
      </w:r>
    </w:p>
    <w:p w14:paraId="74E549AE" w14:textId="77777777" w:rsidR="00D664CB" w:rsidRPr="00D91062" w:rsidRDefault="00D664CB" w:rsidP="006967D1">
      <w:pPr>
        <w:pStyle w:val="Text1"/>
        <w:pBdr>
          <w:top w:val="single" w:sz="4" w:space="1" w:color="auto"/>
          <w:left w:val="single" w:sz="4" w:space="4" w:color="auto"/>
          <w:bottom w:val="single" w:sz="4" w:space="1" w:color="auto"/>
          <w:right w:val="single" w:sz="4" w:space="4" w:color="auto"/>
        </w:pBdr>
        <w:rPr>
          <w:noProof/>
        </w:rPr>
      </w:pPr>
      <w:r w:rsidRPr="00D91062">
        <w:rPr>
          <w:noProof/>
        </w:rPr>
        <w:t>Având în vedere evoluția contextului geopolitic și a cerințelor de securitate odată cu proliferarea la nivel mondial a sistemelor prin satelit, este necesar să se asigure că selectarea operatorilor de sateliți care au dreptul de a utiliza resursele limitate de spectru alocate serviciilor mobile prin satelit în Uniune se realizează într-un mod strategic și eficace. Pentru a îmbunătăți capacitățile guvernamentale ale Uniunii în materie de comunicații prin satelit, procesul de selecție trebuie să protejeze interesele UE în ceea ce privește securitatea, reziliența, poziția de lider tehnologic și suveranitatea digitală, sprijinind în același timp politica spațială a UE menită să promoveze conectivitatea inovatoare și securizată, securitatea economică a UE și competitivitatea globală.</w:t>
      </w:r>
    </w:p>
    <w:p w14:paraId="1B48987E" w14:textId="77777777" w:rsidR="00D664CB" w:rsidRPr="00D91062" w:rsidRDefault="00D664CB" w:rsidP="006967D1">
      <w:pPr>
        <w:pStyle w:val="ManualHeading3"/>
        <w:rPr>
          <w:noProof/>
        </w:rPr>
      </w:pPr>
      <w:bookmarkStart w:id="38" w:name="_Toc514938019"/>
      <w:bookmarkStart w:id="39" w:name="_Toc520485032"/>
      <w:bookmarkStart w:id="40" w:name="_Toc160804574"/>
      <w:bookmarkStart w:id="41" w:name="_Toc167220266"/>
      <w:bookmarkStart w:id="42" w:name="_Toc177548998"/>
      <w:r w:rsidRPr="00D91062">
        <w:rPr>
          <w:noProof/>
        </w:rPr>
        <w:t>1.3.3.</w:t>
      </w:r>
      <w:r w:rsidRPr="00D91062">
        <w:rPr>
          <w:noProof/>
        </w:rPr>
        <w:tab/>
        <w:t>Rezultatul (rezultatele) și impactul preconizate</w:t>
      </w:r>
      <w:bookmarkEnd w:id="38"/>
      <w:bookmarkEnd w:id="39"/>
      <w:bookmarkEnd w:id="40"/>
      <w:bookmarkEnd w:id="41"/>
      <w:bookmarkEnd w:id="42"/>
    </w:p>
    <w:p w14:paraId="4B0ECC0D" w14:textId="77777777" w:rsidR="00D664CB" w:rsidRPr="00D91062" w:rsidRDefault="00D664CB" w:rsidP="006967D1">
      <w:pPr>
        <w:pStyle w:val="Text1"/>
        <w:rPr>
          <w:i/>
          <w:iCs/>
          <w:noProof/>
        </w:rPr>
      </w:pPr>
      <w:r w:rsidRPr="00D91062">
        <w:rPr>
          <w:i/>
          <w:noProof/>
        </w:rPr>
        <w:t>A se preciza efectele pe care ar trebui să le aibă propunerea/inițiativa asupra beneficiarilor vizați/grupurilor vizate.</w:t>
      </w:r>
    </w:p>
    <w:p w14:paraId="11B6E3FF" w14:textId="77777777" w:rsidR="00D664CB" w:rsidRPr="00D91062" w:rsidRDefault="00D664CB" w:rsidP="006967D1">
      <w:pPr>
        <w:pStyle w:val="Text1"/>
        <w:pBdr>
          <w:top w:val="single" w:sz="4" w:space="1" w:color="auto"/>
          <w:left w:val="single" w:sz="4" w:space="4" w:color="auto"/>
          <w:bottom w:val="single" w:sz="4" w:space="1" w:color="auto"/>
          <w:right w:val="single" w:sz="4" w:space="4" w:color="auto"/>
        </w:pBdr>
        <w:rPr>
          <w:noProof/>
        </w:rPr>
      </w:pPr>
      <w:r w:rsidRPr="00D91062">
        <w:rPr>
          <w:noProof/>
        </w:rPr>
        <w:t>Operatorii de sateliți: Beneficiază de soluții eficace la problemele legate de interferențele prejudiciabile (se asigură că toți actorii respectă normele datorită aplicării coordonate a normelor privind sateliții). Alte beneficii: intrarea mai rapidă pe piață și implementarea ECN/ECS, evitând o reducere a veniturilor din cauza întârzierilor, o mai mare coerență a condițiilor de reglementare, servicii transfrontaliere inovatoare, de exemplu B2B și IMM-urile Noului Spațiu. Economii legate, de asemenea, de respectarea unui singur set de condiții de autorizare și de pierderea limitată de venituri din cauza posibilelor întârzieri în autorizarea spectrului. În ansamblu, o piață unică digitală pentru sateliți ar putea reduce costurile cu aproximativ 60-80 %, economisind operatorului cel puțin 10-15 milioane EUR pe an.</w:t>
      </w:r>
    </w:p>
    <w:p w14:paraId="305555E0" w14:textId="77777777" w:rsidR="00D664CB" w:rsidRPr="00D91062" w:rsidRDefault="00D664CB" w:rsidP="006967D1">
      <w:pPr>
        <w:pStyle w:val="Text1"/>
        <w:pBdr>
          <w:top w:val="single" w:sz="4" w:space="1" w:color="auto"/>
          <w:left w:val="single" w:sz="4" w:space="4" w:color="auto"/>
          <w:bottom w:val="single" w:sz="4" w:space="1" w:color="auto"/>
          <w:right w:val="single" w:sz="4" w:space="4" w:color="auto"/>
        </w:pBdr>
        <w:rPr>
          <w:noProof/>
        </w:rPr>
      </w:pPr>
      <w:r w:rsidRPr="00D91062">
        <w:rPr>
          <w:noProof/>
        </w:rPr>
        <w:t>Consumatori: Creșterea excedentului pentru consumatori ca urmare a disponibilității în timp util a serviciilor inovatoare din Noul Spațiu, reducerea lacunelor în materie de acoperire și reducerea insecurității juridice (de exemplu, întreruperea serviciilor timp de o lună la nivelul UE estimată să reducă excedentul consumatorilor cu zeci de milioane EUR, în funcție de substituibilitatea serviciilor și de baza de utilizatori afectată). Beneficii îmbunătățite din partea serviciilor D2D paneuropene, îmbunătățirea capacității de comunicare în caz de dezastre majore și în situații de urgență în zonele insuficient deservite. Rețele mai sigure.</w:t>
      </w:r>
    </w:p>
    <w:p w14:paraId="54CC3A9B" w14:textId="77777777" w:rsidR="00D664CB" w:rsidRPr="00D91062" w:rsidRDefault="00D664CB" w:rsidP="006967D1">
      <w:pPr>
        <w:pStyle w:val="Text1"/>
        <w:pBdr>
          <w:top w:val="single" w:sz="4" w:space="1" w:color="auto"/>
          <w:left w:val="single" w:sz="4" w:space="4" w:color="auto"/>
          <w:bottom w:val="single" w:sz="4" w:space="1" w:color="auto"/>
          <w:right w:val="single" w:sz="4" w:space="4" w:color="auto"/>
        </w:pBdr>
        <w:rPr>
          <w:noProof/>
        </w:rPr>
      </w:pPr>
      <w:r w:rsidRPr="00D91062">
        <w:rPr>
          <w:noProof/>
        </w:rPr>
        <w:t>Administrații: Economii în contextul unui număr stabil de cereri de autorizare a comunicațiilor mobile prin satelit și ar înregistra o reducere netă a costurilor.</w:t>
      </w:r>
    </w:p>
    <w:p w14:paraId="39F12A0B" w14:textId="77777777" w:rsidR="00D664CB" w:rsidRPr="00D91062" w:rsidRDefault="00D664CB" w:rsidP="006967D1">
      <w:pPr>
        <w:pStyle w:val="Text1"/>
        <w:pBdr>
          <w:top w:val="single" w:sz="4" w:space="1" w:color="auto"/>
          <w:left w:val="single" w:sz="4" w:space="4" w:color="auto"/>
          <w:bottom w:val="single" w:sz="4" w:space="1" w:color="auto"/>
          <w:right w:val="single" w:sz="4" w:space="4" w:color="auto"/>
        </w:pBdr>
        <w:rPr>
          <w:noProof/>
        </w:rPr>
      </w:pPr>
      <w:r w:rsidRPr="00D91062">
        <w:rPr>
          <w:noProof/>
        </w:rPr>
        <w:t>Utilizatorii guvernamentali vor avea acces la capacități îmbunătățite ale sistemelor D2D sigure și suverane pentru a-și desfășura operațiunile.</w:t>
      </w:r>
    </w:p>
    <w:p w14:paraId="73E6CAC0" w14:textId="77777777" w:rsidR="00D664CB" w:rsidRPr="00D91062" w:rsidRDefault="00D664CB" w:rsidP="006967D1">
      <w:pPr>
        <w:pStyle w:val="ManualHeading3"/>
        <w:rPr>
          <w:i w:val="0"/>
          <w:noProof/>
        </w:rPr>
      </w:pPr>
      <w:bookmarkStart w:id="43" w:name="_Toc514938023"/>
      <w:bookmarkStart w:id="44" w:name="_Toc520485033"/>
      <w:bookmarkStart w:id="45" w:name="_Toc160804575"/>
      <w:bookmarkStart w:id="46" w:name="_Toc167220267"/>
      <w:bookmarkStart w:id="47" w:name="_Toc177548999"/>
      <w:r w:rsidRPr="00D91062">
        <w:rPr>
          <w:noProof/>
        </w:rPr>
        <w:t>1.3.4.</w:t>
      </w:r>
      <w:r w:rsidRPr="00D91062">
        <w:rPr>
          <w:noProof/>
        </w:rPr>
        <w:tab/>
        <w:t>Indicatori de performanță</w:t>
      </w:r>
      <w:bookmarkEnd w:id="43"/>
      <w:bookmarkEnd w:id="44"/>
      <w:bookmarkEnd w:id="45"/>
      <w:bookmarkEnd w:id="46"/>
      <w:bookmarkEnd w:id="47"/>
    </w:p>
    <w:p w14:paraId="77FD1105" w14:textId="77777777" w:rsidR="00D664CB" w:rsidRPr="00D91062" w:rsidRDefault="00D664CB" w:rsidP="00424514">
      <w:pPr>
        <w:pStyle w:val="Text1"/>
        <w:rPr>
          <w:i/>
          <w:iCs/>
          <w:noProof/>
        </w:rPr>
      </w:pPr>
      <w:r w:rsidRPr="00D91062">
        <w:rPr>
          <w:i/>
          <w:noProof/>
        </w:rPr>
        <w:t>A se preciza indicatorii care permit monitorizarea progreselor și a realizărilor obținute.</w:t>
      </w:r>
    </w:p>
    <w:p w14:paraId="4282F4F6" w14:textId="77777777" w:rsidR="00D664CB" w:rsidRPr="00D91062" w:rsidRDefault="00D664CB" w:rsidP="00424514">
      <w:pPr>
        <w:pStyle w:val="Text1"/>
        <w:pBdr>
          <w:top w:val="single" w:sz="4" w:space="1" w:color="auto"/>
          <w:left w:val="single" w:sz="4" w:space="4" w:color="auto"/>
          <w:bottom w:val="single" w:sz="4" w:space="1" w:color="auto"/>
          <w:right w:val="single" w:sz="4" w:space="4" w:color="auto"/>
        </w:pBdr>
        <w:rPr>
          <w:i/>
          <w:iCs/>
          <w:noProof/>
        </w:rPr>
      </w:pPr>
      <w:r w:rsidRPr="00D91062">
        <w:rPr>
          <w:i/>
          <w:noProof/>
        </w:rPr>
        <w:t>Obiectivul 1: Sprijinirea implementării rețelelor paneuropene prin satelit și a serviciilor inovatoare în banda MSS.</w:t>
      </w:r>
    </w:p>
    <w:p w14:paraId="34FC5CDB" w14:textId="77777777" w:rsidR="00D664CB" w:rsidRPr="00D91062" w:rsidRDefault="00D664CB" w:rsidP="00424514">
      <w:pPr>
        <w:pStyle w:val="Text1"/>
        <w:pBdr>
          <w:top w:val="single" w:sz="4" w:space="1" w:color="auto"/>
          <w:left w:val="single" w:sz="4" w:space="4" w:color="auto"/>
          <w:bottom w:val="single" w:sz="4" w:space="1" w:color="auto"/>
          <w:right w:val="single" w:sz="4" w:space="4" w:color="auto"/>
        </w:pBdr>
        <w:rPr>
          <w:noProof/>
        </w:rPr>
      </w:pPr>
      <w:r w:rsidRPr="00D91062">
        <w:rPr>
          <w:noProof/>
        </w:rPr>
        <w:t>Numărul de furnizori care utilizează regimul de autorizare generală transfrontalieră</w:t>
      </w:r>
    </w:p>
    <w:p w14:paraId="50830F14" w14:textId="77777777" w:rsidR="00D664CB" w:rsidRPr="00D91062" w:rsidRDefault="00D664CB" w:rsidP="00424514">
      <w:pPr>
        <w:pStyle w:val="Text1"/>
        <w:pBdr>
          <w:top w:val="single" w:sz="4" w:space="1" w:color="auto"/>
          <w:left w:val="single" w:sz="4" w:space="4" w:color="auto"/>
          <w:bottom w:val="single" w:sz="4" w:space="1" w:color="auto"/>
          <w:right w:val="single" w:sz="4" w:space="4" w:color="auto"/>
        </w:pBdr>
        <w:rPr>
          <w:noProof/>
        </w:rPr>
      </w:pPr>
      <w:r w:rsidRPr="00D91062">
        <w:rPr>
          <w:noProof/>
        </w:rPr>
        <w:t>Numărul de noi titulari de licențe UE pentru servicii mobile de comunicații prin satelit</w:t>
      </w:r>
    </w:p>
    <w:p w14:paraId="4EE66415" w14:textId="77777777" w:rsidR="00D664CB" w:rsidRPr="00D91062" w:rsidRDefault="00D664CB" w:rsidP="00424514">
      <w:pPr>
        <w:pStyle w:val="Text1"/>
        <w:pBdr>
          <w:top w:val="single" w:sz="4" w:space="1" w:color="auto"/>
          <w:left w:val="single" w:sz="4" w:space="4" w:color="auto"/>
          <w:bottom w:val="single" w:sz="4" w:space="1" w:color="auto"/>
          <w:right w:val="single" w:sz="4" w:space="4" w:color="auto"/>
        </w:pBdr>
        <w:rPr>
          <w:noProof/>
        </w:rPr>
      </w:pPr>
      <w:r w:rsidRPr="00D91062">
        <w:rPr>
          <w:noProof/>
        </w:rPr>
        <w:t>Timpul necesar pentru îndeplinirea cerințelor de autorizare a sateliților</w:t>
      </w:r>
    </w:p>
    <w:p w14:paraId="779A5018" w14:textId="77777777" w:rsidR="00D664CB" w:rsidRPr="00D91062" w:rsidRDefault="00D664CB" w:rsidP="00424514">
      <w:pPr>
        <w:pStyle w:val="Text1"/>
        <w:pBdr>
          <w:top w:val="single" w:sz="4" w:space="1" w:color="auto"/>
          <w:left w:val="single" w:sz="4" w:space="4" w:color="auto"/>
          <w:bottom w:val="single" w:sz="4" w:space="1" w:color="auto"/>
          <w:right w:val="single" w:sz="4" w:space="4" w:color="auto"/>
        </w:pBdr>
        <w:rPr>
          <w:noProof/>
        </w:rPr>
      </w:pPr>
      <w:r w:rsidRPr="00D91062">
        <w:rPr>
          <w:noProof/>
        </w:rPr>
        <w:t>Numărul de proceduri de asigurare a respectării legislației care au reușit să pună capăt problemelor legate de interferențe</w:t>
      </w:r>
    </w:p>
    <w:p w14:paraId="75FF9A15" w14:textId="77777777" w:rsidR="00D664CB" w:rsidRPr="00D91062" w:rsidRDefault="00D664CB" w:rsidP="00424514">
      <w:pPr>
        <w:pStyle w:val="Text1"/>
        <w:pBdr>
          <w:top w:val="single" w:sz="4" w:space="1" w:color="auto"/>
          <w:left w:val="single" w:sz="4" w:space="4" w:color="auto"/>
          <w:bottom w:val="single" w:sz="4" w:space="1" w:color="auto"/>
          <w:right w:val="single" w:sz="4" w:space="4" w:color="auto"/>
        </w:pBdr>
        <w:rPr>
          <w:noProof/>
        </w:rPr>
      </w:pPr>
      <w:r w:rsidRPr="00D91062">
        <w:rPr>
          <w:noProof/>
        </w:rPr>
        <w:t>Numărul de probleme legate de interferențe în UE care au fost abordate în timp util și în mod eficace</w:t>
      </w:r>
    </w:p>
    <w:p w14:paraId="69C71116" w14:textId="77777777" w:rsidR="00D664CB" w:rsidRPr="00D91062" w:rsidRDefault="00D664CB" w:rsidP="00424514">
      <w:pPr>
        <w:pStyle w:val="Text1"/>
        <w:pBdr>
          <w:top w:val="single" w:sz="4" w:space="1" w:color="auto"/>
          <w:left w:val="single" w:sz="4" w:space="4" w:color="auto"/>
          <w:bottom w:val="single" w:sz="4" w:space="1" w:color="auto"/>
          <w:right w:val="single" w:sz="4" w:space="4" w:color="auto"/>
        </w:pBdr>
        <w:rPr>
          <w:noProof/>
        </w:rPr>
      </w:pPr>
      <w:r w:rsidRPr="00D91062">
        <w:rPr>
          <w:noProof/>
        </w:rPr>
        <w:t>Indicator: Durata medie de soluționare a plângerilor legate de interferențele spațiale în UE</w:t>
      </w:r>
    </w:p>
    <w:p w14:paraId="14E763C5" w14:textId="77777777" w:rsidR="00D664CB" w:rsidRPr="00D91062" w:rsidRDefault="00D664CB" w:rsidP="00424514">
      <w:pPr>
        <w:pStyle w:val="Text1"/>
        <w:pBdr>
          <w:top w:val="single" w:sz="4" w:space="1" w:color="auto"/>
          <w:left w:val="single" w:sz="4" w:space="4" w:color="auto"/>
          <w:bottom w:val="single" w:sz="4" w:space="1" w:color="auto"/>
          <w:right w:val="single" w:sz="4" w:space="4" w:color="auto"/>
        </w:pBdr>
        <w:rPr>
          <w:i/>
          <w:iCs/>
          <w:noProof/>
        </w:rPr>
      </w:pPr>
      <w:r w:rsidRPr="00D91062">
        <w:rPr>
          <w:i/>
          <w:noProof/>
        </w:rPr>
        <w:t>Obiectivul 2: Asigurarea utilizării strategice și securizate a spectrului și a serviciului prin satelit</w:t>
      </w:r>
    </w:p>
    <w:p w14:paraId="0BEB29D4" w14:textId="77777777" w:rsidR="00D664CB" w:rsidRPr="00D91062" w:rsidRDefault="00D664CB" w:rsidP="00424514">
      <w:pPr>
        <w:pStyle w:val="Text1"/>
        <w:pBdr>
          <w:top w:val="single" w:sz="4" w:space="1" w:color="auto"/>
          <w:left w:val="single" w:sz="4" w:space="4" w:color="auto"/>
          <w:bottom w:val="single" w:sz="4" w:space="1" w:color="auto"/>
          <w:right w:val="single" w:sz="4" w:space="4" w:color="auto"/>
        </w:pBdr>
        <w:rPr>
          <w:noProof/>
        </w:rPr>
      </w:pPr>
      <w:r w:rsidRPr="00D91062">
        <w:rPr>
          <w:noProof/>
        </w:rPr>
        <w:t>Numărul de capabilități cu dublă utilizare (sinergie între capabilități civile și de securitate)</w:t>
      </w:r>
    </w:p>
    <w:p w14:paraId="57B05267" w14:textId="77777777" w:rsidR="00D664CB" w:rsidRPr="00D91062" w:rsidRDefault="00D664CB" w:rsidP="00424514">
      <w:pPr>
        <w:pStyle w:val="Text1"/>
        <w:pBdr>
          <w:top w:val="single" w:sz="4" w:space="1" w:color="auto"/>
          <w:left w:val="single" w:sz="4" w:space="4" w:color="auto"/>
          <w:bottom w:val="single" w:sz="4" w:space="1" w:color="auto"/>
          <w:right w:val="single" w:sz="4" w:space="4" w:color="auto"/>
        </w:pBdr>
        <w:rPr>
          <w:noProof/>
        </w:rPr>
      </w:pPr>
      <w:r w:rsidRPr="00D91062">
        <w:rPr>
          <w:noProof/>
        </w:rPr>
        <w:t>Interoperabilitatea cu cadrul IRIS</w:t>
      </w:r>
      <w:r w:rsidRPr="00D91062">
        <w:rPr>
          <w:noProof/>
          <w:vertAlign w:val="superscript"/>
        </w:rPr>
        <w:t>2</w:t>
      </w:r>
    </w:p>
    <w:p w14:paraId="22560F96" w14:textId="77777777" w:rsidR="00D664CB" w:rsidRPr="00D91062" w:rsidRDefault="00D664CB" w:rsidP="00424514">
      <w:pPr>
        <w:pStyle w:val="Text1"/>
        <w:pBdr>
          <w:top w:val="single" w:sz="4" w:space="1" w:color="auto"/>
          <w:left w:val="single" w:sz="4" w:space="4" w:color="auto"/>
          <w:bottom w:val="single" w:sz="4" w:space="1" w:color="auto"/>
          <w:right w:val="single" w:sz="4" w:space="4" w:color="auto"/>
        </w:pBdr>
        <w:rPr>
          <w:noProof/>
        </w:rPr>
      </w:pPr>
      <w:r w:rsidRPr="00D91062">
        <w:rPr>
          <w:noProof/>
        </w:rPr>
        <w:t>Numărul de componente spațiale și terestre critice care provin de la furnizori cu sediul în UE</w:t>
      </w:r>
    </w:p>
    <w:p w14:paraId="5AA0C2FC" w14:textId="77777777" w:rsidR="00D664CB" w:rsidRPr="00D91062" w:rsidRDefault="00D664CB" w:rsidP="00424514">
      <w:pPr>
        <w:pStyle w:val="Text1"/>
        <w:pBdr>
          <w:top w:val="single" w:sz="4" w:space="1" w:color="auto"/>
          <w:left w:val="single" w:sz="4" w:space="4" w:color="auto"/>
          <w:bottom w:val="single" w:sz="4" w:space="1" w:color="auto"/>
          <w:right w:val="single" w:sz="4" w:space="4" w:color="auto"/>
        </w:pBdr>
        <w:rPr>
          <w:noProof/>
        </w:rPr>
      </w:pPr>
      <w:r w:rsidRPr="00D91062">
        <w:rPr>
          <w:noProof/>
        </w:rPr>
        <w:t>Numărul de componente de sistem care nu sunt afectate de dependențe de țări terțe cu grad ridicat de risc</w:t>
      </w:r>
    </w:p>
    <w:p w14:paraId="6465210D" w14:textId="77777777" w:rsidR="00D664CB" w:rsidRPr="00D91062" w:rsidRDefault="00D664CB" w:rsidP="006967D1">
      <w:pPr>
        <w:pStyle w:val="ManualHeading2"/>
        <w:rPr>
          <w:noProof/>
        </w:rPr>
      </w:pPr>
      <w:bookmarkStart w:id="48" w:name="_Toc177549000"/>
      <w:r w:rsidRPr="00D91062">
        <w:rPr>
          <w:noProof/>
        </w:rPr>
        <w:t>1.4.</w:t>
      </w:r>
      <w:r w:rsidRPr="00D91062">
        <w:rPr>
          <w:noProof/>
        </w:rPr>
        <w:tab/>
        <w:t>Obiectul propunerii/inițiativei</w:t>
      </w:r>
      <w:bookmarkEnd w:id="48"/>
    </w:p>
    <w:p w14:paraId="16B1D1F5" w14:textId="77777777" w:rsidR="00D664CB" w:rsidRPr="00D91062" w:rsidRDefault="00D664CB" w:rsidP="00424514">
      <w:pPr>
        <w:pStyle w:val="Text1"/>
        <w:rPr>
          <w:noProof/>
          <w:sz w:val="22"/>
        </w:rPr>
      </w:pPr>
      <w:r w:rsidRPr="00D91062">
        <w:rPr>
          <w:rFonts w:ascii="Wingdings" w:hAnsi="Wingdings"/>
          <w:noProof/>
          <w:sz w:val="22"/>
        </w:rPr>
        <w:t></w:t>
      </w:r>
      <w:r w:rsidRPr="00D91062">
        <w:rPr>
          <w:i/>
          <w:noProof/>
          <w:sz w:val="22"/>
        </w:rPr>
        <w:t xml:space="preserve"> </w:t>
      </w:r>
      <w:r w:rsidRPr="00D91062">
        <w:rPr>
          <w:noProof/>
        </w:rPr>
        <w:t>o acțiune nouă</w:t>
      </w:r>
    </w:p>
    <w:p w14:paraId="3ED05C80" w14:textId="77777777" w:rsidR="00D664CB" w:rsidRPr="00D91062" w:rsidRDefault="00D664CB" w:rsidP="00424514">
      <w:pPr>
        <w:pStyle w:val="Text1"/>
        <w:rPr>
          <w:noProof/>
          <w:sz w:val="22"/>
        </w:rPr>
      </w:pPr>
      <w:r w:rsidRPr="00D91062">
        <w:rPr>
          <w:rFonts w:ascii="Wingdings" w:hAnsi="Wingdings"/>
          <w:noProof/>
          <w:sz w:val="22"/>
        </w:rPr>
        <w:t></w:t>
      </w:r>
      <w:r w:rsidRPr="00D91062">
        <w:rPr>
          <w:i/>
          <w:noProof/>
          <w:sz w:val="22"/>
        </w:rPr>
        <w:t xml:space="preserve"> </w:t>
      </w:r>
      <w:r w:rsidRPr="00D91062">
        <w:rPr>
          <w:noProof/>
        </w:rPr>
        <w:t>o acțiune nouă întreprinsă ca urmare a unui proiect-pilot/a unei acțiuni pregătitoare</w:t>
      </w:r>
      <w:r w:rsidRPr="00D91062">
        <w:rPr>
          <w:rStyle w:val="FootnoteReference"/>
          <w:noProof/>
        </w:rPr>
        <w:footnoteReference w:id="39"/>
      </w:r>
    </w:p>
    <w:p w14:paraId="5A7972B0" w14:textId="77777777" w:rsidR="00D664CB" w:rsidRPr="00D91062" w:rsidRDefault="00D664CB" w:rsidP="00424514">
      <w:pPr>
        <w:pStyle w:val="Text1"/>
        <w:rPr>
          <w:noProof/>
          <w:sz w:val="22"/>
        </w:rPr>
      </w:pPr>
      <w:r w:rsidRPr="00D91062">
        <w:rPr>
          <w:rFonts w:ascii="Wingdings" w:hAnsi="Wingdings"/>
          <w:noProof/>
          <w:sz w:val="22"/>
        </w:rPr>
        <w:t></w:t>
      </w:r>
      <w:r w:rsidRPr="00D91062">
        <w:rPr>
          <w:i/>
          <w:noProof/>
          <w:sz w:val="22"/>
        </w:rPr>
        <w:t xml:space="preserve"> </w:t>
      </w:r>
      <w:r w:rsidRPr="00D91062">
        <w:rPr>
          <w:noProof/>
        </w:rPr>
        <w:t>prelungirea unei acțiuni existente</w:t>
      </w:r>
    </w:p>
    <w:p w14:paraId="0031C220" w14:textId="77777777" w:rsidR="00D664CB" w:rsidRPr="00D91062" w:rsidRDefault="00D664CB" w:rsidP="00424514">
      <w:pPr>
        <w:pStyle w:val="Text1"/>
        <w:rPr>
          <w:noProof/>
        </w:rPr>
      </w:pPr>
      <w:r w:rsidRPr="00D91062">
        <w:rPr>
          <w:rFonts w:ascii="Wingdings" w:hAnsi="Wingdings"/>
          <w:noProof/>
          <w:sz w:val="22"/>
        </w:rPr>
        <w:t></w:t>
      </w:r>
      <w:r w:rsidRPr="00D91062">
        <w:rPr>
          <w:i/>
          <w:noProof/>
          <w:sz w:val="22"/>
        </w:rPr>
        <w:t xml:space="preserve"> </w:t>
      </w:r>
      <w:r w:rsidRPr="00D91062">
        <w:rPr>
          <w:noProof/>
        </w:rPr>
        <w:t>o fuziune sau o redirecționare a uneia sau mai multor acțiuni către o altă/o nouă acțiune</w:t>
      </w:r>
    </w:p>
    <w:p w14:paraId="0FF10697" w14:textId="77777777" w:rsidR="00D664CB" w:rsidRPr="00D91062" w:rsidRDefault="00D664CB" w:rsidP="006967D1">
      <w:pPr>
        <w:pStyle w:val="ManualHeading2"/>
        <w:rPr>
          <w:noProof/>
        </w:rPr>
      </w:pPr>
      <w:bookmarkStart w:id="49" w:name="_Toc514938025"/>
      <w:bookmarkStart w:id="50" w:name="_Toc520485034"/>
      <w:bookmarkStart w:id="51" w:name="_Toc160804576"/>
      <w:bookmarkStart w:id="52" w:name="_Toc167220268"/>
      <w:bookmarkStart w:id="53" w:name="_Toc177549001"/>
      <w:r w:rsidRPr="00D91062">
        <w:rPr>
          <w:noProof/>
        </w:rPr>
        <w:t>1.5.</w:t>
      </w:r>
      <w:r w:rsidRPr="00D91062">
        <w:rPr>
          <w:noProof/>
        </w:rPr>
        <w:tab/>
        <w:t>Motivele propunerii/inițiativei</w:t>
      </w:r>
      <w:bookmarkEnd w:id="49"/>
      <w:bookmarkEnd w:id="50"/>
      <w:bookmarkEnd w:id="51"/>
      <w:bookmarkEnd w:id="52"/>
      <w:bookmarkEnd w:id="53"/>
      <w:r w:rsidRPr="00D91062">
        <w:rPr>
          <w:noProof/>
        </w:rPr>
        <w:t xml:space="preserve"> </w:t>
      </w:r>
    </w:p>
    <w:p w14:paraId="2C9694D7" w14:textId="77777777" w:rsidR="00D664CB" w:rsidRPr="00D91062" w:rsidRDefault="00D664CB" w:rsidP="006967D1">
      <w:pPr>
        <w:pStyle w:val="ManualHeading3"/>
        <w:rPr>
          <w:noProof/>
        </w:rPr>
      </w:pPr>
      <w:bookmarkStart w:id="54" w:name="_Toc514938026"/>
      <w:bookmarkStart w:id="55" w:name="_Toc520485035"/>
      <w:bookmarkStart w:id="56" w:name="_Toc160804577"/>
      <w:bookmarkStart w:id="57" w:name="_Toc167220269"/>
      <w:bookmarkStart w:id="58" w:name="_Toc177549002"/>
      <w:r w:rsidRPr="00D91062">
        <w:rPr>
          <w:noProof/>
        </w:rPr>
        <w:t>1.5.1.</w:t>
      </w:r>
      <w:r w:rsidRPr="00D91062">
        <w:rPr>
          <w:noProof/>
        </w:rPr>
        <w:tab/>
        <w:t>Cerința (cerințele) care trebuie îndeplinită (îndeplinite) pe termen scurt sau lung, inclusiv un calendar detaliat pentru punerea în aplicare a inițiativei</w:t>
      </w:r>
      <w:bookmarkEnd w:id="54"/>
      <w:bookmarkEnd w:id="55"/>
      <w:bookmarkEnd w:id="56"/>
      <w:bookmarkEnd w:id="57"/>
      <w:bookmarkEnd w:id="58"/>
    </w:p>
    <w:p w14:paraId="27D8D6FA" w14:textId="77777777" w:rsidR="00D664CB" w:rsidRPr="00D91062" w:rsidRDefault="00D664CB" w:rsidP="00424514">
      <w:pPr>
        <w:pStyle w:val="Text1"/>
        <w:pBdr>
          <w:top w:val="single" w:sz="4" w:space="1" w:color="auto"/>
          <w:left w:val="single" w:sz="4" w:space="4" w:color="auto"/>
          <w:bottom w:val="single" w:sz="4" w:space="1" w:color="auto"/>
          <w:right w:val="single" w:sz="4" w:space="4" w:color="auto"/>
        </w:pBdr>
        <w:rPr>
          <w:noProof/>
        </w:rPr>
      </w:pPr>
      <w:r w:rsidRPr="00D91062">
        <w:rPr>
          <w:noProof/>
        </w:rPr>
        <w:t xml:space="preserve">Regulamentul va intra în vigoare imediat după publicarea în </w:t>
      </w:r>
      <w:r w:rsidRPr="00D91062">
        <w:rPr>
          <w:i/>
          <w:iCs/>
          <w:noProof/>
        </w:rPr>
        <w:t>Jurnalul Oficial</w:t>
      </w:r>
      <w:r w:rsidRPr="00D91062">
        <w:rPr>
          <w:noProof/>
        </w:rPr>
        <w:t>.</w:t>
      </w:r>
    </w:p>
    <w:p w14:paraId="44BBFCD4" w14:textId="77777777" w:rsidR="00D664CB" w:rsidRPr="00D91062" w:rsidRDefault="00D664CB" w:rsidP="00424514">
      <w:pPr>
        <w:pStyle w:val="Text1"/>
        <w:pBdr>
          <w:top w:val="single" w:sz="4" w:space="1" w:color="auto"/>
          <w:left w:val="single" w:sz="4" w:space="4" w:color="auto"/>
          <w:bottom w:val="single" w:sz="4" w:space="1" w:color="auto"/>
          <w:right w:val="single" w:sz="4" w:space="4" w:color="auto"/>
        </w:pBdr>
        <w:rPr>
          <w:b/>
          <w:bCs/>
          <w:noProof/>
        </w:rPr>
      </w:pPr>
      <w:r w:rsidRPr="00D91062">
        <w:rPr>
          <w:b/>
          <w:noProof/>
        </w:rPr>
        <w:t>Procesul de selecție</w:t>
      </w:r>
    </w:p>
    <w:p w14:paraId="7ADF19D8" w14:textId="77777777" w:rsidR="00D664CB" w:rsidRPr="00D91062" w:rsidRDefault="00D664CB" w:rsidP="00424514">
      <w:pPr>
        <w:pStyle w:val="Text1"/>
        <w:pBdr>
          <w:top w:val="single" w:sz="4" w:space="1" w:color="auto"/>
          <w:left w:val="single" w:sz="4" w:space="4" w:color="auto"/>
          <w:bottom w:val="single" w:sz="4" w:space="1" w:color="auto"/>
          <w:right w:val="single" w:sz="4" w:space="4" w:color="auto"/>
        </w:pBdr>
        <w:rPr>
          <w:noProof/>
        </w:rPr>
      </w:pPr>
      <w:r w:rsidRPr="00D91062">
        <w:rPr>
          <w:noProof/>
        </w:rPr>
        <w:t>Comisia, asistată de Comitetul pentru comunicații, organizează un proces de selecție comparativă, iar Comisia adoptă cererea de candidaturi printr-un act de punere în aplicare. Comisia poate solicita candidaților să furnizeze informații suplimentare privind îndeplinirea cerințelor de admisibilitate în cadrul unei anumite perioade de timp, cuprinse între cinci și douăzeci de zile lucrătoare. În termen de 40 de zile lucrătoare de la publicarea cerințelor de admisibilitate, începe prima etapă de selecție, în care Comisia evaluează în ce măsură solicitanții au demonstrat faptul că sistemele lor mobile de comunicații prin satelit se află la nivelul de dezvoltare tehnică și comercială necesar.</w:t>
      </w:r>
    </w:p>
    <w:p w14:paraId="5BEF6296" w14:textId="77777777" w:rsidR="00D664CB" w:rsidRPr="00D91062" w:rsidRDefault="00D664CB" w:rsidP="00424514">
      <w:pPr>
        <w:pStyle w:val="Text1"/>
        <w:pBdr>
          <w:top w:val="single" w:sz="4" w:space="1" w:color="auto"/>
          <w:left w:val="single" w:sz="4" w:space="4" w:color="auto"/>
          <w:bottom w:val="single" w:sz="4" w:space="1" w:color="auto"/>
          <w:right w:val="single" w:sz="4" w:space="4" w:color="auto"/>
        </w:pBdr>
        <w:rPr>
          <w:noProof/>
        </w:rPr>
      </w:pPr>
      <w:r w:rsidRPr="00D91062">
        <w:rPr>
          <w:noProof/>
        </w:rPr>
        <w:t>În cazul în care procedura de selecție nu se încheie în prima etapă de selecție din cauza cererii prea mari de spectru, Comisia desfășoară a doua etapă de selecție și, pe baza raportului grupului de experți externi, dacă este cazul, adoptă o decizie privind selectarea solicitanților eligibili, ținând seama de clasificarea acestora și de volumul disponibil de spectru MSS de 2 GHz.</w:t>
      </w:r>
    </w:p>
    <w:p w14:paraId="09A5FCB9" w14:textId="77777777" w:rsidR="00D664CB" w:rsidRPr="00D91062" w:rsidRDefault="00D664CB" w:rsidP="00424514">
      <w:pPr>
        <w:pStyle w:val="Text1"/>
        <w:pBdr>
          <w:top w:val="single" w:sz="4" w:space="1" w:color="auto"/>
          <w:left w:val="single" w:sz="4" w:space="4" w:color="auto"/>
          <w:bottom w:val="single" w:sz="4" w:space="1" w:color="auto"/>
          <w:right w:val="single" w:sz="4" w:space="4" w:color="auto"/>
        </w:pBdr>
        <w:rPr>
          <w:b/>
          <w:bCs/>
          <w:noProof/>
        </w:rPr>
      </w:pPr>
      <w:r w:rsidRPr="00D91062">
        <w:rPr>
          <w:b/>
          <w:noProof/>
        </w:rPr>
        <w:t>Autorizarea la nivelul Uniunii pentru banda MSS de 2 GHz</w:t>
      </w:r>
    </w:p>
    <w:p w14:paraId="3FDCEBB8" w14:textId="77777777" w:rsidR="00D664CB" w:rsidRPr="00D91062" w:rsidRDefault="00D664CB" w:rsidP="00424514">
      <w:pPr>
        <w:pStyle w:val="Text1"/>
        <w:pBdr>
          <w:top w:val="single" w:sz="4" w:space="1" w:color="auto"/>
          <w:left w:val="single" w:sz="4" w:space="4" w:color="auto"/>
          <w:bottom w:val="single" w:sz="4" w:space="1" w:color="auto"/>
          <w:right w:val="single" w:sz="4" w:space="4" w:color="auto"/>
        </w:pBdr>
        <w:rPr>
          <w:noProof/>
        </w:rPr>
      </w:pPr>
      <w:r w:rsidRPr="00D91062">
        <w:rPr>
          <w:noProof/>
        </w:rPr>
        <w:t>În termen de 12 luni de la adoptarea acestui instrument juridic, Comisia va stabili cuantumul taxelor care trebuie plătite pentru utilizarea benzii MSS de 2 GHz, pe baza metodologiei adoptate printr-un act delegat.</w:t>
      </w:r>
    </w:p>
    <w:p w14:paraId="194BD99F" w14:textId="77777777" w:rsidR="00D664CB" w:rsidRPr="00D91062" w:rsidRDefault="00D664CB" w:rsidP="006967D1">
      <w:pPr>
        <w:pStyle w:val="ManualHeading3"/>
        <w:rPr>
          <w:noProof/>
        </w:rPr>
      </w:pPr>
      <w:bookmarkStart w:id="59" w:name="_Toc514938029"/>
      <w:bookmarkStart w:id="60" w:name="_Toc520485036"/>
      <w:bookmarkStart w:id="61" w:name="_Toc160804578"/>
      <w:bookmarkStart w:id="62" w:name="_Toc167220270"/>
      <w:bookmarkStart w:id="63" w:name="_Toc177549003"/>
      <w:r w:rsidRPr="00D91062">
        <w:rPr>
          <w:noProof/>
        </w:rPr>
        <w:t>1.5.2.</w:t>
      </w:r>
      <w:r w:rsidRPr="00D91062">
        <w:rPr>
          <w:noProof/>
        </w:rPr>
        <w:tab/>
        <w:t>Valoarea adăugată a intervenției UE (aceasta poate rezulta din diferiți factori, de exemplu mai buna coordonare, securitatea juridică, o mai mare eficacitate sau complementaritate). În sensul prezentei secțiuni, „valoarea adăugată a intervenției UE” este valoarea ce rezultă din acțiunea UE care depășește valoarea ce ar fi fost obținută dacă ar fi acționat doar statele membre.</w:t>
      </w:r>
      <w:bookmarkEnd w:id="59"/>
      <w:bookmarkEnd w:id="60"/>
      <w:bookmarkEnd w:id="61"/>
      <w:bookmarkEnd w:id="62"/>
      <w:bookmarkEnd w:id="63"/>
    </w:p>
    <w:p w14:paraId="0DE87232" w14:textId="77777777" w:rsidR="00D664CB" w:rsidRPr="00D91062" w:rsidRDefault="00D664CB" w:rsidP="00424514">
      <w:pPr>
        <w:pStyle w:val="Text1"/>
        <w:pBdr>
          <w:top w:val="single" w:sz="4" w:space="1" w:color="auto"/>
          <w:left w:val="single" w:sz="4" w:space="4" w:color="auto"/>
          <w:bottom w:val="single" w:sz="4" w:space="1" w:color="auto"/>
          <w:right w:val="single" w:sz="4" w:space="4" w:color="auto"/>
        </w:pBdr>
        <w:rPr>
          <w:noProof/>
          <w:u w:val="single"/>
        </w:rPr>
      </w:pPr>
      <w:r w:rsidRPr="00D91062">
        <w:rPr>
          <w:noProof/>
          <w:u w:val="single"/>
        </w:rPr>
        <w:t>Motivele acțiunii la nivelul UE (</w:t>
      </w:r>
      <w:r w:rsidRPr="00D91062">
        <w:rPr>
          <w:i/>
          <w:noProof/>
          <w:u w:val="single"/>
        </w:rPr>
        <w:t>ex ante</w:t>
      </w:r>
      <w:r w:rsidRPr="00D91062">
        <w:rPr>
          <w:noProof/>
          <w:u w:val="single"/>
        </w:rPr>
        <w:t>)</w:t>
      </w:r>
    </w:p>
    <w:p w14:paraId="29719BF1" w14:textId="77777777" w:rsidR="00D664CB" w:rsidRPr="00D91062" w:rsidRDefault="00D664CB" w:rsidP="00424514">
      <w:pPr>
        <w:pStyle w:val="Text1"/>
        <w:pBdr>
          <w:top w:val="single" w:sz="4" w:space="1" w:color="auto"/>
          <w:left w:val="single" w:sz="4" w:space="4" w:color="auto"/>
          <w:bottom w:val="single" w:sz="4" w:space="1" w:color="auto"/>
          <w:right w:val="single" w:sz="4" w:space="4" w:color="auto"/>
        </w:pBdr>
        <w:rPr>
          <w:noProof/>
        </w:rPr>
      </w:pPr>
      <w:r w:rsidRPr="00D91062">
        <w:rPr>
          <w:noProof/>
        </w:rPr>
        <w:t>Consolidarea competitivității europene depinde de disponibilitatea unei infrastructuri digitale rapide, sigure și reziliente. Peisajul conectivității prin satelit evoluează rapid, ca urmare a convergenței rețelelor terestre și prin satelit, a creșterii virtualizării și a integrării inteligenței artificiale în gestionarea rețelelor și în furnizarea de servicii. În acest mediu dinamic, abordările naționale fragmentate riscă să genereze condiții de reglementare inconsecvente și proceduri administrative împovărătoare, ceea ce ar putea descuraja investițiile, încetini inovarea și submina buna funcționare a pieței unice. Experiența anterioară în temeiul Deciziei nr. 626/2008/CE a demonstrat că practicile naționale divergente de autorizare și întârzierile în punerea în aplicare au condus la o adoptare mai lentă pe piață a serviciilor mobile prin satelit, privând consumatorii europeni de accesul la servicii inovatoare. Având în vedere caracterul inerent transfrontalier al comunicațiilor prin satelit și importanța strategică a conectivității securizate, este necesară o acțiune la nivelul Uniunii pentru a stabili un cadru juridic armonizat pentru comunicațiile mobile prin satelit, pentru a reduce complexitatea administrativă și pentru a se asigura că provocările emergente sunt abordate în mod coerent, eficient și în timp util în întreaga UE.</w:t>
      </w:r>
    </w:p>
    <w:p w14:paraId="067833BD" w14:textId="77777777" w:rsidR="00D664CB" w:rsidRPr="00D91062" w:rsidRDefault="00D664CB" w:rsidP="00424514">
      <w:pPr>
        <w:pStyle w:val="Text1"/>
        <w:pBdr>
          <w:top w:val="single" w:sz="4" w:space="1" w:color="auto"/>
          <w:left w:val="single" w:sz="4" w:space="4" w:color="auto"/>
          <w:bottom w:val="single" w:sz="4" w:space="1" w:color="auto"/>
          <w:right w:val="single" w:sz="4" w:space="4" w:color="auto"/>
        </w:pBdr>
        <w:rPr>
          <w:noProof/>
          <w:u w:val="single"/>
        </w:rPr>
      </w:pPr>
      <w:r w:rsidRPr="00D91062">
        <w:rPr>
          <w:noProof/>
          <w:u w:val="single"/>
        </w:rPr>
        <w:t>Valoarea adăugată la nivelul UE pe care se preconizează că o va avea intervenția (</w:t>
      </w:r>
      <w:r w:rsidRPr="00D91062">
        <w:rPr>
          <w:i/>
          <w:noProof/>
          <w:u w:val="single"/>
        </w:rPr>
        <w:t>ex post</w:t>
      </w:r>
      <w:r w:rsidRPr="00D91062">
        <w:rPr>
          <w:noProof/>
          <w:u w:val="single"/>
        </w:rPr>
        <w:t>)</w:t>
      </w:r>
    </w:p>
    <w:p w14:paraId="4C657C34" w14:textId="77777777" w:rsidR="00A77B38" w:rsidRPr="00D91062" w:rsidRDefault="00D664CB" w:rsidP="00A77B38">
      <w:pPr>
        <w:pStyle w:val="Text1"/>
        <w:pBdr>
          <w:top w:val="single" w:sz="4" w:space="1" w:color="auto"/>
          <w:left w:val="single" w:sz="4" w:space="4" w:color="auto"/>
          <w:bottom w:val="single" w:sz="4" w:space="1" w:color="auto"/>
          <w:right w:val="single" w:sz="4" w:space="4" w:color="auto"/>
        </w:pBdr>
        <w:rPr>
          <w:noProof/>
        </w:rPr>
      </w:pPr>
      <w:r w:rsidRPr="00D91062">
        <w:rPr>
          <w:noProof/>
        </w:rPr>
        <w:t>Se preconizează că acțiunea UE va genera o valoare adăugată clară, dincolo de ceea ce statele membre ar putea realiza în mod individual. Acțiunea la nivelul Uniunii:</w:t>
      </w:r>
    </w:p>
    <w:p w14:paraId="6C5AA69D" w14:textId="77777777" w:rsidR="00A77B38" w:rsidRPr="00D91062" w:rsidRDefault="00A77B38" w:rsidP="00A77B38">
      <w:pPr>
        <w:pStyle w:val="Text1"/>
        <w:pBdr>
          <w:top w:val="single" w:sz="4" w:space="1" w:color="auto"/>
          <w:left w:val="single" w:sz="4" w:space="4" w:color="auto"/>
          <w:bottom w:val="single" w:sz="4" w:space="1" w:color="auto"/>
          <w:right w:val="single" w:sz="4" w:space="4" w:color="auto"/>
        </w:pBdr>
        <w:rPr>
          <w:noProof/>
        </w:rPr>
      </w:pPr>
      <w:r w:rsidRPr="00D91062">
        <w:rPr>
          <w:noProof/>
        </w:rPr>
        <w:t>- ar asigura securitatea juridică și armonizarea reglementărilor în întreaga UE, prevenind normele naționale fragmentate care ar putea limita serviciile transfrontaliere și ar putea limita întregul potențial al pieței unice.</w:t>
      </w:r>
    </w:p>
    <w:p w14:paraId="6CB6B910" w14:textId="77777777" w:rsidR="00A77B38" w:rsidRPr="00D91062" w:rsidRDefault="00A77B38" w:rsidP="00A77B38">
      <w:pPr>
        <w:pStyle w:val="Text1"/>
        <w:pBdr>
          <w:top w:val="single" w:sz="4" w:space="1" w:color="auto"/>
          <w:left w:val="single" w:sz="4" w:space="4" w:color="auto"/>
          <w:bottom w:val="single" w:sz="4" w:space="1" w:color="auto"/>
          <w:right w:val="single" w:sz="4" w:space="4" w:color="auto"/>
        </w:pBdr>
        <w:rPr>
          <w:noProof/>
        </w:rPr>
      </w:pPr>
      <w:r w:rsidRPr="00D91062">
        <w:rPr>
          <w:noProof/>
        </w:rPr>
        <w:t>- ar accelera implementarea rețelelor paneuropene de sateliți prin raționalizarea și alinierea procedurilor administrative, reducând astfel complexitatea reglementărilor și timpul necesar introducerii pe piață.</w:t>
      </w:r>
    </w:p>
    <w:p w14:paraId="38E68789" w14:textId="77777777" w:rsidR="00D664CB" w:rsidRPr="00D91062" w:rsidRDefault="00A77B38" w:rsidP="00A77B38">
      <w:pPr>
        <w:pStyle w:val="Text1"/>
        <w:pBdr>
          <w:top w:val="single" w:sz="4" w:space="1" w:color="auto"/>
          <w:left w:val="single" w:sz="4" w:space="4" w:color="auto"/>
          <w:bottom w:val="single" w:sz="4" w:space="1" w:color="auto"/>
          <w:right w:val="single" w:sz="4" w:space="4" w:color="auto"/>
        </w:pBdr>
        <w:rPr>
          <w:noProof/>
        </w:rPr>
      </w:pPr>
      <w:r w:rsidRPr="00D91062">
        <w:rPr>
          <w:noProof/>
        </w:rPr>
        <w:t>- ar spori eficacitatea și eficiența globală prin abordarea provocărilor comune la nivelul Uniunii, mai degrabă decât prin măsuri naționale necoordonate care riscă să genereze suprapuneri sau inconsecvențe.</w:t>
      </w:r>
    </w:p>
    <w:p w14:paraId="7EEA5BD2" w14:textId="77777777" w:rsidR="00D664CB" w:rsidRPr="00D91062" w:rsidRDefault="00D664CB" w:rsidP="00424514">
      <w:pPr>
        <w:pStyle w:val="Text1"/>
        <w:pBdr>
          <w:top w:val="single" w:sz="4" w:space="1" w:color="auto"/>
          <w:left w:val="single" w:sz="4" w:space="4" w:color="auto"/>
          <w:bottom w:val="single" w:sz="4" w:space="1" w:color="auto"/>
          <w:right w:val="single" w:sz="4" w:space="4" w:color="auto"/>
        </w:pBdr>
        <w:rPr>
          <w:noProof/>
        </w:rPr>
      </w:pPr>
      <w:r w:rsidRPr="00D91062">
        <w:rPr>
          <w:noProof/>
        </w:rPr>
        <w:t>În ansamblu, se preconizează că intervenția la nivelul UE va produce rezultate mai rapide, mai coerente și mai eficiente din punctul de vedere al costurilor, generând beneficii care nu s-ar materializa dacă statele membre ar acționa independent.</w:t>
      </w:r>
    </w:p>
    <w:p w14:paraId="7FD18B4F" w14:textId="77777777" w:rsidR="00D664CB" w:rsidRPr="00D91062" w:rsidRDefault="00D664CB" w:rsidP="006967D1">
      <w:pPr>
        <w:pStyle w:val="ManualHeading3"/>
        <w:rPr>
          <w:noProof/>
        </w:rPr>
      </w:pPr>
      <w:bookmarkStart w:id="64" w:name="_Toc514938030"/>
      <w:bookmarkStart w:id="65" w:name="_Toc520485037"/>
      <w:bookmarkStart w:id="66" w:name="_Toc160804579"/>
      <w:bookmarkStart w:id="67" w:name="_Toc167220271"/>
      <w:bookmarkStart w:id="68" w:name="_Toc177549004"/>
      <w:r w:rsidRPr="00D91062">
        <w:rPr>
          <w:noProof/>
        </w:rPr>
        <w:t>1.5.3.</w:t>
      </w:r>
      <w:r w:rsidRPr="00D91062">
        <w:rPr>
          <w:noProof/>
        </w:rPr>
        <w:tab/>
        <w:t>Învățăminte desprinse din experiențele anterioare similare</w:t>
      </w:r>
      <w:bookmarkEnd w:id="64"/>
      <w:bookmarkEnd w:id="65"/>
      <w:bookmarkEnd w:id="66"/>
      <w:bookmarkEnd w:id="67"/>
      <w:bookmarkEnd w:id="68"/>
    </w:p>
    <w:p w14:paraId="24DA5800" w14:textId="77777777" w:rsidR="00D664CB" w:rsidRPr="00D91062" w:rsidRDefault="00D664CB" w:rsidP="00424514">
      <w:pPr>
        <w:pStyle w:val="Text1"/>
        <w:pBdr>
          <w:top w:val="single" w:sz="4" w:space="1" w:color="auto"/>
          <w:left w:val="single" w:sz="4" w:space="4" w:color="auto"/>
          <w:bottom w:val="single" w:sz="4" w:space="1" w:color="auto"/>
          <w:right w:val="single" w:sz="4" w:space="4" w:color="auto"/>
        </w:pBdr>
        <w:rPr>
          <w:noProof/>
        </w:rPr>
      </w:pPr>
      <w:r w:rsidRPr="00D91062">
        <w:rPr>
          <w:noProof/>
        </w:rPr>
        <w:t>Propunerea face parte din pachetul DNA și se bazează pe experiența practică în punerea în aplicare a normelor pentru sectorul comunicațiilor electronice și a Deciziei MSS nr. 626/2008, astfel cum se detaliază în documentul de lucru al serviciilor Comisiei care însoțește evaluarea impactului DNA [anexa 11 – Evaluarea Codului european al comunicațiilor electronice (CECE), a Regulamentului OAREC, a Programului pentru politica în domeniul spectrului de frecvențe radio (RSPP)]. Raportul de evaluare a cadrului juridic actual identifică o serie de deficiențe specifice în ceea ce privește autorizațiile pentru sateliți și monitorizarea acestora. Propunerea se bazează, de asemenea, pe o consultare amplă a părților interesate, în conformitate cu strategia de consultare a părților interesate, astfel cum este rezumată în anexa 2 la documentul de lucru al serviciilor Comisiei, și pe rezultatele consultării specifice privind MSS, desfășurată în iunie 2025.</w:t>
      </w:r>
    </w:p>
    <w:p w14:paraId="676ECD0B" w14:textId="77777777" w:rsidR="00D664CB" w:rsidRPr="00D91062" w:rsidRDefault="00D664CB" w:rsidP="006967D1">
      <w:pPr>
        <w:pStyle w:val="ManualHeading3"/>
        <w:rPr>
          <w:noProof/>
        </w:rPr>
      </w:pPr>
      <w:bookmarkStart w:id="69" w:name="_Toc514938033"/>
      <w:bookmarkStart w:id="70" w:name="_Toc520485038"/>
      <w:bookmarkStart w:id="71" w:name="_Toc160804580"/>
      <w:bookmarkStart w:id="72" w:name="_Toc167220272"/>
      <w:bookmarkStart w:id="73" w:name="_Toc177549005"/>
      <w:r w:rsidRPr="00D91062">
        <w:rPr>
          <w:noProof/>
        </w:rPr>
        <w:t>1.5.4.</w:t>
      </w:r>
      <w:r w:rsidRPr="00D91062">
        <w:rPr>
          <w:noProof/>
        </w:rPr>
        <w:tab/>
        <w:t>Compatibilitatea cu cadrul financiar multianual și posibilele sinergii cu alte instrumente corespunzătoare</w:t>
      </w:r>
      <w:bookmarkEnd w:id="69"/>
      <w:bookmarkEnd w:id="70"/>
      <w:bookmarkEnd w:id="71"/>
      <w:bookmarkEnd w:id="72"/>
      <w:bookmarkEnd w:id="73"/>
    </w:p>
    <w:p w14:paraId="20BCFF0E" w14:textId="77777777" w:rsidR="00D664CB" w:rsidRPr="00D91062" w:rsidRDefault="00D664CB" w:rsidP="00424514">
      <w:pPr>
        <w:pStyle w:val="Text1"/>
        <w:pBdr>
          <w:top w:val="single" w:sz="4" w:space="1" w:color="auto"/>
          <w:left w:val="single" w:sz="4" w:space="4" w:color="auto"/>
          <w:bottom w:val="single" w:sz="4" w:space="1" w:color="auto"/>
          <w:right w:val="single" w:sz="4" w:space="4" w:color="auto"/>
        </w:pBdr>
        <w:rPr>
          <w:noProof/>
        </w:rPr>
      </w:pPr>
      <w:r w:rsidRPr="00D91062">
        <w:rPr>
          <w:noProof/>
        </w:rPr>
        <w:t>Propunerea este compatibilă cu cadrul financiar multianual, deoarece normele actualizate asigură continuarea cadrului de reglementare pentru piața comunicațiilor electronice și disponibilitatea continuă a benzii MSS de 2 GHz pentru sistemele MSS din UE. Aceasta sprijină, de asemenea, implementarea infrastructurii Uniunii pentru reziliență, interconectivitate și securitate prin satelit (IRIS</w:t>
      </w:r>
      <w:r w:rsidRPr="00D91062">
        <w:rPr>
          <w:noProof/>
          <w:vertAlign w:val="superscript"/>
        </w:rPr>
        <w:t>2</w:t>
      </w:r>
      <w:r w:rsidRPr="00D91062">
        <w:rPr>
          <w:noProof/>
        </w:rPr>
        <w:t>), concepută pentru a furniza servicii de comunicații sigure, reziliente și de înaltă performanță pentru Uniune și statele sale membre, permițând în același timp servicii comerciale în bandă largă.</w:t>
      </w:r>
    </w:p>
    <w:p w14:paraId="0D9190AF" w14:textId="77777777" w:rsidR="00D664CB" w:rsidRPr="00D91062" w:rsidRDefault="00D664CB" w:rsidP="00424514">
      <w:pPr>
        <w:pStyle w:val="Text1"/>
        <w:pBdr>
          <w:top w:val="single" w:sz="4" w:space="1" w:color="auto"/>
          <w:left w:val="single" w:sz="4" w:space="4" w:color="auto"/>
          <w:bottom w:val="single" w:sz="4" w:space="1" w:color="auto"/>
          <w:right w:val="single" w:sz="4" w:space="4" w:color="auto"/>
        </w:pBdr>
        <w:rPr>
          <w:noProof/>
        </w:rPr>
      </w:pPr>
      <w:r w:rsidRPr="00D91062">
        <w:rPr>
          <w:noProof/>
        </w:rPr>
        <w:t>Propunerea ar urma să se bazeze pe structurile și mecanismele dezvoltate în contextul propunerii de act legislativ privind rețelele digitale (DNA) SEC (2026)14 final și să asigure coordonarea cu acestea, în special prin generarea de venituri suplimentare pentru a sprijini buna funcționare a agenției sale modernizate și descentralizate, Oficiul pentru Rețele Digitale (ODN).</w:t>
      </w:r>
    </w:p>
    <w:p w14:paraId="24683FD3" w14:textId="64450B1D" w:rsidR="00D664CB" w:rsidRPr="00D91062" w:rsidRDefault="00D664CB" w:rsidP="00424514">
      <w:pPr>
        <w:pStyle w:val="Text1"/>
        <w:pBdr>
          <w:top w:val="single" w:sz="4" w:space="1" w:color="auto"/>
          <w:left w:val="single" w:sz="4" w:space="4" w:color="auto"/>
          <w:bottom w:val="single" w:sz="4" w:space="1" w:color="auto"/>
          <w:right w:val="single" w:sz="4" w:space="4" w:color="auto"/>
        </w:pBdr>
        <w:rPr>
          <w:noProof/>
        </w:rPr>
      </w:pPr>
      <w:r w:rsidRPr="00D91062">
        <w:rPr>
          <w:noProof/>
        </w:rPr>
        <w:t>De asemenea, propunerea este compatibilă cu propunerea negociată în prezent de regulament privind siguranța, reziliența și durabilitatea activităților spațiale în Uniune [SEC (2025) 335 final (Actul legislativ privind spațiul)] și cu propunerea</w:t>
      </w:r>
      <w:r w:rsidR="002D79FA">
        <w:rPr>
          <w:noProof/>
        </w:rPr>
        <w:t> </w:t>
      </w:r>
      <w:r w:rsidRPr="00D91062">
        <w:rPr>
          <w:noProof/>
        </w:rPr>
        <w:t>Omnibus privind sectorul digital [propunere de modificare a Regulamentelor</w:t>
      </w:r>
      <w:r w:rsidR="002D79FA">
        <w:rPr>
          <w:noProof/>
        </w:rPr>
        <w:t> </w:t>
      </w:r>
      <w:r w:rsidRPr="00D91062">
        <w:rPr>
          <w:noProof/>
        </w:rPr>
        <w:t>(UE)</w:t>
      </w:r>
      <w:r w:rsidR="002D79FA">
        <w:rPr>
          <w:noProof/>
        </w:rPr>
        <w:t> </w:t>
      </w:r>
      <w:r w:rsidRPr="00D91062">
        <w:rPr>
          <w:noProof/>
        </w:rPr>
        <w:t>2016/679, (UE) 2018/1724, (UE) 2018/1725, (UE) 2023/2854 și a Directivelor 2002/58/CE, (UE) 2022/2555 și (UE) 2022/2557 în ceea ce privește simplificarea cadrului legislativ digital și de abrogare a Regulamentelor</w:t>
      </w:r>
      <w:r w:rsidR="002D79FA">
        <w:rPr>
          <w:noProof/>
        </w:rPr>
        <w:t> </w:t>
      </w:r>
      <w:r w:rsidRPr="00D91062">
        <w:rPr>
          <w:noProof/>
        </w:rPr>
        <w:t>(UE)</w:t>
      </w:r>
      <w:r w:rsidR="002D79FA">
        <w:rPr>
          <w:noProof/>
        </w:rPr>
        <w:t> </w:t>
      </w:r>
      <w:r w:rsidRPr="00D91062">
        <w:rPr>
          <w:noProof/>
        </w:rPr>
        <w:t>2018/1807, (UE) 2019/1150, (UE) 2022/868 și a Directivei</w:t>
      </w:r>
      <w:r w:rsidR="002D79FA">
        <w:rPr>
          <w:noProof/>
        </w:rPr>
        <w:t> </w:t>
      </w:r>
      <w:r w:rsidRPr="00D91062">
        <w:rPr>
          <w:noProof/>
        </w:rPr>
        <w:t>(UE) 2019/1024].</w:t>
      </w:r>
    </w:p>
    <w:p w14:paraId="4E65489C" w14:textId="77777777" w:rsidR="00D664CB" w:rsidRPr="00D91062" w:rsidRDefault="00D664CB" w:rsidP="006967D1">
      <w:pPr>
        <w:pStyle w:val="ManualHeading3"/>
        <w:rPr>
          <w:noProof/>
        </w:rPr>
      </w:pPr>
      <w:bookmarkStart w:id="74" w:name="_Toc514938036"/>
      <w:bookmarkStart w:id="75" w:name="_Toc520485039"/>
      <w:bookmarkStart w:id="76" w:name="_Toc160804581"/>
      <w:bookmarkStart w:id="77" w:name="_Toc167220273"/>
      <w:bookmarkStart w:id="78" w:name="_Toc177549006"/>
      <w:r w:rsidRPr="00D91062">
        <w:rPr>
          <w:noProof/>
        </w:rPr>
        <w:t>1.5.5.</w:t>
      </w:r>
      <w:r w:rsidRPr="00D91062">
        <w:rPr>
          <w:noProof/>
        </w:rPr>
        <w:tab/>
        <w:t>Evaluarea diferitelor opțiuni de finanțare disponibile, inclusiv a posibilităților de realocare a creditelor</w:t>
      </w:r>
      <w:bookmarkEnd w:id="74"/>
      <w:bookmarkEnd w:id="75"/>
      <w:bookmarkEnd w:id="76"/>
      <w:bookmarkEnd w:id="77"/>
      <w:bookmarkEnd w:id="78"/>
    </w:p>
    <w:p w14:paraId="1E9F630A" w14:textId="77777777" w:rsidR="00D664CB" w:rsidRPr="00D91062" w:rsidRDefault="00D664CB" w:rsidP="00424514">
      <w:pPr>
        <w:pStyle w:val="Text1"/>
        <w:pBdr>
          <w:top w:val="single" w:sz="4" w:space="1" w:color="auto"/>
          <w:left w:val="single" w:sz="4" w:space="4" w:color="auto"/>
          <w:bottom w:val="single" w:sz="4" w:space="1" w:color="auto"/>
          <w:right w:val="single" w:sz="4" w:space="4" w:color="auto"/>
        </w:pBdr>
        <w:rPr>
          <w:noProof/>
        </w:rPr>
      </w:pPr>
      <w:r w:rsidRPr="00D91062">
        <w:rPr>
          <w:noProof/>
        </w:rPr>
        <w:t>Gestionarea domeniilor de acțiune atribuite Comisiei rămâne aliniată la mandatul acesteia, dar domeniul de aplicare tot mai extins al măsurilor legate de sateliți va necesita expertiză suplimentară. Complexitatea tehnică și operațională din ce în ce mai mare a procedurilor de selecție și autorizare legate de sateliți, inclusiv supravegherea și aplicarea coordonată a principiilor UIT, necesită specialiști cu cunoștințe avansate în domeniul gestionării spectrului de frecvențe radio, al tehnologiilor de monitorizare, al sateliților și al mecanismelor de coordonare internațională. Noile responsabilități au consolidat capacitățile economice, tehnice și de reglementare. În plus, vor fi necesare cunoștințe de specialitate în ceea ce privește regimurile de autorizare și procedurile și normele conexe, inclusiv în materie de securitate națională. În general, amploarea, sensibilitatea și caracterul transfrontalier al acestor noi sarcini legate de comunicațiile prin satelit necesită recrutarea de experți specializați pentru a asigura punerea în aplicare eficace și coerența în întreaga Uniune.</w:t>
      </w:r>
    </w:p>
    <w:p w14:paraId="63A72C5B" w14:textId="6A98DC33" w:rsidR="00D664CB" w:rsidRPr="00D91062" w:rsidRDefault="00D664CB" w:rsidP="00424514">
      <w:pPr>
        <w:pStyle w:val="Text1"/>
        <w:pBdr>
          <w:top w:val="single" w:sz="4" w:space="1" w:color="auto"/>
          <w:left w:val="single" w:sz="4" w:space="4" w:color="auto"/>
          <w:bottom w:val="single" w:sz="4" w:space="1" w:color="auto"/>
          <w:right w:val="single" w:sz="4" w:space="4" w:color="auto"/>
        </w:pBdr>
        <w:rPr>
          <w:noProof/>
        </w:rPr>
      </w:pPr>
      <w:r w:rsidRPr="00D91062">
        <w:rPr>
          <w:noProof/>
        </w:rPr>
        <w:t>De asemenea, vor fi dezvoltate sinergii cu structurile tehnice interne ale statelor</w:t>
      </w:r>
      <w:r w:rsidR="002D79FA">
        <w:rPr>
          <w:noProof/>
        </w:rPr>
        <w:t> </w:t>
      </w:r>
      <w:r w:rsidRPr="00D91062">
        <w:rPr>
          <w:noProof/>
        </w:rPr>
        <w:t>membre, în special în ceea ce privește monitorizarea autorizațiilor pentru sateliții MSS.</w:t>
      </w:r>
    </w:p>
    <w:p w14:paraId="1F5D81F7" w14:textId="77777777" w:rsidR="00D664CB" w:rsidRPr="00D91062" w:rsidRDefault="00D664CB" w:rsidP="00424514">
      <w:pPr>
        <w:pStyle w:val="ManualHeading1"/>
        <w:rPr>
          <w:noProof/>
        </w:rPr>
      </w:pPr>
      <w:bookmarkStart w:id="79" w:name="_Toc514938039"/>
      <w:bookmarkStart w:id="80" w:name="_Toc520485040"/>
      <w:bookmarkStart w:id="81" w:name="_Toc160804582"/>
      <w:bookmarkStart w:id="82" w:name="_Toc167220274"/>
      <w:bookmarkStart w:id="83" w:name="_Toc177549007"/>
      <w:r w:rsidRPr="00D91062">
        <w:rPr>
          <w:noProof/>
        </w:rPr>
        <w:t>1.6.</w:t>
      </w:r>
      <w:r w:rsidRPr="00D91062">
        <w:rPr>
          <w:noProof/>
        </w:rPr>
        <w:tab/>
        <w:t xml:space="preserve">Durata propunerii/inițiativei </w:t>
      </w:r>
      <w:bookmarkEnd w:id="79"/>
      <w:bookmarkEnd w:id="80"/>
      <w:r w:rsidRPr="00D91062">
        <w:rPr>
          <w:noProof/>
        </w:rPr>
        <w:t>și a impactului său financiar</w:t>
      </w:r>
      <w:bookmarkEnd w:id="81"/>
      <w:bookmarkEnd w:id="82"/>
      <w:bookmarkEnd w:id="83"/>
    </w:p>
    <w:p w14:paraId="614FB194" w14:textId="77777777" w:rsidR="00D664CB" w:rsidRPr="00D91062" w:rsidRDefault="00424514" w:rsidP="009B43DF">
      <w:pPr>
        <w:rPr>
          <w:noProof/>
        </w:rPr>
      </w:pPr>
      <w:r w:rsidRPr="00D91062">
        <w:rPr>
          <w:noProof/>
        </w:rPr>
        <w:tab/>
      </w:r>
      <w:r w:rsidRPr="00D91062">
        <w:rPr>
          <w:rFonts w:ascii="Wingdings" w:hAnsi="Wingdings"/>
          <w:noProof/>
        </w:rPr>
        <w:t></w:t>
      </w:r>
      <w:r w:rsidRPr="00D91062">
        <w:rPr>
          <w:i/>
          <w:noProof/>
        </w:rPr>
        <w:t xml:space="preserve"> </w:t>
      </w:r>
      <w:r w:rsidRPr="00D91062">
        <w:rPr>
          <w:noProof/>
        </w:rPr>
        <w:t>durată limitată</w:t>
      </w:r>
    </w:p>
    <w:p w14:paraId="495C543B" w14:textId="77777777" w:rsidR="00D664CB" w:rsidRPr="00D91062" w:rsidRDefault="00D664CB" w:rsidP="00424514">
      <w:pPr>
        <w:pStyle w:val="ListDash2"/>
        <w:rPr>
          <w:noProof/>
        </w:rPr>
      </w:pPr>
      <w:r w:rsidRPr="00D91062">
        <w:rPr>
          <w:rFonts w:ascii="Wingdings" w:hAnsi="Wingdings"/>
          <w:noProof/>
        </w:rPr>
        <w:t></w:t>
      </w:r>
      <w:r w:rsidRPr="00D91062">
        <w:rPr>
          <w:noProof/>
        </w:rPr>
        <w:tab/>
        <w:t>de la [ZZ/LL]AAAA până la [ZZ/LL]AAAA</w:t>
      </w:r>
    </w:p>
    <w:p w14:paraId="761830A0" w14:textId="77777777" w:rsidR="00D664CB" w:rsidRPr="00D91062" w:rsidRDefault="00D664CB" w:rsidP="00424514">
      <w:pPr>
        <w:pStyle w:val="ListDash2"/>
        <w:rPr>
          <w:noProof/>
        </w:rPr>
      </w:pPr>
      <w:r w:rsidRPr="00D91062">
        <w:rPr>
          <w:rFonts w:ascii="Wingdings" w:hAnsi="Wingdings"/>
          <w:noProof/>
        </w:rPr>
        <w:t></w:t>
      </w:r>
      <w:r w:rsidRPr="00D91062">
        <w:rPr>
          <w:noProof/>
        </w:rPr>
        <w:tab/>
        <w:t>impactul financiar din AAAA până în AAAA pentru creditele de angajament și din AAAA până în AAAA pentru creditele de plată.</w:t>
      </w:r>
    </w:p>
    <w:p w14:paraId="190E581F" w14:textId="77777777" w:rsidR="00D664CB" w:rsidRPr="00D91062" w:rsidRDefault="00D664CB" w:rsidP="00424514">
      <w:pPr>
        <w:pStyle w:val="Text1"/>
        <w:rPr>
          <w:noProof/>
        </w:rPr>
      </w:pPr>
      <w:r w:rsidRPr="00D91062">
        <w:rPr>
          <w:rFonts w:ascii="Wingdings" w:hAnsi="Wingdings"/>
          <w:noProof/>
        </w:rPr>
        <w:t></w:t>
      </w:r>
      <w:r w:rsidRPr="00D91062">
        <w:rPr>
          <w:i/>
          <w:noProof/>
        </w:rPr>
        <w:t xml:space="preserve"> </w:t>
      </w:r>
      <w:r w:rsidRPr="00D91062">
        <w:rPr>
          <w:noProof/>
        </w:rPr>
        <w:t>durată nelimitată</w:t>
      </w:r>
    </w:p>
    <w:p w14:paraId="5657699D" w14:textId="77777777" w:rsidR="00D664CB" w:rsidRPr="00D91062" w:rsidRDefault="00D664CB" w:rsidP="00424514">
      <w:pPr>
        <w:pStyle w:val="ListDash1"/>
        <w:rPr>
          <w:noProof/>
        </w:rPr>
      </w:pPr>
      <w:r w:rsidRPr="00D91062">
        <w:rPr>
          <w:noProof/>
        </w:rPr>
        <w:t>punere în aplicare cu o perioadă de creștere în intensitate din AAAA până în AAAA,</w:t>
      </w:r>
    </w:p>
    <w:p w14:paraId="727B8965" w14:textId="77777777" w:rsidR="00D664CB" w:rsidRPr="00D91062" w:rsidRDefault="00D664CB" w:rsidP="00424514">
      <w:pPr>
        <w:pStyle w:val="ListDash1"/>
        <w:rPr>
          <w:noProof/>
        </w:rPr>
      </w:pPr>
      <w:r w:rsidRPr="00D91062">
        <w:rPr>
          <w:noProof/>
        </w:rPr>
        <w:t>urmată de o perioadă de funcționare la capacitate maximă.</w:t>
      </w:r>
    </w:p>
    <w:p w14:paraId="0852CDF9" w14:textId="77777777" w:rsidR="00D664CB" w:rsidRPr="00D91062" w:rsidRDefault="00D664CB" w:rsidP="00424514">
      <w:pPr>
        <w:pStyle w:val="ManualHeading1"/>
        <w:rPr>
          <w:noProof/>
        </w:rPr>
      </w:pPr>
      <w:bookmarkStart w:id="84" w:name="_Toc514938040"/>
      <w:bookmarkStart w:id="85" w:name="_Toc520485041"/>
      <w:bookmarkStart w:id="86" w:name="_Toc160804583"/>
      <w:bookmarkStart w:id="87" w:name="_Toc167220275"/>
      <w:bookmarkStart w:id="88" w:name="_Toc177549008"/>
      <w:r w:rsidRPr="00D91062">
        <w:rPr>
          <w:noProof/>
        </w:rPr>
        <w:t>1.7.</w:t>
      </w:r>
      <w:r w:rsidRPr="00D91062">
        <w:rPr>
          <w:noProof/>
        </w:rPr>
        <w:tab/>
        <w:t>Metoda (metodele) de execuție a bugetului planificată (planificate)</w:t>
      </w:r>
      <w:bookmarkEnd w:id="84"/>
      <w:bookmarkEnd w:id="85"/>
      <w:bookmarkEnd w:id="86"/>
      <w:bookmarkEnd w:id="87"/>
      <w:bookmarkEnd w:id="88"/>
    </w:p>
    <w:p w14:paraId="6BB47AAF" w14:textId="77777777" w:rsidR="00D664CB" w:rsidRPr="00D91062" w:rsidRDefault="00D664CB" w:rsidP="00424514">
      <w:pPr>
        <w:pStyle w:val="Text1"/>
        <w:rPr>
          <w:noProof/>
        </w:rPr>
      </w:pPr>
      <w:r w:rsidRPr="00D91062">
        <w:rPr>
          <w:rFonts w:ascii="Wingdings" w:hAnsi="Wingdings"/>
          <w:noProof/>
        </w:rPr>
        <w:t></w:t>
      </w:r>
      <w:r w:rsidRPr="00D91062">
        <w:rPr>
          <w:i/>
          <w:noProof/>
        </w:rPr>
        <w:t xml:space="preserve"> </w:t>
      </w:r>
      <w:r w:rsidRPr="00D91062">
        <w:rPr>
          <w:b/>
          <w:noProof/>
        </w:rPr>
        <w:t xml:space="preserve">Gestiune directă </w:t>
      </w:r>
      <w:r w:rsidRPr="00D91062">
        <w:rPr>
          <w:noProof/>
        </w:rPr>
        <w:t>asigurată de Comisie</w:t>
      </w:r>
    </w:p>
    <w:p w14:paraId="05D37261" w14:textId="77777777" w:rsidR="00D664CB" w:rsidRPr="00D91062" w:rsidRDefault="00D664CB" w:rsidP="00424514">
      <w:pPr>
        <w:pStyle w:val="ListDash2"/>
        <w:rPr>
          <w:rFonts w:cs="EUAlbertina"/>
          <w:noProof/>
        </w:rPr>
      </w:pPr>
      <w:r w:rsidRPr="00D91062">
        <w:rPr>
          <w:rFonts w:ascii="Wingdings" w:hAnsi="Wingdings"/>
          <w:noProof/>
        </w:rPr>
        <w:t></w:t>
      </w:r>
      <w:r w:rsidRPr="00D91062">
        <w:rPr>
          <w:rFonts w:ascii="Wingdings" w:hAnsi="Wingdings"/>
          <w:noProof/>
        </w:rPr>
        <w:t></w:t>
      </w:r>
      <w:r w:rsidRPr="00D91062">
        <w:rPr>
          <w:noProof/>
        </w:rPr>
        <w:t>prin intermediul serviciilor sale, inclusiv al personalului din delegațiile Uniunii;</w:t>
      </w:r>
    </w:p>
    <w:p w14:paraId="1BD7AECF" w14:textId="77777777" w:rsidR="00D664CB" w:rsidRPr="00D91062" w:rsidRDefault="00D664CB" w:rsidP="00424514">
      <w:pPr>
        <w:pStyle w:val="ListDash2"/>
        <w:rPr>
          <w:noProof/>
        </w:rPr>
      </w:pPr>
      <w:r w:rsidRPr="00D91062">
        <w:rPr>
          <w:rFonts w:ascii="Wingdings" w:hAnsi="Wingdings"/>
          <w:noProof/>
        </w:rPr>
        <w:t></w:t>
      </w:r>
      <w:r w:rsidRPr="00D91062">
        <w:rPr>
          <w:rFonts w:ascii="Wingdings" w:hAnsi="Wingdings"/>
          <w:noProof/>
        </w:rPr>
        <w:t></w:t>
      </w:r>
      <w:r w:rsidRPr="00D91062">
        <w:rPr>
          <w:noProof/>
        </w:rPr>
        <w:t>prin intermediul agențiilor executive</w:t>
      </w:r>
    </w:p>
    <w:p w14:paraId="3C59FE30" w14:textId="77777777" w:rsidR="00D664CB" w:rsidRPr="00D91062" w:rsidRDefault="00D664CB" w:rsidP="00424514">
      <w:pPr>
        <w:pStyle w:val="Text1"/>
        <w:rPr>
          <w:noProof/>
        </w:rPr>
      </w:pPr>
      <w:r w:rsidRPr="00D91062">
        <w:rPr>
          <w:rFonts w:ascii="Wingdings" w:hAnsi="Wingdings"/>
          <w:noProof/>
        </w:rPr>
        <w:t></w:t>
      </w:r>
      <w:r w:rsidRPr="00D91062">
        <w:rPr>
          <w:b/>
          <w:i/>
          <w:noProof/>
        </w:rPr>
        <w:t xml:space="preserve"> </w:t>
      </w:r>
      <w:r w:rsidRPr="00D91062">
        <w:rPr>
          <w:b/>
          <w:noProof/>
        </w:rPr>
        <w:t xml:space="preserve">Gestiune partajată </w:t>
      </w:r>
      <w:r w:rsidRPr="00D91062">
        <w:rPr>
          <w:noProof/>
        </w:rPr>
        <w:t>cu statele membre</w:t>
      </w:r>
    </w:p>
    <w:p w14:paraId="637939BF" w14:textId="77777777" w:rsidR="00D664CB" w:rsidRPr="00D91062" w:rsidRDefault="00D664CB" w:rsidP="00424514">
      <w:pPr>
        <w:pStyle w:val="Text1"/>
        <w:rPr>
          <w:noProof/>
        </w:rPr>
      </w:pPr>
      <w:r w:rsidRPr="00D91062">
        <w:rPr>
          <w:rFonts w:ascii="Wingdings" w:hAnsi="Wingdings"/>
          <w:noProof/>
        </w:rPr>
        <w:t></w:t>
      </w:r>
      <w:r w:rsidRPr="00D91062">
        <w:rPr>
          <w:i/>
          <w:noProof/>
        </w:rPr>
        <w:t xml:space="preserve"> </w:t>
      </w:r>
      <w:r w:rsidRPr="00D91062">
        <w:rPr>
          <w:b/>
          <w:noProof/>
        </w:rPr>
        <w:t>Gestiune indirectă</w:t>
      </w:r>
      <w:r w:rsidRPr="00D91062">
        <w:rPr>
          <w:noProof/>
        </w:rPr>
        <w:t>, cu delegarea sarcinilor de execuție bugetară:</w:t>
      </w:r>
    </w:p>
    <w:p w14:paraId="3CA94B13" w14:textId="77777777" w:rsidR="00D664CB" w:rsidRPr="00D91062" w:rsidRDefault="00D664CB" w:rsidP="00424514">
      <w:pPr>
        <w:pStyle w:val="ListDash2"/>
        <w:rPr>
          <w:noProof/>
        </w:rPr>
      </w:pPr>
      <w:r w:rsidRPr="00D91062">
        <w:rPr>
          <w:rFonts w:ascii="Wingdings" w:hAnsi="Wingdings"/>
          <w:noProof/>
        </w:rPr>
        <w:t></w:t>
      </w:r>
      <w:r w:rsidRPr="00D91062">
        <w:rPr>
          <w:noProof/>
        </w:rPr>
        <w:t xml:space="preserve"> țărilor terțe sau organismelor pe care le-au desemnat acestea</w:t>
      </w:r>
    </w:p>
    <w:p w14:paraId="45B1E6F4" w14:textId="77777777" w:rsidR="00D664CB" w:rsidRPr="00D91062" w:rsidRDefault="00D664CB" w:rsidP="00424514">
      <w:pPr>
        <w:pStyle w:val="ListDash2"/>
        <w:rPr>
          <w:noProof/>
        </w:rPr>
      </w:pPr>
      <w:r w:rsidRPr="00D91062">
        <w:rPr>
          <w:rFonts w:ascii="Wingdings" w:hAnsi="Wingdings"/>
          <w:noProof/>
        </w:rPr>
        <w:t></w:t>
      </w:r>
      <w:r w:rsidRPr="00D91062">
        <w:rPr>
          <w:noProof/>
        </w:rPr>
        <w:t xml:space="preserve"> organizațiilor internaționale și agențiilor acestora (a se preciza)</w:t>
      </w:r>
    </w:p>
    <w:p w14:paraId="54F5EA51" w14:textId="77777777" w:rsidR="00D664CB" w:rsidRPr="00D91062" w:rsidRDefault="00D664CB" w:rsidP="00424514">
      <w:pPr>
        <w:pStyle w:val="ListDash2"/>
        <w:rPr>
          <w:noProof/>
        </w:rPr>
      </w:pPr>
      <w:r w:rsidRPr="00D91062">
        <w:rPr>
          <w:rFonts w:ascii="Wingdings" w:hAnsi="Wingdings"/>
          <w:noProof/>
        </w:rPr>
        <w:t></w:t>
      </w:r>
      <w:r w:rsidRPr="00D91062">
        <w:rPr>
          <w:noProof/>
        </w:rPr>
        <w:t xml:space="preserve"> Băncii Europene de Investiții și Fondului European de Investiții</w:t>
      </w:r>
    </w:p>
    <w:p w14:paraId="792B10CB" w14:textId="77777777" w:rsidR="00D664CB" w:rsidRPr="00D91062" w:rsidRDefault="00D664CB" w:rsidP="00424514">
      <w:pPr>
        <w:pStyle w:val="ListDash2"/>
        <w:rPr>
          <w:noProof/>
        </w:rPr>
      </w:pPr>
      <w:r w:rsidRPr="00D91062">
        <w:rPr>
          <w:rFonts w:ascii="Wingdings" w:hAnsi="Wingdings"/>
          <w:noProof/>
        </w:rPr>
        <w:t></w:t>
      </w:r>
      <w:r w:rsidRPr="00D91062">
        <w:rPr>
          <w:noProof/>
        </w:rPr>
        <w:t xml:space="preserve"> organismelor menționate la articolele 70 și 71 din Regulamentul financiar</w:t>
      </w:r>
    </w:p>
    <w:p w14:paraId="0430471E" w14:textId="77777777" w:rsidR="00D664CB" w:rsidRPr="00D91062" w:rsidRDefault="00D664CB" w:rsidP="00424514">
      <w:pPr>
        <w:pStyle w:val="ListDash2"/>
        <w:rPr>
          <w:noProof/>
        </w:rPr>
      </w:pPr>
      <w:r w:rsidRPr="00D91062">
        <w:rPr>
          <w:rFonts w:ascii="Wingdings" w:hAnsi="Wingdings"/>
          <w:noProof/>
        </w:rPr>
        <w:t></w:t>
      </w:r>
      <w:r w:rsidRPr="00D91062">
        <w:rPr>
          <w:noProof/>
        </w:rPr>
        <w:t xml:space="preserve"> organismelor de drept public</w:t>
      </w:r>
    </w:p>
    <w:p w14:paraId="4B24F7AE" w14:textId="77777777" w:rsidR="00D664CB" w:rsidRPr="00D91062" w:rsidRDefault="00D664CB" w:rsidP="00424514">
      <w:pPr>
        <w:pStyle w:val="ListDash2"/>
        <w:rPr>
          <w:noProof/>
        </w:rPr>
      </w:pPr>
      <w:r w:rsidRPr="00D91062">
        <w:rPr>
          <w:rFonts w:ascii="Wingdings" w:hAnsi="Wingdings"/>
          <w:noProof/>
        </w:rPr>
        <w:t></w:t>
      </w:r>
      <w:r w:rsidRPr="00D91062">
        <w:rPr>
          <w:noProof/>
        </w:rPr>
        <w:t xml:space="preserve"> organismelor de drept privat cu misiune de serviciu public, cu condiția să li se furnizeze garanții financiare adecvate</w:t>
      </w:r>
    </w:p>
    <w:p w14:paraId="643EA760" w14:textId="77777777" w:rsidR="00D664CB" w:rsidRPr="00D91062" w:rsidRDefault="00D664CB" w:rsidP="00424514">
      <w:pPr>
        <w:pStyle w:val="ListDash2"/>
        <w:rPr>
          <w:noProof/>
        </w:rPr>
      </w:pPr>
      <w:r w:rsidRPr="00D91062">
        <w:rPr>
          <w:rFonts w:ascii="Wingdings" w:hAnsi="Wingdings"/>
          <w:noProof/>
        </w:rPr>
        <w:t></w:t>
      </w:r>
      <w:r w:rsidRPr="00D91062">
        <w:rPr>
          <w:noProof/>
        </w:rPr>
        <w:t xml:space="preserve"> </w:t>
      </w:r>
      <w:r w:rsidRPr="002D79FA">
        <w:rPr>
          <w:noProof/>
          <w:spacing w:val="-4"/>
        </w:rPr>
        <w:t>organismelor de drept privat dintr-un stat membru care sunt responsabile cu punerea în aplicare a unui parteneriat public-privat și cărora li se furnizează garanții financiare adecvate</w:t>
      </w:r>
    </w:p>
    <w:p w14:paraId="52A7ED8F" w14:textId="77777777" w:rsidR="00D664CB" w:rsidRPr="00D91062" w:rsidRDefault="00D664CB" w:rsidP="00424514">
      <w:pPr>
        <w:pStyle w:val="ListDash2"/>
        <w:rPr>
          <w:noProof/>
        </w:rPr>
      </w:pPr>
      <w:r w:rsidRPr="00D91062">
        <w:rPr>
          <w:rFonts w:ascii="Wingdings" w:hAnsi="Wingdings"/>
          <w:noProof/>
        </w:rPr>
        <w:t></w:t>
      </w:r>
      <w:r w:rsidRPr="00D91062">
        <w:rPr>
          <w:noProof/>
        </w:rPr>
        <w:t xml:space="preserve"> organismelor sau persoanelor cărora li se încredințează executarea unor acțiuni specifice în cadrul politicii externe și de securitate comună, în temeiul titlului V din Tratatul privind Uniunea Europeană, și care sunt identificate în actul de bază relevant</w:t>
      </w:r>
    </w:p>
    <w:p w14:paraId="0F515F11" w14:textId="77777777" w:rsidR="00D664CB" w:rsidRPr="00D91062" w:rsidRDefault="00D664CB" w:rsidP="00424514">
      <w:pPr>
        <w:pStyle w:val="ListDash2"/>
        <w:rPr>
          <w:noProof/>
        </w:rPr>
      </w:pPr>
      <w:r w:rsidRPr="00D91062">
        <w:rPr>
          <w:rFonts w:ascii="Wingdings" w:hAnsi="Wingdings"/>
          <w:noProof/>
        </w:rPr>
        <w:t></w:t>
      </w:r>
      <w:r w:rsidRPr="00D91062">
        <w:rPr>
          <w:rFonts w:ascii="Wingdings" w:hAnsi="Wingdings"/>
          <w:noProof/>
        </w:rPr>
        <w:t></w:t>
      </w:r>
      <w:r w:rsidRPr="00D91062">
        <w:rPr>
          <w:noProof/>
        </w:rPr>
        <w:t>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14:paraId="3FB8DA08" w14:textId="77777777" w:rsidR="00D664CB" w:rsidRPr="00D91062" w:rsidRDefault="00D664CB" w:rsidP="00D664CB">
      <w:pPr>
        <w:rPr>
          <w:noProof/>
        </w:rPr>
      </w:pPr>
      <w:r w:rsidRPr="00D91062">
        <w:rPr>
          <w:noProof/>
        </w:rPr>
        <w:t xml:space="preserve">Observații </w:t>
      </w:r>
    </w:p>
    <w:p w14:paraId="319129FE" w14:textId="77777777" w:rsidR="00D664CB" w:rsidRPr="00D91062" w:rsidRDefault="00D664CB" w:rsidP="00424514">
      <w:pPr>
        <w:pStyle w:val="Text1"/>
        <w:pBdr>
          <w:top w:val="single" w:sz="4" w:space="1" w:color="auto"/>
          <w:left w:val="single" w:sz="4" w:space="4" w:color="auto"/>
          <w:bottom w:val="single" w:sz="4" w:space="1" w:color="auto"/>
          <w:right w:val="single" w:sz="4" w:space="4" w:color="auto"/>
        </w:pBdr>
        <w:rPr>
          <w:noProof/>
        </w:rPr>
      </w:pPr>
      <w:r w:rsidRPr="00D91062">
        <w:rPr>
          <w:noProof/>
        </w:rPr>
        <w:t>Pentru Comisie este prevăzută gestiunea directă și, în cazul noului Oficiu pentru rețele digitale, acesta va contribui la punerea în aplicare a Regulamentului MSS de îndată ce va fi instituit prin DNA, metoda de execuție bugetară este gestiunea indirectă, în conformitate cu articolul 70 din Regulamentul financiar.</w:t>
      </w:r>
    </w:p>
    <w:p w14:paraId="2904BAE2" w14:textId="77777777" w:rsidR="00D664CB" w:rsidRPr="00D91062" w:rsidRDefault="00D664CB" w:rsidP="00D664CB">
      <w:pPr>
        <w:rPr>
          <w:noProof/>
        </w:rPr>
        <w:sectPr w:rsidR="00D664CB" w:rsidRPr="00D91062" w:rsidSect="00A8433C">
          <w:pgSz w:w="11907" w:h="16840" w:code="9"/>
          <w:pgMar w:top="1134" w:right="1418" w:bottom="1134" w:left="1418" w:header="709" w:footer="709" w:gutter="0"/>
          <w:cols w:space="708"/>
          <w:docGrid w:linePitch="360"/>
        </w:sectPr>
      </w:pPr>
    </w:p>
    <w:p w14:paraId="35824020" w14:textId="77777777" w:rsidR="00D664CB" w:rsidRPr="00D91062" w:rsidRDefault="00D664CB" w:rsidP="006967D1">
      <w:pPr>
        <w:pStyle w:val="ManualHeading1"/>
        <w:rPr>
          <w:bCs/>
          <w:noProof/>
          <w:szCs w:val="24"/>
        </w:rPr>
      </w:pPr>
      <w:bookmarkStart w:id="89" w:name="_Toc514938041"/>
      <w:bookmarkStart w:id="90" w:name="_Toc520485042"/>
      <w:bookmarkStart w:id="91" w:name="_Toc160804584"/>
      <w:bookmarkStart w:id="92" w:name="_Toc167220276"/>
      <w:bookmarkStart w:id="93" w:name="_Toc177549009"/>
      <w:r w:rsidRPr="00D91062">
        <w:rPr>
          <w:noProof/>
        </w:rPr>
        <w:t>2.</w:t>
      </w:r>
      <w:r w:rsidRPr="00D91062">
        <w:rPr>
          <w:noProof/>
        </w:rPr>
        <w:tab/>
        <w:t>MĂSURI DE GESTIUNE</w:t>
      </w:r>
      <w:bookmarkEnd w:id="89"/>
      <w:bookmarkEnd w:id="90"/>
      <w:bookmarkEnd w:id="91"/>
      <w:bookmarkEnd w:id="92"/>
      <w:bookmarkEnd w:id="93"/>
    </w:p>
    <w:p w14:paraId="60E2E52A" w14:textId="77777777" w:rsidR="00D664CB" w:rsidRPr="00D91062" w:rsidRDefault="00D664CB" w:rsidP="00424514">
      <w:pPr>
        <w:pStyle w:val="ManualHeading2"/>
        <w:rPr>
          <w:noProof/>
        </w:rPr>
      </w:pPr>
      <w:bookmarkStart w:id="94" w:name="_Toc514938042"/>
      <w:bookmarkStart w:id="95" w:name="_Toc520485043"/>
      <w:bookmarkStart w:id="96" w:name="_Toc160804585"/>
      <w:bookmarkStart w:id="97" w:name="_Toc167220277"/>
      <w:bookmarkStart w:id="98" w:name="_Toc177549010"/>
      <w:r w:rsidRPr="00D91062">
        <w:rPr>
          <w:noProof/>
        </w:rPr>
        <w:t>2.1.</w:t>
      </w:r>
      <w:r w:rsidRPr="00D91062">
        <w:rPr>
          <w:noProof/>
        </w:rPr>
        <w:tab/>
        <w:t>Dispoziții în materie de monitorizare și de raportare</w:t>
      </w:r>
      <w:bookmarkEnd w:id="94"/>
      <w:bookmarkEnd w:id="95"/>
      <w:bookmarkEnd w:id="96"/>
      <w:bookmarkEnd w:id="97"/>
      <w:bookmarkEnd w:id="98"/>
    </w:p>
    <w:p w14:paraId="7B7E586B" w14:textId="77777777" w:rsidR="00D664CB" w:rsidRPr="00D91062" w:rsidRDefault="00D664CB" w:rsidP="00424514">
      <w:pPr>
        <w:pStyle w:val="Text1"/>
        <w:pBdr>
          <w:top w:val="single" w:sz="4" w:space="1" w:color="auto"/>
          <w:left w:val="single" w:sz="4" w:space="4" w:color="auto"/>
          <w:bottom w:val="single" w:sz="4" w:space="1" w:color="auto"/>
          <w:right w:val="single" w:sz="4" w:space="4" w:color="auto"/>
        </w:pBdr>
        <w:rPr>
          <w:noProof/>
        </w:rPr>
      </w:pPr>
      <w:r w:rsidRPr="00D91062">
        <w:rPr>
          <w:noProof/>
        </w:rPr>
        <w:t>Pentru a sprijini o punere în aplicare coerentă și o monitorizare eficace a regulamentului, Comisia, împreună cu statele membre, ar trebui să ia măsurile corespunzătoare pentru a asigura monitorizarea eficace și asigurarea respectării autorizațiilor Uniunii. Mecanismele de monitorizare vor fi adoptate prin intermediul unor acte de punere în aplicare pentru evaluarea furnizării de servicii și a utilizării eficiente a spectrului și ar trebui să se bazeze atât pe capacitățile naționale, cât și pe cooperarea cu Agenția Spațială Europeană.</w:t>
      </w:r>
    </w:p>
    <w:p w14:paraId="3912EABF" w14:textId="77777777" w:rsidR="00D664CB" w:rsidRPr="00D91062" w:rsidRDefault="00D664CB" w:rsidP="00424514">
      <w:pPr>
        <w:pStyle w:val="Text1"/>
        <w:pBdr>
          <w:top w:val="single" w:sz="4" w:space="1" w:color="auto"/>
          <w:left w:val="single" w:sz="4" w:space="4" w:color="auto"/>
          <w:bottom w:val="single" w:sz="4" w:space="1" w:color="auto"/>
          <w:right w:val="single" w:sz="4" w:space="4" w:color="auto"/>
        </w:pBdr>
        <w:rPr>
          <w:noProof/>
        </w:rPr>
      </w:pPr>
      <w:r w:rsidRPr="00D91062">
        <w:rPr>
          <w:noProof/>
        </w:rPr>
        <w:t>Condițiile de autorizare la nivelul Uniunii pentru furnizarea de sisteme MSS sigure și comerciale includ prezentarea unui raport anual Comisiei și comitetului, care detaliază stadiul de dezvoltare a acestor sisteme.</w:t>
      </w:r>
    </w:p>
    <w:p w14:paraId="25C46E31" w14:textId="77777777" w:rsidR="00D664CB" w:rsidRPr="00D91062" w:rsidRDefault="00D664CB" w:rsidP="00424514">
      <w:pPr>
        <w:pStyle w:val="ManualHeading2"/>
        <w:rPr>
          <w:noProof/>
        </w:rPr>
      </w:pPr>
      <w:bookmarkStart w:id="99" w:name="_Toc514938045"/>
      <w:bookmarkStart w:id="100" w:name="_Toc520485044"/>
      <w:bookmarkStart w:id="101" w:name="_Toc160804586"/>
      <w:bookmarkStart w:id="102" w:name="_Toc167220278"/>
      <w:bookmarkStart w:id="103" w:name="_Toc177549011"/>
      <w:r w:rsidRPr="00D91062">
        <w:rPr>
          <w:noProof/>
        </w:rPr>
        <w:t>2.2.</w:t>
      </w:r>
      <w:r w:rsidRPr="00D91062">
        <w:rPr>
          <w:noProof/>
        </w:rPr>
        <w:tab/>
        <w:t>Sistemul (sistemele) de gestiune și de control</w:t>
      </w:r>
      <w:bookmarkEnd w:id="99"/>
      <w:bookmarkEnd w:id="100"/>
      <w:bookmarkEnd w:id="101"/>
      <w:bookmarkEnd w:id="102"/>
      <w:bookmarkEnd w:id="103"/>
    </w:p>
    <w:p w14:paraId="7BC4083E" w14:textId="77777777" w:rsidR="00D664CB" w:rsidRPr="00D91062" w:rsidRDefault="00D664CB" w:rsidP="006967D1">
      <w:pPr>
        <w:pStyle w:val="ManualHeading3"/>
        <w:rPr>
          <w:noProof/>
        </w:rPr>
      </w:pPr>
      <w:bookmarkStart w:id="104" w:name="_Toc514938046"/>
      <w:bookmarkStart w:id="105" w:name="_Toc520485045"/>
      <w:bookmarkStart w:id="106" w:name="_Toc160804587"/>
      <w:bookmarkStart w:id="107" w:name="_Toc167220279"/>
      <w:bookmarkStart w:id="108" w:name="_Toc177549012"/>
      <w:r w:rsidRPr="00D91062">
        <w:rPr>
          <w:noProof/>
        </w:rPr>
        <w:t>2.2.1.</w:t>
      </w:r>
      <w:r w:rsidRPr="00D91062">
        <w:rPr>
          <w:noProof/>
        </w:rPr>
        <w:tab/>
        <w:t>Justificarea metodei (metodelor) de execuție bugetară, a mecanismului (mecanismelor) de punere în aplicare a finanțării, a modalităților de plată și a strategiei de control propuse</w:t>
      </w:r>
      <w:bookmarkEnd w:id="104"/>
      <w:bookmarkEnd w:id="105"/>
      <w:bookmarkEnd w:id="106"/>
      <w:bookmarkEnd w:id="107"/>
      <w:bookmarkEnd w:id="108"/>
    </w:p>
    <w:p w14:paraId="2A7D2670" w14:textId="77777777" w:rsidR="00D664CB" w:rsidRPr="00D91062" w:rsidRDefault="00D664CB" w:rsidP="00424514">
      <w:pPr>
        <w:pStyle w:val="Text1"/>
        <w:pBdr>
          <w:top w:val="single" w:sz="4" w:space="1" w:color="auto"/>
          <w:left w:val="single" w:sz="4" w:space="4" w:color="auto"/>
          <w:bottom w:val="single" w:sz="4" w:space="1" w:color="auto"/>
          <w:right w:val="single" w:sz="4" w:space="4" w:color="auto"/>
        </w:pBdr>
        <w:rPr>
          <w:noProof/>
        </w:rPr>
      </w:pPr>
      <w:r w:rsidRPr="00D91062">
        <w:rPr>
          <w:noProof/>
        </w:rPr>
        <w:t>Regulamentul stabilește un nou cadru de politică pentru norme armonizate care reglementează furnizarea de servicii mobile prin satelit în banda MSS de 2 GHz, sprijinind în același timp obiectivele de politică ale Uniunii privind securitatea și reziliența, precum și competitivitatea industrială. Regulamentul MSS urmărește să simplifice și să îmbunătățească coordonarea cadrului de reglementare a MSS, permițând furnizorilor să opereze și să inoveze mai eficient pe piața unică. Aceste obiective necesită o coordonare și o capacitate operațională consolidate la nivelul UE, care, la rândul lor, necesită resurse bugetare specifice și proporționale.</w:t>
      </w:r>
    </w:p>
    <w:p w14:paraId="1E387087" w14:textId="77777777" w:rsidR="00D664CB" w:rsidRPr="00D91062" w:rsidRDefault="00D664CB" w:rsidP="00424514">
      <w:pPr>
        <w:pStyle w:val="Text1"/>
        <w:pBdr>
          <w:top w:val="single" w:sz="4" w:space="1" w:color="auto"/>
          <w:left w:val="single" w:sz="4" w:space="4" w:color="auto"/>
          <w:bottom w:val="single" w:sz="4" w:space="1" w:color="auto"/>
          <w:right w:val="single" w:sz="4" w:space="4" w:color="auto"/>
        </w:pBdr>
        <w:rPr>
          <w:noProof/>
        </w:rPr>
      </w:pPr>
      <w:r w:rsidRPr="00D91062">
        <w:rPr>
          <w:noProof/>
        </w:rPr>
        <w:t>Regulamentul MSS și normele DNA necesită un mecanism consolidat de asigurare a coerenței pentru aplicarea transfrontalieră a obligațiilor. Acest lucru necesită o guvernanță consolidată a comunicațiilor electronice în Uniune, capabilă să ofere sprijin administrativ, tehnic și analitic autorităților naționale de reglementare și instituțiilor UE, cu obiectivul de a asigura aplicarea uniformă a dreptului Uniunii și alinierea la obiectivele de politică de la nivelul UE.</w:t>
      </w:r>
    </w:p>
    <w:p w14:paraId="7641BCB6" w14:textId="77777777" w:rsidR="00D664CB" w:rsidRPr="00D91062" w:rsidRDefault="00D664CB" w:rsidP="00424514">
      <w:pPr>
        <w:pStyle w:val="Text1"/>
        <w:pBdr>
          <w:top w:val="single" w:sz="4" w:space="1" w:color="auto"/>
          <w:left w:val="single" w:sz="4" w:space="4" w:color="auto"/>
          <w:bottom w:val="single" w:sz="4" w:space="1" w:color="auto"/>
          <w:right w:val="single" w:sz="4" w:space="4" w:color="auto"/>
        </w:pBdr>
        <w:rPr>
          <w:noProof/>
        </w:rPr>
      </w:pPr>
      <w:r w:rsidRPr="00D91062">
        <w:rPr>
          <w:noProof/>
        </w:rPr>
        <w:t>Pentru a îndeplini noile sarcini MSS, sunt necesare resurse umane suplimentare. Se estimează că punerea în aplicare și asigurarea respectării Regulamentului MSS vor necesita 5 ENI suplimentare pentru Comisie și, odată ce Oficiul pentru Rețele Digitale (ODN) va fi înființat prin DNA, acesta va beneficia, de asemenea, de sprijinul suplimentar din partea ODN, de exemplu pentru colectarea taxelor anuale. Aceste taxe anuale vor finanța, de asemenea, costul crescut al ODN (a se vedea fișa financiară legislativă și digitală DNA). Nivelurile de personal propuse sunt direct legate de volumul și complexitatea noilor responsabilități și reflectă opțiunea cea mai eficientă din punctul de vedere al costurilor, evitând duplicarea la nivel național și reducând sarcina administrativă pentru participanții la piață.</w:t>
      </w:r>
    </w:p>
    <w:p w14:paraId="52F191DE" w14:textId="77777777" w:rsidR="00D664CB" w:rsidRPr="00D91062" w:rsidRDefault="00D664CB" w:rsidP="00424514">
      <w:pPr>
        <w:pStyle w:val="Text1"/>
        <w:pBdr>
          <w:top w:val="single" w:sz="4" w:space="1" w:color="auto"/>
          <w:left w:val="single" w:sz="4" w:space="4" w:color="auto"/>
          <w:bottom w:val="single" w:sz="4" w:space="1" w:color="auto"/>
          <w:right w:val="single" w:sz="4" w:space="4" w:color="auto"/>
        </w:pBdr>
        <w:rPr>
          <w:noProof/>
        </w:rPr>
      </w:pPr>
      <w:r w:rsidRPr="00D91062">
        <w:rPr>
          <w:noProof/>
        </w:rPr>
        <w:t xml:space="preserve">Plățile vor respecta procedurile bugetare standard ale UE, inclusiv angajamentele și plățile efectuate anual, în conformitate cu Regulamentul financiar și în limitele plafoanelor cadrului financiar multianual aplicabil, sprijinite de contribuțiile anuale din taxele care acoperă costurile aferente sarcinilor suplimentare, inclusiv costurile pe termen lung. Cheltuielile vor face obiectul cadrului de control intern al Comisiei, inclusiv al controalelor </w:t>
      </w:r>
      <w:r w:rsidRPr="00D91062">
        <w:rPr>
          <w:i/>
          <w:noProof/>
        </w:rPr>
        <w:t>ex ante</w:t>
      </w:r>
      <w:r w:rsidRPr="00D91062">
        <w:rPr>
          <w:noProof/>
        </w:rPr>
        <w:t xml:space="preserve">, al auditurilor </w:t>
      </w:r>
      <w:r w:rsidRPr="00D91062">
        <w:rPr>
          <w:i/>
          <w:noProof/>
        </w:rPr>
        <w:t>ex post</w:t>
      </w:r>
      <w:r w:rsidRPr="00D91062">
        <w:rPr>
          <w:noProof/>
        </w:rPr>
        <w:t>, al monitorizării performanței și al raportării. Această strategie de control asigură buna gestiune financiară, legalitatea și regularitatea cheltuielilor, precum și utilizarea eficace a fondurilor Uniunii.</w:t>
      </w:r>
    </w:p>
    <w:p w14:paraId="1875E651" w14:textId="77777777" w:rsidR="00D664CB" w:rsidRPr="00D91062" w:rsidRDefault="00D664CB" w:rsidP="006967D1">
      <w:pPr>
        <w:pStyle w:val="ManualHeading3"/>
        <w:rPr>
          <w:noProof/>
        </w:rPr>
      </w:pPr>
      <w:bookmarkStart w:id="109" w:name="_Toc514938047"/>
      <w:bookmarkStart w:id="110" w:name="_Toc520485046"/>
      <w:bookmarkStart w:id="111" w:name="_Toc160804588"/>
      <w:bookmarkStart w:id="112" w:name="_Toc167220280"/>
      <w:bookmarkStart w:id="113" w:name="_Toc177549013"/>
      <w:r w:rsidRPr="00D91062">
        <w:rPr>
          <w:noProof/>
        </w:rPr>
        <w:t>2.2.2.</w:t>
      </w:r>
      <w:r w:rsidRPr="00D91062">
        <w:rPr>
          <w:noProof/>
        </w:rPr>
        <w:tab/>
        <w:t>Informații privind riscurile identificate și sistemul (sistemele) de control intern instituit(e) pentru atenuarea lor</w:t>
      </w:r>
      <w:bookmarkEnd w:id="109"/>
      <w:bookmarkEnd w:id="110"/>
      <w:bookmarkEnd w:id="111"/>
      <w:bookmarkEnd w:id="112"/>
      <w:bookmarkEnd w:id="113"/>
    </w:p>
    <w:p w14:paraId="7E115DC8" w14:textId="77777777" w:rsidR="00D664CB" w:rsidRPr="00D91062" w:rsidRDefault="00D664CB" w:rsidP="00424514">
      <w:pPr>
        <w:pStyle w:val="Text1"/>
        <w:pBdr>
          <w:top w:val="single" w:sz="4" w:space="1" w:color="auto"/>
          <w:left w:val="single" w:sz="4" w:space="4" w:color="auto"/>
          <w:bottom w:val="single" w:sz="4" w:space="1" w:color="auto"/>
          <w:right w:val="single" w:sz="4" w:space="4" w:color="auto"/>
        </w:pBdr>
        <w:rPr>
          <w:noProof/>
        </w:rPr>
      </w:pPr>
      <w:r w:rsidRPr="00D91062">
        <w:rPr>
          <w:noProof/>
        </w:rPr>
        <w:t>Taxele care urmează să fie colectate de la întreprinderi, astfel cum se propune în prezenta inițiativă, vor fi colectate inițial de Comisie, în timp ce funcția de colectare a taxelor ar putea fi transferată către ODN de îndată ce acesta va fi stabilit prin DNA. Dispozițiile DNA privind guvernanța oferă un cadru organizațional, financiar și de răspundere cuprinzător pentru ODN, în calitate de organism al Uniunii care sprijină atât OAREC, cât și RSPB. DNA stabilește sarcinile, structura de guvernanță, programarea, normele bugetare și de personal ale ODN și asigură transparența, buna gestiune financiară și supravegherea eficace, inclusiv mecanisme antifraudă, de audit și de evaluare.</w:t>
      </w:r>
    </w:p>
    <w:p w14:paraId="7B47AFDF" w14:textId="77777777" w:rsidR="00D664CB" w:rsidRPr="00D91062" w:rsidRDefault="00D664CB" w:rsidP="006967D1">
      <w:pPr>
        <w:pStyle w:val="ManualHeading3"/>
        <w:rPr>
          <w:noProof/>
        </w:rPr>
      </w:pPr>
      <w:bookmarkStart w:id="114" w:name="_Toc514938048"/>
      <w:bookmarkStart w:id="115" w:name="_Toc520485047"/>
      <w:bookmarkStart w:id="116" w:name="_Toc160804589"/>
      <w:bookmarkStart w:id="117" w:name="_Toc167220281"/>
      <w:bookmarkStart w:id="118" w:name="_Toc177549014"/>
      <w:r w:rsidRPr="00D91062">
        <w:rPr>
          <w:noProof/>
        </w:rPr>
        <w:t>2.2.3.</w:t>
      </w:r>
      <w:r w:rsidRPr="00D91062">
        <w:rPr>
          <w:noProof/>
        </w:rPr>
        <w:tab/>
        <w:t>Estimarea și justificarea raportului cost-eficacitate al controalelor (raportul dintre costurile controalelor și valoarea fondurilor aferente gestionate) și evaluarea nivelurilor preconizate ale riscurilor de eroare (la plată și la închidere)</w:t>
      </w:r>
      <w:bookmarkEnd w:id="114"/>
      <w:bookmarkEnd w:id="115"/>
      <w:bookmarkEnd w:id="116"/>
      <w:bookmarkEnd w:id="117"/>
      <w:bookmarkEnd w:id="118"/>
    </w:p>
    <w:p w14:paraId="083305B6" w14:textId="77777777" w:rsidR="00D664CB" w:rsidRPr="00D91062" w:rsidRDefault="00D664CB" w:rsidP="00424514">
      <w:pPr>
        <w:pStyle w:val="Text1"/>
        <w:pBdr>
          <w:top w:val="single" w:sz="4" w:space="1" w:color="auto"/>
          <w:left w:val="single" w:sz="4" w:space="4" w:color="auto"/>
          <w:bottom w:val="single" w:sz="4" w:space="1" w:color="auto"/>
          <w:right w:val="single" w:sz="4" w:space="4" w:color="auto"/>
        </w:pBdr>
        <w:rPr>
          <w:noProof/>
        </w:rPr>
      </w:pPr>
      <w:r w:rsidRPr="00D91062">
        <w:rPr>
          <w:noProof/>
        </w:rPr>
        <w:t>Pentru cheltuielile aferente reuniunilor referitoare la Comitetul pentru comunicații (COCOM) și Grupul pentru politica în domeniul spectrului de frecvențe radio. Având în vedere valoarea scăzută per tranzacție (de exemplu, rambursarea cheltuielilor de deplasare pentru un delegat pentru o reuniune, costurile de catering), procedurile standard de control par suficiente.</w:t>
      </w:r>
    </w:p>
    <w:p w14:paraId="286EC8CC" w14:textId="77777777" w:rsidR="00D664CB" w:rsidRPr="00D91062" w:rsidRDefault="00D664CB" w:rsidP="00424514">
      <w:pPr>
        <w:pStyle w:val="Text1"/>
        <w:pBdr>
          <w:top w:val="single" w:sz="4" w:space="1" w:color="auto"/>
          <w:left w:val="single" w:sz="4" w:space="4" w:color="auto"/>
          <w:bottom w:val="single" w:sz="4" w:space="1" w:color="auto"/>
          <w:right w:val="single" w:sz="4" w:space="4" w:color="auto"/>
        </w:pBdr>
        <w:rPr>
          <w:noProof/>
        </w:rPr>
      </w:pPr>
      <w:r w:rsidRPr="00D91062">
        <w:rPr>
          <w:noProof/>
        </w:rPr>
        <w:t>Costurile RSPB care va înlocui actualul RSPG (și subgrupurile sale) pe baza propunerii DNA vor fi preluate de ODN, care va oferi sprijin administrativ RPSB. În ceea ce privește costurile operative și operaționale ale ODN, există un sistem de control intern în conformitate cu cadrul organizațional, financiar și de responsabilitate al DNA (partea VII Guvernanța).</w:t>
      </w:r>
    </w:p>
    <w:p w14:paraId="3D19FDFF" w14:textId="77777777" w:rsidR="00D664CB" w:rsidRPr="00D91062" w:rsidRDefault="00D664CB" w:rsidP="00424514">
      <w:pPr>
        <w:pStyle w:val="ManualHeading2"/>
        <w:rPr>
          <w:noProof/>
        </w:rPr>
      </w:pPr>
      <w:bookmarkStart w:id="119" w:name="_Toc514938049"/>
      <w:bookmarkStart w:id="120" w:name="_Toc520485048"/>
      <w:bookmarkStart w:id="121" w:name="_Toc160804590"/>
      <w:bookmarkStart w:id="122" w:name="_Toc167220282"/>
      <w:bookmarkStart w:id="123" w:name="_Toc177549015"/>
      <w:r w:rsidRPr="00D91062">
        <w:rPr>
          <w:noProof/>
        </w:rPr>
        <w:t>2.3.</w:t>
      </w:r>
      <w:r w:rsidRPr="00D91062">
        <w:rPr>
          <w:noProof/>
        </w:rPr>
        <w:tab/>
        <w:t>Măsuri de prevenire a fraudelor și a neregulilor</w:t>
      </w:r>
      <w:bookmarkEnd w:id="119"/>
      <w:bookmarkEnd w:id="120"/>
      <w:bookmarkEnd w:id="121"/>
      <w:bookmarkEnd w:id="122"/>
      <w:bookmarkEnd w:id="123"/>
    </w:p>
    <w:p w14:paraId="2931E8D8" w14:textId="77777777" w:rsidR="00D664CB" w:rsidRPr="00D91062" w:rsidRDefault="00D664CB" w:rsidP="00424514">
      <w:pPr>
        <w:pStyle w:val="Text1"/>
        <w:pBdr>
          <w:top w:val="single" w:sz="4" w:space="1" w:color="auto"/>
          <w:left w:val="single" w:sz="4" w:space="4" w:color="auto"/>
          <w:bottom w:val="single" w:sz="4" w:space="1" w:color="auto"/>
          <w:right w:val="single" w:sz="4" w:space="4" w:color="auto"/>
        </w:pBdr>
        <w:rPr>
          <w:noProof/>
        </w:rPr>
        <w:sectPr w:rsidR="00D664CB" w:rsidRPr="00D91062" w:rsidSect="00A8433C">
          <w:pgSz w:w="11907" w:h="16840" w:code="9"/>
          <w:pgMar w:top="1134" w:right="1418" w:bottom="1134" w:left="1418" w:header="709" w:footer="709" w:gutter="0"/>
          <w:cols w:space="708"/>
          <w:docGrid w:linePitch="360"/>
        </w:sectPr>
      </w:pPr>
      <w:r w:rsidRPr="00D91062">
        <w:rPr>
          <w:noProof/>
        </w:rPr>
        <w:t>Măsurile de prevenire a fraudei aplicabile Comisiei se vor aplica și creditelor suplimentare necesare pentru punerea în aplicare a prezentului regulament.</w:t>
      </w:r>
    </w:p>
    <w:p w14:paraId="7ABE6BB3" w14:textId="77777777" w:rsidR="00D664CB" w:rsidRPr="00D91062" w:rsidRDefault="00D664CB" w:rsidP="00424514">
      <w:pPr>
        <w:pStyle w:val="ManualHeading1"/>
        <w:rPr>
          <w:noProof/>
        </w:rPr>
      </w:pPr>
      <w:r w:rsidRPr="00D91062">
        <w:rPr>
          <w:noProof/>
        </w:rPr>
        <w:t>3. IMPACTUL FINANCIAR ESTIMAT AL PROPUNERII/INIȚIATIVEI</w:t>
      </w:r>
    </w:p>
    <w:p w14:paraId="7636ABEF" w14:textId="77777777" w:rsidR="00D664CB" w:rsidRPr="00D91062" w:rsidRDefault="00D664CB" w:rsidP="00D664CB">
      <w:pPr>
        <w:keepNext/>
        <w:tabs>
          <w:tab w:val="left" w:pos="850"/>
        </w:tabs>
        <w:rPr>
          <w:rFonts w:eastAsia="Times New Roman"/>
          <w:b/>
          <w:bCs/>
          <w:smallCaps/>
          <w:noProof/>
        </w:rPr>
      </w:pPr>
      <w:r w:rsidRPr="00D91062">
        <w:rPr>
          <w:noProof/>
        </w:rPr>
        <w:t xml:space="preserve">Prezenta fișă financiară legislativă și digitală și, în special, secțiunea 3.3 privind impactul asupra veniturilor trebuie interpretată în combinație cu fișa financiară legislativă și digitală a DNA și ca o completare a acesteia. </w:t>
      </w:r>
    </w:p>
    <w:p w14:paraId="2A6EDE0C" w14:textId="77777777" w:rsidR="00D664CB" w:rsidRPr="00D91062" w:rsidRDefault="00D664CB" w:rsidP="00424514">
      <w:pPr>
        <w:pStyle w:val="ManualHeading2"/>
        <w:rPr>
          <w:noProof/>
        </w:rPr>
      </w:pPr>
      <w:bookmarkStart w:id="124" w:name="_Toc514938051"/>
      <w:bookmarkStart w:id="125" w:name="_Toc520485050"/>
      <w:bookmarkStart w:id="126" w:name="_Toc160804592"/>
      <w:bookmarkStart w:id="127" w:name="_Toc167220284"/>
      <w:bookmarkStart w:id="128" w:name="_Toc177549017"/>
      <w:r w:rsidRPr="00D91062">
        <w:rPr>
          <w:noProof/>
        </w:rPr>
        <w:t>3.1.</w:t>
      </w:r>
      <w:r w:rsidRPr="00D91062">
        <w:rPr>
          <w:noProof/>
        </w:rPr>
        <w:tab/>
        <w:t>Rubrica (rubricile) din cadrul financiar multianual și linia (liniile) bugetară (bugetare) de cheltuieli afectată (afectate)</w:t>
      </w:r>
      <w:bookmarkEnd w:id="124"/>
      <w:bookmarkEnd w:id="125"/>
      <w:bookmarkEnd w:id="126"/>
      <w:bookmarkEnd w:id="127"/>
      <w:bookmarkEnd w:id="128"/>
    </w:p>
    <w:bookmarkStart w:id="129" w:name="_Hlk157691648"/>
    <w:p w14:paraId="7A492D53" w14:textId="77777777" w:rsidR="00D664CB" w:rsidRPr="00D91062" w:rsidRDefault="00D664CB" w:rsidP="007A5721">
      <w:pPr>
        <w:pStyle w:val="ListBullet1"/>
        <w:rPr>
          <w:noProof/>
        </w:rPr>
      </w:pPr>
      <w:r w:rsidRPr="00D91062">
        <w:rPr>
          <w:noProof/>
        </w:rPr>
        <w:fldChar w:fldCharType="begin"/>
      </w:r>
      <w:r w:rsidRPr="00D91062">
        <w:rPr>
          <w:noProof/>
        </w:rPr>
        <w:instrText>HYPERLINK "https://myintracomm.ec.europa.eu/corp/budget/financial-rules/budget-implementation/Pages/financial-statement.aspx"</w:instrText>
      </w:r>
      <w:r w:rsidRPr="00D91062">
        <w:rPr>
          <w:noProof/>
        </w:rPr>
        <w:fldChar w:fldCharType="end"/>
      </w:r>
      <w:bookmarkEnd w:id="129"/>
      <w:r w:rsidRPr="00D91062">
        <w:rPr>
          <w:noProof/>
        </w:rPr>
        <w:t>Linii bugetare existente</w:t>
      </w:r>
    </w:p>
    <w:p w14:paraId="645CC77B" w14:textId="77777777" w:rsidR="00D664CB" w:rsidRPr="00D91062" w:rsidRDefault="00D664CB" w:rsidP="007A5721">
      <w:pPr>
        <w:pStyle w:val="Text1"/>
        <w:rPr>
          <w:rFonts w:eastAsia="Times New Roman"/>
          <w:noProof/>
        </w:rPr>
      </w:pPr>
      <w:r w:rsidRPr="00D91062">
        <w:rPr>
          <w:noProof/>
          <w:u w:val="single"/>
        </w:rPr>
        <w:t>În ordinea</w:t>
      </w:r>
      <w:r w:rsidRPr="00D91062">
        <w:rPr>
          <w:noProof/>
        </w:rPr>
        <w:t xml:space="preserve"> rubricilor din cadrul financiar multianual și a liniilor bugetare.</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4"/>
        <w:gridCol w:w="3118"/>
        <w:gridCol w:w="1274"/>
        <w:gridCol w:w="966"/>
        <w:gridCol w:w="1092"/>
        <w:gridCol w:w="966"/>
        <w:gridCol w:w="1463"/>
      </w:tblGrid>
      <w:tr w:rsidR="00D664CB" w:rsidRPr="00D91062" w14:paraId="5D405854" w14:textId="77777777" w:rsidTr="00C617FD">
        <w:trPr>
          <w:jc w:val="center"/>
        </w:trPr>
        <w:tc>
          <w:tcPr>
            <w:tcW w:w="1794" w:type="dxa"/>
            <w:vMerge w:val="restart"/>
            <w:vAlign w:val="center"/>
          </w:tcPr>
          <w:p w14:paraId="565D9D1D" w14:textId="77777777" w:rsidR="00D664CB" w:rsidRPr="00D91062" w:rsidRDefault="00D664CB" w:rsidP="00D664CB">
            <w:pPr>
              <w:spacing w:before="60" w:after="60"/>
              <w:jc w:val="center"/>
              <w:rPr>
                <w:noProof/>
              </w:rPr>
            </w:pPr>
            <w:r w:rsidRPr="00D91062">
              <w:rPr>
                <w:noProof/>
                <w:sz w:val="18"/>
              </w:rPr>
              <w:t>Rubrica din cadrul financiar multianual</w:t>
            </w:r>
          </w:p>
        </w:tc>
        <w:tc>
          <w:tcPr>
            <w:tcW w:w="3118" w:type="dxa"/>
            <w:vAlign w:val="center"/>
          </w:tcPr>
          <w:p w14:paraId="60613CCC" w14:textId="77777777" w:rsidR="00D664CB" w:rsidRPr="00D91062" w:rsidRDefault="00D664CB" w:rsidP="00D664CB">
            <w:pPr>
              <w:spacing w:before="60" w:after="60"/>
              <w:jc w:val="center"/>
              <w:rPr>
                <w:rFonts w:eastAsia="Calibri"/>
                <w:noProof/>
              </w:rPr>
            </w:pPr>
            <w:r w:rsidRPr="00D91062">
              <w:rPr>
                <w:noProof/>
                <w:sz w:val="20"/>
              </w:rPr>
              <w:t>Linia bugetară</w:t>
            </w:r>
          </w:p>
        </w:tc>
        <w:tc>
          <w:tcPr>
            <w:tcW w:w="1274" w:type="dxa"/>
            <w:vAlign w:val="center"/>
          </w:tcPr>
          <w:p w14:paraId="0D664118" w14:textId="77777777" w:rsidR="00D664CB" w:rsidRPr="00D91062" w:rsidRDefault="00D664CB" w:rsidP="00D664CB">
            <w:pPr>
              <w:spacing w:before="60" w:after="60"/>
              <w:jc w:val="center"/>
              <w:rPr>
                <w:rFonts w:eastAsia="Calibri"/>
                <w:noProof/>
              </w:rPr>
            </w:pPr>
            <w:r w:rsidRPr="00D91062">
              <w:rPr>
                <w:noProof/>
                <w:sz w:val="18"/>
              </w:rPr>
              <w:t>Tipul de cheltuieli</w:t>
            </w:r>
          </w:p>
        </w:tc>
        <w:tc>
          <w:tcPr>
            <w:tcW w:w="4487" w:type="dxa"/>
            <w:gridSpan w:val="4"/>
            <w:vAlign w:val="center"/>
          </w:tcPr>
          <w:p w14:paraId="26DBE72C" w14:textId="77777777" w:rsidR="00D664CB" w:rsidRPr="00D91062" w:rsidRDefault="00D664CB" w:rsidP="00D664CB">
            <w:pPr>
              <w:spacing w:before="60" w:after="60"/>
              <w:jc w:val="center"/>
              <w:rPr>
                <w:rFonts w:eastAsia="Calibri"/>
                <w:noProof/>
              </w:rPr>
            </w:pPr>
            <w:r w:rsidRPr="00D91062">
              <w:rPr>
                <w:noProof/>
                <w:sz w:val="20"/>
              </w:rPr>
              <w:t xml:space="preserve">Contribuție </w:t>
            </w:r>
          </w:p>
        </w:tc>
      </w:tr>
      <w:tr w:rsidR="00D664CB" w:rsidRPr="00D91062" w14:paraId="7E6C5140" w14:textId="77777777" w:rsidTr="00C617FD">
        <w:trPr>
          <w:cantSplit/>
          <w:jc w:val="center"/>
        </w:trPr>
        <w:tc>
          <w:tcPr>
            <w:tcW w:w="1794" w:type="dxa"/>
            <w:vMerge/>
            <w:vAlign w:val="center"/>
          </w:tcPr>
          <w:p w14:paraId="08896416" w14:textId="77777777" w:rsidR="00D664CB" w:rsidRPr="00D91062" w:rsidRDefault="00D664CB" w:rsidP="00D664CB">
            <w:pPr>
              <w:jc w:val="center"/>
              <w:rPr>
                <w:rFonts w:eastAsia="Calibri"/>
                <w:noProof/>
              </w:rPr>
            </w:pPr>
          </w:p>
        </w:tc>
        <w:tc>
          <w:tcPr>
            <w:tcW w:w="3118" w:type="dxa"/>
            <w:vAlign w:val="center"/>
          </w:tcPr>
          <w:p w14:paraId="19D1641B" w14:textId="32C95F22" w:rsidR="00D664CB" w:rsidRPr="00D91062" w:rsidRDefault="00D664CB" w:rsidP="00D664CB">
            <w:pPr>
              <w:rPr>
                <w:rFonts w:eastAsia="Calibri"/>
                <w:noProof/>
                <w:highlight w:val="yellow"/>
              </w:rPr>
            </w:pPr>
            <w:r w:rsidRPr="00D91062">
              <w:rPr>
                <w:noProof/>
                <w:sz w:val="20"/>
              </w:rPr>
              <w:t>Numărul</w:t>
            </w:r>
            <w:r w:rsidR="00216996">
              <w:rPr>
                <w:noProof/>
                <w:sz w:val="20"/>
              </w:rPr>
              <w:t xml:space="preserve"> </w:t>
            </w:r>
            <w:r w:rsidRPr="00D91062">
              <w:rPr>
                <w:noProof/>
              </w:rPr>
              <w:br/>
            </w:r>
          </w:p>
        </w:tc>
        <w:tc>
          <w:tcPr>
            <w:tcW w:w="1274" w:type="dxa"/>
            <w:vAlign w:val="center"/>
          </w:tcPr>
          <w:p w14:paraId="10FA178F" w14:textId="77777777" w:rsidR="00D664CB" w:rsidRPr="00D91062" w:rsidRDefault="00D664CB" w:rsidP="00D664CB">
            <w:pPr>
              <w:jc w:val="center"/>
              <w:rPr>
                <w:rFonts w:eastAsia="Calibri"/>
                <w:noProof/>
              </w:rPr>
            </w:pPr>
            <w:r w:rsidRPr="00D91062">
              <w:rPr>
                <w:noProof/>
                <w:sz w:val="18"/>
              </w:rPr>
              <w:t>Dif./Nedif.</w:t>
            </w:r>
            <w:r w:rsidRPr="00D91062">
              <w:rPr>
                <w:rStyle w:val="FootnoteReference"/>
                <w:noProof/>
              </w:rPr>
              <w:footnoteReference w:id="40"/>
            </w:r>
          </w:p>
        </w:tc>
        <w:tc>
          <w:tcPr>
            <w:tcW w:w="966" w:type="dxa"/>
            <w:vAlign w:val="center"/>
          </w:tcPr>
          <w:p w14:paraId="656681D1" w14:textId="77777777" w:rsidR="00D664CB" w:rsidRPr="00D91062" w:rsidRDefault="00D664CB" w:rsidP="00D664CB">
            <w:pPr>
              <w:jc w:val="center"/>
              <w:rPr>
                <w:rFonts w:eastAsia="Calibri"/>
                <w:b/>
                <w:noProof/>
                <w:sz w:val="18"/>
              </w:rPr>
            </w:pPr>
            <w:r w:rsidRPr="00D91062">
              <w:rPr>
                <w:noProof/>
                <w:sz w:val="18"/>
              </w:rPr>
              <w:t>din partea țărilor AELS</w:t>
            </w:r>
            <w:r w:rsidRPr="00D91062">
              <w:rPr>
                <w:rStyle w:val="FootnoteReference"/>
                <w:noProof/>
              </w:rPr>
              <w:footnoteReference w:id="41"/>
            </w:r>
          </w:p>
        </w:tc>
        <w:tc>
          <w:tcPr>
            <w:tcW w:w="1092" w:type="dxa"/>
            <w:vAlign w:val="center"/>
          </w:tcPr>
          <w:p w14:paraId="288F29F6" w14:textId="77777777" w:rsidR="00D664CB" w:rsidRPr="00D91062" w:rsidRDefault="00D664CB" w:rsidP="00D664CB">
            <w:pPr>
              <w:jc w:val="center"/>
              <w:rPr>
                <w:noProof/>
                <w:sz w:val="18"/>
              </w:rPr>
            </w:pPr>
            <w:r w:rsidRPr="00D91062">
              <w:rPr>
                <w:noProof/>
                <w:sz w:val="18"/>
              </w:rPr>
              <w:t>din partea țărilor candidate și potențial candidate</w:t>
            </w:r>
            <w:r w:rsidRPr="00D91062">
              <w:rPr>
                <w:rStyle w:val="FootnoteReference"/>
                <w:noProof/>
              </w:rPr>
              <w:footnoteReference w:id="42"/>
            </w:r>
          </w:p>
        </w:tc>
        <w:tc>
          <w:tcPr>
            <w:tcW w:w="966" w:type="dxa"/>
            <w:vAlign w:val="center"/>
          </w:tcPr>
          <w:p w14:paraId="17497F96" w14:textId="77777777" w:rsidR="00D664CB" w:rsidRPr="00D91062" w:rsidRDefault="00D664CB" w:rsidP="00D664CB">
            <w:pPr>
              <w:jc w:val="center"/>
              <w:rPr>
                <w:rFonts w:eastAsia="Calibri"/>
                <w:noProof/>
                <w:sz w:val="18"/>
              </w:rPr>
            </w:pPr>
            <w:r w:rsidRPr="00D91062">
              <w:rPr>
                <w:noProof/>
                <w:sz w:val="18"/>
              </w:rPr>
              <w:t>din partea altor țări terțe</w:t>
            </w:r>
          </w:p>
        </w:tc>
        <w:tc>
          <w:tcPr>
            <w:tcW w:w="1463" w:type="dxa"/>
            <w:vAlign w:val="center"/>
          </w:tcPr>
          <w:p w14:paraId="79B06053" w14:textId="77777777" w:rsidR="00D664CB" w:rsidRPr="00D91062" w:rsidRDefault="00D664CB" w:rsidP="00D664CB">
            <w:pPr>
              <w:jc w:val="center"/>
              <w:rPr>
                <w:rFonts w:eastAsia="Calibri"/>
                <w:noProof/>
              </w:rPr>
            </w:pPr>
            <w:r w:rsidRPr="00D91062">
              <w:rPr>
                <w:noProof/>
                <w:sz w:val="18"/>
              </w:rPr>
              <w:t>alte venituri alocate</w:t>
            </w:r>
          </w:p>
        </w:tc>
      </w:tr>
      <w:tr w:rsidR="00D664CB" w:rsidRPr="00D91062" w14:paraId="4E37C5CD" w14:textId="77777777" w:rsidTr="00C617FD">
        <w:trPr>
          <w:jc w:val="center"/>
        </w:trPr>
        <w:tc>
          <w:tcPr>
            <w:tcW w:w="1794" w:type="dxa"/>
            <w:vAlign w:val="center"/>
          </w:tcPr>
          <w:p w14:paraId="1C760342" w14:textId="77777777" w:rsidR="00D664CB" w:rsidRPr="00D91062" w:rsidRDefault="00D664CB" w:rsidP="00D664CB">
            <w:pPr>
              <w:jc w:val="center"/>
              <w:rPr>
                <w:rFonts w:eastAsia="Calibri"/>
                <w:noProof/>
                <w:color w:val="0000FF"/>
              </w:rPr>
            </w:pPr>
          </w:p>
        </w:tc>
        <w:tc>
          <w:tcPr>
            <w:tcW w:w="3118" w:type="dxa"/>
            <w:vAlign w:val="center"/>
          </w:tcPr>
          <w:p w14:paraId="7667A9F4" w14:textId="77777777" w:rsidR="00D664CB" w:rsidRPr="00D91062" w:rsidRDefault="00D664CB" w:rsidP="00D664CB">
            <w:pPr>
              <w:spacing w:before="60"/>
              <w:rPr>
                <w:rFonts w:eastAsia="Calibri"/>
                <w:noProof/>
              </w:rPr>
            </w:pPr>
            <w:r w:rsidRPr="00D91062">
              <w:rPr>
                <w:noProof/>
                <w:sz w:val="22"/>
              </w:rPr>
              <w:t>Venituri din taxe/contribuția la spectru [XX.YY.YY.YY]</w:t>
            </w:r>
          </w:p>
          <w:p w14:paraId="01EFF193" w14:textId="77777777" w:rsidR="00D664CB" w:rsidRPr="00D91062" w:rsidRDefault="00D664CB" w:rsidP="00D664CB">
            <w:pPr>
              <w:spacing w:after="60"/>
              <w:rPr>
                <w:rFonts w:eastAsia="Calibri"/>
                <w:noProof/>
              </w:rPr>
            </w:pPr>
          </w:p>
        </w:tc>
        <w:tc>
          <w:tcPr>
            <w:tcW w:w="1274" w:type="dxa"/>
            <w:vAlign w:val="center"/>
          </w:tcPr>
          <w:p w14:paraId="6D1358A9" w14:textId="77777777" w:rsidR="00D664CB" w:rsidRPr="00D91062" w:rsidRDefault="00D664CB" w:rsidP="00D664CB">
            <w:pPr>
              <w:jc w:val="center"/>
              <w:rPr>
                <w:rFonts w:eastAsia="Calibri"/>
                <w:noProof/>
                <w:color w:val="0000FF"/>
              </w:rPr>
            </w:pPr>
            <w:r w:rsidRPr="00D91062">
              <w:rPr>
                <w:noProof/>
                <w:sz w:val="22"/>
              </w:rPr>
              <w:t>Dif./Nedif.</w:t>
            </w:r>
          </w:p>
        </w:tc>
        <w:tc>
          <w:tcPr>
            <w:tcW w:w="966" w:type="dxa"/>
            <w:vAlign w:val="center"/>
          </w:tcPr>
          <w:p w14:paraId="1A3D3772" w14:textId="77777777" w:rsidR="00D664CB" w:rsidRPr="00D91062" w:rsidRDefault="00D664CB" w:rsidP="00D664CB">
            <w:pPr>
              <w:jc w:val="center"/>
              <w:rPr>
                <w:rFonts w:eastAsia="Calibri"/>
                <w:noProof/>
                <w:sz w:val="20"/>
                <w:szCs w:val="20"/>
              </w:rPr>
            </w:pPr>
            <w:r w:rsidRPr="00D91062">
              <w:rPr>
                <w:noProof/>
                <w:sz w:val="20"/>
              </w:rPr>
              <w:t>NU</w:t>
            </w:r>
          </w:p>
        </w:tc>
        <w:tc>
          <w:tcPr>
            <w:tcW w:w="1092" w:type="dxa"/>
            <w:vAlign w:val="center"/>
          </w:tcPr>
          <w:p w14:paraId="3984D81F" w14:textId="77777777" w:rsidR="00D664CB" w:rsidRPr="00D91062" w:rsidRDefault="00D664CB" w:rsidP="00D664CB">
            <w:pPr>
              <w:jc w:val="center"/>
              <w:rPr>
                <w:rFonts w:eastAsia="Calibri"/>
                <w:noProof/>
                <w:sz w:val="20"/>
                <w:szCs w:val="20"/>
              </w:rPr>
            </w:pPr>
            <w:r w:rsidRPr="00D91062">
              <w:rPr>
                <w:noProof/>
                <w:sz w:val="20"/>
              </w:rPr>
              <w:t>NU</w:t>
            </w:r>
          </w:p>
        </w:tc>
        <w:tc>
          <w:tcPr>
            <w:tcW w:w="966" w:type="dxa"/>
            <w:vAlign w:val="center"/>
          </w:tcPr>
          <w:p w14:paraId="3863F095" w14:textId="77777777" w:rsidR="00D664CB" w:rsidRPr="00D91062" w:rsidRDefault="00D664CB" w:rsidP="00D664CB">
            <w:pPr>
              <w:jc w:val="center"/>
              <w:rPr>
                <w:rFonts w:eastAsia="Calibri"/>
                <w:noProof/>
                <w:sz w:val="20"/>
                <w:szCs w:val="20"/>
              </w:rPr>
            </w:pPr>
            <w:r w:rsidRPr="00D91062">
              <w:rPr>
                <w:noProof/>
                <w:sz w:val="20"/>
              </w:rPr>
              <w:t>NU</w:t>
            </w:r>
          </w:p>
        </w:tc>
        <w:tc>
          <w:tcPr>
            <w:tcW w:w="1463" w:type="dxa"/>
            <w:vAlign w:val="center"/>
          </w:tcPr>
          <w:p w14:paraId="6D115D5E" w14:textId="77777777" w:rsidR="00D664CB" w:rsidRPr="00D91062" w:rsidRDefault="00D664CB" w:rsidP="00D664CB">
            <w:pPr>
              <w:jc w:val="center"/>
              <w:rPr>
                <w:rFonts w:eastAsia="Calibri"/>
                <w:noProof/>
                <w:sz w:val="20"/>
                <w:szCs w:val="20"/>
              </w:rPr>
            </w:pPr>
            <w:r w:rsidRPr="00D91062">
              <w:rPr>
                <w:noProof/>
                <w:sz w:val="20"/>
              </w:rPr>
              <w:t>NU</w:t>
            </w:r>
          </w:p>
        </w:tc>
      </w:tr>
      <w:tr w:rsidR="00D664CB" w:rsidRPr="00D91062" w14:paraId="12368763" w14:textId="77777777" w:rsidTr="00C617FD">
        <w:trPr>
          <w:jc w:val="center"/>
        </w:trPr>
        <w:tc>
          <w:tcPr>
            <w:tcW w:w="1794" w:type="dxa"/>
            <w:vAlign w:val="center"/>
          </w:tcPr>
          <w:p w14:paraId="4CAC1D9E" w14:textId="77777777" w:rsidR="00D664CB" w:rsidRPr="00D91062" w:rsidRDefault="00D664CB" w:rsidP="00D664CB">
            <w:pPr>
              <w:jc w:val="center"/>
              <w:rPr>
                <w:rFonts w:eastAsia="Calibri"/>
                <w:noProof/>
                <w:color w:val="0000FF"/>
              </w:rPr>
            </w:pPr>
          </w:p>
        </w:tc>
        <w:tc>
          <w:tcPr>
            <w:tcW w:w="3118" w:type="dxa"/>
            <w:vAlign w:val="center"/>
          </w:tcPr>
          <w:p w14:paraId="01F90F91" w14:textId="77777777" w:rsidR="00D664CB" w:rsidRPr="00D91062" w:rsidRDefault="00D664CB" w:rsidP="00D664CB">
            <w:pPr>
              <w:spacing w:before="60"/>
              <w:rPr>
                <w:rFonts w:eastAsia="Calibri"/>
                <w:noProof/>
              </w:rPr>
            </w:pPr>
            <w:r w:rsidRPr="00D91062">
              <w:rPr>
                <w:noProof/>
                <w:sz w:val="22"/>
              </w:rPr>
              <w:t>Comunicație electronică (prérogative) X.YY.YY.YY]</w:t>
            </w:r>
          </w:p>
          <w:p w14:paraId="4AD6E6FF" w14:textId="77777777" w:rsidR="00D664CB" w:rsidRPr="00D91062" w:rsidRDefault="00D664CB" w:rsidP="00D664CB">
            <w:pPr>
              <w:spacing w:after="60"/>
              <w:rPr>
                <w:rFonts w:eastAsia="Calibri"/>
                <w:noProof/>
              </w:rPr>
            </w:pPr>
          </w:p>
        </w:tc>
        <w:tc>
          <w:tcPr>
            <w:tcW w:w="1274" w:type="dxa"/>
            <w:vAlign w:val="center"/>
          </w:tcPr>
          <w:p w14:paraId="31689CC2" w14:textId="77777777" w:rsidR="00D664CB" w:rsidRPr="00D91062" w:rsidRDefault="00D664CB" w:rsidP="00D664CB">
            <w:pPr>
              <w:jc w:val="center"/>
              <w:rPr>
                <w:rFonts w:eastAsia="Calibri"/>
                <w:noProof/>
                <w:color w:val="0000FF"/>
              </w:rPr>
            </w:pPr>
            <w:r w:rsidRPr="00D91062">
              <w:rPr>
                <w:noProof/>
                <w:sz w:val="22"/>
              </w:rPr>
              <w:t>Dif./Nedif.</w:t>
            </w:r>
          </w:p>
        </w:tc>
        <w:tc>
          <w:tcPr>
            <w:tcW w:w="966" w:type="dxa"/>
            <w:vAlign w:val="center"/>
          </w:tcPr>
          <w:p w14:paraId="155279F9" w14:textId="77777777" w:rsidR="00D664CB" w:rsidRPr="00D91062" w:rsidRDefault="00D664CB" w:rsidP="00D664CB">
            <w:pPr>
              <w:jc w:val="center"/>
              <w:rPr>
                <w:rFonts w:eastAsia="Calibri"/>
                <w:noProof/>
                <w:sz w:val="20"/>
                <w:szCs w:val="20"/>
              </w:rPr>
            </w:pPr>
            <w:r w:rsidRPr="00D91062">
              <w:rPr>
                <w:noProof/>
                <w:sz w:val="20"/>
              </w:rPr>
              <w:t>DA</w:t>
            </w:r>
          </w:p>
        </w:tc>
        <w:tc>
          <w:tcPr>
            <w:tcW w:w="1092" w:type="dxa"/>
            <w:vAlign w:val="center"/>
          </w:tcPr>
          <w:p w14:paraId="181E017A" w14:textId="77777777" w:rsidR="00D664CB" w:rsidRPr="00D91062" w:rsidRDefault="00D664CB" w:rsidP="00D664CB">
            <w:pPr>
              <w:jc w:val="center"/>
              <w:rPr>
                <w:rFonts w:eastAsia="Calibri"/>
                <w:noProof/>
                <w:sz w:val="20"/>
                <w:szCs w:val="20"/>
              </w:rPr>
            </w:pPr>
            <w:r w:rsidRPr="00D91062">
              <w:rPr>
                <w:noProof/>
                <w:sz w:val="20"/>
              </w:rPr>
              <w:t>NU</w:t>
            </w:r>
          </w:p>
        </w:tc>
        <w:tc>
          <w:tcPr>
            <w:tcW w:w="966" w:type="dxa"/>
            <w:vAlign w:val="center"/>
          </w:tcPr>
          <w:p w14:paraId="522B6BC1" w14:textId="77777777" w:rsidR="00D664CB" w:rsidRPr="00D91062" w:rsidRDefault="00D664CB" w:rsidP="00D664CB">
            <w:pPr>
              <w:jc w:val="center"/>
              <w:rPr>
                <w:rFonts w:eastAsia="Calibri"/>
                <w:noProof/>
                <w:sz w:val="20"/>
                <w:szCs w:val="20"/>
              </w:rPr>
            </w:pPr>
            <w:r w:rsidRPr="00D91062">
              <w:rPr>
                <w:noProof/>
                <w:sz w:val="20"/>
              </w:rPr>
              <w:t>NU</w:t>
            </w:r>
          </w:p>
        </w:tc>
        <w:tc>
          <w:tcPr>
            <w:tcW w:w="1463" w:type="dxa"/>
            <w:vAlign w:val="center"/>
          </w:tcPr>
          <w:p w14:paraId="66D19B0F" w14:textId="77777777" w:rsidR="00D664CB" w:rsidRPr="00D91062" w:rsidRDefault="00D664CB" w:rsidP="00D664CB">
            <w:pPr>
              <w:jc w:val="center"/>
              <w:rPr>
                <w:rFonts w:eastAsia="Calibri"/>
                <w:noProof/>
                <w:sz w:val="20"/>
                <w:szCs w:val="20"/>
              </w:rPr>
            </w:pPr>
            <w:r w:rsidRPr="00D91062">
              <w:rPr>
                <w:noProof/>
                <w:sz w:val="20"/>
              </w:rPr>
              <w:t>NU</w:t>
            </w:r>
          </w:p>
        </w:tc>
      </w:tr>
    </w:tbl>
    <w:p w14:paraId="50F49AE2" w14:textId="77777777" w:rsidR="00D664CB" w:rsidRPr="00D91062" w:rsidRDefault="00D664CB" w:rsidP="00D664CB">
      <w:pPr>
        <w:rPr>
          <w:noProof/>
        </w:rPr>
        <w:sectPr w:rsidR="00D664CB" w:rsidRPr="00D91062" w:rsidSect="00A8433C">
          <w:pgSz w:w="11907" w:h="16840" w:code="1"/>
          <w:pgMar w:top="1134" w:right="1418" w:bottom="1134" w:left="1418" w:header="709" w:footer="709" w:gutter="0"/>
          <w:cols w:space="708"/>
          <w:docGrid w:linePitch="360"/>
        </w:sectPr>
      </w:pPr>
    </w:p>
    <w:p w14:paraId="52E6B99A" w14:textId="77777777" w:rsidR="00D664CB" w:rsidRPr="00D91062" w:rsidRDefault="00D664CB" w:rsidP="007A5721">
      <w:pPr>
        <w:pStyle w:val="ManualHeading2"/>
        <w:rPr>
          <w:bCs/>
          <w:noProof/>
          <w:szCs w:val="24"/>
        </w:rPr>
      </w:pPr>
      <w:r w:rsidRPr="00D91062">
        <w:rPr>
          <w:noProof/>
        </w:rPr>
        <w:t>3.2.</w:t>
      </w:r>
      <w:r w:rsidRPr="00D91062">
        <w:rPr>
          <w:noProof/>
        </w:rPr>
        <w:tab/>
        <w:t>Impactul financiar estimat al propunerii asupra creditelor</w:t>
      </w:r>
    </w:p>
    <w:p w14:paraId="786B1931" w14:textId="77777777" w:rsidR="00D664CB" w:rsidRPr="00D91062" w:rsidRDefault="00D664CB" w:rsidP="007A5721">
      <w:pPr>
        <w:pStyle w:val="ManualHeading3"/>
        <w:rPr>
          <w:noProof/>
        </w:rPr>
      </w:pPr>
      <w:r w:rsidRPr="00D91062">
        <w:rPr>
          <w:noProof/>
        </w:rPr>
        <w:t>3.2.1.</w:t>
      </w:r>
      <w:r w:rsidRPr="00D91062">
        <w:rPr>
          <w:noProof/>
        </w:rPr>
        <w:tab/>
        <w:t>Sinteza impactului estimat asupra creditelor operaționale</w:t>
      </w:r>
    </w:p>
    <w:p w14:paraId="3FB25B3F" w14:textId="77777777" w:rsidR="00D664CB" w:rsidRPr="00D91062" w:rsidRDefault="00D664CB" w:rsidP="007A5721">
      <w:pPr>
        <w:pStyle w:val="ListDash1"/>
        <w:rPr>
          <w:noProof/>
        </w:rPr>
      </w:pPr>
      <w:r w:rsidRPr="00D91062">
        <w:rPr>
          <w:rFonts w:ascii="Wingdings" w:hAnsi="Wingdings"/>
          <w:noProof/>
        </w:rPr>
        <w:t></w:t>
      </w:r>
      <w:r w:rsidRPr="00D91062">
        <w:rPr>
          <w:noProof/>
        </w:rPr>
        <w:t xml:space="preserve"> Propunerea/inițiativa nu implică utilizarea de credite operaționale</w:t>
      </w:r>
    </w:p>
    <w:p w14:paraId="38634FD6" w14:textId="77777777" w:rsidR="00D664CB" w:rsidRPr="00D91062" w:rsidRDefault="00D664CB" w:rsidP="007A5721">
      <w:pPr>
        <w:pStyle w:val="ListDash1"/>
        <w:rPr>
          <w:noProof/>
        </w:rPr>
      </w:pPr>
      <w:r w:rsidRPr="00D91062">
        <w:rPr>
          <w:rFonts w:ascii="Wingdings" w:hAnsi="Wingdings"/>
          <w:noProof/>
        </w:rPr>
        <w:t></w:t>
      </w:r>
      <w:r w:rsidRPr="00D91062">
        <w:rPr>
          <w:noProof/>
        </w:rPr>
        <w:t xml:space="preserve"> Propunerea/inițiativa implică utilizarea de credite operaționale, conform explicațiilor de mai jos</w:t>
      </w:r>
    </w:p>
    <w:p w14:paraId="54FA9750" w14:textId="77777777" w:rsidR="00D664CB" w:rsidRPr="00D91062" w:rsidRDefault="00D664CB" w:rsidP="007A5721">
      <w:pPr>
        <w:pStyle w:val="ManualHeading3"/>
        <w:rPr>
          <w:noProof/>
        </w:rPr>
      </w:pPr>
      <w:r w:rsidRPr="00D91062">
        <w:rPr>
          <w:noProof/>
        </w:rPr>
        <w:t>3.2.1.1.</w:t>
      </w:r>
      <w:r w:rsidRPr="00D91062">
        <w:rPr>
          <w:noProof/>
        </w:rPr>
        <w:tab/>
        <w:t>Credite din bugetul votat</w:t>
      </w:r>
    </w:p>
    <w:p w14:paraId="2C8BB859" w14:textId="77777777" w:rsidR="00D664CB" w:rsidRPr="00D91062" w:rsidRDefault="00D664CB" w:rsidP="00D664CB">
      <w:pPr>
        <w:jc w:val="right"/>
        <w:rPr>
          <w:noProof/>
          <w:sz w:val="18"/>
          <w:szCs w:val="18"/>
        </w:rPr>
      </w:pPr>
      <w:r w:rsidRPr="00D91062">
        <w:rPr>
          <w:noProof/>
          <w:sz w:val="18"/>
        </w:rPr>
        <w:t>milioane EUR (cu trei zecimale)</w:t>
      </w:r>
    </w:p>
    <w:tbl>
      <w:tblPr>
        <w:tblW w:w="48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231"/>
        <w:gridCol w:w="796"/>
        <w:gridCol w:w="489"/>
        <w:gridCol w:w="609"/>
        <w:gridCol w:w="504"/>
        <w:gridCol w:w="702"/>
        <w:gridCol w:w="1212"/>
        <w:gridCol w:w="1213"/>
        <w:gridCol w:w="1213"/>
        <w:gridCol w:w="1213"/>
        <w:gridCol w:w="1213"/>
        <w:gridCol w:w="917"/>
      </w:tblGrid>
      <w:tr w:rsidR="00D664CB" w:rsidRPr="00D91062" w14:paraId="455CD705" w14:textId="77777777" w:rsidTr="00A2361B">
        <w:tc>
          <w:tcPr>
            <w:tcW w:w="1803" w:type="pct"/>
            <w:gridSpan w:val="4"/>
            <w:vAlign w:val="center"/>
          </w:tcPr>
          <w:p w14:paraId="072BF179" w14:textId="77777777" w:rsidR="00D664CB" w:rsidRPr="00D91062" w:rsidRDefault="00D664CB" w:rsidP="00D664CB">
            <w:pPr>
              <w:spacing w:before="60" w:after="60"/>
              <w:jc w:val="center"/>
              <w:rPr>
                <w:b/>
                <w:noProof/>
              </w:rPr>
            </w:pPr>
            <w:r w:rsidRPr="00D91062">
              <w:rPr>
                <w:b/>
                <w:noProof/>
                <w:sz w:val="22"/>
              </w:rPr>
              <w:t xml:space="preserve">Rubrica din cadrul financiar multianual </w:t>
            </w:r>
          </w:p>
        </w:tc>
        <w:tc>
          <w:tcPr>
            <w:tcW w:w="410" w:type="pct"/>
            <w:gridSpan w:val="2"/>
            <w:vAlign w:val="center"/>
          </w:tcPr>
          <w:p w14:paraId="3BDB58D8" w14:textId="77777777" w:rsidR="00D664CB" w:rsidRPr="00D91062" w:rsidRDefault="00D664CB" w:rsidP="00D664CB">
            <w:pPr>
              <w:spacing w:before="60" w:after="60"/>
              <w:jc w:val="center"/>
              <w:rPr>
                <w:noProof/>
              </w:rPr>
            </w:pPr>
            <w:r w:rsidRPr="00D91062">
              <w:rPr>
                <w:noProof/>
                <w:sz w:val="22"/>
              </w:rPr>
              <w:t>Numărul</w:t>
            </w:r>
          </w:p>
        </w:tc>
        <w:tc>
          <w:tcPr>
            <w:tcW w:w="2786" w:type="pct"/>
            <w:gridSpan w:val="7"/>
            <w:vAlign w:val="center"/>
          </w:tcPr>
          <w:p w14:paraId="68EC1E8C" w14:textId="77777777" w:rsidR="00D664CB" w:rsidRPr="00D91062" w:rsidRDefault="00D664CB" w:rsidP="00D664CB">
            <w:pPr>
              <w:spacing w:before="60" w:after="60"/>
              <w:rPr>
                <w:noProof/>
              </w:rPr>
            </w:pPr>
          </w:p>
        </w:tc>
      </w:tr>
      <w:tr w:rsidR="00D664CB" w:rsidRPr="00D91062" w14:paraId="09499AC9" w14:textId="77777777" w:rsidTr="00A236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0"/>
        </w:trPr>
        <w:tc>
          <w:tcPr>
            <w:tcW w:w="1621" w:type="pct"/>
            <w:gridSpan w:val="3"/>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15B1C5D1" w14:textId="77777777" w:rsidR="00D664CB" w:rsidRPr="00D91062" w:rsidRDefault="00D664CB" w:rsidP="00D664CB">
            <w:pPr>
              <w:spacing w:before="0" w:after="0"/>
              <w:jc w:val="center"/>
              <w:rPr>
                <w:noProof/>
                <w:color w:val="000000"/>
                <w:sz w:val="22"/>
              </w:rPr>
            </w:pPr>
            <w:r w:rsidRPr="00D91062">
              <w:rPr>
                <w:noProof/>
                <w:color w:val="000000"/>
                <w:sz w:val="22"/>
              </w:rPr>
              <w:t>DG: CNECT</w:t>
            </w:r>
          </w:p>
        </w:tc>
        <w:tc>
          <w:tcPr>
            <w:tcW w:w="406" w:type="pct"/>
            <w:gridSpan w:val="2"/>
            <w:tcBorders>
              <w:top w:val="single" w:sz="8" w:space="0" w:color="auto"/>
              <w:left w:val="nil"/>
              <w:bottom w:val="single" w:sz="8" w:space="0" w:color="auto"/>
              <w:right w:val="single" w:sz="8" w:space="0" w:color="auto"/>
            </w:tcBorders>
            <w:vAlign w:val="center"/>
            <w:hideMark/>
          </w:tcPr>
          <w:p w14:paraId="5FFEA516" w14:textId="77777777" w:rsidR="00D664CB" w:rsidRPr="00D91062" w:rsidRDefault="00D664CB" w:rsidP="00D664CB">
            <w:pPr>
              <w:spacing w:before="0" w:after="0"/>
              <w:jc w:val="center"/>
              <w:rPr>
                <w:noProof/>
                <w:color w:val="000000"/>
                <w:sz w:val="20"/>
              </w:rPr>
            </w:pPr>
            <w:r w:rsidRPr="00D91062">
              <w:rPr>
                <w:noProof/>
                <w:color w:val="000000"/>
                <w:sz w:val="20"/>
              </w:rPr>
              <w:t>Anul</w:t>
            </w:r>
          </w:p>
        </w:tc>
        <w:tc>
          <w:tcPr>
            <w:tcW w:w="444" w:type="pct"/>
            <w:gridSpan w:val="2"/>
            <w:tcBorders>
              <w:top w:val="single" w:sz="8" w:space="0" w:color="auto"/>
              <w:left w:val="nil"/>
              <w:bottom w:val="single" w:sz="8" w:space="0" w:color="auto"/>
              <w:right w:val="single" w:sz="8" w:space="0" w:color="auto"/>
            </w:tcBorders>
            <w:vAlign w:val="center"/>
            <w:hideMark/>
          </w:tcPr>
          <w:p w14:paraId="471025BE" w14:textId="77777777" w:rsidR="00D664CB" w:rsidRPr="00D91062" w:rsidRDefault="00D664CB" w:rsidP="00D664CB">
            <w:pPr>
              <w:spacing w:before="0" w:after="0"/>
              <w:jc w:val="center"/>
              <w:rPr>
                <w:noProof/>
                <w:color w:val="000000"/>
                <w:sz w:val="20"/>
              </w:rPr>
            </w:pPr>
            <w:r w:rsidRPr="00D91062">
              <w:rPr>
                <w:noProof/>
                <w:color w:val="000000"/>
                <w:sz w:val="20"/>
              </w:rPr>
              <w:t>Anul</w:t>
            </w:r>
          </w:p>
        </w:tc>
        <w:tc>
          <w:tcPr>
            <w:tcW w:w="444" w:type="pct"/>
            <w:tcBorders>
              <w:top w:val="single" w:sz="8" w:space="0" w:color="auto"/>
              <w:left w:val="nil"/>
              <w:bottom w:val="single" w:sz="8" w:space="0" w:color="auto"/>
              <w:right w:val="single" w:sz="8" w:space="0" w:color="auto"/>
            </w:tcBorders>
            <w:vAlign w:val="center"/>
            <w:hideMark/>
          </w:tcPr>
          <w:p w14:paraId="5184C150" w14:textId="77777777" w:rsidR="00D664CB" w:rsidRPr="00D91062" w:rsidRDefault="00D664CB" w:rsidP="00D664CB">
            <w:pPr>
              <w:spacing w:before="0" w:after="0"/>
              <w:jc w:val="center"/>
              <w:rPr>
                <w:noProof/>
                <w:color w:val="000000"/>
                <w:sz w:val="20"/>
              </w:rPr>
            </w:pPr>
            <w:r w:rsidRPr="00D91062">
              <w:rPr>
                <w:noProof/>
                <w:color w:val="000000"/>
                <w:sz w:val="20"/>
              </w:rPr>
              <w:t>Anul</w:t>
            </w:r>
          </w:p>
        </w:tc>
        <w:tc>
          <w:tcPr>
            <w:tcW w:w="444" w:type="pct"/>
            <w:tcBorders>
              <w:top w:val="single" w:sz="8" w:space="0" w:color="auto"/>
              <w:left w:val="nil"/>
              <w:bottom w:val="single" w:sz="8" w:space="0" w:color="auto"/>
              <w:right w:val="single" w:sz="8" w:space="0" w:color="auto"/>
            </w:tcBorders>
            <w:vAlign w:val="center"/>
            <w:hideMark/>
          </w:tcPr>
          <w:p w14:paraId="6CF90B5A" w14:textId="77777777" w:rsidR="00D664CB" w:rsidRPr="00D91062" w:rsidRDefault="00D664CB" w:rsidP="00D664CB">
            <w:pPr>
              <w:spacing w:before="0" w:after="0"/>
              <w:jc w:val="center"/>
              <w:rPr>
                <w:noProof/>
                <w:color w:val="000000"/>
                <w:sz w:val="20"/>
              </w:rPr>
            </w:pPr>
            <w:r w:rsidRPr="00D91062">
              <w:rPr>
                <w:noProof/>
                <w:color w:val="000000"/>
                <w:sz w:val="20"/>
              </w:rPr>
              <w:t>Anul</w:t>
            </w:r>
          </w:p>
        </w:tc>
        <w:tc>
          <w:tcPr>
            <w:tcW w:w="444" w:type="pct"/>
            <w:tcBorders>
              <w:top w:val="single" w:sz="8" w:space="0" w:color="auto"/>
              <w:left w:val="nil"/>
              <w:bottom w:val="single" w:sz="8" w:space="0" w:color="auto"/>
              <w:right w:val="single" w:sz="8" w:space="0" w:color="auto"/>
            </w:tcBorders>
            <w:vAlign w:val="center"/>
            <w:hideMark/>
          </w:tcPr>
          <w:p w14:paraId="29356E1D" w14:textId="77777777" w:rsidR="00D664CB" w:rsidRPr="00D91062" w:rsidRDefault="00D664CB" w:rsidP="00D664CB">
            <w:pPr>
              <w:spacing w:before="0" w:after="0"/>
              <w:jc w:val="center"/>
              <w:rPr>
                <w:noProof/>
                <w:color w:val="000000"/>
                <w:sz w:val="20"/>
              </w:rPr>
            </w:pPr>
            <w:r w:rsidRPr="00D91062">
              <w:rPr>
                <w:noProof/>
                <w:color w:val="000000"/>
                <w:sz w:val="20"/>
              </w:rPr>
              <w:t>Anul</w:t>
            </w:r>
          </w:p>
        </w:tc>
        <w:tc>
          <w:tcPr>
            <w:tcW w:w="444" w:type="pct"/>
            <w:tcBorders>
              <w:top w:val="single" w:sz="8" w:space="0" w:color="auto"/>
              <w:left w:val="nil"/>
              <w:bottom w:val="single" w:sz="8" w:space="0" w:color="auto"/>
              <w:right w:val="single" w:sz="8" w:space="0" w:color="auto"/>
            </w:tcBorders>
            <w:vAlign w:val="center"/>
            <w:hideMark/>
          </w:tcPr>
          <w:p w14:paraId="01CE101A" w14:textId="77777777" w:rsidR="00D664CB" w:rsidRPr="00D91062" w:rsidRDefault="00D664CB" w:rsidP="00D664CB">
            <w:pPr>
              <w:spacing w:before="0" w:after="0"/>
              <w:jc w:val="center"/>
              <w:rPr>
                <w:noProof/>
                <w:color w:val="000000"/>
                <w:sz w:val="20"/>
              </w:rPr>
            </w:pPr>
            <w:r w:rsidRPr="00D91062">
              <w:rPr>
                <w:noProof/>
                <w:color w:val="000000"/>
                <w:sz w:val="20"/>
              </w:rPr>
              <w:t>Anul</w:t>
            </w:r>
          </w:p>
        </w:tc>
        <w:tc>
          <w:tcPr>
            <w:tcW w:w="444" w:type="pct"/>
            <w:tcBorders>
              <w:top w:val="single" w:sz="8" w:space="0" w:color="auto"/>
              <w:left w:val="nil"/>
              <w:bottom w:val="single" w:sz="8" w:space="0" w:color="auto"/>
              <w:right w:val="single" w:sz="8" w:space="0" w:color="auto"/>
            </w:tcBorders>
            <w:vAlign w:val="center"/>
            <w:hideMark/>
          </w:tcPr>
          <w:p w14:paraId="594C6672" w14:textId="77777777" w:rsidR="00D664CB" w:rsidRPr="00D91062" w:rsidRDefault="00D664CB" w:rsidP="00D664CB">
            <w:pPr>
              <w:spacing w:before="0" w:after="0"/>
              <w:jc w:val="center"/>
              <w:rPr>
                <w:noProof/>
                <w:color w:val="000000"/>
                <w:sz w:val="20"/>
              </w:rPr>
            </w:pPr>
            <w:r w:rsidRPr="00D91062">
              <w:rPr>
                <w:noProof/>
                <w:color w:val="000000"/>
                <w:sz w:val="20"/>
              </w:rPr>
              <w:t>Anul</w:t>
            </w:r>
          </w:p>
        </w:tc>
        <w:tc>
          <w:tcPr>
            <w:tcW w:w="311"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63031BAD" w14:textId="77777777" w:rsidR="00D664CB" w:rsidRPr="00D91062" w:rsidRDefault="00D664CB" w:rsidP="00D664CB">
            <w:pPr>
              <w:spacing w:before="0" w:after="0"/>
              <w:jc w:val="center"/>
              <w:rPr>
                <w:b/>
                <w:noProof/>
                <w:color w:val="000000"/>
                <w:sz w:val="20"/>
              </w:rPr>
            </w:pPr>
            <w:r w:rsidRPr="00D91062">
              <w:rPr>
                <w:b/>
                <w:noProof/>
                <w:color w:val="000000"/>
                <w:sz w:val="20"/>
              </w:rPr>
              <w:t>TOTAL CFM 2028-2034</w:t>
            </w:r>
          </w:p>
        </w:tc>
      </w:tr>
      <w:tr w:rsidR="00D664CB" w:rsidRPr="00D91062" w14:paraId="11EDAACD" w14:textId="77777777" w:rsidTr="00A236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1621" w:type="pct"/>
            <w:gridSpan w:val="3"/>
            <w:vMerge/>
            <w:vAlign w:val="center"/>
            <w:hideMark/>
          </w:tcPr>
          <w:p w14:paraId="67C3C9D0" w14:textId="77777777" w:rsidR="00D664CB" w:rsidRPr="00D91062" w:rsidRDefault="00D664CB" w:rsidP="00D664CB">
            <w:pPr>
              <w:spacing w:before="0" w:after="0"/>
              <w:jc w:val="left"/>
              <w:rPr>
                <w:noProof/>
                <w:color w:val="000000"/>
                <w:sz w:val="22"/>
              </w:rPr>
            </w:pPr>
          </w:p>
        </w:tc>
        <w:tc>
          <w:tcPr>
            <w:tcW w:w="406" w:type="pct"/>
            <w:gridSpan w:val="2"/>
            <w:tcBorders>
              <w:top w:val="nil"/>
              <w:left w:val="nil"/>
              <w:bottom w:val="single" w:sz="8" w:space="0" w:color="auto"/>
              <w:right w:val="single" w:sz="8" w:space="0" w:color="auto"/>
            </w:tcBorders>
            <w:vAlign w:val="center"/>
            <w:hideMark/>
          </w:tcPr>
          <w:p w14:paraId="5D2224A0" w14:textId="77777777" w:rsidR="00D664CB" w:rsidRPr="00D91062" w:rsidRDefault="00D664CB" w:rsidP="00D664CB">
            <w:pPr>
              <w:spacing w:before="0" w:after="0"/>
              <w:jc w:val="center"/>
              <w:rPr>
                <w:b/>
                <w:noProof/>
                <w:color w:val="000000"/>
                <w:sz w:val="20"/>
              </w:rPr>
            </w:pPr>
            <w:r w:rsidRPr="00D91062">
              <w:rPr>
                <w:b/>
                <w:noProof/>
                <w:color w:val="000000"/>
                <w:sz w:val="20"/>
              </w:rPr>
              <w:t>2028</w:t>
            </w:r>
          </w:p>
        </w:tc>
        <w:tc>
          <w:tcPr>
            <w:tcW w:w="444" w:type="pct"/>
            <w:gridSpan w:val="2"/>
            <w:tcBorders>
              <w:top w:val="nil"/>
              <w:left w:val="nil"/>
              <w:bottom w:val="single" w:sz="8" w:space="0" w:color="auto"/>
              <w:right w:val="single" w:sz="8" w:space="0" w:color="auto"/>
            </w:tcBorders>
            <w:vAlign w:val="center"/>
            <w:hideMark/>
          </w:tcPr>
          <w:p w14:paraId="01E3F5D4" w14:textId="77777777" w:rsidR="00D664CB" w:rsidRPr="00D91062" w:rsidRDefault="00D664CB" w:rsidP="00D664CB">
            <w:pPr>
              <w:spacing w:before="0" w:after="0"/>
              <w:jc w:val="center"/>
              <w:rPr>
                <w:b/>
                <w:noProof/>
                <w:color w:val="000000"/>
                <w:sz w:val="20"/>
              </w:rPr>
            </w:pPr>
            <w:r w:rsidRPr="00D91062">
              <w:rPr>
                <w:b/>
                <w:noProof/>
                <w:color w:val="000000"/>
                <w:sz w:val="20"/>
              </w:rPr>
              <w:t>2029</w:t>
            </w:r>
          </w:p>
        </w:tc>
        <w:tc>
          <w:tcPr>
            <w:tcW w:w="444" w:type="pct"/>
            <w:tcBorders>
              <w:top w:val="nil"/>
              <w:left w:val="nil"/>
              <w:bottom w:val="single" w:sz="8" w:space="0" w:color="auto"/>
              <w:right w:val="single" w:sz="8" w:space="0" w:color="auto"/>
            </w:tcBorders>
            <w:vAlign w:val="center"/>
            <w:hideMark/>
          </w:tcPr>
          <w:p w14:paraId="215A887B" w14:textId="77777777" w:rsidR="00D664CB" w:rsidRPr="00D91062" w:rsidRDefault="00D664CB" w:rsidP="00D664CB">
            <w:pPr>
              <w:spacing w:before="0" w:after="0"/>
              <w:jc w:val="center"/>
              <w:rPr>
                <w:b/>
                <w:noProof/>
                <w:color w:val="000000"/>
                <w:sz w:val="20"/>
              </w:rPr>
            </w:pPr>
            <w:r w:rsidRPr="00D91062">
              <w:rPr>
                <w:b/>
                <w:noProof/>
                <w:color w:val="000000"/>
                <w:sz w:val="20"/>
              </w:rPr>
              <w:t>2030</w:t>
            </w:r>
          </w:p>
        </w:tc>
        <w:tc>
          <w:tcPr>
            <w:tcW w:w="444" w:type="pct"/>
            <w:tcBorders>
              <w:top w:val="nil"/>
              <w:left w:val="nil"/>
              <w:bottom w:val="single" w:sz="8" w:space="0" w:color="auto"/>
              <w:right w:val="single" w:sz="8" w:space="0" w:color="auto"/>
            </w:tcBorders>
            <w:vAlign w:val="center"/>
            <w:hideMark/>
          </w:tcPr>
          <w:p w14:paraId="29328E96" w14:textId="77777777" w:rsidR="00D664CB" w:rsidRPr="00D91062" w:rsidRDefault="00D664CB" w:rsidP="00D664CB">
            <w:pPr>
              <w:spacing w:before="0" w:after="0"/>
              <w:jc w:val="center"/>
              <w:rPr>
                <w:b/>
                <w:noProof/>
                <w:color w:val="000000"/>
                <w:sz w:val="20"/>
              </w:rPr>
            </w:pPr>
            <w:r w:rsidRPr="00D91062">
              <w:rPr>
                <w:b/>
                <w:noProof/>
                <w:color w:val="000000"/>
                <w:sz w:val="20"/>
              </w:rPr>
              <w:t>2031</w:t>
            </w:r>
          </w:p>
        </w:tc>
        <w:tc>
          <w:tcPr>
            <w:tcW w:w="444" w:type="pct"/>
            <w:tcBorders>
              <w:top w:val="nil"/>
              <w:left w:val="nil"/>
              <w:bottom w:val="single" w:sz="8" w:space="0" w:color="auto"/>
              <w:right w:val="single" w:sz="8" w:space="0" w:color="auto"/>
            </w:tcBorders>
            <w:vAlign w:val="center"/>
            <w:hideMark/>
          </w:tcPr>
          <w:p w14:paraId="1394C7F1" w14:textId="77777777" w:rsidR="00D664CB" w:rsidRPr="00D91062" w:rsidRDefault="00D664CB" w:rsidP="00D664CB">
            <w:pPr>
              <w:spacing w:before="0" w:after="0"/>
              <w:jc w:val="center"/>
              <w:rPr>
                <w:b/>
                <w:noProof/>
                <w:color w:val="000000"/>
                <w:sz w:val="20"/>
              </w:rPr>
            </w:pPr>
            <w:r w:rsidRPr="00D91062">
              <w:rPr>
                <w:b/>
                <w:noProof/>
                <w:color w:val="000000"/>
                <w:sz w:val="20"/>
              </w:rPr>
              <w:t>2032</w:t>
            </w:r>
          </w:p>
        </w:tc>
        <w:tc>
          <w:tcPr>
            <w:tcW w:w="444" w:type="pct"/>
            <w:tcBorders>
              <w:top w:val="nil"/>
              <w:left w:val="nil"/>
              <w:bottom w:val="single" w:sz="8" w:space="0" w:color="auto"/>
              <w:right w:val="single" w:sz="8" w:space="0" w:color="auto"/>
            </w:tcBorders>
            <w:vAlign w:val="center"/>
            <w:hideMark/>
          </w:tcPr>
          <w:p w14:paraId="4DC72BE9" w14:textId="77777777" w:rsidR="00D664CB" w:rsidRPr="00D91062" w:rsidRDefault="00D664CB" w:rsidP="00D664CB">
            <w:pPr>
              <w:spacing w:before="0" w:after="0"/>
              <w:jc w:val="center"/>
              <w:rPr>
                <w:b/>
                <w:noProof/>
                <w:color w:val="000000"/>
                <w:sz w:val="20"/>
              </w:rPr>
            </w:pPr>
            <w:r w:rsidRPr="00D91062">
              <w:rPr>
                <w:b/>
                <w:noProof/>
                <w:color w:val="000000"/>
                <w:sz w:val="20"/>
              </w:rPr>
              <w:t>2033</w:t>
            </w:r>
          </w:p>
        </w:tc>
        <w:tc>
          <w:tcPr>
            <w:tcW w:w="444" w:type="pct"/>
            <w:tcBorders>
              <w:top w:val="nil"/>
              <w:left w:val="nil"/>
              <w:bottom w:val="single" w:sz="8" w:space="0" w:color="auto"/>
              <w:right w:val="single" w:sz="8" w:space="0" w:color="auto"/>
            </w:tcBorders>
            <w:vAlign w:val="center"/>
            <w:hideMark/>
          </w:tcPr>
          <w:p w14:paraId="6CEC6ECC" w14:textId="77777777" w:rsidR="00D664CB" w:rsidRPr="00D91062" w:rsidRDefault="00D664CB" w:rsidP="00D664CB">
            <w:pPr>
              <w:spacing w:before="0" w:after="0"/>
              <w:jc w:val="center"/>
              <w:rPr>
                <w:b/>
                <w:noProof/>
                <w:color w:val="000000"/>
                <w:sz w:val="20"/>
              </w:rPr>
            </w:pPr>
            <w:r w:rsidRPr="00D91062">
              <w:rPr>
                <w:b/>
                <w:noProof/>
                <w:color w:val="000000"/>
                <w:sz w:val="20"/>
              </w:rPr>
              <w:t>2034</w:t>
            </w:r>
          </w:p>
        </w:tc>
        <w:tc>
          <w:tcPr>
            <w:tcW w:w="311" w:type="pct"/>
            <w:vMerge/>
            <w:vAlign w:val="center"/>
            <w:hideMark/>
          </w:tcPr>
          <w:p w14:paraId="45636A31" w14:textId="77777777" w:rsidR="00D664CB" w:rsidRPr="00D91062" w:rsidRDefault="00D664CB" w:rsidP="00D664CB">
            <w:pPr>
              <w:spacing w:before="0" w:after="0"/>
              <w:jc w:val="left"/>
              <w:rPr>
                <w:b/>
                <w:noProof/>
                <w:color w:val="000000"/>
                <w:sz w:val="20"/>
              </w:rPr>
            </w:pPr>
          </w:p>
        </w:tc>
      </w:tr>
      <w:tr w:rsidR="00D664CB" w:rsidRPr="00D91062" w14:paraId="4DFDDD8A" w14:textId="77777777" w:rsidTr="00A236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5000" w:type="pct"/>
            <w:gridSpan w:val="13"/>
            <w:tcBorders>
              <w:top w:val="single" w:sz="8" w:space="0" w:color="auto"/>
              <w:left w:val="single" w:sz="8" w:space="0" w:color="auto"/>
              <w:bottom w:val="single" w:sz="8" w:space="0" w:color="auto"/>
              <w:right w:val="single" w:sz="8" w:space="0" w:color="000000" w:themeColor="text1"/>
            </w:tcBorders>
            <w:vAlign w:val="center"/>
            <w:hideMark/>
          </w:tcPr>
          <w:p w14:paraId="65BE3B82" w14:textId="77777777" w:rsidR="00D664CB" w:rsidRPr="00D91062" w:rsidRDefault="00D664CB" w:rsidP="00D664CB">
            <w:pPr>
              <w:spacing w:before="0" w:after="0"/>
              <w:jc w:val="left"/>
              <w:rPr>
                <w:noProof/>
                <w:color w:val="000000"/>
                <w:sz w:val="21"/>
              </w:rPr>
            </w:pPr>
            <w:r w:rsidRPr="00D91062">
              <w:rPr>
                <w:noProof/>
                <w:color w:val="000000"/>
                <w:sz w:val="21"/>
              </w:rPr>
              <w:t>Credite operaționale</w:t>
            </w:r>
            <w:r w:rsidRPr="00D91062">
              <w:rPr>
                <w:rStyle w:val="FootnoteReference"/>
                <w:noProof/>
              </w:rPr>
              <w:footnoteReference w:id="43"/>
            </w:r>
            <w:r w:rsidRPr="00D91062">
              <w:rPr>
                <w:noProof/>
                <w:color w:val="000000"/>
                <w:sz w:val="21"/>
              </w:rPr>
              <w:t xml:space="preserve"> &lt; eCOMM&gt;</w:t>
            </w:r>
          </w:p>
        </w:tc>
      </w:tr>
      <w:tr w:rsidR="00D664CB" w:rsidRPr="00D91062" w14:paraId="52A94002" w14:textId="77777777" w:rsidTr="00A236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0"/>
        </w:trPr>
        <w:tc>
          <w:tcPr>
            <w:tcW w:w="879" w:type="pct"/>
            <w:vMerge w:val="restart"/>
            <w:tcBorders>
              <w:top w:val="nil"/>
              <w:left w:val="single" w:sz="8" w:space="0" w:color="auto"/>
              <w:bottom w:val="single" w:sz="8" w:space="0" w:color="000000" w:themeColor="text1"/>
              <w:right w:val="single" w:sz="8" w:space="0" w:color="auto"/>
            </w:tcBorders>
            <w:noWrap/>
            <w:vAlign w:val="center"/>
            <w:hideMark/>
          </w:tcPr>
          <w:p w14:paraId="1F28E5E1" w14:textId="77777777" w:rsidR="00D664CB" w:rsidRPr="00D91062" w:rsidRDefault="00D664CB" w:rsidP="00D664CB">
            <w:pPr>
              <w:spacing w:before="0" w:after="0"/>
              <w:jc w:val="left"/>
              <w:rPr>
                <w:noProof/>
                <w:color w:val="000000"/>
                <w:sz w:val="22"/>
              </w:rPr>
            </w:pPr>
            <w:r w:rsidRPr="00D91062">
              <w:rPr>
                <w:noProof/>
                <w:color w:val="000000"/>
                <w:sz w:val="22"/>
              </w:rPr>
              <w:t>Linia bugetară</w:t>
            </w:r>
          </w:p>
        </w:tc>
        <w:tc>
          <w:tcPr>
            <w:tcW w:w="451" w:type="pct"/>
            <w:tcBorders>
              <w:top w:val="nil"/>
              <w:left w:val="nil"/>
              <w:bottom w:val="single" w:sz="8" w:space="0" w:color="auto"/>
              <w:right w:val="single" w:sz="8" w:space="0" w:color="auto"/>
            </w:tcBorders>
            <w:vAlign w:val="center"/>
            <w:hideMark/>
          </w:tcPr>
          <w:p w14:paraId="7F07AE0B" w14:textId="77777777" w:rsidR="00D664CB" w:rsidRPr="00D91062" w:rsidRDefault="00D664CB" w:rsidP="00D664CB">
            <w:pPr>
              <w:spacing w:before="0" w:after="0"/>
              <w:rPr>
                <w:noProof/>
                <w:color w:val="000000"/>
                <w:sz w:val="18"/>
              </w:rPr>
            </w:pPr>
            <w:r w:rsidRPr="00D91062">
              <w:rPr>
                <w:noProof/>
                <w:color w:val="000000"/>
                <w:sz w:val="18"/>
              </w:rPr>
              <w:t>Angajamente</w:t>
            </w:r>
          </w:p>
        </w:tc>
        <w:tc>
          <w:tcPr>
            <w:tcW w:w="291" w:type="pct"/>
            <w:tcBorders>
              <w:top w:val="nil"/>
              <w:left w:val="nil"/>
              <w:bottom w:val="single" w:sz="8" w:space="0" w:color="auto"/>
              <w:right w:val="single" w:sz="8" w:space="0" w:color="auto"/>
            </w:tcBorders>
            <w:vAlign w:val="center"/>
            <w:hideMark/>
          </w:tcPr>
          <w:p w14:paraId="64ACDCDF" w14:textId="77777777" w:rsidR="00D664CB" w:rsidRPr="00D91062" w:rsidRDefault="00D664CB" w:rsidP="00D664CB">
            <w:pPr>
              <w:spacing w:before="0" w:after="0"/>
              <w:jc w:val="center"/>
              <w:rPr>
                <w:noProof/>
                <w:color w:val="000000"/>
                <w:sz w:val="14"/>
              </w:rPr>
            </w:pPr>
            <w:r w:rsidRPr="00D91062">
              <w:rPr>
                <w:noProof/>
                <w:color w:val="000000"/>
                <w:sz w:val="14"/>
              </w:rPr>
              <w:t>(1a)</w:t>
            </w:r>
          </w:p>
        </w:tc>
        <w:tc>
          <w:tcPr>
            <w:tcW w:w="406" w:type="pct"/>
            <w:gridSpan w:val="2"/>
            <w:tcBorders>
              <w:top w:val="nil"/>
              <w:left w:val="nil"/>
              <w:bottom w:val="single" w:sz="8" w:space="0" w:color="auto"/>
              <w:right w:val="single" w:sz="8" w:space="0" w:color="auto"/>
            </w:tcBorders>
            <w:vAlign w:val="center"/>
            <w:hideMark/>
          </w:tcPr>
          <w:p w14:paraId="56A24109" w14:textId="77777777" w:rsidR="00D664CB" w:rsidRPr="00D91062" w:rsidRDefault="00D664CB" w:rsidP="00D664CB">
            <w:pPr>
              <w:spacing w:before="0" w:after="0"/>
              <w:jc w:val="right"/>
              <w:rPr>
                <w:noProof/>
                <w:color w:val="000000"/>
                <w:sz w:val="20"/>
                <w:szCs w:val="20"/>
              </w:rPr>
            </w:pPr>
            <w:r w:rsidRPr="00D91062">
              <w:rPr>
                <w:noProof/>
                <w:color w:val="000000" w:themeColor="text1"/>
                <w:sz w:val="20"/>
              </w:rPr>
              <w:t>0,300</w:t>
            </w:r>
          </w:p>
        </w:tc>
        <w:tc>
          <w:tcPr>
            <w:tcW w:w="444" w:type="pct"/>
            <w:gridSpan w:val="2"/>
            <w:tcBorders>
              <w:top w:val="nil"/>
              <w:left w:val="nil"/>
              <w:bottom w:val="single" w:sz="8" w:space="0" w:color="auto"/>
              <w:right w:val="single" w:sz="8" w:space="0" w:color="auto"/>
            </w:tcBorders>
            <w:vAlign w:val="center"/>
            <w:hideMark/>
          </w:tcPr>
          <w:p w14:paraId="29A5D0EF" w14:textId="77777777" w:rsidR="00D664CB" w:rsidRPr="00D91062"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594D326B" w14:textId="77777777" w:rsidR="00D664CB" w:rsidRPr="00D91062"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01942BA9" w14:textId="77777777" w:rsidR="00D664CB" w:rsidRPr="00D91062"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2C5B9E61" w14:textId="77777777" w:rsidR="00D664CB" w:rsidRPr="00D91062"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51D7BA9E" w14:textId="77777777" w:rsidR="00D664CB" w:rsidRPr="00D91062"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5C1F1A66" w14:textId="77777777" w:rsidR="00D664CB" w:rsidRPr="00D91062" w:rsidRDefault="00D664CB" w:rsidP="00D664CB">
            <w:pPr>
              <w:spacing w:before="0" w:after="0"/>
              <w:jc w:val="right"/>
              <w:rPr>
                <w:noProof/>
                <w:color w:val="000000"/>
                <w:sz w:val="20"/>
              </w:rPr>
            </w:pPr>
          </w:p>
        </w:tc>
        <w:tc>
          <w:tcPr>
            <w:tcW w:w="311" w:type="pct"/>
            <w:tcBorders>
              <w:top w:val="nil"/>
              <w:left w:val="nil"/>
              <w:bottom w:val="single" w:sz="8" w:space="0" w:color="auto"/>
              <w:right w:val="single" w:sz="8" w:space="0" w:color="auto"/>
            </w:tcBorders>
            <w:shd w:val="clear" w:color="auto" w:fill="D9D9D9" w:themeFill="background1" w:themeFillShade="D9"/>
            <w:vAlign w:val="center"/>
            <w:hideMark/>
          </w:tcPr>
          <w:p w14:paraId="304498DE" w14:textId="77777777" w:rsidR="00D664CB" w:rsidRPr="00D91062" w:rsidRDefault="00D664CB" w:rsidP="00D664CB">
            <w:pPr>
              <w:spacing w:before="0" w:after="0"/>
              <w:jc w:val="right"/>
              <w:rPr>
                <w:b/>
                <w:noProof/>
                <w:color w:val="000000"/>
                <w:sz w:val="20"/>
                <w:szCs w:val="20"/>
              </w:rPr>
            </w:pPr>
            <w:r w:rsidRPr="00D91062">
              <w:rPr>
                <w:noProof/>
                <w:color w:val="000000" w:themeColor="text1"/>
                <w:sz w:val="20"/>
              </w:rPr>
              <w:t>0,300 </w:t>
            </w:r>
          </w:p>
        </w:tc>
      </w:tr>
      <w:tr w:rsidR="00D664CB" w:rsidRPr="00D91062" w14:paraId="3B39BD03" w14:textId="77777777" w:rsidTr="00A236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879" w:type="pct"/>
            <w:vMerge/>
            <w:vAlign w:val="center"/>
            <w:hideMark/>
          </w:tcPr>
          <w:p w14:paraId="420971E1" w14:textId="77777777" w:rsidR="00D664CB" w:rsidRPr="00D91062" w:rsidRDefault="00D664CB" w:rsidP="00D664CB">
            <w:pPr>
              <w:spacing w:before="0" w:after="0"/>
              <w:jc w:val="left"/>
              <w:rPr>
                <w:noProof/>
                <w:color w:val="000000"/>
                <w:sz w:val="22"/>
              </w:rPr>
            </w:pPr>
          </w:p>
        </w:tc>
        <w:tc>
          <w:tcPr>
            <w:tcW w:w="451" w:type="pct"/>
            <w:tcBorders>
              <w:top w:val="nil"/>
              <w:left w:val="nil"/>
              <w:bottom w:val="single" w:sz="8" w:space="0" w:color="auto"/>
              <w:right w:val="single" w:sz="8" w:space="0" w:color="auto"/>
            </w:tcBorders>
            <w:vAlign w:val="center"/>
            <w:hideMark/>
          </w:tcPr>
          <w:p w14:paraId="7F62A6D1" w14:textId="77777777" w:rsidR="00D664CB" w:rsidRPr="00D91062" w:rsidRDefault="00D664CB" w:rsidP="00D664CB">
            <w:pPr>
              <w:spacing w:before="0" w:after="0"/>
              <w:rPr>
                <w:noProof/>
                <w:color w:val="000000"/>
                <w:sz w:val="18"/>
              </w:rPr>
            </w:pPr>
            <w:r w:rsidRPr="00D91062">
              <w:rPr>
                <w:noProof/>
                <w:color w:val="000000"/>
                <w:sz w:val="18"/>
              </w:rPr>
              <w:t>Plăți</w:t>
            </w:r>
          </w:p>
        </w:tc>
        <w:tc>
          <w:tcPr>
            <w:tcW w:w="291" w:type="pct"/>
            <w:tcBorders>
              <w:top w:val="nil"/>
              <w:left w:val="nil"/>
              <w:bottom w:val="single" w:sz="8" w:space="0" w:color="auto"/>
              <w:right w:val="single" w:sz="8" w:space="0" w:color="auto"/>
            </w:tcBorders>
            <w:vAlign w:val="center"/>
            <w:hideMark/>
          </w:tcPr>
          <w:p w14:paraId="06A69737" w14:textId="77777777" w:rsidR="00D664CB" w:rsidRPr="00D91062" w:rsidRDefault="00D664CB" w:rsidP="00D664CB">
            <w:pPr>
              <w:spacing w:before="0" w:after="0"/>
              <w:jc w:val="center"/>
              <w:rPr>
                <w:noProof/>
                <w:color w:val="000000"/>
                <w:sz w:val="14"/>
              </w:rPr>
            </w:pPr>
            <w:r w:rsidRPr="00D91062">
              <w:rPr>
                <w:noProof/>
                <w:color w:val="000000"/>
                <w:sz w:val="14"/>
              </w:rPr>
              <w:t>(2a)</w:t>
            </w:r>
          </w:p>
        </w:tc>
        <w:tc>
          <w:tcPr>
            <w:tcW w:w="406" w:type="pct"/>
            <w:gridSpan w:val="2"/>
            <w:tcBorders>
              <w:top w:val="nil"/>
              <w:left w:val="nil"/>
              <w:bottom w:val="single" w:sz="8" w:space="0" w:color="auto"/>
              <w:right w:val="single" w:sz="8" w:space="0" w:color="auto"/>
            </w:tcBorders>
            <w:vAlign w:val="center"/>
            <w:hideMark/>
          </w:tcPr>
          <w:p w14:paraId="4003D30D" w14:textId="77777777" w:rsidR="00D664CB" w:rsidRPr="00D91062" w:rsidRDefault="00D664CB" w:rsidP="00D664CB">
            <w:pPr>
              <w:spacing w:before="0" w:after="0"/>
              <w:jc w:val="right"/>
              <w:rPr>
                <w:noProof/>
                <w:color w:val="000000"/>
                <w:sz w:val="20"/>
              </w:rPr>
            </w:pPr>
          </w:p>
        </w:tc>
        <w:tc>
          <w:tcPr>
            <w:tcW w:w="444" w:type="pct"/>
            <w:gridSpan w:val="2"/>
            <w:tcBorders>
              <w:top w:val="nil"/>
              <w:left w:val="nil"/>
              <w:bottom w:val="single" w:sz="8" w:space="0" w:color="auto"/>
              <w:right w:val="single" w:sz="8" w:space="0" w:color="auto"/>
            </w:tcBorders>
            <w:vAlign w:val="center"/>
            <w:hideMark/>
          </w:tcPr>
          <w:p w14:paraId="6DC46ACB" w14:textId="77777777" w:rsidR="00D664CB" w:rsidRPr="00D91062" w:rsidRDefault="00D664CB" w:rsidP="00D664CB">
            <w:pPr>
              <w:spacing w:before="0" w:after="0"/>
              <w:jc w:val="right"/>
              <w:rPr>
                <w:noProof/>
                <w:color w:val="000000"/>
                <w:sz w:val="20"/>
                <w:szCs w:val="20"/>
              </w:rPr>
            </w:pPr>
            <w:r w:rsidRPr="00D91062">
              <w:rPr>
                <w:noProof/>
                <w:color w:val="000000" w:themeColor="text1"/>
                <w:sz w:val="20"/>
              </w:rPr>
              <w:t>0,300 </w:t>
            </w:r>
          </w:p>
        </w:tc>
        <w:tc>
          <w:tcPr>
            <w:tcW w:w="444" w:type="pct"/>
            <w:tcBorders>
              <w:top w:val="nil"/>
              <w:left w:val="nil"/>
              <w:bottom w:val="single" w:sz="8" w:space="0" w:color="auto"/>
              <w:right w:val="single" w:sz="8" w:space="0" w:color="auto"/>
            </w:tcBorders>
            <w:vAlign w:val="center"/>
            <w:hideMark/>
          </w:tcPr>
          <w:p w14:paraId="2341DC1E" w14:textId="77777777" w:rsidR="00D664CB" w:rsidRPr="00D91062"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30A633CE" w14:textId="77777777" w:rsidR="00D664CB" w:rsidRPr="00D91062"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731E358F" w14:textId="77777777" w:rsidR="00D664CB" w:rsidRPr="00D91062"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68F992FA" w14:textId="77777777" w:rsidR="00D664CB" w:rsidRPr="00D91062"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49886D8A" w14:textId="77777777" w:rsidR="00D664CB" w:rsidRPr="00D91062" w:rsidRDefault="00D664CB" w:rsidP="00D664CB">
            <w:pPr>
              <w:spacing w:before="0" w:after="0"/>
              <w:jc w:val="right"/>
              <w:rPr>
                <w:noProof/>
                <w:color w:val="000000"/>
                <w:sz w:val="20"/>
              </w:rPr>
            </w:pPr>
          </w:p>
        </w:tc>
        <w:tc>
          <w:tcPr>
            <w:tcW w:w="311" w:type="pct"/>
            <w:tcBorders>
              <w:top w:val="nil"/>
              <w:left w:val="nil"/>
              <w:bottom w:val="single" w:sz="8" w:space="0" w:color="auto"/>
              <w:right w:val="single" w:sz="8" w:space="0" w:color="auto"/>
            </w:tcBorders>
            <w:shd w:val="clear" w:color="auto" w:fill="D9D9D9" w:themeFill="background1" w:themeFillShade="D9"/>
            <w:vAlign w:val="center"/>
            <w:hideMark/>
          </w:tcPr>
          <w:p w14:paraId="11DF367B" w14:textId="77777777" w:rsidR="00D664CB" w:rsidRPr="00D91062" w:rsidRDefault="00D664CB" w:rsidP="00D664CB">
            <w:pPr>
              <w:spacing w:before="0" w:after="0"/>
              <w:jc w:val="right"/>
              <w:rPr>
                <w:b/>
                <w:noProof/>
                <w:color w:val="000000"/>
                <w:sz w:val="20"/>
                <w:szCs w:val="20"/>
              </w:rPr>
            </w:pPr>
            <w:r w:rsidRPr="00D91062">
              <w:rPr>
                <w:b/>
                <w:noProof/>
                <w:color w:val="000000" w:themeColor="text1"/>
                <w:sz w:val="20"/>
              </w:rPr>
              <w:t>0,300</w:t>
            </w:r>
          </w:p>
        </w:tc>
      </w:tr>
      <w:tr w:rsidR="00D664CB" w:rsidRPr="00D91062" w14:paraId="0BFB3A87" w14:textId="77777777" w:rsidTr="00A236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70"/>
        </w:trPr>
        <w:tc>
          <w:tcPr>
            <w:tcW w:w="879" w:type="pct"/>
            <w:vMerge w:val="restart"/>
            <w:tcBorders>
              <w:top w:val="nil"/>
              <w:left w:val="single" w:sz="8" w:space="0" w:color="auto"/>
              <w:bottom w:val="single" w:sz="8" w:space="0" w:color="000000" w:themeColor="text1"/>
              <w:right w:val="single" w:sz="8" w:space="0" w:color="auto"/>
            </w:tcBorders>
            <w:vAlign w:val="center"/>
            <w:hideMark/>
          </w:tcPr>
          <w:p w14:paraId="3114FC00" w14:textId="77777777" w:rsidR="00D664CB" w:rsidRPr="00D91062" w:rsidRDefault="00D664CB" w:rsidP="00D664CB">
            <w:pPr>
              <w:spacing w:before="0" w:after="0"/>
              <w:rPr>
                <w:noProof/>
                <w:color w:val="000000"/>
                <w:sz w:val="20"/>
              </w:rPr>
            </w:pPr>
            <w:r w:rsidRPr="00D91062">
              <w:rPr>
                <w:noProof/>
                <w:color w:val="000000"/>
                <w:sz w:val="20"/>
              </w:rPr>
              <w:t>Linia bugetară</w:t>
            </w:r>
          </w:p>
        </w:tc>
        <w:tc>
          <w:tcPr>
            <w:tcW w:w="451" w:type="pct"/>
            <w:tcBorders>
              <w:top w:val="nil"/>
              <w:left w:val="nil"/>
              <w:bottom w:val="single" w:sz="8" w:space="0" w:color="auto"/>
              <w:right w:val="single" w:sz="8" w:space="0" w:color="auto"/>
            </w:tcBorders>
            <w:vAlign w:val="center"/>
            <w:hideMark/>
          </w:tcPr>
          <w:p w14:paraId="0D1452A9" w14:textId="77777777" w:rsidR="00D664CB" w:rsidRPr="00D91062" w:rsidRDefault="00D664CB" w:rsidP="00D664CB">
            <w:pPr>
              <w:spacing w:before="0" w:after="0"/>
              <w:rPr>
                <w:noProof/>
                <w:color w:val="000000"/>
                <w:sz w:val="18"/>
              </w:rPr>
            </w:pPr>
            <w:r w:rsidRPr="00D91062">
              <w:rPr>
                <w:noProof/>
                <w:color w:val="000000"/>
                <w:sz w:val="18"/>
              </w:rPr>
              <w:t>Angajamente</w:t>
            </w:r>
          </w:p>
        </w:tc>
        <w:tc>
          <w:tcPr>
            <w:tcW w:w="291" w:type="pct"/>
            <w:tcBorders>
              <w:top w:val="nil"/>
              <w:left w:val="nil"/>
              <w:bottom w:val="single" w:sz="8" w:space="0" w:color="auto"/>
              <w:right w:val="single" w:sz="8" w:space="0" w:color="auto"/>
            </w:tcBorders>
            <w:vAlign w:val="center"/>
            <w:hideMark/>
          </w:tcPr>
          <w:p w14:paraId="5FB3DBE2" w14:textId="77777777" w:rsidR="00D664CB" w:rsidRPr="00D91062" w:rsidRDefault="00D664CB" w:rsidP="00D664CB">
            <w:pPr>
              <w:spacing w:before="0" w:after="0"/>
              <w:jc w:val="center"/>
              <w:rPr>
                <w:noProof/>
                <w:color w:val="000000"/>
                <w:sz w:val="14"/>
              </w:rPr>
            </w:pPr>
            <w:r w:rsidRPr="00D91062">
              <w:rPr>
                <w:noProof/>
                <w:color w:val="000000"/>
                <w:sz w:val="14"/>
              </w:rPr>
              <w:t>(1b)</w:t>
            </w:r>
          </w:p>
        </w:tc>
        <w:tc>
          <w:tcPr>
            <w:tcW w:w="406" w:type="pct"/>
            <w:gridSpan w:val="2"/>
            <w:tcBorders>
              <w:top w:val="nil"/>
              <w:left w:val="nil"/>
              <w:bottom w:val="single" w:sz="8" w:space="0" w:color="auto"/>
              <w:right w:val="single" w:sz="8" w:space="0" w:color="auto"/>
            </w:tcBorders>
            <w:vAlign w:val="center"/>
            <w:hideMark/>
          </w:tcPr>
          <w:p w14:paraId="120759AD" w14:textId="77777777" w:rsidR="00D664CB" w:rsidRPr="00D91062" w:rsidRDefault="00D664CB" w:rsidP="00D664CB">
            <w:pPr>
              <w:spacing w:before="0" w:after="0"/>
              <w:jc w:val="right"/>
              <w:rPr>
                <w:noProof/>
                <w:color w:val="000000"/>
                <w:sz w:val="20"/>
              </w:rPr>
            </w:pPr>
          </w:p>
        </w:tc>
        <w:tc>
          <w:tcPr>
            <w:tcW w:w="444" w:type="pct"/>
            <w:gridSpan w:val="2"/>
            <w:tcBorders>
              <w:top w:val="nil"/>
              <w:left w:val="nil"/>
              <w:bottom w:val="single" w:sz="8" w:space="0" w:color="auto"/>
              <w:right w:val="single" w:sz="8" w:space="0" w:color="auto"/>
            </w:tcBorders>
            <w:vAlign w:val="center"/>
            <w:hideMark/>
          </w:tcPr>
          <w:p w14:paraId="3F07FCE4" w14:textId="77777777" w:rsidR="00D664CB" w:rsidRPr="00D91062"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307D95C3" w14:textId="77777777" w:rsidR="00D664CB" w:rsidRPr="00D91062"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5CE738FF" w14:textId="77777777" w:rsidR="00D664CB" w:rsidRPr="00D91062"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2D8282B4" w14:textId="77777777" w:rsidR="00D664CB" w:rsidRPr="00D91062"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02DCF4BB" w14:textId="77777777" w:rsidR="00D664CB" w:rsidRPr="00D91062"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71A56C64" w14:textId="77777777" w:rsidR="00D664CB" w:rsidRPr="00D91062" w:rsidRDefault="00D664CB" w:rsidP="00D664CB">
            <w:pPr>
              <w:spacing w:before="0" w:after="0"/>
              <w:jc w:val="right"/>
              <w:rPr>
                <w:noProof/>
                <w:color w:val="000000"/>
                <w:sz w:val="20"/>
              </w:rPr>
            </w:pPr>
          </w:p>
        </w:tc>
        <w:tc>
          <w:tcPr>
            <w:tcW w:w="311" w:type="pct"/>
            <w:tcBorders>
              <w:top w:val="nil"/>
              <w:left w:val="nil"/>
              <w:bottom w:val="single" w:sz="8" w:space="0" w:color="auto"/>
              <w:right w:val="single" w:sz="8" w:space="0" w:color="auto"/>
            </w:tcBorders>
            <w:shd w:val="clear" w:color="auto" w:fill="D9D9D9" w:themeFill="background1" w:themeFillShade="D9"/>
            <w:vAlign w:val="center"/>
            <w:hideMark/>
          </w:tcPr>
          <w:p w14:paraId="723C3CF3" w14:textId="77777777" w:rsidR="00D664CB" w:rsidRPr="00D91062" w:rsidRDefault="00D664CB" w:rsidP="00D664CB">
            <w:pPr>
              <w:spacing w:before="0" w:after="0"/>
              <w:jc w:val="right"/>
              <w:rPr>
                <w:b/>
                <w:noProof/>
                <w:color w:val="000000"/>
                <w:sz w:val="20"/>
              </w:rPr>
            </w:pPr>
            <w:r w:rsidRPr="00D91062">
              <w:rPr>
                <w:b/>
                <w:noProof/>
                <w:color w:val="000000"/>
                <w:sz w:val="20"/>
              </w:rPr>
              <w:t>0</w:t>
            </w:r>
          </w:p>
        </w:tc>
      </w:tr>
      <w:tr w:rsidR="00D664CB" w:rsidRPr="00D91062" w14:paraId="616E2BCB" w14:textId="77777777" w:rsidTr="00A236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879" w:type="pct"/>
            <w:vMerge/>
            <w:vAlign w:val="center"/>
            <w:hideMark/>
          </w:tcPr>
          <w:p w14:paraId="40011772" w14:textId="77777777" w:rsidR="00D664CB" w:rsidRPr="00D91062" w:rsidRDefault="00D664CB" w:rsidP="00D664CB">
            <w:pPr>
              <w:spacing w:before="0" w:after="0"/>
              <w:jc w:val="left"/>
              <w:rPr>
                <w:noProof/>
                <w:color w:val="000000"/>
                <w:sz w:val="20"/>
              </w:rPr>
            </w:pPr>
          </w:p>
        </w:tc>
        <w:tc>
          <w:tcPr>
            <w:tcW w:w="451" w:type="pct"/>
            <w:tcBorders>
              <w:top w:val="nil"/>
              <w:left w:val="nil"/>
              <w:bottom w:val="single" w:sz="8" w:space="0" w:color="auto"/>
              <w:right w:val="single" w:sz="8" w:space="0" w:color="auto"/>
            </w:tcBorders>
            <w:vAlign w:val="center"/>
            <w:hideMark/>
          </w:tcPr>
          <w:p w14:paraId="04ED586B" w14:textId="77777777" w:rsidR="00D664CB" w:rsidRPr="00D91062" w:rsidRDefault="00D664CB" w:rsidP="00D664CB">
            <w:pPr>
              <w:spacing w:before="0" w:after="0"/>
              <w:rPr>
                <w:noProof/>
                <w:color w:val="000000"/>
                <w:sz w:val="18"/>
              </w:rPr>
            </w:pPr>
            <w:r w:rsidRPr="00D91062">
              <w:rPr>
                <w:noProof/>
                <w:color w:val="000000"/>
                <w:sz w:val="18"/>
              </w:rPr>
              <w:t>Plăți</w:t>
            </w:r>
          </w:p>
        </w:tc>
        <w:tc>
          <w:tcPr>
            <w:tcW w:w="291" w:type="pct"/>
            <w:tcBorders>
              <w:top w:val="nil"/>
              <w:left w:val="nil"/>
              <w:bottom w:val="single" w:sz="8" w:space="0" w:color="auto"/>
              <w:right w:val="single" w:sz="8" w:space="0" w:color="auto"/>
            </w:tcBorders>
            <w:vAlign w:val="center"/>
            <w:hideMark/>
          </w:tcPr>
          <w:p w14:paraId="2065B8D8" w14:textId="77777777" w:rsidR="00D664CB" w:rsidRPr="00D91062" w:rsidRDefault="00D664CB" w:rsidP="00D664CB">
            <w:pPr>
              <w:spacing w:before="0" w:after="0"/>
              <w:jc w:val="center"/>
              <w:rPr>
                <w:noProof/>
                <w:color w:val="000000"/>
                <w:sz w:val="14"/>
              </w:rPr>
            </w:pPr>
            <w:r w:rsidRPr="00D91062">
              <w:rPr>
                <w:noProof/>
                <w:color w:val="000000"/>
                <w:sz w:val="14"/>
              </w:rPr>
              <w:t>(2b)</w:t>
            </w:r>
          </w:p>
        </w:tc>
        <w:tc>
          <w:tcPr>
            <w:tcW w:w="406" w:type="pct"/>
            <w:gridSpan w:val="2"/>
            <w:tcBorders>
              <w:top w:val="nil"/>
              <w:left w:val="nil"/>
              <w:bottom w:val="single" w:sz="8" w:space="0" w:color="auto"/>
              <w:right w:val="single" w:sz="8" w:space="0" w:color="auto"/>
            </w:tcBorders>
            <w:vAlign w:val="center"/>
            <w:hideMark/>
          </w:tcPr>
          <w:p w14:paraId="7971043E" w14:textId="77777777" w:rsidR="00D664CB" w:rsidRPr="00D91062" w:rsidRDefault="00D664CB" w:rsidP="00D664CB">
            <w:pPr>
              <w:spacing w:before="0" w:after="0"/>
              <w:jc w:val="right"/>
              <w:rPr>
                <w:noProof/>
                <w:color w:val="000000"/>
                <w:sz w:val="20"/>
              </w:rPr>
            </w:pPr>
          </w:p>
        </w:tc>
        <w:tc>
          <w:tcPr>
            <w:tcW w:w="444" w:type="pct"/>
            <w:gridSpan w:val="2"/>
            <w:tcBorders>
              <w:top w:val="nil"/>
              <w:left w:val="nil"/>
              <w:bottom w:val="single" w:sz="8" w:space="0" w:color="auto"/>
              <w:right w:val="single" w:sz="8" w:space="0" w:color="auto"/>
            </w:tcBorders>
            <w:vAlign w:val="center"/>
            <w:hideMark/>
          </w:tcPr>
          <w:p w14:paraId="7FBCAD30" w14:textId="77777777" w:rsidR="00D664CB" w:rsidRPr="00D91062"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044D1595" w14:textId="77777777" w:rsidR="00D664CB" w:rsidRPr="00D91062"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1C41B472" w14:textId="77777777" w:rsidR="00D664CB" w:rsidRPr="00D91062"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1FB43F8D" w14:textId="77777777" w:rsidR="00D664CB" w:rsidRPr="00D91062"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60F6B84C" w14:textId="77777777" w:rsidR="00D664CB" w:rsidRPr="00D91062" w:rsidRDefault="00D664CB" w:rsidP="00D664CB">
            <w:pPr>
              <w:spacing w:before="0" w:after="0"/>
              <w:jc w:val="right"/>
              <w:rPr>
                <w:noProof/>
                <w:color w:val="000000"/>
                <w:sz w:val="20"/>
              </w:rPr>
            </w:pPr>
          </w:p>
        </w:tc>
        <w:tc>
          <w:tcPr>
            <w:tcW w:w="444" w:type="pct"/>
            <w:tcBorders>
              <w:top w:val="nil"/>
              <w:left w:val="nil"/>
              <w:bottom w:val="single" w:sz="8" w:space="0" w:color="auto"/>
              <w:right w:val="single" w:sz="8" w:space="0" w:color="auto"/>
            </w:tcBorders>
            <w:vAlign w:val="center"/>
            <w:hideMark/>
          </w:tcPr>
          <w:p w14:paraId="74091EA9" w14:textId="77777777" w:rsidR="00D664CB" w:rsidRPr="00D91062" w:rsidRDefault="00D664CB" w:rsidP="00D664CB">
            <w:pPr>
              <w:spacing w:before="0" w:after="0"/>
              <w:jc w:val="right"/>
              <w:rPr>
                <w:noProof/>
                <w:color w:val="000000"/>
                <w:sz w:val="20"/>
              </w:rPr>
            </w:pPr>
          </w:p>
        </w:tc>
        <w:tc>
          <w:tcPr>
            <w:tcW w:w="311" w:type="pct"/>
            <w:tcBorders>
              <w:top w:val="nil"/>
              <w:left w:val="nil"/>
              <w:bottom w:val="single" w:sz="8" w:space="0" w:color="auto"/>
              <w:right w:val="single" w:sz="8" w:space="0" w:color="auto"/>
            </w:tcBorders>
            <w:shd w:val="clear" w:color="auto" w:fill="D9D9D9" w:themeFill="background1" w:themeFillShade="D9"/>
            <w:vAlign w:val="center"/>
            <w:hideMark/>
          </w:tcPr>
          <w:p w14:paraId="1CEA3E8B" w14:textId="77777777" w:rsidR="00D664CB" w:rsidRPr="00D91062" w:rsidRDefault="00D664CB" w:rsidP="00D664CB">
            <w:pPr>
              <w:spacing w:before="0" w:after="0"/>
              <w:jc w:val="right"/>
              <w:rPr>
                <w:b/>
                <w:noProof/>
                <w:color w:val="000000"/>
                <w:sz w:val="20"/>
              </w:rPr>
            </w:pPr>
            <w:r w:rsidRPr="00D91062">
              <w:rPr>
                <w:b/>
                <w:noProof/>
                <w:color w:val="000000"/>
                <w:sz w:val="20"/>
              </w:rPr>
              <w:t>0</w:t>
            </w:r>
          </w:p>
        </w:tc>
      </w:tr>
      <w:tr w:rsidR="00D664CB" w:rsidRPr="00D91062" w14:paraId="50CDFADC" w14:textId="77777777" w:rsidTr="00A236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00"/>
        </w:trPr>
        <w:tc>
          <w:tcPr>
            <w:tcW w:w="5000" w:type="pct"/>
            <w:gridSpan w:val="13"/>
            <w:tcBorders>
              <w:top w:val="single" w:sz="8" w:space="0" w:color="auto"/>
              <w:left w:val="single" w:sz="8" w:space="0" w:color="auto"/>
              <w:bottom w:val="single" w:sz="8" w:space="0" w:color="auto"/>
              <w:right w:val="single" w:sz="8" w:space="0" w:color="000000" w:themeColor="text1"/>
            </w:tcBorders>
            <w:noWrap/>
            <w:vAlign w:val="center"/>
            <w:hideMark/>
          </w:tcPr>
          <w:p w14:paraId="5A92E7A8" w14:textId="77777777" w:rsidR="00D664CB" w:rsidRPr="00D91062" w:rsidRDefault="00D664CB" w:rsidP="00D664CB">
            <w:pPr>
              <w:spacing w:before="0" w:after="0"/>
              <w:jc w:val="left"/>
              <w:rPr>
                <w:noProof/>
                <w:sz w:val="22"/>
              </w:rPr>
            </w:pPr>
            <w:r w:rsidRPr="00D91062">
              <w:rPr>
                <w:noProof/>
                <w:sz w:val="22"/>
              </w:rPr>
              <w:t>Credite cu caracter administrativ finanțate din bugetul unor programe specifice</w:t>
            </w:r>
            <w:r w:rsidRPr="00D91062">
              <w:rPr>
                <w:rStyle w:val="FootnoteReference"/>
                <w:noProof/>
              </w:rPr>
              <w:footnoteReference w:id="44"/>
            </w:r>
          </w:p>
        </w:tc>
      </w:tr>
      <w:tr w:rsidR="00D664CB" w:rsidRPr="00D91062" w14:paraId="300D8166" w14:textId="77777777" w:rsidTr="00A236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30"/>
        </w:trPr>
        <w:tc>
          <w:tcPr>
            <w:tcW w:w="879" w:type="pct"/>
            <w:tcBorders>
              <w:top w:val="nil"/>
              <w:left w:val="single" w:sz="8" w:space="0" w:color="auto"/>
              <w:bottom w:val="single" w:sz="8" w:space="0" w:color="auto"/>
              <w:right w:val="single" w:sz="8" w:space="0" w:color="auto"/>
            </w:tcBorders>
            <w:vAlign w:val="center"/>
            <w:hideMark/>
          </w:tcPr>
          <w:p w14:paraId="091DBA2B" w14:textId="77777777" w:rsidR="00D664CB" w:rsidRPr="00D91062" w:rsidRDefault="00D664CB" w:rsidP="00D664CB">
            <w:pPr>
              <w:spacing w:before="0" w:after="0"/>
              <w:rPr>
                <w:noProof/>
                <w:color w:val="000000"/>
                <w:sz w:val="20"/>
              </w:rPr>
            </w:pPr>
            <w:r w:rsidRPr="00D91062">
              <w:rPr>
                <w:noProof/>
                <w:color w:val="000000"/>
                <w:sz w:val="20"/>
              </w:rPr>
              <w:t>Linia bugetară</w:t>
            </w:r>
          </w:p>
        </w:tc>
        <w:tc>
          <w:tcPr>
            <w:tcW w:w="451" w:type="pct"/>
            <w:tcBorders>
              <w:top w:val="nil"/>
              <w:left w:val="nil"/>
              <w:bottom w:val="single" w:sz="8" w:space="0" w:color="auto"/>
              <w:right w:val="single" w:sz="8" w:space="0" w:color="auto"/>
            </w:tcBorders>
            <w:vAlign w:val="center"/>
            <w:hideMark/>
          </w:tcPr>
          <w:p w14:paraId="547BBAD8" w14:textId="77777777" w:rsidR="00D664CB" w:rsidRPr="00D91062" w:rsidRDefault="00D664CB" w:rsidP="00D664CB">
            <w:pPr>
              <w:spacing w:before="0" w:after="0"/>
              <w:jc w:val="right"/>
              <w:rPr>
                <w:noProof/>
                <w:color w:val="000000"/>
                <w:sz w:val="18"/>
              </w:rPr>
            </w:pPr>
          </w:p>
        </w:tc>
        <w:tc>
          <w:tcPr>
            <w:tcW w:w="291" w:type="pct"/>
            <w:tcBorders>
              <w:top w:val="nil"/>
              <w:left w:val="nil"/>
              <w:bottom w:val="single" w:sz="8" w:space="0" w:color="auto"/>
              <w:right w:val="single" w:sz="8" w:space="0" w:color="auto"/>
            </w:tcBorders>
            <w:vAlign w:val="center"/>
            <w:hideMark/>
          </w:tcPr>
          <w:p w14:paraId="29BBC54A" w14:textId="77777777" w:rsidR="00D664CB" w:rsidRPr="00D91062" w:rsidRDefault="00D664CB" w:rsidP="00D664CB">
            <w:pPr>
              <w:spacing w:before="0" w:after="0"/>
              <w:jc w:val="center"/>
              <w:rPr>
                <w:noProof/>
                <w:color w:val="000000"/>
                <w:sz w:val="14"/>
              </w:rPr>
            </w:pPr>
            <w:r w:rsidRPr="00D91062">
              <w:rPr>
                <w:noProof/>
                <w:color w:val="000000"/>
                <w:sz w:val="14"/>
              </w:rPr>
              <w:t>(3)</w:t>
            </w:r>
          </w:p>
        </w:tc>
        <w:tc>
          <w:tcPr>
            <w:tcW w:w="406" w:type="pct"/>
            <w:gridSpan w:val="2"/>
            <w:tcBorders>
              <w:top w:val="nil"/>
              <w:left w:val="nil"/>
              <w:bottom w:val="single" w:sz="8" w:space="0" w:color="auto"/>
              <w:right w:val="single" w:sz="8" w:space="0" w:color="auto"/>
            </w:tcBorders>
            <w:vAlign w:val="center"/>
          </w:tcPr>
          <w:p w14:paraId="238C730A" w14:textId="77777777" w:rsidR="00D664CB" w:rsidRPr="00D91062" w:rsidRDefault="00D664CB" w:rsidP="00D664CB">
            <w:pPr>
              <w:spacing w:before="0" w:after="0"/>
              <w:jc w:val="right"/>
              <w:rPr>
                <w:b/>
                <w:noProof/>
                <w:color w:val="000000"/>
                <w:sz w:val="20"/>
              </w:rPr>
            </w:pPr>
          </w:p>
        </w:tc>
        <w:tc>
          <w:tcPr>
            <w:tcW w:w="444" w:type="pct"/>
            <w:gridSpan w:val="2"/>
            <w:tcBorders>
              <w:top w:val="nil"/>
              <w:left w:val="nil"/>
              <w:bottom w:val="single" w:sz="8" w:space="0" w:color="auto"/>
              <w:right w:val="single" w:sz="8" w:space="0" w:color="auto"/>
            </w:tcBorders>
            <w:vAlign w:val="center"/>
          </w:tcPr>
          <w:p w14:paraId="5E26013A" w14:textId="77777777" w:rsidR="00D664CB" w:rsidRPr="00D91062" w:rsidRDefault="00D664CB" w:rsidP="00D664CB">
            <w:pPr>
              <w:spacing w:before="0" w:after="0"/>
              <w:jc w:val="right"/>
              <w:rPr>
                <w:b/>
                <w:noProof/>
                <w:color w:val="000000"/>
                <w:sz w:val="20"/>
              </w:rPr>
            </w:pPr>
          </w:p>
        </w:tc>
        <w:tc>
          <w:tcPr>
            <w:tcW w:w="444" w:type="pct"/>
            <w:tcBorders>
              <w:top w:val="nil"/>
              <w:left w:val="nil"/>
              <w:bottom w:val="single" w:sz="8" w:space="0" w:color="auto"/>
              <w:right w:val="single" w:sz="8" w:space="0" w:color="auto"/>
            </w:tcBorders>
            <w:vAlign w:val="center"/>
          </w:tcPr>
          <w:p w14:paraId="7309E98E" w14:textId="77777777" w:rsidR="00D664CB" w:rsidRPr="00D91062" w:rsidRDefault="00D664CB" w:rsidP="00D664CB">
            <w:pPr>
              <w:spacing w:before="0" w:after="0"/>
              <w:jc w:val="right"/>
              <w:rPr>
                <w:b/>
                <w:noProof/>
                <w:color w:val="000000"/>
                <w:sz w:val="20"/>
              </w:rPr>
            </w:pPr>
          </w:p>
        </w:tc>
        <w:tc>
          <w:tcPr>
            <w:tcW w:w="444" w:type="pct"/>
            <w:tcBorders>
              <w:top w:val="nil"/>
              <w:left w:val="nil"/>
              <w:bottom w:val="single" w:sz="8" w:space="0" w:color="auto"/>
              <w:right w:val="single" w:sz="8" w:space="0" w:color="auto"/>
            </w:tcBorders>
            <w:vAlign w:val="center"/>
          </w:tcPr>
          <w:p w14:paraId="5E51E478" w14:textId="77777777" w:rsidR="00D664CB" w:rsidRPr="00D91062" w:rsidRDefault="00D664CB" w:rsidP="00D664CB">
            <w:pPr>
              <w:spacing w:before="0" w:after="0"/>
              <w:jc w:val="right"/>
              <w:rPr>
                <w:b/>
                <w:noProof/>
                <w:color w:val="000000"/>
                <w:sz w:val="20"/>
              </w:rPr>
            </w:pPr>
          </w:p>
        </w:tc>
        <w:tc>
          <w:tcPr>
            <w:tcW w:w="444" w:type="pct"/>
            <w:tcBorders>
              <w:top w:val="nil"/>
              <w:left w:val="nil"/>
              <w:bottom w:val="single" w:sz="8" w:space="0" w:color="auto"/>
              <w:right w:val="single" w:sz="8" w:space="0" w:color="auto"/>
            </w:tcBorders>
            <w:vAlign w:val="center"/>
          </w:tcPr>
          <w:p w14:paraId="06B6C16A" w14:textId="77777777" w:rsidR="00D664CB" w:rsidRPr="00D91062" w:rsidRDefault="00D664CB" w:rsidP="00D664CB">
            <w:pPr>
              <w:spacing w:before="0" w:after="0"/>
              <w:jc w:val="right"/>
              <w:rPr>
                <w:b/>
                <w:noProof/>
                <w:color w:val="000000"/>
                <w:sz w:val="20"/>
              </w:rPr>
            </w:pPr>
          </w:p>
        </w:tc>
        <w:tc>
          <w:tcPr>
            <w:tcW w:w="444" w:type="pct"/>
            <w:tcBorders>
              <w:top w:val="nil"/>
              <w:left w:val="nil"/>
              <w:bottom w:val="single" w:sz="8" w:space="0" w:color="auto"/>
              <w:right w:val="single" w:sz="8" w:space="0" w:color="auto"/>
            </w:tcBorders>
            <w:vAlign w:val="center"/>
          </w:tcPr>
          <w:p w14:paraId="2C26AF9D" w14:textId="77777777" w:rsidR="00D664CB" w:rsidRPr="00D91062" w:rsidRDefault="00D664CB" w:rsidP="00D664CB">
            <w:pPr>
              <w:spacing w:before="0" w:after="0"/>
              <w:jc w:val="right"/>
              <w:rPr>
                <w:b/>
                <w:noProof/>
                <w:color w:val="000000"/>
                <w:sz w:val="20"/>
              </w:rPr>
            </w:pPr>
          </w:p>
        </w:tc>
        <w:tc>
          <w:tcPr>
            <w:tcW w:w="444" w:type="pct"/>
            <w:tcBorders>
              <w:top w:val="nil"/>
              <w:left w:val="nil"/>
              <w:bottom w:val="single" w:sz="8" w:space="0" w:color="auto"/>
              <w:right w:val="single" w:sz="8" w:space="0" w:color="auto"/>
            </w:tcBorders>
            <w:vAlign w:val="center"/>
          </w:tcPr>
          <w:p w14:paraId="632BE509" w14:textId="77777777" w:rsidR="00D664CB" w:rsidRPr="00D91062" w:rsidRDefault="00D664CB" w:rsidP="00D664CB">
            <w:pPr>
              <w:spacing w:before="0" w:after="0"/>
              <w:jc w:val="right"/>
              <w:rPr>
                <w:b/>
                <w:noProof/>
                <w:color w:val="000000"/>
                <w:sz w:val="20"/>
              </w:rPr>
            </w:pPr>
          </w:p>
        </w:tc>
        <w:tc>
          <w:tcPr>
            <w:tcW w:w="311" w:type="pct"/>
            <w:tcBorders>
              <w:top w:val="nil"/>
              <w:left w:val="nil"/>
              <w:bottom w:val="single" w:sz="8" w:space="0" w:color="auto"/>
              <w:right w:val="single" w:sz="8" w:space="0" w:color="auto"/>
            </w:tcBorders>
            <w:shd w:val="clear" w:color="auto" w:fill="D9D9D9" w:themeFill="background1" w:themeFillShade="D9"/>
            <w:vAlign w:val="center"/>
          </w:tcPr>
          <w:p w14:paraId="25FE83A8" w14:textId="77777777" w:rsidR="00D664CB" w:rsidRPr="00D91062" w:rsidRDefault="00D664CB" w:rsidP="00D664CB">
            <w:pPr>
              <w:spacing w:before="0" w:after="0"/>
              <w:jc w:val="right"/>
              <w:rPr>
                <w:b/>
                <w:noProof/>
                <w:color w:val="000000"/>
                <w:sz w:val="20"/>
              </w:rPr>
            </w:pPr>
          </w:p>
        </w:tc>
      </w:tr>
      <w:tr w:rsidR="00D664CB" w:rsidRPr="00D91062" w14:paraId="3F0CCF0F" w14:textId="77777777" w:rsidTr="00A236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50"/>
        </w:trPr>
        <w:tc>
          <w:tcPr>
            <w:tcW w:w="879" w:type="pct"/>
            <w:tcBorders>
              <w:top w:val="nil"/>
              <w:left w:val="single" w:sz="8" w:space="0" w:color="auto"/>
              <w:bottom w:val="nil"/>
              <w:right w:val="single" w:sz="8" w:space="0" w:color="auto"/>
            </w:tcBorders>
            <w:vAlign w:val="center"/>
            <w:hideMark/>
          </w:tcPr>
          <w:p w14:paraId="1129F6D5" w14:textId="77777777" w:rsidR="00D664CB" w:rsidRPr="00D91062" w:rsidRDefault="00D664CB" w:rsidP="00D664CB">
            <w:pPr>
              <w:spacing w:before="0" w:after="0"/>
              <w:jc w:val="center"/>
              <w:rPr>
                <w:b/>
                <w:noProof/>
                <w:color w:val="000000"/>
                <w:sz w:val="22"/>
              </w:rPr>
            </w:pPr>
            <w:r w:rsidRPr="00D91062">
              <w:rPr>
                <w:b/>
                <w:noProof/>
                <w:color w:val="000000"/>
                <w:sz w:val="22"/>
              </w:rPr>
              <w:t>TOTAL credite</w:t>
            </w:r>
          </w:p>
        </w:tc>
        <w:tc>
          <w:tcPr>
            <w:tcW w:w="451" w:type="pct"/>
            <w:tcBorders>
              <w:top w:val="nil"/>
              <w:left w:val="nil"/>
              <w:bottom w:val="single" w:sz="8" w:space="0" w:color="auto"/>
              <w:right w:val="single" w:sz="8" w:space="0" w:color="auto"/>
            </w:tcBorders>
            <w:vAlign w:val="center"/>
            <w:hideMark/>
          </w:tcPr>
          <w:p w14:paraId="11EEF584" w14:textId="77777777" w:rsidR="00D664CB" w:rsidRPr="00D91062" w:rsidRDefault="00D664CB" w:rsidP="00D664CB">
            <w:pPr>
              <w:spacing w:before="0" w:after="0"/>
              <w:rPr>
                <w:noProof/>
                <w:color w:val="000000"/>
                <w:sz w:val="18"/>
              </w:rPr>
            </w:pPr>
            <w:r w:rsidRPr="00D91062">
              <w:rPr>
                <w:noProof/>
                <w:color w:val="000000"/>
                <w:sz w:val="18"/>
              </w:rPr>
              <w:t>Angajamente</w:t>
            </w:r>
          </w:p>
        </w:tc>
        <w:tc>
          <w:tcPr>
            <w:tcW w:w="291" w:type="pct"/>
            <w:tcBorders>
              <w:top w:val="nil"/>
              <w:left w:val="nil"/>
              <w:bottom w:val="single" w:sz="8" w:space="0" w:color="auto"/>
              <w:right w:val="single" w:sz="8" w:space="0" w:color="auto"/>
            </w:tcBorders>
            <w:vAlign w:val="center"/>
            <w:hideMark/>
          </w:tcPr>
          <w:p w14:paraId="174D7BE8" w14:textId="77777777" w:rsidR="00D664CB" w:rsidRPr="00D91062" w:rsidRDefault="00D664CB" w:rsidP="00D664CB">
            <w:pPr>
              <w:spacing w:before="0" w:after="0"/>
              <w:jc w:val="center"/>
              <w:rPr>
                <w:noProof/>
                <w:color w:val="000000"/>
                <w:sz w:val="14"/>
              </w:rPr>
            </w:pPr>
            <w:r w:rsidRPr="00D91062">
              <w:rPr>
                <w:noProof/>
                <w:color w:val="000000"/>
                <w:sz w:val="14"/>
              </w:rPr>
              <w:t>=1a+1b+3</w:t>
            </w:r>
          </w:p>
        </w:tc>
        <w:tc>
          <w:tcPr>
            <w:tcW w:w="406"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12973A8B" w14:textId="77777777" w:rsidR="00D664CB" w:rsidRPr="00D91062" w:rsidRDefault="00D664CB" w:rsidP="00D664CB">
            <w:pPr>
              <w:spacing w:before="0" w:after="0"/>
              <w:jc w:val="right"/>
              <w:rPr>
                <w:b/>
                <w:noProof/>
                <w:color w:val="000000"/>
                <w:sz w:val="20"/>
                <w:szCs w:val="20"/>
              </w:rPr>
            </w:pPr>
            <w:r w:rsidRPr="00D91062">
              <w:rPr>
                <w:b/>
                <w:noProof/>
                <w:color w:val="000000" w:themeColor="text1"/>
                <w:sz w:val="20"/>
              </w:rPr>
              <w:t>0,300</w:t>
            </w:r>
          </w:p>
        </w:tc>
        <w:tc>
          <w:tcPr>
            <w:tcW w:w="444"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4EAD9001" w14:textId="77777777" w:rsidR="00D664CB" w:rsidRPr="00D91062" w:rsidRDefault="00D664CB" w:rsidP="00D664CB">
            <w:pPr>
              <w:spacing w:before="0" w:after="0"/>
              <w:jc w:val="right"/>
              <w:rPr>
                <w:b/>
                <w:noProof/>
                <w:color w:val="000000"/>
                <w:sz w:val="20"/>
              </w:rPr>
            </w:pPr>
          </w:p>
        </w:tc>
        <w:tc>
          <w:tcPr>
            <w:tcW w:w="444" w:type="pct"/>
            <w:tcBorders>
              <w:top w:val="nil"/>
              <w:left w:val="nil"/>
              <w:bottom w:val="single" w:sz="8" w:space="0" w:color="auto"/>
              <w:right w:val="single" w:sz="8" w:space="0" w:color="auto"/>
            </w:tcBorders>
            <w:shd w:val="clear" w:color="auto" w:fill="D9D9D9" w:themeFill="background1" w:themeFillShade="D9"/>
            <w:vAlign w:val="center"/>
            <w:hideMark/>
          </w:tcPr>
          <w:p w14:paraId="737A6854" w14:textId="77777777" w:rsidR="00D664CB" w:rsidRPr="00D91062" w:rsidRDefault="00D664CB" w:rsidP="00D664CB">
            <w:pPr>
              <w:spacing w:before="0" w:after="0"/>
              <w:jc w:val="right"/>
              <w:rPr>
                <w:b/>
                <w:noProof/>
                <w:color w:val="000000"/>
                <w:sz w:val="20"/>
              </w:rPr>
            </w:pPr>
          </w:p>
        </w:tc>
        <w:tc>
          <w:tcPr>
            <w:tcW w:w="444" w:type="pct"/>
            <w:tcBorders>
              <w:top w:val="nil"/>
              <w:left w:val="nil"/>
              <w:bottom w:val="single" w:sz="8" w:space="0" w:color="auto"/>
              <w:right w:val="single" w:sz="8" w:space="0" w:color="auto"/>
            </w:tcBorders>
            <w:shd w:val="clear" w:color="auto" w:fill="D9D9D9" w:themeFill="background1" w:themeFillShade="D9"/>
            <w:vAlign w:val="center"/>
            <w:hideMark/>
          </w:tcPr>
          <w:p w14:paraId="3A0142EC" w14:textId="77777777" w:rsidR="00D664CB" w:rsidRPr="00D91062" w:rsidRDefault="00D664CB" w:rsidP="00D664CB">
            <w:pPr>
              <w:spacing w:before="0" w:after="0"/>
              <w:jc w:val="right"/>
              <w:rPr>
                <w:b/>
                <w:noProof/>
                <w:color w:val="000000"/>
                <w:sz w:val="20"/>
              </w:rPr>
            </w:pPr>
          </w:p>
        </w:tc>
        <w:tc>
          <w:tcPr>
            <w:tcW w:w="444" w:type="pct"/>
            <w:tcBorders>
              <w:top w:val="nil"/>
              <w:left w:val="nil"/>
              <w:bottom w:val="single" w:sz="8" w:space="0" w:color="auto"/>
              <w:right w:val="single" w:sz="8" w:space="0" w:color="auto"/>
            </w:tcBorders>
            <w:shd w:val="clear" w:color="auto" w:fill="D9D9D9" w:themeFill="background1" w:themeFillShade="D9"/>
            <w:vAlign w:val="center"/>
            <w:hideMark/>
          </w:tcPr>
          <w:p w14:paraId="5D711A7E" w14:textId="77777777" w:rsidR="00D664CB" w:rsidRPr="00D91062" w:rsidRDefault="00D664CB" w:rsidP="00D664CB">
            <w:pPr>
              <w:spacing w:before="0" w:after="0"/>
              <w:jc w:val="right"/>
              <w:rPr>
                <w:b/>
                <w:noProof/>
                <w:color w:val="000000"/>
                <w:sz w:val="20"/>
              </w:rPr>
            </w:pPr>
          </w:p>
        </w:tc>
        <w:tc>
          <w:tcPr>
            <w:tcW w:w="444" w:type="pct"/>
            <w:tcBorders>
              <w:top w:val="nil"/>
              <w:left w:val="nil"/>
              <w:bottom w:val="single" w:sz="8" w:space="0" w:color="auto"/>
              <w:right w:val="single" w:sz="8" w:space="0" w:color="auto"/>
            </w:tcBorders>
            <w:shd w:val="clear" w:color="auto" w:fill="D9D9D9" w:themeFill="background1" w:themeFillShade="D9"/>
            <w:vAlign w:val="center"/>
            <w:hideMark/>
          </w:tcPr>
          <w:p w14:paraId="57124DE8" w14:textId="77777777" w:rsidR="00D664CB" w:rsidRPr="00D91062" w:rsidRDefault="00D664CB" w:rsidP="00D664CB">
            <w:pPr>
              <w:spacing w:before="0" w:after="0"/>
              <w:jc w:val="right"/>
              <w:rPr>
                <w:b/>
                <w:noProof/>
                <w:color w:val="000000"/>
                <w:sz w:val="20"/>
              </w:rPr>
            </w:pPr>
          </w:p>
        </w:tc>
        <w:tc>
          <w:tcPr>
            <w:tcW w:w="444" w:type="pct"/>
            <w:tcBorders>
              <w:top w:val="nil"/>
              <w:left w:val="nil"/>
              <w:bottom w:val="single" w:sz="8" w:space="0" w:color="auto"/>
              <w:right w:val="single" w:sz="8" w:space="0" w:color="auto"/>
            </w:tcBorders>
            <w:shd w:val="clear" w:color="auto" w:fill="D9D9D9" w:themeFill="background1" w:themeFillShade="D9"/>
            <w:vAlign w:val="center"/>
            <w:hideMark/>
          </w:tcPr>
          <w:p w14:paraId="744399F7" w14:textId="77777777" w:rsidR="00D664CB" w:rsidRPr="00D91062" w:rsidRDefault="00D664CB" w:rsidP="00D664CB">
            <w:pPr>
              <w:spacing w:before="0" w:after="0"/>
              <w:jc w:val="right"/>
              <w:rPr>
                <w:b/>
                <w:noProof/>
                <w:color w:val="000000"/>
                <w:sz w:val="20"/>
              </w:rPr>
            </w:pPr>
          </w:p>
        </w:tc>
        <w:tc>
          <w:tcPr>
            <w:tcW w:w="311" w:type="pct"/>
            <w:tcBorders>
              <w:top w:val="nil"/>
              <w:left w:val="nil"/>
              <w:bottom w:val="single" w:sz="8" w:space="0" w:color="auto"/>
              <w:right w:val="single" w:sz="8" w:space="0" w:color="auto"/>
            </w:tcBorders>
            <w:shd w:val="clear" w:color="auto" w:fill="D9D9D9" w:themeFill="background1" w:themeFillShade="D9"/>
            <w:vAlign w:val="center"/>
            <w:hideMark/>
          </w:tcPr>
          <w:p w14:paraId="60768D04" w14:textId="77777777" w:rsidR="00D664CB" w:rsidRPr="00D91062" w:rsidRDefault="00D664CB" w:rsidP="00D664CB">
            <w:pPr>
              <w:spacing w:before="0" w:after="0"/>
              <w:jc w:val="right"/>
              <w:rPr>
                <w:b/>
                <w:noProof/>
                <w:color w:val="000000"/>
                <w:sz w:val="20"/>
                <w:szCs w:val="20"/>
              </w:rPr>
            </w:pPr>
            <w:r w:rsidRPr="00D91062">
              <w:rPr>
                <w:b/>
                <w:noProof/>
                <w:color w:val="000000" w:themeColor="text1"/>
                <w:sz w:val="20"/>
              </w:rPr>
              <w:t xml:space="preserve">0,300 </w:t>
            </w:r>
          </w:p>
        </w:tc>
      </w:tr>
      <w:tr w:rsidR="00D664CB" w:rsidRPr="00D91062" w14:paraId="1ABFB1F8" w14:textId="77777777" w:rsidTr="00A236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70"/>
        </w:trPr>
        <w:tc>
          <w:tcPr>
            <w:tcW w:w="879" w:type="pct"/>
            <w:tcBorders>
              <w:top w:val="nil"/>
              <w:left w:val="single" w:sz="8" w:space="0" w:color="auto"/>
              <w:bottom w:val="single" w:sz="8" w:space="0" w:color="auto"/>
              <w:right w:val="single" w:sz="8" w:space="0" w:color="auto"/>
            </w:tcBorders>
            <w:vAlign w:val="center"/>
            <w:hideMark/>
          </w:tcPr>
          <w:p w14:paraId="69704EE9" w14:textId="77777777" w:rsidR="00D664CB" w:rsidRPr="00D91062" w:rsidRDefault="00D664CB" w:rsidP="00D664CB">
            <w:pPr>
              <w:spacing w:before="0" w:after="0"/>
              <w:jc w:val="center"/>
              <w:rPr>
                <w:b/>
                <w:noProof/>
                <w:color w:val="000000"/>
                <w:sz w:val="22"/>
              </w:rPr>
            </w:pPr>
            <w:r w:rsidRPr="00D91062">
              <w:rPr>
                <w:b/>
                <w:noProof/>
                <w:color w:val="000000"/>
                <w:sz w:val="22"/>
              </w:rPr>
              <w:t>pentru DG CNECT</w:t>
            </w:r>
          </w:p>
        </w:tc>
        <w:tc>
          <w:tcPr>
            <w:tcW w:w="451" w:type="pct"/>
            <w:tcBorders>
              <w:top w:val="nil"/>
              <w:left w:val="nil"/>
              <w:bottom w:val="single" w:sz="8" w:space="0" w:color="auto"/>
              <w:right w:val="single" w:sz="8" w:space="0" w:color="auto"/>
            </w:tcBorders>
            <w:vAlign w:val="center"/>
            <w:hideMark/>
          </w:tcPr>
          <w:p w14:paraId="14902008" w14:textId="77777777" w:rsidR="00D664CB" w:rsidRPr="00D91062" w:rsidRDefault="00D664CB" w:rsidP="00D664CB">
            <w:pPr>
              <w:spacing w:before="0" w:after="0"/>
              <w:rPr>
                <w:noProof/>
                <w:color w:val="000000"/>
                <w:sz w:val="18"/>
              </w:rPr>
            </w:pPr>
            <w:r w:rsidRPr="00D91062">
              <w:rPr>
                <w:noProof/>
                <w:color w:val="000000"/>
                <w:sz w:val="18"/>
              </w:rPr>
              <w:t>Plăți</w:t>
            </w:r>
          </w:p>
        </w:tc>
        <w:tc>
          <w:tcPr>
            <w:tcW w:w="291" w:type="pct"/>
            <w:tcBorders>
              <w:top w:val="nil"/>
              <w:left w:val="nil"/>
              <w:bottom w:val="single" w:sz="8" w:space="0" w:color="auto"/>
              <w:right w:val="single" w:sz="8" w:space="0" w:color="auto"/>
            </w:tcBorders>
            <w:vAlign w:val="center"/>
            <w:hideMark/>
          </w:tcPr>
          <w:p w14:paraId="78298F25" w14:textId="77777777" w:rsidR="00D664CB" w:rsidRPr="00D91062" w:rsidRDefault="00D664CB" w:rsidP="00D664CB">
            <w:pPr>
              <w:spacing w:before="0" w:after="0"/>
              <w:jc w:val="center"/>
              <w:rPr>
                <w:noProof/>
                <w:color w:val="000000"/>
                <w:sz w:val="14"/>
              </w:rPr>
            </w:pPr>
            <w:r w:rsidRPr="00D91062">
              <w:rPr>
                <w:noProof/>
                <w:color w:val="000000"/>
                <w:sz w:val="14"/>
              </w:rPr>
              <w:t>=2a+2b+3</w:t>
            </w:r>
          </w:p>
        </w:tc>
        <w:tc>
          <w:tcPr>
            <w:tcW w:w="406"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6D658024" w14:textId="77777777" w:rsidR="00D664CB" w:rsidRPr="00D91062" w:rsidRDefault="00D664CB" w:rsidP="00D664CB">
            <w:pPr>
              <w:spacing w:before="0" w:after="0"/>
              <w:jc w:val="right"/>
              <w:rPr>
                <w:b/>
                <w:noProof/>
                <w:color w:val="000000"/>
                <w:sz w:val="20"/>
              </w:rPr>
            </w:pPr>
          </w:p>
        </w:tc>
        <w:tc>
          <w:tcPr>
            <w:tcW w:w="444" w:type="pct"/>
            <w:gridSpan w:val="2"/>
            <w:tcBorders>
              <w:top w:val="nil"/>
              <w:left w:val="nil"/>
              <w:bottom w:val="single" w:sz="8" w:space="0" w:color="auto"/>
              <w:right w:val="single" w:sz="8" w:space="0" w:color="auto"/>
            </w:tcBorders>
            <w:shd w:val="clear" w:color="auto" w:fill="D9D9D9" w:themeFill="background1" w:themeFillShade="D9"/>
            <w:vAlign w:val="center"/>
            <w:hideMark/>
          </w:tcPr>
          <w:p w14:paraId="69F1CF19" w14:textId="77777777" w:rsidR="00D664CB" w:rsidRPr="00D91062" w:rsidRDefault="00D664CB" w:rsidP="00D664CB">
            <w:pPr>
              <w:spacing w:before="0" w:after="0"/>
              <w:jc w:val="right"/>
              <w:rPr>
                <w:b/>
                <w:noProof/>
                <w:color w:val="000000"/>
                <w:sz w:val="20"/>
                <w:szCs w:val="20"/>
              </w:rPr>
            </w:pPr>
            <w:r w:rsidRPr="00D91062">
              <w:rPr>
                <w:b/>
                <w:noProof/>
                <w:color w:val="000000" w:themeColor="text1"/>
                <w:sz w:val="20"/>
              </w:rPr>
              <w:t>0,300</w:t>
            </w:r>
          </w:p>
        </w:tc>
        <w:tc>
          <w:tcPr>
            <w:tcW w:w="444" w:type="pct"/>
            <w:tcBorders>
              <w:top w:val="nil"/>
              <w:left w:val="nil"/>
              <w:bottom w:val="single" w:sz="8" w:space="0" w:color="auto"/>
              <w:right w:val="single" w:sz="8" w:space="0" w:color="auto"/>
            </w:tcBorders>
            <w:shd w:val="clear" w:color="auto" w:fill="D9D9D9" w:themeFill="background1" w:themeFillShade="D9"/>
            <w:vAlign w:val="center"/>
            <w:hideMark/>
          </w:tcPr>
          <w:p w14:paraId="7CA2F32E" w14:textId="77777777" w:rsidR="00D664CB" w:rsidRPr="00D91062" w:rsidRDefault="00D664CB" w:rsidP="00D664CB">
            <w:pPr>
              <w:spacing w:before="0" w:after="0"/>
              <w:jc w:val="right"/>
              <w:rPr>
                <w:b/>
                <w:bCs/>
                <w:noProof/>
                <w:color w:val="000000"/>
                <w:sz w:val="20"/>
                <w:szCs w:val="20"/>
              </w:rPr>
            </w:pPr>
          </w:p>
        </w:tc>
        <w:tc>
          <w:tcPr>
            <w:tcW w:w="444" w:type="pct"/>
            <w:tcBorders>
              <w:top w:val="nil"/>
              <w:left w:val="nil"/>
              <w:bottom w:val="single" w:sz="8" w:space="0" w:color="auto"/>
              <w:right w:val="single" w:sz="8" w:space="0" w:color="auto"/>
            </w:tcBorders>
            <w:shd w:val="clear" w:color="auto" w:fill="D9D9D9" w:themeFill="background1" w:themeFillShade="D9"/>
            <w:vAlign w:val="center"/>
            <w:hideMark/>
          </w:tcPr>
          <w:p w14:paraId="12582AA5" w14:textId="77777777" w:rsidR="00D664CB" w:rsidRPr="00D91062" w:rsidRDefault="00D664CB" w:rsidP="00D664CB">
            <w:pPr>
              <w:spacing w:before="0" w:after="0"/>
              <w:jc w:val="right"/>
              <w:rPr>
                <w:b/>
                <w:bCs/>
                <w:noProof/>
                <w:color w:val="000000"/>
                <w:sz w:val="20"/>
                <w:szCs w:val="20"/>
              </w:rPr>
            </w:pPr>
          </w:p>
        </w:tc>
        <w:tc>
          <w:tcPr>
            <w:tcW w:w="444" w:type="pct"/>
            <w:tcBorders>
              <w:top w:val="nil"/>
              <w:left w:val="nil"/>
              <w:bottom w:val="single" w:sz="8" w:space="0" w:color="auto"/>
              <w:right w:val="single" w:sz="8" w:space="0" w:color="auto"/>
            </w:tcBorders>
            <w:shd w:val="clear" w:color="auto" w:fill="D9D9D9" w:themeFill="background1" w:themeFillShade="D9"/>
            <w:vAlign w:val="center"/>
            <w:hideMark/>
          </w:tcPr>
          <w:p w14:paraId="5B68A407" w14:textId="77777777" w:rsidR="00D664CB" w:rsidRPr="00D91062" w:rsidRDefault="00D664CB" w:rsidP="00D664CB">
            <w:pPr>
              <w:spacing w:before="0" w:after="0"/>
              <w:jc w:val="right"/>
              <w:rPr>
                <w:b/>
                <w:bCs/>
                <w:noProof/>
                <w:color w:val="000000"/>
                <w:sz w:val="20"/>
                <w:szCs w:val="20"/>
              </w:rPr>
            </w:pPr>
          </w:p>
        </w:tc>
        <w:tc>
          <w:tcPr>
            <w:tcW w:w="444" w:type="pct"/>
            <w:tcBorders>
              <w:top w:val="nil"/>
              <w:left w:val="nil"/>
              <w:bottom w:val="single" w:sz="8" w:space="0" w:color="auto"/>
              <w:right w:val="single" w:sz="8" w:space="0" w:color="auto"/>
            </w:tcBorders>
            <w:shd w:val="clear" w:color="auto" w:fill="D9D9D9" w:themeFill="background1" w:themeFillShade="D9"/>
            <w:vAlign w:val="center"/>
            <w:hideMark/>
          </w:tcPr>
          <w:p w14:paraId="58698133" w14:textId="77777777" w:rsidR="00D664CB" w:rsidRPr="00D91062" w:rsidRDefault="00D664CB" w:rsidP="00D664CB">
            <w:pPr>
              <w:spacing w:before="0" w:after="0"/>
              <w:jc w:val="right"/>
              <w:rPr>
                <w:b/>
                <w:bCs/>
                <w:noProof/>
                <w:color w:val="000000"/>
                <w:sz w:val="20"/>
                <w:szCs w:val="20"/>
              </w:rPr>
            </w:pPr>
          </w:p>
        </w:tc>
        <w:tc>
          <w:tcPr>
            <w:tcW w:w="444" w:type="pct"/>
            <w:tcBorders>
              <w:top w:val="nil"/>
              <w:left w:val="nil"/>
              <w:bottom w:val="single" w:sz="8" w:space="0" w:color="auto"/>
              <w:right w:val="single" w:sz="8" w:space="0" w:color="auto"/>
            </w:tcBorders>
            <w:shd w:val="clear" w:color="auto" w:fill="D9D9D9" w:themeFill="background1" w:themeFillShade="D9"/>
            <w:vAlign w:val="center"/>
            <w:hideMark/>
          </w:tcPr>
          <w:p w14:paraId="628E6781" w14:textId="77777777" w:rsidR="00D664CB" w:rsidRPr="00D91062" w:rsidRDefault="00D664CB" w:rsidP="00D664CB">
            <w:pPr>
              <w:spacing w:before="0" w:after="0"/>
              <w:jc w:val="right"/>
              <w:rPr>
                <w:b/>
                <w:bCs/>
                <w:noProof/>
                <w:color w:val="000000"/>
                <w:sz w:val="20"/>
                <w:szCs w:val="20"/>
              </w:rPr>
            </w:pPr>
          </w:p>
        </w:tc>
        <w:tc>
          <w:tcPr>
            <w:tcW w:w="311" w:type="pct"/>
            <w:tcBorders>
              <w:top w:val="nil"/>
              <w:left w:val="nil"/>
              <w:bottom w:val="single" w:sz="8" w:space="0" w:color="auto"/>
              <w:right w:val="single" w:sz="8" w:space="0" w:color="auto"/>
            </w:tcBorders>
            <w:shd w:val="clear" w:color="auto" w:fill="D9D9D9" w:themeFill="background1" w:themeFillShade="D9"/>
            <w:vAlign w:val="center"/>
            <w:hideMark/>
          </w:tcPr>
          <w:p w14:paraId="0C25A1DF" w14:textId="77777777" w:rsidR="00D664CB" w:rsidRPr="00D91062" w:rsidRDefault="00D664CB" w:rsidP="00D664CB">
            <w:pPr>
              <w:spacing w:before="0" w:after="0"/>
              <w:jc w:val="right"/>
              <w:rPr>
                <w:b/>
                <w:bCs/>
                <w:noProof/>
                <w:color w:val="000000"/>
                <w:sz w:val="20"/>
                <w:szCs w:val="20"/>
              </w:rPr>
            </w:pPr>
            <w:r w:rsidRPr="00D91062">
              <w:rPr>
                <w:b/>
                <w:noProof/>
                <w:color w:val="000000" w:themeColor="text1"/>
                <w:sz w:val="20"/>
              </w:rPr>
              <w:t>0,300</w:t>
            </w:r>
          </w:p>
        </w:tc>
      </w:tr>
    </w:tbl>
    <w:p w14:paraId="471B3549" w14:textId="77777777" w:rsidR="00D664CB" w:rsidRPr="00D91062" w:rsidRDefault="00D664CB" w:rsidP="00D664CB">
      <w:pPr>
        <w:rPr>
          <w:noProof/>
          <w:sz w:val="16"/>
        </w:rPr>
      </w:pPr>
    </w:p>
    <w:tbl>
      <w:tblPr>
        <w:tblW w:w="5441" w:type="pct"/>
        <w:tblLook w:val="04A0" w:firstRow="1" w:lastRow="0" w:firstColumn="1" w:lastColumn="0" w:noHBand="0" w:noVBand="1"/>
      </w:tblPr>
      <w:tblGrid>
        <w:gridCol w:w="2185"/>
        <w:gridCol w:w="1671"/>
        <w:gridCol w:w="1071"/>
        <w:gridCol w:w="19"/>
        <w:gridCol w:w="1130"/>
        <w:gridCol w:w="1148"/>
        <w:gridCol w:w="1148"/>
        <w:gridCol w:w="1148"/>
        <w:gridCol w:w="1148"/>
        <w:gridCol w:w="1148"/>
        <w:gridCol w:w="1148"/>
        <w:gridCol w:w="1260"/>
        <w:gridCol w:w="1250"/>
      </w:tblGrid>
      <w:tr w:rsidR="00D664CB" w:rsidRPr="00D91062" w14:paraId="55A3CEC0" w14:textId="77777777" w:rsidTr="00A2361B">
        <w:trPr>
          <w:gridAfter w:val="1"/>
          <w:wAfter w:w="405" w:type="pct"/>
          <w:trHeight w:val="410"/>
        </w:trPr>
        <w:tc>
          <w:tcPr>
            <w:tcW w:w="1592" w:type="pct"/>
            <w:gridSpan w:val="3"/>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79D80237" w14:textId="77777777" w:rsidR="00D664CB" w:rsidRPr="00D91062" w:rsidRDefault="00D664CB" w:rsidP="00D664CB">
            <w:pPr>
              <w:spacing w:before="0" w:after="0"/>
              <w:jc w:val="center"/>
              <w:rPr>
                <w:b/>
                <w:noProof/>
                <w:color w:val="000000"/>
                <w:sz w:val="22"/>
              </w:rPr>
            </w:pPr>
          </w:p>
        </w:tc>
        <w:tc>
          <w:tcPr>
            <w:tcW w:w="371" w:type="pct"/>
            <w:gridSpan w:val="2"/>
            <w:tcBorders>
              <w:top w:val="single" w:sz="8" w:space="0" w:color="auto"/>
              <w:left w:val="nil"/>
              <w:bottom w:val="single" w:sz="8" w:space="0" w:color="auto"/>
              <w:right w:val="single" w:sz="8" w:space="0" w:color="auto"/>
            </w:tcBorders>
            <w:vAlign w:val="center"/>
            <w:hideMark/>
          </w:tcPr>
          <w:p w14:paraId="6ED9E9DE" w14:textId="77777777" w:rsidR="00D664CB" w:rsidRPr="00D91062" w:rsidRDefault="00D664CB" w:rsidP="00D664CB">
            <w:pPr>
              <w:spacing w:before="0" w:after="0"/>
              <w:jc w:val="center"/>
              <w:rPr>
                <w:noProof/>
                <w:color w:val="000000"/>
                <w:sz w:val="20"/>
              </w:rPr>
            </w:pPr>
            <w:r w:rsidRPr="00D91062">
              <w:rPr>
                <w:noProof/>
                <w:color w:val="000000"/>
                <w:sz w:val="20"/>
              </w:rPr>
              <w:t>Anul</w:t>
            </w:r>
          </w:p>
        </w:tc>
        <w:tc>
          <w:tcPr>
            <w:tcW w:w="371" w:type="pct"/>
            <w:tcBorders>
              <w:top w:val="single" w:sz="8" w:space="0" w:color="auto"/>
              <w:left w:val="nil"/>
              <w:bottom w:val="single" w:sz="8" w:space="0" w:color="auto"/>
              <w:right w:val="single" w:sz="8" w:space="0" w:color="auto"/>
            </w:tcBorders>
            <w:vAlign w:val="center"/>
            <w:hideMark/>
          </w:tcPr>
          <w:p w14:paraId="38EDED73" w14:textId="77777777" w:rsidR="00D664CB" w:rsidRPr="00D91062" w:rsidRDefault="00D664CB" w:rsidP="00D664CB">
            <w:pPr>
              <w:spacing w:before="0" w:after="0"/>
              <w:jc w:val="center"/>
              <w:rPr>
                <w:noProof/>
                <w:color w:val="000000"/>
                <w:sz w:val="20"/>
              </w:rPr>
            </w:pPr>
            <w:r w:rsidRPr="00D91062">
              <w:rPr>
                <w:noProof/>
                <w:color w:val="000000"/>
                <w:sz w:val="20"/>
              </w:rPr>
              <w:t>Anul</w:t>
            </w:r>
          </w:p>
        </w:tc>
        <w:tc>
          <w:tcPr>
            <w:tcW w:w="371" w:type="pct"/>
            <w:tcBorders>
              <w:top w:val="single" w:sz="8" w:space="0" w:color="auto"/>
              <w:left w:val="nil"/>
              <w:bottom w:val="single" w:sz="8" w:space="0" w:color="auto"/>
              <w:right w:val="single" w:sz="8" w:space="0" w:color="auto"/>
            </w:tcBorders>
            <w:vAlign w:val="center"/>
            <w:hideMark/>
          </w:tcPr>
          <w:p w14:paraId="1ABB1BBD" w14:textId="77777777" w:rsidR="00D664CB" w:rsidRPr="00D91062" w:rsidRDefault="00D664CB" w:rsidP="00D664CB">
            <w:pPr>
              <w:spacing w:before="0" w:after="0"/>
              <w:jc w:val="center"/>
              <w:rPr>
                <w:noProof/>
                <w:color w:val="000000"/>
                <w:sz w:val="20"/>
              </w:rPr>
            </w:pPr>
            <w:r w:rsidRPr="00D91062">
              <w:rPr>
                <w:noProof/>
                <w:color w:val="000000"/>
                <w:sz w:val="20"/>
              </w:rPr>
              <w:t>Anul</w:t>
            </w:r>
          </w:p>
        </w:tc>
        <w:tc>
          <w:tcPr>
            <w:tcW w:w="371" w:type="pct"/>
            <w:tcBorders>
              <w:top w:val="single" w:sz="8" w:space="0" w:color="auto"/>
              <w:left w:val="nil"/>
              <w:bottom w:val="single" w:sz="8" w:space="0" w:color="auto"/>
              <w:right w:val="single" w:sz="8" w:space="0" w:color="auto"/>
            </w:tcBorders>
            <w:vAlign w:val="center"/>
            <w:hideMark/>
          </w:tcPr>
          <w:p w14:paraId="1723D5AA" w14:textId="77777777" w:rsidR="00D664CB" w:rsidRPr="00D91062" w:rsidRDefault="00D664CB" w:rsidP="00D664CB">
            <w:pPr>
              <w:spacing w:before="0" w:after="0"/>
              <w:jc w:val="center"/>
              <w:rPr>
                <w:noProof/>
                <w:color w:val="000000"/>
                <w:sz w:val="20"/>
              </w:rPr>
            </w:pPr>
            <w:r w:rsidRPr="00D91062">
              <w:rPr>
                <w:noProof/>
                <w:color w:val="000000"/>
                <w:sz w:val="20"/>
              </w:rPr>
              <w:t>Anul</w:t>
            </w:r>
          </w:p>
        </w:tc>
        <w:tc>
          <w:tcPr>
            <w:tcW w:w="371" w:type="pct"/>
            <w:tcBorders>
              <w:top w:val="single" w:sz="8" w:space="0" w:color="auto"/>
              <w:left w:val="nil"/>
              <w:bottom w:val="single" w:sz="8" w:space="0" w:color="auto"/>
              <w:right w:val="single" w:sz="8" w:space="0" w:color="auto"/>
            </w:tcBorders>
            <w:vAlign w:val="center"/>
            <w:hideMark/>
          </w:tcPr>
          <w:p w14:paraId="54C8907B" w14:textId="77777777" w:rsidR="00D664CB" w:rsidRPr="00D91062" w:rsidRDefault="00D664CB" w:rsidP="00D664CB">
            <w:pPr>
              <w:spacing w:before="0" w:after="0"/>
              <w:jc w:val="center"/>
              <w:rPr>
                <w:noProof/>
                <w:color w:val="000000"/>
                <w:sz w:val="20"/>
              </w:rPr>
            </w:pPr>
            <w:r w:rsidRPr="00D91062">
              <w:rPr>
                <w:noProof/>
                <w:color w:val="000000"/>
                <w:sz w:val="20"/>
              </w:rPr>
              <w:t>Anul</w:t>
            </w:r>
          </w:p>
        </w:tc>
        <w:tc>
          <w:tcPr>
            <w:tcW w:w="371" w:type="pct"/>
            <w:tcBorders>
              <w:top w:val="single" w:sz="8" w:space="0" w:color="auto"/>
              <w:left w:val="nil"/>
              <w:bottom w:val="single" w:sz="8" w:space="0" w:color="auto"/>
              <w:right w:val="single" w:sz="8" w:space="0" w:color="auto"/>
            </w:tcBorders>
            <w:vAlign w:val="center"/>
            <w:hideMark/>
          </w:tcPr>
          <w:p w14:paraId="2D5BA197" w14:textId="77777777" w:rsidR="00D664CB" w:rsidRPr="00D91062" w:rsidRDefault="00D664CB" w:rsidP="00D664CB">
            <w:pPr>
              <w:spacing w:before="0" w:after="0"/>
              <w:jc w:val="center"/>
              <w:rPr>
                <w:noProof/>
                <w:color w:val="000000"/>
                <w:sz w:val="20"/>
              </w:rPr>
            </w:pPr>
            <w:r w:rsidRPr="00D91062">
              <w:rPr>
                <w:noProof/>
                <w:color w:val="000000"/>
                <w:sz w:val="20"/>
              </w:rPr>
              <w:t>Anul</w:t>
            </w:r>
          </w:p>
        </w:tc>
        <w:tc>
          <w:tcPr>
            <w:tcW w:w="371" w:type="pct"/>
            <w:tcBorders>
              <w:top w:val="single" w:sz="8" w:space="0" w:color="auto"/>
              <w:left w:val="nil"/>
              <w:bottom w:val="single" w:sz="8" w:space="0" w:color="auto"/>
              <w:right w:val="single" w:sz="8" w:space="0" w:color="auto"/>
            </w:tcBorders>
            <w:vAlign w:val="center"/>
            <w:hideMark/>
          </w:tcPr>
          <w:p w14:paraId="2F52EEB4" w14:textId="77777777" w:rsidR="00D664CB" w:rsidRPr="00D91062" w:rsidRDefault="00D664CB" w:rsidP="00D664CB">
            <w:pPr>
              <w:spacing w:before="0" w:after="0"/>
              <w:jc w:val="center"/>
              <w:rPr>
                <w:noProof/>
                <w:color w:val="000000"/>
                <w:sz w:val="20"/>
              </w:rPr>
            </w:pPr>
            <w:r w:rsidRPr="00D91062">
              <w:rPr>
                <w:noProof/>
                <w:color w:val="000000"/>
                <w:sz w:val="20"/>
              </w:rPr>
              <w:t>Anul</w:t>
            </w:r>
          </w:p>
        </w:tc>
        <w:tc>
          <w:tcPr>
            <w:tcW w:w="405"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1B9C48DC" w14:textId="77777777" w:rsidR="00D664CB" w:rsidRPr="00D91062" w:rsidRDefault="00D664CB" w:rsidP="00D664CB">
            <w:pPr>
              <w:spacing w:before="0" w:after="0"/>
              <w:jc w:val="center"/>
              <w:rPr>
                <w:b/>
                <w:noProof/>
                <w:color w:val="000000"/>
                <w:sz w:val="20"/>
              </w:rPr>
            </w:pPr>
            <w:r w:rsidRPr="00D91062">
              <w:rPr>
                <w:b/>
                <w:noProof/>
                <w:color w:val="000000"/>
                <w:sz w:val="20"/>
              </w:rPr>
              <w:t>TOTAL CFM 2028-2034</w:t>
            </w:r>
          </w:p>
        </w:tc>
      </w:tr>
      <w:tr w:rsidR="00D664CB" w:rsidRPr="00D91062" w14:paraId="1B56A99E" w14:textId="77777777" w:rsidTr="00A2361B">
        <w:trPr>
          <w:gridAfter w:val="1"/>
          <w:wAfter w:w="405" w:type="pct"/>
          <w:trHeight w:val="300"/>
        </w:trPr>
        <w:tc>
          <w:tcPr>
            <w:tcW w:w="1592" w:type="pct"/>
            <w:gridSpan w:val="3"/>
            <w:vMerge/>
            <w:vAlign w:val="center"/>
            <w:hideMark/>
          </w:tcPr>
          <w:p w14:paraId="083F89C0" w14:textId="77777777" w:rsidR="00D664CB" w:rsidRPr="00D91062" w:rsidRDefault="00D664CB" w:rsidP="00D664CB">
            <w:pPr>
              <w:spacing w:before="0" w:after="0"/>
              <w:jc w:val="left"/>
              <w:rPr>
                <w:b/>
                <w:noProof/>
                <w:color w:val="000000"/>
                <w:sz w:val="22"/>
              </w:rPr>
            </w:pPr>
          </w:p>
        </w:tc>
        <w:tc>
          <w:tcPr>
            <w:tcW w:w="371" w:type="pct"/>
            <w:gridSpan w:val="2"/>
            <w:tcBorders>
              <w:top w:val="nil"/>
              <w:left w:val="nil"/>
              <w:bottom w:val="single" w:sz="8" w:space="0" w:color="auto"/>
              <w:right w:val="single" w:sz="8" w:space="0" w:color="auto"/>
            </w:tcBorders>
            <w:vAlign w:val="center"/>
            <w:hideMark/>
          </w:tcPr>
          <w:p w14:paraId="089430BE" w14:textId="77777777" w:rsidR="00D664CB" w:rsidRPr="00D91062" w:rsidRDefault="00D664CB" w:rsidP="00D664CB">
            <w:pPr>
              <w:spacing w:before="0" w:after="0"/>
              <w:jc w:val="center"/>
              <w:rPr>
                <w:b/>
                <w:noProof/>
                <w:color w:val="000000"/>
                <w:sz w:val="20"/>
              </w:rPr>
            </w:pPr>
            <w:r w:rsidRPr="00D91062">
              <w:rPr>
                <w:b/>
                <w:noProof/>
                <w:color w:val="000000"/>
                <w:sz w:val="20"/>
              </w:rPr>
              <w:t>2028</w:t>
            </w:r>
          </w:p>
        </w:tc>
        <w:tc>
          <w:tcPr>
            <w:tcW w:w="371" w:type="pct"/>
            <w:tcBorders>
              <w:top w:val="nil"/>
              <w:left w:val="nil"/>
              <w:bottom w:val="single" w:sz="8" w:space="0" w:color="auto"/>
              <w:right w:val="single" w:sz="8" w:space="0" w:color="auto"/>
            </w:tcBorders>
            <w:vAlign w:val="center"/>
            <w:hideMark/>
          </w:tcPr>
          <w:p w14:paraId="381EA006" w14:textId="77777777" w:rsidR="00D664CB" w:rsidRPr="00D91062" w:rsidRDefault="00D664CB" w:rsidP="00D664CB">
            <w:pPr>
              <w:spacing w:before="0" w:after="0"/>
              <w:jc w:val="center"/>
              <w:rPr>
                <w:b/>
                <w:noProof/>
                <w:color w:val="000000"/>
                <w:sz w:val="20"/>
              </w:rPr>
            </w:pPr>
            <w:r w:rsidRPr="00D91062">
              <w:rPr>
                <w:b/>
                <w:noProof/>
                <w:color w:val="000000"/>
                <w:sz w:val="20"/>
              </w:rPr>
              <w:t>2029</w:t>
            </w:r>
          </w:p>
        </w:tc>
        <w:tc>
          <w:tcPr>
            <w:tcW w:w="371" w:type="pct"/>
            <w:tcBorders>
              <w:top w:val="nil"/>
              <w:left w:val="nil"/>
              <w:bottom w:val="single" w:sz="8" w:space="0" w:color="auto"/>
              <w:right w:val="single" w:sz="8" w:space="0" w:color="auto"/>
            </w:tcBorders>
            <w:vAlign w:val="center"/>
            <w:hideMark/>
          </w:tcPr>
          <w:p w14:paraId="09EDC619" w14:textId="77777777" w:rsidR="00D664CB" w:rsidRPr="00D91062" w:rsidRDefault="00D664CB" w:rsidP="00D664CB">
            <w:pPr>
              <w:spacing w:before="0" w:after="0"/>
              <w:jc w:val="center"/>
              <w:rPr>
                <w:b/>
                <w:noProof/>
                <w:color w:val="000000"/>
                <w:sz w:val="20"/>
              </w:rPr>
            </w:pPr>
            <w:r w:rsidRPr="00D91062">
              <w:rPr>
                <w:b/>
                <w:noProof/>
                <w:color w:val="000000"/>
                <w:sz w:val="20"/>
              </w:rPr>
              <w:t>2030</w:t>
            </w:r>
          </w:p>
        </w:tc>
        <w:tc>
          <w:tcPr>
            <w:tcW w:w="371" w:type="pct"/>
            <w:tcBorders>
              <w:top w:val="nil"/>
              <w:left w:val="nil"/>
              <w:bottom w:val="single" w:sz="8" w:space="0" w:color="auto"/>
              <w:right w:val="single" w:sz="8" w:space="0" w:color="auto"/>
            </w:tcBorders>
            <w:vAlign w:val="center"/>
            <w:hideMark/>
          </w:tcPr>
          <w:p w14:paraId="01D55E3D" w14:textId="77777777" w:rsidR="00D664CB" w:rsidRPr="00D91062" w:rsidRDefault="00D664CB" w:rsidP="00D664CB">
            <w:pPr>
              <w:spacing w:before="0" w:after="0"/>
              <w:jc w:val="center"/>
              <w:rPr>
                <w:b/>
                <w:noProof/>
                <w:color w:val="000000"/>
                <w:sz w:val="20"/>
              </w:rPr>
            </w:pPr>
            <w:r w:rsidRPr="00D91062">
              <w:rPr>
                <w:b/>
                <w:noProof/>
                <w:color w:val="000000"/>
                <w:sz w:val="20"/>
              </w:rPr>
              <w:t>2031</w:t>
            </w:r>
          </w:p>
        </w:tc>
        <w:tc>
          <w:tcPr>
            <w:tcW w:w="371" w:type="pct"/>
            <w:tcBorders>
              <w:top w:val="nil"/>
              <w:left w:val="nil"/>
              <w:bottom w:val="single" w:sz="8" w:space="0" w:color="auto"/>
              <w:right w:val="single" w:sz="8" w:space="0" w:color="auto"/>
            </w:tcBorders>
            <w:vAlign w:val="center"/>
            <w:hideMark/>
          </w:tcPr>
          <w:p w14:paraId="718D03A1" w14:textId="77777777" w:rsidR="00D664CB" w:rsidRPr="00D91062" w:rsidRDefault="00D664CB" w:rsidP="00D664CB">
            <w:pPr>
              <w:spacing w:before="0" w:after="0"/>
              <w:jc w:val="center"/>
              <w:rPr>
                <w:b/>
                <w:noProof/>
                <w:color w:val="000000"/>
                <w:sz w:val="20"/>
              </w:rPr>
            </w:pPr>
            <w:r w:rsidRPr="00D91062">
              <w:rPr>
                <w:b/>
                <w:noProof/>
                <w:color w:val="000000"/>
                <w:sz w:val="20"/>
              </w:rPr>
              <w:t>2032</w:t>
            </w:r>
          </w:p>
        </w:tc>
        <w:tc>
          <w:tcPr>
            <w:tcW w:w="371" w:type="pct"/>
            <w:tcBorders>
              <w:top w:val="nil"/>
              <w:left w:val="nil"/>
              <w:bottom w:val="single" w:sz="8" w:space="0" w:color="auto"/>
              <w:right w:val="single" w:sz="8" w:space="0" w:color="auto"/>
            </w:tcBorders>
            <w:vAlign w:val="center"/>
            <w:hideMark/>
          </w:tcPr>
          <w:p w14:paraId="49D11D8B" w14:textId="77777777" w:rsidR="00D664CB" w:rsidRPr="00D91062" w:rsidRDefault="00D664CB" w:rsidP="00D664CB">
            <w:pPr>
              <w:spacing w:before="0" w:after="0"/>
              <w:jc w:val="center"/>
              <w:rPr>
                <w:b/>
                <w:noProof/>
                <w:color w:val="000000"/>
                <w:sz w:val="20"/>
              </w:rPr>
            </w:pPr>
            <w:r w:rsidRPr="00D91062">
              <w:rPr>
                <w:b/>
                <w:noProof/>
                <w:color w:val="000000"/>
                <w:sz w:val="20"/>
              </w:rPr>
              <w:t>2033</w:t>
            </w:r>
          </w:p>
        </w:tc>
        <w:tc>
          <w:tcPr>
            <w:tcW w:w="371" w:type="pct"/>
            <w:tcBorders>
              <w:top w:val="nil"/>
              <w:left w:val="nil"/>
              <w:bottom w:val="single" w:sz="8" w:space="0" w:color="auto"/>
              <w:right w:val="single" w:sz="8" w:space="0" w:color="auto"/>
            </w:tcBorders>
            <w:vAlign w:val="center"/>
            <w:hideMark/>
          </w:tcPr>
          <w:p w14:paraId="7667372F" w14:textId="77777777" w:rsidR="00D664CB" w:rsidRPr="00D91062" w:rsidRDefault="00D664CB" w:rsidP="00D664CB">
            <w:pPr>
              <w:spacing w:before="0" w:after="0"/>
              <w:jc w:val="center"/>
              <w:rPr>
                <w:b/>
                <w:noProof/>
                <w:color w:val="000000"/>
                <w:sz w:val="20"/>
              </w:rPr>
            </w:pPr>
            <w:r w:rsidRPr="00D91062">
              <w:rPr>
                <w:b/>
                <w:noProof/>
                <w:color w:val="000000"/>
                <w:sz w:val="20"/>
              </w:rPr>
              <w:t>2034</w:t>
            </w:r>
          </w:p>
        </w:tc>
        <w:tc>
          <w:tcPr>
            <w:tcW w:w="405" w:type="pct"/>
            <w:vMerge/>
            <w:vAlign w:val="center"/>
            <w:hideMark/>
          </w:tcPr>
          <w:p w14:paraId="70BCF02C" w14:textId="77777777" w:rsidR="00D664CB" w:rsidRPr="00D91062" w:rsidRDefault="00D664CB" w:rsidP="00D664CB">
            <w:pPr>
              <w:spacing w:before="0" w:after="0"/>
              <w:jc w:val="left"/>
              <w:rPr>
                <w:b/>
                <w:noProof/>
                <w:color w:val="000000"/>
                <w:sz w:val="20"/>
              </w:rPr>
            </w:pPr>
          </w:p>
        </w:tc>
      </w:tr>
      <w:tr w:rsidR="00D664CB" w:rsidRPr="00D91062" w14:paraId="458F1377" w14:textId="77777777" w:rsidTr="00A2361B">
        <w:trPr>
          <w:gridAfter w:val="1"/>
          <w:wAfter w:w="405" w:type="pct"/>
          <w:trHeight w:val="860"/>
        </w:trPr>
        <w:tc>
          <w:tcPr>
            <w:tcW w:w="706" w:type="pct"/>
            <w:vMerge w:val="restart"/>
            <w:tcBorders>
              <w:top w:val="nil"/>
              <w:left w:val="single" w:sz="8" w:space="0" w:color="auto"/>
              <w:bottom w:val="single" w:sz="8" w:space="0" w:color="000000" w:themeColor="text1"/>
              <w:right w:val="single" w:sz="8" w:space="0" w:color="auto"/>
            </w:tcBorders>
            <w:vAlign w:val="center"/>
            <w:hideMark/>
          </w:tcPr>
          <w:p w14:paraId="66B5DFF2" w14:textId="77777777" w:rsidR="00D664CB" w:rsidRPr="00D91062" w:rsidRDefault="00D664CB" w:rsidP="00D664CB">
            <w:pPr>
              <w:spacing w:before="0" w:after="0"/>
              <w:rPr>
                <w:noProof/>
                <w:color w:val="000000"/>
                <w:sz w:val="21"/>
                <w:szCs w:val="21"/>
              </w:rPr>
            </w:pPr>
          </w:p>
        </w:tc>
        <w:tc>
          <w:tcPr>
            <w:tcW w:w="539" w:type="pct"/>
            <w:tcBorders>
              <w:top w:val="nil"/>
              <w:left w:val="nil"/>
              <w:bottom w:val="single" w:sz="8" w:space="0" w:color="auto"/>
              <w:right w:val="single" w:sz="8" w:space="0" w:color="auto"/>
            </w:tcBorders>
            <w:vAlign w:val="center"/>
            <w:hideMark/>
          </w:tcPr>
          <w:p w14:paraId="6A5D470A" w14:textId="77777777" w:rsidR="00D664CB" w:rsidRPr="00D91062" w:rsidRDefault="00D664CB" w:rsidP="00D664CB">
            <w:pPr>
              <w:spacing w:before="0" w:after="0"/>
              <w:rPr>
                <w:noProof/>
                <w:color w:val="000000"/>
                <w:sz w:val="18"/>
                <w:szCs w:val="18"/>
              </w:rPr>
            </w:pPr>
          </w:p>
        </w:tc>
        <w:tc>
          <w:tcPr>
            <w:tcW w:w="346" w:type="pct"/>
            <w:tcBorders>
              <w:top w:val="nil"/>
              <w:left w:val="nil"/>
              <w:bottom w:val="single" w:sz="8" w:space="0" w:color="auto"/>
              <w:right w:val="single" w:sz="8" w:space="0" w:color="auto"/>
            </w:tcBorders>
            <w:vAlign w:val="center"/>
            <w:hideMark/>
          </w:tcPr>
          <w:p w14:paraId="177B3BB4" w14:textId="77777777" w:rsidR="00D664CB" w:rsidRPr="00D91062" w:rsidRDefault="00D664CB" w:rsidP="00D664CB">
            <w:pPr>
              <w:spacing w:before="0" w:after="0"/>
              <w:jc w:val="center"/>
              <w:rPr>
                <w:noProof/>
                <w:color w:val="000000"/>
                <w:sz w:val="14"/>
                <w:szCs w:val="14"/>
              </w:rPr>
            </w:pPr>
          </w:p>
        </w:tc>
        <w:tc>
          <w:tcPr>
            <w:tcW w:w="371" w:type="pct"/>
            <w:gridSpan w:val="2"/>
            <w:tcBorders>
              <w:top w:val="nil"/>
              <w:left w:val="nil"/>
              <w:bottom w:val="single" w:sz="8" w:space="0" w:color="auto"/>
              <w:right w:val="single" w:sz="8" w:space="0" w:color="auto"/>
            </w:tcBorders>
            <w:shd w:val="clear" w:color="auto" w:fill="D9D9D9" w:themeFill="background1" w:themeFillShade="D9"/>
            <w:vAlign w:val="center"/>
          </w:tcPr>
          <w:p w14:paraId="6DAE1F89" w14:textId="77777777" w:rsidR="00D664CB" w:rsidRPr="00D91062" w:rsidRDefault="00D664CB" w:rsidP="00D664CB">
            <w:pPr>
              <w:spacing w:before="0" w:after="0"/>
              <w:jc w:val="right"/>
              <w:rPr>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4BFCBEFC" w14:textId="77777777" w:rsidR="00D664CB" w:rsidRPr="00D91062" w:rsidRDefault="00D664CB" w:rsidP="00D664CB">
            <w:pPr>
              <w:spacing w:before="0" w:after="0"/>
              <w:jc w:val="right"/>
              <w:rPr>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3A3798E6" w14:textId="77777777" w:rsidR="00D664CB" w:rsidRPr="00D91062" w:rsidRDefault="00D664CB" w:rsidP="00D664CB">
            <w:pPr>
              <w:spacing w:before="0" w:after="0"/>
              <w:jc w:val="center"/>
              <w:rPr>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01F170BF" w14:textId="77777777" w:rsidR="00D664CB" w:rsidRPr="00D91062" w:rsidRDefault="00D664CB" w:rsidP="00D664CB">
            <w:pPr>
              <w:spacing w:before="0" w:after="0"/>
              <w:jc w:val="right"/>
              <w:rPr>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267F03EA" w14:textId="77777777" w:rsidR="00D664CB" w:rsidRPr="00D91062" w:rsidRDefault="00D664CB" w:rsidP="00D664CB">
            <w:pPr>
              <w:spacing w:before="0" w:after="0"/>
              <w:jc w:val="right"/>
              <w:rPr>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71C5E825" w14:textId="77777777" w:rsidR="00D664CB" w:rsidRPr="00D91062" w:rsidRDefault="00D664CB" w:rsidP="00D664CB">
            <w:pPr>
              <w:spacing w:before="0" w:after="0"/>
              <w:jc w:val="right"/>
              <w:rPr>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5067D6DD" w14:textId="77777777" w:rsidR="00D664CB" w:rsidRPr="00D91062" w:rsidRDefault="00D664CB" w:rsidP="00D664CB">
            <w:pPr>
              <w:spacing w:before="0" w:after="0"/>
              <w:jc w:val="right"/>
              <w:rPr>
                <w:noProof/>
                <w:color w:val="000000"/>
                <w:sz w:val="20"/>
              </w:rPr>
            </w:pPr>
          </w:p>
        </w:tc>
        <w:tc>
          <w:tcPr>
            <w:tcW w:w="405" w:type="pct"/>
            <w:tcBorders>
              <w:top w:val="nil"/>
              <w:left w:val="nil"/>
              <w:bottom w:val="single" w:sz="8" w:space="0" w:color="auto"/>
              <w:right w:val="single" w:sz="8" w:space="0" w:color="auto"/>
            </w:tcBorders>
            <w:shd w:val="clear" w:color="auto" w:fill="D9D9D9" w:themeFill="background1" w:themeFillShade="D9"/>
            <w:vAlign w:val="center"/>
          </w:tcPr>
          <w:p w14:paraId="3AAACD34" w14:textId="77777777" w:rsidR="00D664CB" w:rsidRPr="00D91062" w:rsidRDefault="00D664CB" w:rsidP="00D664CB">
            <w:pPr>
              <w:spacing w:before="0" w:after="0"/>
              <w:jc w:val="right"/>
              <w:rPr>
                <w:b/>
                <w:bCs/>
                <w:noProof/>
                <w:color w:val="000000"/>
                <w:sz w:val="20"/>
                <w:szCs w:val="20"/>
              </w:rPr>
            </w:pPr>
          </w:p>
        </w:tc>
      </w:tr>
      <w:tr w:rsidR="00D664CB" w:rsidRPr="00D91062" w14:paraId="00A1AD4F" w14:textId="77777777" w:rsidTr="00A2361B">
        <w:trPr>
          <w:gridAfter w:val="1"/>
          <w:wAfter w:w="405" w:type="pct"/>
          <w:trHeight w:val="300"/>
        </w:trPr>
        <w:tc>
          <w:tcPr>
            <w:tcW w:w="706" w:type="pct"/>
            <w:vMerge/>
            <w:vAlign w:val="center"/>
            <w:hideMark/>
          </w:tcPr>
          <w:p w14:paraId="1CEA9253" w14:textId="77777777" w:rsidR="00D664CB" w:rsidRPr="00D91062" w:rsidRDefault="00D664CB" w:rsidP="00D664CB">
            <w:pPr>
              <w:spacing w:before="0" w:after="0"/>
              <w:jc w:val="left"/>
              <w:rPr>
                <w:noProof/>
                <w:color w:val="000000"/>
                <w:sz w:val="21"/>
              </w:rPr>
            </w:pPr>
          </w:p>
        </w:tc>
        <w:tc>
          <w:tcPr>
            <w:tcW w:w="539" w:type="pct"/>
            <w:tcBorders>
              <w:top w:val="nil"/>
              <w:left w:val="nil"/>
              <w:bottom w:val="single" w:sz="8" w:space="0" w:color="auto"/>
              <w:right w:val="single" w:sz="8" w:space="0" w:color="auto"/>
            </w:tcBorders>
            <w:vAlign w:val="center"/>
            <w:hideMark/>
          </w:tcPr>
          <w:p w14:paraId="6DFC48AD" w14:textId="77777777" w:rsidR="00D664CB" w:rsidRPr="00D91062" w:rsidRDefault="00D664CB" w:rsidP="00D664CB">
            <w:pPr>
              <w:spacing w:before="0" w:after="0"/>
              <w:rPr>
                <w:noProof/>
                <w:color w:val="000000"/>
                <w:sz w:val="18"/>
                <w:szCs w:val="18"/>
              </w:rPr>
            </w:pPr>
          </w:p>
        </w:tc>
        <w:tc>
          <w:tcPr>
            <w:tcW w:w="346" w:type="pct"/>
            <w:tcBorders>
              <w:top w:val="nil"/>
              <w:left w:val="nil"/>
              <w:bottom w:val="single" w:sz="8" w:space="0" w:color="auto"/>
              <w:right w:val="single" w:sz="8" w:space="0" w:color="auto"/>
            </w:tcBorders>
            <w:vAlign w:val="center"/>
            <w:hideMark/>
          </w:tcPr>
          <w:p w14:paraId="027CFC7A" w14:textId="77777777" w:rsidR="00D664CB" w:rsidRPr="00D91062" w:rsidRDefault="00D664CB" w:rsidP="00D664CB">
            <w:pPr>
              <w:spacing w:before="0" w:after="0"/>
              <w:jc w:val="center"/>
              <w:rPr>
                <w:noProof/>
                <w:color w:val="000000"/>
                <w:sz w:val="14"/>
                <w:szCs w:val="14"/>
              </w:rPr>
            </w:pPr>
          </w:p>
        </w:tc>
        <w:tc>
          <w:tcPr>
            <w:tcW w:w="371" w:type="pct"/>
            <w:gridSpan w:val="2"/>
            <w:tcBorders>
              <w:top w:val="nil"/>
              <w:left w:val="nil"/>
              <w:bottom w:val="single" w:sz="8" w:space="0" w:color="auto"/>
              <w:right w:val="single" w:sz="8" w:space="0" w:color="auto"/>
            </w:tcBorders>
            <w:shd w:val="clear" w:color="auto" w:fill="D9D9D9" w:themeFill="background1" w:themeFillShade="D9"/>
            <w:vAlign w:val="center"/>
          </w:tcPr>
          <w:p w14:paraId="0FEE8FE4" w14:textId="77777777" w:rsidR="00D664CB" w:rsidRPr="00D91062" w:rsidRDefault="00D664CB" w:rsidP="00D664CB">
            <w:pPr>
              <w:spacing w:before="0" w:after="0"/>
              <w:jc w:val="right"/>
              <w:rPr>
                <w:noProof/>
                <w:color w:val="000000"/>
                <w:sz w:val="20"/>
                <w:szCs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4E12E0D1" w14:textId="77777777" w:rsidR="00D664CB" w:rsidRPr="00D91062" w:rsidRDefault="00D664CB" w:rsidP="00D664CB">
            <w:pPr>
              <w:spacing w:before="0" w:after="0"/>
              <w:jc w:val="right"/>
              <w:rPr>
                <w:noProof/>
                <w:color w:val="000000"/>
                <w:sz w:val="20"/>
                <w:szCs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45478B3E" w14:textId="77777777" w:rsidR="00D664CB" w:rsidRPr="00D91062" w:rsidRDefault="00D664CB" w:rsidP="00D664CB">
            <w:pPr>
              <w:spacing w:before="0" w:after="0"/>
              <w:jc w:val="right"/>
              <w:rPr>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64B590C7" w14:textId="77777777" w:rsidR="00D664CB" w:rsidRPr="00D91062" w:rsidRDefault="00D664CB" w:rsidP="00D664CB">
            <w:pPr>
              <w:spacing w:before="0" w:after="0"/>
              <w:jc w:val="right"/>
              <w:rPr>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24801888" w14:textId="77777777" w:rsidR="00D664CB" w:rsidRPr="00D91062" w:rsidRDefault="00D664CB" w:rsidP="00D664CB">
            <w:pPr>
              <w:spacing w:before="0" w:after="0"/>
              <w:jc w:val="right"/>
              <w:rPr>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6139E502" w14:textId="77777777" w:rsidR="00D664CB" w:rsidRPr="00D91062" w:rsidRDefault="00D664CB" w:rsidP="00D664CB">
            <w:pPr>
              <w:spacing w:before="0" w:after="0"/>
              <w:jc w:val="right"/>
              <w:rPr>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05136222" w14:textId="77777777" w:rsidR="00D664CB" w:rsidRPr="00D91062" w:rsidRDefault="00D664CB" w:rsidP="00D664CB">
            <w:pPr>
              <w:spacing w:before="0" w:after="0"/>
              <w:jc w:val="right"/>
              <w:rPr>
                <w:noProof/>
                <w:color w:val="000000"/>
                <w:sz w:val="20"/>
              </w:rPr>
            </w:pPr>
          </w:p>
        </w:tc>
        <w:tc>
          <w:tcPr>
            <w:tcW w:w="405" w:type="pct"/>
            <w:tcBorders>
              <w:top w:val="nil"/>
              <w:left w:val="nil"/>
              <w:bottom w:val="single" w:sz="8" w:space="0" w:color="auto"/>
              <w:right w:val="single" w:sz="8" w:space="0" w:color="auto"/>
            </w:tcBorders>
            <w:shd w:val="clear" w:color="auto" w:fill="D9D9D9" w:themeFill="background1" w:themeFillShade="D9"/>
            <w:vAlign w:val="center"/>
          </w:tcPr>
          <w:p w14:paraId="53A8751D" w14:textId="77777777" w:rsidR="00D664CB" w:rsidRPr="00D91062" w:rsidRDefault="00D664CB" w:rsidP="00D664CB">
            <w:pPr>
              <w:spacing w:before="0" w:after="0"/>
              <w:jc w:val="right"/>
              <w:rPr>
                <w:b/>
                <w:bCs/>
                <w:noProof/>
                <w:color w:val="000000"/>
                <w:sz w:val="20"/>
                <w:szCs w:val="20"/>
              </w:rPr>
            </w:pPr>
          </w:p>
        </w:tc>
      </w:tr>
      <w:tr w:rsidR="00D664CB" w:rsidRPr="00D91062" w14:paraId="1754A5D2" w14:textId="77777777" w:rsidTr="00A2361B">
        <w:trPr>
          <w:trHeight w:val="1180"/>
        </w:trPr>
        <w:tc>
          <w:tcPr>
            <w:tcW w:w="1246"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55826605" w14:textId="77777777" w:rsidR="00D664CB" w:rsidRPr="00D91062" w:rsidRDefault="00D664CB" w:rsidP="00D664CB">
            <w:pPr>
              <w:spacing w:before="0" w:after="0"/>
              <w:rPr>
                <w:noProof/>
                <w:color w:val="000000"/>
                <w:sz w:val="21"/>
                <w:szCs w:val="21"/>
              </w:rPr>
            </w:pPr>
          </w:p>
        </w:tc>
        <w:tc>
          <w:tcPr>
            <w:tcW w:w="346" w:type="pct"/>
            <w:tcBorders>
              <w:top w:val="nil"/>
              <w:left w:val="nil"/>
              <w:bottom w:val="single" w:sz="8" w:space="0" w:color="auto"/>
              <w:right w:val="single" w:sz="8" w:space="0" w:color="auto"/>
            </w:tcBorders>
            <w:vAlign w:val="center"/>
            <w:hideMark/>
          </w:tcPr>
          <w:p w14:paraId="0690C21C" w14:textId="77777777" w:rsidR="00D664CB" w:rsidRPr="00D91062" w:rsidRDefault="00D664CB" w:rsidP="00D664CB">
            <w:pPr>
              <w:spacing w:before="0" w:after="0"/>
              <w:jc w:val="center"/>
              <w:rPr>
                <w:noProof/>
                <w:color w:val="000000"/>
                <w:sz w:val="14"/>
                <w:szCs w:val="14"/>
              </w:rPr>
            </w:pPr>
          </w:p>
        </w:tc>
        <w:tc>
          <w:tcPr>
            <w:tcW w:w="371" w:type="pct"/>
            <w:gridSpan w:val="2"/>
            <w:tcBorders>
              <w:top w:val="nil"/>
              <w:left w:val="nil"/>
              <w:bottom w:val="single" w:sz="8" w:space="0" w:color="auto"/>
              <w:right w:val="single" w:sz="8" w:space="0" w:color="auto"/>
            </w:tcBorders>
            <w:shd w:val="clear" w:color="auto" w:fill="D9D9D9" w:themeFill="background1" w:themeFillShade="D9"/>
            <w:vAlign w:val="center"/>
          </w:tcPr>
          <w:p w14:paraId="7A736783" w14:textId="77777777" w:rsidR="00D664CB" w:rsidRPr="00D91062" w:rsidRDefault="00D664CB" w:rsidP="00D664CB">
            <w:pPr>
              <w:spacing w:before="0" w:after="0"/>
              <w:jc w:val="right"/>
              <w:rPr>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38570766" w14:textId="77777777" w:rsidR="00D664CB" w:rsidRPr="00D91062" w:rsidRDefault="00D664CB" w:rsidP="00D664CB">
            <w:pPr>
              <w:spacing w:before="0" w:after="0"/>
              <w:jc w:val="right"/>
              <w:rPr>
                <w:noProof/>
                <w:color w:val="000000"/>
                <w:sz w:val="20"/>
                <w:szCs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7DC3A2CD" w14:textId="77777777" w:rsidR="00D664CB" w:rsidRPr="00D91062" w:rsidRDefault="00D664CB" w:rsidP="00D664CB">
            <w:pPr>
              <w:spacing w:before="0" w:after="0"/>
              <w:jc w:val="right"/>
              <w:rPr>
                <w:noProof/>
                <w:color w:val="000000"/>
                <w:sz w:val="20"/>
                <w:szCs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55498F01" w14:textId="77777777" w:rsidR="00D664CB" w:rsidRPr="00D91062" w:rsidRDefault="00D664CB" w:rsidP="00D664CB">
            <w:pPr>
              <w:spacing w:before="0" w:after="0"/>
              <w:jc w:val="right"/>
              <w:rPr>
                <w:noProof/>
                <w:color w:val="000000"/>
                <w:sz w:val="20"/>
                <w:szCs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01FFEF03" w14:textId="77777777" w:rsidR="00D664CB" w:rsidRPr="00D91062" w:rsidRDefault="00D664CB" w:rsidP="00D664CB">
            <w:pPr>
              <w:spacing w:before="0" w:after="0"/>
              <w:jc w:val="right"/>
              <w:rPr>
                <w:noProof/>
                <w:color w:val="000000"/>
                <w:sz w:val="20"/>
                <w:szCs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5280EACE" w14:textId="77777777" w:rsidR="00D664CB" w:rsidRPr="00D91062" w:rsidRDefault="00D664CB" w:rsidP="00D664CB">
            <w:pPr>
              <w:spacing w:before="0" w:after="0"/>
              <w:jc w:val="right"/>
              <w:rPr>
                <w:noProof/>
                <w:color w:val="000000"/>
                <w:sz w:val="20"/>
                <w:szCs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36BCBAD4" w14:textId="77777777" w:rsidR="00D664CB" w:rsidRPr="00D91062" w:rsidRDefault="00D664CB" w:rsidP="00D664CB">
            <w:pPr>
              <w:spacing w:before="0" w:after="0"/>
              <w:jc w:val="right"/>
              <w:rPr>
                <w:noProof/>
                <w:color w:val="000000"/>
                <w:sz w:val="20"/>
                <w:szCs w:val="20"/>
              </w:rPr>
            </w:pPr>
          </w:p>
        </w:tc>
        <w:tc>
          <w:tcPr>
            <w:tcW w:w="405" w:type="pct"/>
            <w:tcBorders>
              <w:top w:val="nil"/>
              <w:left w:val="nil"/>
              <w:bottom w:val="single" w:sz="8" w:space="0" w:color="auto"/>
              <w:right w:val="single" w:sz="8" w:space="0" w:color="auto"/>
            </w:tcBorders>
            <w:shd w:val="clear" w:color="auto" w:fill="D9D9D9" w:themeFill="background1" w:themeFillShade="D9"/>
            <w:vAlign w:val="center"/>
          </w:tcPr>
          <w:p w14:paraId="01582745" w14:textId="77777777" w:rsidR="00D664CB" w:rsidRPr="00D91062" w:rsidRDefault="00D664CB" w:rsidP="00D664CB">
            <w:pPr>
              <w:spacing w:before="0" w:after="0"/>
              <w:jc w:val="right"/>
              <w:rPr>
                <w:b/>
                <w:bCs/>
                <w:noProof/>
                <w:color w:val="000000"/>
                <w:sz w:val="20"/>
                <w:szCs w:val="20"/>
              </w:rPr>
            </w:pPr>
          </w:p>
        </w:tc>
        <w:tc>
          <w:tcPr>
            <w:tcW w:w="405" w:type="pct"/>
            <w:vAlign w:val="center"/>
          </w:tcPr>
          <w:p w14:paraId="2DE723C9" w14:textId="77777777" w:rsidR="00D664CB" w:rsidRPr="00D91062" w:rsidRDefault="00D664CB" w:rsidP="00D664CB">
            <w:pPr>
              <w:spacing w:before="0" w:after="200" w:line="276" w:lineRule="auto"/>
              <w:jc w:val="left"/>
              <w:rPr>
                <w:rFonts w:eastAsia="Times New Roman"/>
                <w:b/>
                <w:bCs/>
                <w:noProof/>
                <w:color w:val="000000" w:themeColor="text1"/>
                <w:sz w:val="20"/>
                <w:szCs w:val="20"/>
                <w:lang w:eastAsia="en-IE"/>
              </w:rPr>
            </w:pPr>
          </w:p>
        </w:tc>
      </w:tr>
      <w:tr w:rsidR="00D664CB" w:rsidRPr="00D91062" w14:paraId="4BAB5A95" w14:textId="77777777" w:rsidTr="00A2361B">
        <w:trPr>
          <w:trHeight w:val="579"/>
        </w:trPr>
        <w:tc>
          <w:tcPr>
            <w:tcW w:w="706" w:type="pct"/>
            <w:tcBorders>
              <w:top w:val="nil"/>
              <w:left w:val="single" w:sz="8" w:space="0" w:color="auto"/>
              <w:bottom w:val="nil"/>
              <w:right w:val="single" w:sz="8" w:space="0" w:color="auto"/>
            </w:tcBorders>
            <w:shd w:val="clear" w:color="auto" w:fill="E6E6E6"/>
            <w:vAlign w:val="center"/>
            <w:hideMark/>
          </w:tcPr>
          <w:p w14:paraId="256A396D" w14:textId="77777777" w:rsidR="00D664CB" w:rsidRPr="00D91062" w:rsidRDefault="00D664CB" w:rsidP="00D664CB">
            <w:pPr>
              <w:spacing w:before="0" w:after="0"/>
              <w:jc w:val="center"/>
              <w:rPr>
                <w:b/>
                <w:bCs/>
                <w:noProof/>
                <w:color w:val="000000"/>
                <w:sz w:val="22"/>
              </w:rPr>
            </w:pPr>
            <w:r w:rsidRPr="00D91062">
              <w:rPr>
                <w:b/>
                <w:noProof/>
                <w:color w:val="000000" w:themeColor="text1"/>
                <w:sz w:val="22"/>
              </w:rPr>
              <w:t xml:space="preserve">TOTAL credite în cadrul RUBRICII </w:t>
            </w:r>
          </w:p>
        </w:tc>
        <w:tc>
          <w:tcPr>
            <w:tcW w:w="539" w:type="pct"/>
            <w:tcBorders>
              <w:top w:val="nil"/>
              <w:left w:val="nil"/>
              <w:bottom w:val="single" w:sz="8" w:space="0" w:color="auto"/>
              <w:right w:val="single" w:sz="8" w:space="0" w:color="auto"/>
            </w:tcBorders>
            <w:vAlign w:val="center"/>
            <w:hideMark/>
          </w:tcPr>
          <w:p w14:paraId="7729DB68" w14:textId="77777777" w:rsidR="00D664CB" w:rsidRPr="00D91062" w:rsidRDefault="00D664CB" w:rsidP="00D664CB">
            <w:pPr>
              <w:spacing w:before="0" w:after="0"/>
              <w:rPr>
                <w:noProof/>
                <w:color w:val="000000"/>
                <w:sz w:val="18"/>
              </w:rPr>
            </w:pPr>
            <w:r w:rsidRPr="00D91062">
              <w:rPr>
                <w:noProof/>
                <w:color w:val="000000"/>
                <w:sz w:val="18"/>
              </w:rPr>
              <w:t>Angajamente</w:t>
            </w:r>
          </w:p>
        </w:tc>
        <w:tc>
          <w:tcPr>
            <w:tcW w:w="346" w:type="pct"/>
            <w:tcBorders>
              <w:top w:val="nil"/>
              <w:left w:val="nil"/>
              <w:bottom w:val="single" w:sz="8" w:space="0" w:color="auto"/>
              <w:right w:val="single" w:sz="8" w:space="0" w:color="auto"/>
            </w:tcBorders>
            <w:vAlign w:val="center"/>
            <w:hideMark/>
          </w:tcPr>
          <w:p w14:paraId="1BD30DF2" w14:textId="77777777" w:rsidR="00D664CB" w:rsidRPr="00D91062" w:rsidRDefault="00D664CB" w:rsidP="00D664CB">
            <w:pPr>
              <w:spacing w:before="0" w:after="0"/>
              <w:jc w:val="center"/>
              <w:rPr>
                <w:noProof/>
                <w:color w:val="000000"/>
                <w:sz w:val="14"/>
              </w:rPr>
            </w:pPr>
            <w:r w:rsidRPr="00D91062">
              <w:rPr>
                <w:noProof/>
                <w:color w:val="000000"/>
                <w:sz w:val="14"/>
              </w:rPr>
              <w:t>=4+6</w:t>
            </w:r>
          </w:p>
        </w:tc>
        <w:tc>
          <w:tcPr>
            <w:tcW w:w="371" w:type="pct"/>
            <w:gridSpan w:val="2"/>
            <w:tcBorders>
              <w:top w:val="nil"/>
              <w:left w:val="nil"/>
              <w:bottom w:val="single" w:sz="8" w:space="0" w:color="auto"/>
              <w:right w:val="single" w:sz="8" w:space="0" w:color="auto"/>
            </w:tcBorders>
            <w:shd w:val="clear" w:color="auto" w:fill="D9D9D9" w:themeFill="background1" w:themeFillShade="D9"/>
            <w:vAlign w:val="center"/>
          </w:tcPr>
          <w:p w14:paraId="0ACAC107" w14:textId="77777777" w:rsidR="00D664CB" w:rsidRPr="00D91062" w:rsidRDefault="00D664CB" w:rsidP="00D664CB">
            <w:pPr>
              <w:spacing w:before="0" w:after="0"/>
              <w:jc w:val="right"/>
              <w:rPr>
                <w:b/>
                <w:bCs/>
                <w:noProof/>
                <w:color w:val="000000"/>
                <w:sz w:val="20"/>
                <w:szCs w:val="20"/>
              </w:rPr>
            </w:pPr>
            <w:r w:rsidRPr="00D91062">
              <w:rPr>
                <w:b/>
                <w:noProof/>
                <w:color w:val="000000" w:themeColor="text1"/>
                <w:sz w:val="20"/>
              </w:rPr>
              <w:t>0,300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1F5BE14B" w14:textId="77777777" w:rsidR="00D664CB" w:rsidRPr="00D91062" w:rsidRDefault="00D664CB" w:rsidP="00D664CB">
            <w:pPr>
              <w:spacing w:before="0" w:after="0"/>
              <w:jc w:val="center"/>
              <w:rPr>
                <w:b/>
                <w:bCs/>
                <w:noProof/>
                <w:color w:val="000000" w:themeColor="text1"/>
                <w:sz w:val="20"/>
                <w:szCs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22DEB31E" w14:textId="77777777" w:rsidR="00D664CB" w:rsidRPr="00D91062" w:rsidRDefault="00D664CB" w:rsidP="00D664CB">
            <w:pPr>
              <w:spacing w:before="0" w:after="0"/>
              <w:jc w:val="right"/>
              <w:rPr>
                <w:b/>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548A5A91" w14:textId="77777777" w:rsidR="00D664CB" w:rsidRPr="00D91062" w:rsidRDefault="00D664CB" w:rsidP="00D664CB">
            <w:pPr>
              <w:spacing w:before="0" w:after="0"/>
              <w:jc w:val="right"/>
              <w:rPr>
                <w:b/>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5AC15041" w14:textId="77777777" w:rsidR="00D664CB" w:rsidRPr="00D91062" w:rsidRDefault="00D664CB" w:rsidP="00D664CB">
            <w:pPr>
              <w:spacing w:before="0" w:after="0"/>
              <w:jc w:val="right"/>
              <w:rPr>
                <w:b/>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4530B6D0" w14:textId="77777777" w:rsidR="00D664CB" w:rsidRPr="00D91062" w:rsidRDefault="00D664CB" w:rsidP="00D664CB">
            <w:pPr>
              <w:spacing w:before="0" w:after="0"/>
              <w:jc w:val="right"/>
              <w:rPr>
                <w:b/>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78E2244C" w14:textId="77777777" w:rsidR="00D664CB" w:rsidRPr="00D91062" w:rsidRDefault="00D664CB" w:rsidP="00D664CB">
            <w:pPr>
              <w:spacing w:before="0" w:after="0"/>
              <w:jc w:val="right"/>
              <w:rPr>
                <w:b/>
                <w:noProof/>
                <w:color w:val="000000"/>
                <w:sz w:val="20"/>
              </w:rPr>
            </w:pPr>
          </w:p>
        </w:tc>
        <w:tc>
          <w:tcPr>
            <w:tcW w:w="405" w:type="pct"/>
            <w:gridSpan w:val="2"/>
            <w:tcBorders>
              <w:top w:val="nil"/>
              <w:left w:val="nil"/>
              <w:bottom w:val="single" w:sz="8" w:space="0" w:color="auto"/>
              <w:right w:val="single" w:sz="8" w:space="0" w:color="auto"/>
            </w:tcBorders>
            <w:shd w:val="clear" w:color="auto" w:fill="D9D9D9" w:themeFill="background1" w:themeFillShade="D9"/>
            <w:vAlign w:val="center"/>
          </w:tcPr>
          <w:p w14:paraId="1697768A" w14:textId="77777777" w:rsidR="00D664CB" w:rsidRPr="00D91062" w:rsidRDefault="00D664CB" w:rsidP="00D664CB">
            <w:pPr>
              <w:spacing w:before="0" w:after="0"/>
              <w:jc w:val="center"/>
              <w:rPr>
                <w:b/>
                <w:bCs/>
                <w:noProof/>
                <w:color w:val="000000"/>
                <w:sz w:val="20"/>
                <w:szCs w:val="20"/>
              </w:rPr>
            </w:pPr>
            <w:r w:rsidRPr="00D91062">
              <w:rPr>
                <w:b/>
                <w:noProof/>
                <w:color w:val="000000" w:themeColor="text1"/>
                <w:sz w:val="20"/>
              </w:rPr>
              <w:t>0,300</w:t>
            </w:r>
          </w:p>
        </w:tc>
      </w:tr>
      <w:tr w:rsidR="00D664CB" w:rsidRPr="00D91062" w14:paraId="78116BAC" w14:textId="77777777" w:rsidTr="00A2361B">
        <w:trPr>
          <w:trHeight w:val="552"/>
        </w:trPr>
        <w:tc>
          <w:tcPr>
            <w:tcW w:w="706" w:type="pct"/>
            <w:tcBorders>
              <w:top w:val="nil"/>
              <w:left w:val="single" w:sz="8" w:space="0" w:color="auto"/>
              <w:bottom w:val="single" w:sz="8" w:space="0" w:color="auto"/>
              <w:right w:val="single" w:sz="8" w:space="0" w:color="auto"/>
            </w:tcBorders>
            <w:shd w:val="clear" w:color="auto" w:fill="E6E6E6"/>
            <w:vAlign w:val="center"/>
            <w:hideMark/>
          </w:tcPr>
          <w:p w14:paraId="07BEE6CA" w14:textId="77777777" w:rsidR="00D664CB" w:rsidRPr="00D91062" w:rsidRDefault="00D664CB" w:rsidP="00D664CB">
            <w:pPr>
              <w:spacing w:before="0" w:after="0"/>
              <w:jc w:val="center"/>
              <w:rPr>
                <w:noProof/>
                <w:color w:val="000000"/>
                <w:sz w:val="22"/>
              </w:rPr>
            </w:pPr>
            <w:r w:rsidRPr="00D91062">
              <w:rPr>
                <w:noProof/>
                <w:color w:val="000000"/>
                <w:sz w:val="22"/>
              </w:rPr>
              <w:t>din cadrul financiar multianual</w:t>
            </w:r>
          </w:p>
        </w:tc>
        <w:tc>
          <w:tcPr>
            <w:tcW w:w="539" w:type="pct"/>
            <w:tcBorders>
              <w:top w:val="nil"/>
              <w:left w:val="nil"/>
              <w:bottom w:val="single" w:sz="8" w:space="0" w:color="auto"/>
              <w:right w:val="single" w:sz="8" w:space="0" w:color="auto"/>
            </w:tcBorders>
            <w:vAlign w:val="center"/>
            <w:hideMark/>
          </w:tcPr>
          <w:p w14:paraId="41A892FF" w14:textId="77777777" w:rsidR="00D664CB" w:rsidRPr="00D91062" w:rsidRDefault="00D664CB" w:rsidP="00D664CB">
            <w:pPr>
              <w:spacing w:before="0" w:after="0"/>
              <w:rPr>
                <w:noProof/>
                <w:color w:val="000000"/>
                <w:sz w:val="18"/>
              </w:rPr>
            </w:pPr>
            <w:r w:rsidRPr="00D91062">
              <w:rPr>
                <w:noProof/>
                <w:color w:val="000000"/>
                <w:sz w:val="18"/>
              </w:rPr>
              <w:t>Plăți</w:t>
            </w:r>
          </w:p>
        </w:tc>
        <w:tc>
          <w:tcPr>
            <w:tcW w:w="346" w:type="pct"/>
            <w:tcBorders>
              <w:top w:val="nil"/>
              <w:left w:val="nil"/>
              <w:bottom w:val="single" w:sz="8" w:space="0" w:color="auto"/>
              <w:right w:val="single" w:sz="8" w:space="0" w:color="auto"/>
            </w:tcBorders>
            <w:vAlign w:val="center"/>
            <w:hideMark/>
          </w:tcPr>
          <w:p w14:paraId="7B1C22A4" w14:textId="77777777" w:rsidR="00D664CB" w:rsidRPr="00D91062" w:rsidRDefault="00D664CB" w:rsidP="00D664CB">
            <w:pPr>
              <w:spacing w:before="0" w:after="0"/>
              <w:jc w:val="center"/>
              <w:rPr>
                <w:noProof/>
                <w:color w:val="000000"/>
                <w:sz w:val="14"/>
              </w:rPr>
            </w:pPr>
            <w:r w:rsidRPr="00D91062">
              <w:rPr>
                <w:noProof/>
                <w:color w:val="000000"/>
                <w:sz w:val="14"/>
              </w:rPr>
              <w:t>=5+6</w:t>
            </w:r>
          </w:p>
        </w:tc>
        <w:tc>
          <w:tcPr>
            <w:tcW w:w="371" w:type="pct"/>
            <w:gridSpan w:val="2"/>
            <w:tcBorders>
              <w:top w:val="nil"/>
              <w:left w:val="nil"/>
              <w:bottom w:val="single" w:sz="8" w:space="0" w:color="auto"/>
              <w:right w:val="single" w:sz="8" w:space="0" w:color="auto"/>
            </w:tcBorders>
            <w:shd w:val="clear" w:color="auto" w:fill="D9D9D9" w:themeFill="background1" w:themeFillShade="D9"/>
            <w:vAlign w:val="center"/>
          </w:tcPr>
          <w:p w14:paraId="0169DDE6" w14:textId="77777777" w:rsidR="00D664CB" w:rsidRPr="00D91062" w:rsidRDefault="00D664CB" w:rsidP="00D664CB">
            <w:pPr>
              <w:spacing w:before="0" w:after="0"/>
              <w:jc w:val="right"/>
              <w:rPr>
                <w:b/>
                <w:bCs/>
                <w:noProof/>
                <w:color w:val="000000"/>
                <w:sz w:val="20"/>
                <w:szCs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55727ED2" w14:textId="77777777" w:rsidR="00D664CB" w:rsidRPr="00D91062" w:rsidRDefault="00D664CB" w:rsidP="00D664CB">
            <w:pPr>
              <w:spacing w:before="0" w:after="0"/>
              <w:jc w:val="center"/>
              <w:rPr>
                <w:b/>
                <w:bCs/>
                <w:noProof/>
                <w:color w:val="000000"/>
                <w:sz w:val="20"/>
                <w:szCs w:val="20"/>
              </w:rPr>
            </w:pPr>
            <w:r w:rsidRPr="00D91062">
              <w:rPr>
                <w:b/>
                <w:noProof/>
                <w:color w:val="000000" w:themeColor="text1"/>
                <w:sz w:val="20"/>
              </w:rPr>
              <w:t>0,300</w:t>
            </w: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247815F5" w14:textId="77777777" w:rsidR="00D664CB" w:rsidRPr="00D91062" w:rsidRDefault="00D664CB" w:rsidP="00D664CB">
            <w:pPr>
              <w:spacing w:before="0" w:after="0"/>
              <w:jc w:val="right"/>
              <w:rPr>
                <w:b/>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2DEF2AE0" w14:textId="77777777" w:rsidR="00D664CB" w:rsidRPr="00D91062" w:rsidRDefault="00D664CB" w:rsidP="00D664CB">
            <w:pPr>
              <w:spacing w:before="0" w:after="0"/>
              <w:jc w:val="right"/>
              <w:rPr>
                <w:b/>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4B4CA92B" w14:textId="77777777" w:rsidR="00D664CB" w:rsidRPr="00D91062" w:rsidRDefault="00D664CB" w:rsidP="00D664CB">
            <w:pPr>
              <w:spacing w:before="0" w:after="0"/>
              <w:jc w:val="right"/>
              <w:rPr>
                <w:b/>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5702AFA3" w14:textId="77777777" w:rsidR="00D664CB" w:rsidRPr="00D91062" w:rsidRDefault="00D664CB" w:rsidP="00D664CB">
            <w:pPr>
              <w:spacing w:before="0" w:after="0"/>
              <w:jc w:val="right"/>
              <w:rPr>
                <w:b/>
                <w:noProof/>
                <w:color w:val="000000"/>
                <w:sz w:val="20"/>
              </w:rPr>
            </w:pPr>
          </w:p>
        </w:tc>
        <w:tc>
          <w:tcPr>
            <w:tcW w:w="371" w:type="pct"/>
            <w:tcBorders>
              <w:top w:val="nil"/>
              <w:left w:val="nil"/>
              <w:bottom w:val="single" w:sz="8" w:space="0" w:color="auto"/>
              <w:right w:val="single" w:sz="8" w:space="0" w:color="auto"/>
            </w:tcBorders>
            <w:shd w:val="clear" w:color="auto" w:fill="D9D9D9" w:themeFill="background1" w:themeFillShade="D9"/>
            <w:vAlign w:val="center"/>
          </w:tcPr>
          <w:p w14:paraId="1D18D1F7" w14:textId="77777777" w:rsidR="00D664CB" w:rsidRPr="00D91062" w:rsidRDefault="00D664CB" w:rsidP="00D664CB">
            <w:pPr>
              <w:spacing w:before="0" w:after="0"/>
              <w:jc w:val="right"/>
              <w:rPr>
                <w:b/>
                <w:noProof/>
                <w:color w:val="000000"/>
                <w:sz w:val="20"/>
              </w:rPr>
            </w:pPr>
          </w:p>
        </w:tc>
        <w:tc>
          <w:tcPr>
            <w:tcW w:w="405" w:type="pct"/>
            <w:gridSpan w:val="2"/>
            <w:tcBorders>
              <w:top w:val="nil"/>
              <w:left w:val="nil"/>
              <w:bottom w:val="single" w:sz="8" w:space="0" w:color="auto"/>
              <w:right w:val="single" w:sz="8" w:space="0" w:color="auto"/>
            </w:tcBorders>
            <w:shd w:val="clear" w:color="auto" w:fill="D9D9D9" w:themeFill="background1" w:themeFillShade="D9"/>
            <w:vAlign w:val="center"/>
          </w:tcPr>
          <w:p w14:paraId="5C3BAAB9" w14:textId="77777777" w:rsidR="00D664CB" w:rsidRPr="00D91062" w:rsidRDefault="00D664CB" w:rsidP="00D664CB">
            <w:pPr>
              <w:spacing w:before="0" w:after="0"/>
              <w:jc w:val="right"/>
              <w:rPr>
                <w:b/>
                <w:bCs/>
                <w:noProof/>
                <w:color w:val="000000"/>
                <w:sz w:val="20"/>
                <w:szCs w:val="20"/>
              </w:rPr>
            </w:pPr>
            <w:r w:rsidRPr="00D91062">
              <w:rPr>
                <w:b/>
                <w:noProof/>
                <w:color w:val="000000" w:themeColor="text1"/>
                <w:sz w:val="20"/>
              </w:rPr>
              <w:t>0,300</w:t>
            </w:r>
          </w:p>
        </w:tc>
      </w:tr>
      <w:tr w:rsidR="00D664CB" w:rsidRPr="00D91062" w14:paraId="38F0A2EF" w14:textId="77777777" w:rsidTr="00A2361B">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405" w:type="pct"/>
          <w:jc w:val="center"/>
        </w:trPr>
        <w:tc>
          <w:tcPr>
            <w:tcW w:w="1598" w:type="pct"/>
            <w:gridSpan w:val="4"/>
            <w:tcBorders>
              <w:top w:val="single" w:sz="4" w:space="0" w:color="auto"/>
              <w:left w:val="single" w:sz="4" w:space="0" w:color="auto"/>
              <w:bottom w:val="single" w:sz="4" w:space="0" w:color="auto"/>
              <w:right w:val="single" w:sz="4" w:space="0" w:color="auto"/>
            </w:tcBorders>
            <w:vAlign w:val="center"/>
          </w:tcPr>
          <w:p w14:paraId="4F5C97F9" w14:textId="77777777" w:rsidR="00D664CB" w:rsidRPr="00D91062" w:rsidRDefault="00D664CB" w:rsidP="00D664CB">
            <w:pPr>
              <w:spacing w:before="240" w:after="60"/>
              <w:jc w:val="center"/>
              <w:rPr>
                <w:b/>
                <w:noProof/>
              </w:rPr>
            </w:pPr>
            <w:r w:rsidRPr="00D91062">
              <w:rPr>
                <w:noProof/>
              </w:rPr>
              <w:br w:type="page"/>
            </w:r>
            <w:r w:rsidRPr="00D91062">
              <w:rPr>
                <w:b/>
                <w:noProof/>
                <w:sz w:val="22"/>
              </w:rPr>
              <w:t xml:space="preserve">Rubrica din cadrul financiar multianual </w:t>
            </w:r>
          </w:p>
        </w:tc>
        <w:tc>
          <w:tcPr>
            <w:tcW w:w="364" w:type="pct"/>
            <w:tcBorders>
              <w:top w:val="single" w:sz="4" w:space="0" w:color="auto"/>
              <w:left w:val="single" w:sz="4" w:space="0" w:color="auto"/>
              <w:bottom w:val="single" w:sz="4" w:space="0" w:color="auto"/>
              <w:right w:val="single" w:sz="4" w:space="0" w:color="auto"/>
            </w:tcBorders>
            <w:vAlign w:val="center"/>
          </w:tcPr>
          <w:p w14:paraId="2E3F1A47" w14:textId="77777777" w:rsidR="00D664CB" w:rsidRPr="00D91062" w:rsidRDefault="00D664CB" w:rsidP="00D664CB">
            <w:pPr>
              <w:spacing w:before="60" w:after="60"/>
              <w:jc w:val="center"/>
              <w:rPr>
                <w:rFonts w:eastAsia="Calibri"/>
                <w:noProof/>
              </w:rPr>
            </w:pPr>
            <w:r w:rsidRPr="00D91062">
              <w:rPr>
                <w:noProof/>
              </w:rPr>
              <w:t>4</w:t>
            </w:r>
          </w:p>
        </w:tc>
        <w:tc>
          <w:tcPr>
            <w:tcW w:w="2633" w:type="pct"/>
            <w:gridSpan w:val="7"/>
            <w:tcBorders>
              <w:top w:val="single" w:sz="4" w:space="0" w:color="auto"/>
              <w:left w:val="single" w:sz="4" w:space="0" w:color="auto"/>
              <w:bottom w:val="single" w:sz="4" w:space="0" w:color="auto"/>
              <w:right w:val="single" w:sz="4" w:space="0" w:color="auto"/>
            </w:tcBorders>
            <w:vAlign w:val="center"/>
          </w:tcPr>
          <w:p w14:paraId="45DFE212" w14:textId="77777777" w:rsidR="00D664CB" w:rsidRPr="00D91062" w:rsidRDefault="00D664CB" w:rsidP="00D664CB">
            <w:pPr>
              <w:spacing w:before="60" w:after="60"/>
              <w:rPr>
                <w:rFonts w:eastAsia="Calibri"/>
                <w:noProof/>
              </w:rPr>
            </w:pPr>
            <w:r w:rsidRPr="00D91062">
              <w:rPr>
                <w:noProof/>
                <w:sz w:val="22"/>
              </w:rPr>
              <w:t>„Cheltuieli administrative”</w:t>
            </w:r>
            <w:r w:rsidRPr="00D91062">
              <w:rPr>
                <w:rStyle w:val="FootnoteReference"/>
                <w:noProof/>
              </w:rPr>
              <w:footnoteReference w:id="45"/>
            </w:r>
          </w:p>
        </w:tc>
      </w:tr>
    </w:tbl>
    <w:p w14:paraId="02A76EDD" w14:textId="77777777" w:rsidR="00D664CB" w:rsidRPr="00D91062" w:rsidRDefault="00D664CB" w:rsidP="00D664CB">
      <w:pPr>
        <w:rPr>
          <w:noProof/>
          <w:sz w:val="16"/>
        </w:rPr>
      </w:pPr>
    </w:p>
    <w:tbl>
      <w:tblPr>
        <w:tblW w:w="5261" w:type="pct"/>
        <w:tblInd w:w="-743" w:type="dxa"/>
        <w:tblLook w:val="04A0" w:firstRow="1" w:lastRow="0" w:firstColumn="1" w:lastColumn="0" w:noHBand="0" w:noVBand="1"/>
      </w:tblPr>
      <w:tblGrid>
        <w:gridCol w:w="2730"/>
        <w:gridCol w:w="2727"/>
        <w:gridCol w:w="728"/>
        <w:gridCol w:w="731"/>
        <w:gridCol w:w="994"/>
        <w:gridCol w:w="994"/>
        <w:gridCol w:w="994"/>
        <w:gridCol w:w="993"/>
        <w:gridCol w:w="993"/>
        <w:gridCol w:w="993"/>
        <w:gridCol w:w="993"/>
        <w:gridCol w:w="1092"/>
      </w:tblGrid>
      <w:tr w:rsidR="00D664CB" w:rsidRPr="00D91062" w14:paraId="6EFD3BDA" w14:textId="77777777" w:rsidTr="00354501">
        <w:trPr>
          <w:trHeight w:val="410"/>
        </w:trPr>
        <w:tc>
          <w:tcPr>
            <w:tcW w:w="2308" w:type="pct"/>
            <w:gridSpan w:val="4"/>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6C54C510" w14:textId="77777777" w:rsidR="00D664CB" w:rsidRPr="00D91062" w:rsidRDefault="00D664CB" w:rsidP="00D664CB">
            <w:pPr>
              <w:spacing w:before="0" w:after="0"/>
              <w:jc w:val="center"/>
              <w:rPr>
                <w:noProof/>
                <w:color w:val="000000"/>
              </w:rPr>
            </w:pPr>
            <w:r w:rsidRPr="00D91062">
              <w:rPr>
                <w:noProof/>
                <w:color w:val="000000"/>
              </w:rPr>
              <w:t>DG: &lt;CNECT &gt;</w:t>
            </w:r>
          </w:p>
        </w:tc>
        <w:tc>
          <w:tcPr>
            <w:tcW w:w="332" w:type="pct"/>
            <w:tcBorders>
              <w:top w:val="single" w:sz="8" w:space="0" w:color="auto"/>
              <w:left w:val="nil"/>
              <w:bottom w:val="nil"/>
              <w:right w:val="single" w:sz="8" w:space="0" w:color="auto"/>
            </w:tcBorders>
            <w:vAlign w:val="center"/>
            <w:hideMark/>
          </w:tcPr>
          <w:p w14:paraId="0B18DA2C" w14:textId="77777777" w:rsidR="00D664CB" w:rsidRPr="00D91062" w:rsidRDefault="00D664CB" w:rsidP="00D664CB">
            <w:pPr>
              <w:spacing w:before="0" w:after="0"/>
              <w:jc w:val="center"/>
              <w:rPr>
                <w:noProof/>
                <w:color w:val="000000"/>
                <w:sz w:val="20"/>
              </w:rPr>
            </w:pPr>
            <w:r w:rsidRPr="00D91062">
              <w:rPr>
                <w:noProof/>
                <w:color w:val="000000"/>
                <w:sz w:val="20"/>
              </w:rPr>
              <w:t>Anul</w:t>
            </w:r>
          </w:p>
        </w:tc>
        <w:tc>
          <w:tcPr>
            <w:tcW w:w="332" w:type="pct"/>
            <w:tcBorders>
              <w:top w:val="single" w:sz="8" w:space="0" w:color="auto"/>
              <w:left w:val="nil"/>
              <w:bottom w:val="nil"/>
              <w:right w:val="single" w:sz="8" w:space="0" w:color="auto"/>
            </w:tcBorders>
            <w:vAlign w:val="center"/>
            <w:hideMark/>
          </w:tcPr>
          <w:p w14:paraId="53768EFE" w14:textId="77777777" w:rsidR="00D664CB" w:rsidRPr="00D91062" w:rsidRDefault="00D664CB" w:rsidP="00D664CB">
            <w:pPr>
              <w:spacing w:before="0" w:after="0"/>
              <w:jc w:val="center"/>
              <w:rPr>
                <w:noProof/>
                <w:color w:val="000000"/>
                <w:sz w:val="20"/>
              </w:rPr>
            </w:pPr>
            <w:r w:rsidRPr="00D91062">
              <w:rPr>
                <w:noProof/>
                <w:color w:val="000000"/>
                <w:sz w:val="20"/>
              </w:rPr>
              <w:t>Anul</w:t>
            </w:r>
          </w:p>
        </w:tc>
        <w:tc>
          <w:tcPr>
            <w:tcW w:w="332" w:type="pct"/>
            <w:tcBorders>
              <w:top w:val="single" w:sz="8" w:space="0" w:color="auto"/>
              <w:left w:val="nil"/>
              <w:bottom w:val="nil"/>
              <w:right w:val="single" w:sz="8" w:space="0" w:color="auto"/>
            </w:tcBorders>
            <w:vAlign w:val="center"/>
            <w:hideMark/>
          </w:tcPr>
          <w:p w14:paraId="06588B48" w14:textId="77777777" w:rsidR="00D664CB" w:rsidRPr="00D91062" w:rsidRDefault="00D664CB" w:rsidP="00D664CB">
            <w:pPr>
              <w:spacing w:before="0" w:after="0"/>
              <w:jc w:val="center"/>
              <w:rPr>
                <w:noProof/>
                <w:color w:val="000000"/>
                <w:sz w:val="20"/>
              </w:rPr>
            </w:pPr>
            <w:r w:rsidRPr="00D91062">
              <w:rPr>
                <w:noProof/>
                <w:color w:val="000000"/>
                <w:sz w:val="20"/>
              </w:rPr>
              <w:t>Anul</w:t>
            </w:r>
          </w:p>
        </w:tc>
        <w:tc>
          <w:tcPr>
            <w:tcW w:w="332" w:type="pct"/>
            <w:tcBorders>
              <w:top w:val="single" w:sz="8" w:space="0" w:color="auto"/>
              <w:left w:val="nil"/>
              <w:bottom w:val="nil"/>
              <w:right w:val="single" w:sz="8" w:space="0" w:color="auto"/>
            </w:tcBorders>
            <w:vAlign w:val="center"/>
            <w:hideMark/>
          </w:tcPr>
          <w:p w14:paraId="0DE3F6F1" w14:textId="77777777" w:rsidR="00D664CB" w:rsidRPr="00D91062" w:rsidRDefault="00D664CB" w:rsidP="00D664CB">
            <w:pPr>
              <w:spacing w:before="0" w:after="0"/>
              <w:jc w:val="center"/>
              <w:rPr>
                <w:noProof/>
                <w:color w:val="000000"/>
                <w:sz w:val="20"/>
              </w:rPr>
            </w:pPr>
            <w:r w:rsidRPr="00D91062">
              <w:rPr>
                <w:noProof/>
                <w:color w:val="000000"/>
                <w:sz w:val="20"/>
              </w:rPr>
              <w:t>Anul</w:t>
            </w:r>
          </w:p>
        </w:tc>
        <w:tc>
          <w:tcPr>
            <w:tcW w:w="332" w:type="pct"/>
            <w:tcBorders>
              <w:top w:val="single" w:sz="8" w:space="0" w:color="auto"/>
              <w:left w:val="nil"/>
              <w:bottom w:val="nil"/>
              <w:right w:val="single" w:sz="8" w:space="0" w:color="auto"/>
            </w:tcBorders>
            <w:vAlign w:val="center"/>
            <w:hideMark/>
          </w:tcPr>
          <w:p w14:paraId="7D852E59" w14:textId="77777777" w:rsidR="00D664CB" w:rsidRPr="00D91062" w:rsidRDefault="00D664CB" w:rsidP="00D664CB">
            <w:pPr>
              <w:spacing w:before="0" w:after="0"/>
              <w:jc w:val="center"/>
              <w:rPr>
                <w:noProof/>
                <w:color w:val="000000"/>
                <w:sz w:val="20"/>
              </w:rPr>
            </w:pPr>
            <w:r w:rsidRPr="00D91062">
              <w:rPr>
                <w:noProof/>
                <w:color w:val="000000"/>
                <w:sz w:val="20"/>
              </w:rPr>
              <w:t>Anul</w:t>
            </w:r>
          </w:p>
        </w:tc>
        <w:tc>
          <w:tcPr>
            <w:tcW w:w="332" w:type="pct"/>
            <w:tcBorders>
              <w:top w:val="single" w:sz="8" w:space="0" w:color="auto"/>
              <w:left w:val="nil"/>
              <w:bottom w:val="nil"/>
              <w:right w:val="single" w:sz="8" w:space="0" w:color="auto"/>
            </w:tcBorders>
            <w:vAlign w:val="center"/>
            <w:hideMark/>
          </w:tcPr>
          <w:p w14:paraId="79501260" w14:textId="77777777" w:rsidR="00D664CB" w:rsidRPr="00D91062" w:rsidRDefault="00D664CB" w:rsidP="00D664CB">
            <w:pPr>
              <w:spacing w:before="0" w:after="0"/>
              <w:jc w:val="center"/>
              <w:rPr>
                <w:noProof/>
                <w:color w:val="000000"/>
                <w:sz w:val="20"/>
              </w:rPr>
            </w:pPr>
            <w:r w:rsidRPr="00D91062">
              <w:rPr>
                <w:noProof/>
                <w:color w:val="000000"/>
                <w:sz w:val="20"/>
              </w:rPr>
              <w:t>Anul</w:t>
            </w:r>
          </w:p>
        </w:tc>
        <w:tc>
          <w:tcPr>
            <w:tcW w:w="332" w:type="pct"/>
            <w:tcBorders>
              <w:top w:val="single" w:sz="8" w:space="0" w:color="auto"/>
              <w:left w:val="nil"/>
              <w:bottom w:val="nil"/>
              <w:right w:val="single" w:sz="8" w:space="0" w:color="auto"/>
            </w:tcBorders>
            <w:vAlign w:val="center"/>
            <w:hideMark/>
          </w:tcPr>
          <w:p w14:paraId="0FDDEB6F" w14:textId="77777777" w:rsidR="00D664CB" w:rsidRPr="00D91062" w:rsidRDefault="00D664CB" w:rsidP="00D664CB">
            <w:pPr>
              <w:spacing w:before="0" w:after="0"/>
              <w:jc w:val="center"/>
              <w:rPr>
                <w:noProof/>
                <w:color w:val="000000"/>
                <w:sz w:val="20"/>
              </w:rPr>
            </w:pPr>
            <w:r w:rsidRPr="00D91062">
              <w:rPr>
                <w:noProof/>
                <w:color w:val="000000"/>
                <w:sz w:val="20"/>
              </w:rPr>
              <w:t>Anul</w:t>
            </w:r>
          </w:p>
        </w:tc>
        <w:tc>
          <w:tcPr>
            <w:tcW w:w="365"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4F9DACDB" w14:textId="77777777" w:rsidR="00D664CB" w:rsidRPr="00D91062" w:rsidRDefault="00D664CB" w:rsidP="00D664CB">
            <w:pPr>
              <w:spacing w:before="0" w:after="0"/>
              <w:jc w:val="center"/>
              <w:rPr>
                <w:b/>
                <w:noProof/>
                <w:color w:val="000000"/>
                <w:sz w:val="20"/>
              </w:rPr>
            </w:pPr>
            <w:r w:rsidRPr="00D91062">
              <w:rPr>
                <w:b/>
                <w:noProof/>
                <w:color w:val="000000"/>
                <w:sz w:val="20"/>
              </w:rPr>
              <w:t>TOTAL CFM 2028-2034</w:t>
            </w:r>
          </w:p>
        </w:tc>
      </w:tr>
      <w:tr w:rsidR="00D664CB" w:rsidRPr="00D91062" w14:paraId="66DF2617" w14:textId="77777777" w:rsidTr="00354501">
        <w:trPr>
          <w:trHeight w:val="300"/>
        </w:trPr>
        <w:tc>
          <w:tcPr>
            <w:tcW w:w="2308" w:type="pct"/>
            <w:gridSpan w:val="4"/>
            <w:vMerge/>
            <w:vAlign w:val="center"/>
            <w:hideMark/>
          </w:tcPr>
          <w:p w14:paraId="03EE026D" w14:textId="77777777" w:rsidR="00D664CB" w:rsidRPr="00D91062" w:rsidRDefault="00D664CB" w:rsidP="00D664CB">
            <w:pPr>
              <w:spacing w:before="0" w:after="0"/>
              <w:jc w:val="left"/>
              <w:rPr>
                <w:noProof/>
                <w:color w:val="000000"/>
              </w:rPr>
            </w:pPr>
          </w:p>
        </w:tc>
        <w:tc>
          <w:tcPr>
            <w:tcW w:w="332" w:type="pct"/>
            <w:tcBorders>
              <w:top w:val="nil"/>
              <w:left w:val="nil"/>
              <w:bottom w:val="single" w:sz="8" w:space="0" w:color="auto"/>
              <w:right w:val="single" w:sz="8" w:space="0" w:color="auto"/>
            </w:tcBorders>
            <w:vAlign w:val="center"/>
            <w:hideMark/>
          </w:tcPr>
          <w:p w14:paraId="5CDFB62F" w14:textId="77777777" w:rsidR="00D664CB" w:rsidRPr="00D91062" w:rsidRDefault="00D664CB" w:rsidP="00D664CB">
            <w:pPr>
              <w:spacing w:before="0" w:after="0"/>
              <w:jc w:val="center"/>
              <w:rPr>
                <w:b/>
                <w:noProof/>
                <w:color w:val="000000"/>
                <w:sz w:val="20"/>
              </w:rPr>
            </w:pPr>
            <w:r w:rsidRPr="00D91062">
              <w:rPr>
                <w:b/>
                <w:noProof/>
                <w:color w:val="000000"/>
                <w:sz w:val="20"/>
              </w:rPr>
              <w:t>2028</w:t>
            </w:r>
          </w:p>
        </w:tc>
        <w:tc>
          <w:tcPr>
            <w:tcW w:w="332" w:type="pct"/>
            <w:tcBorders>
              <w:top w:val="nil"/>
              <w:left w:val="nil"/>
              <w:bottom w:val="single" w:sz="8" w:space="0" w:color="auto"/>
              <w:right w:val="single" w:sz="8" w:space="0" w:color="auto"/>
            </w:tcBorders>
            <w:vAlign w:val="center"/>
            <w:hideMark/>
          </w:tcPr>
          <w:p w14:paraId="0D5D17D2" w14:textId="77777777" w:rsidR="00D664CB" w:rsidRPr="00D91062" w:rsidRDefault="00D664CB" w:rsidP="00D664CB">
            <w:pPr>
              <w:spacing w:before="0" w:after="0"/>
              <w:jc w:val="center"/>
              <w:rPr>
                <w:b/>
                <w:noProof/>
                <w:color w:val="000000"/>
                <w:sz w:val="20"/>
              </w:rPr>
            </w:pPr>
            <w:r w:rsidRPr="00D91062">
              <w:rPr>
                <w:b/>
                <w:noProof/>
                <w:color w:val="000000"/>
                <w:sz w:val="20"/>
              </w:rPr>
              <w:t>2029</w:t>
            </w:r>
          </w:p>
        </w:tc>
        <w:tc>
          <w:tcPr>
            <w:tcW w:w="332" w:type="pct"/>
            <w:tcBorders>
              <w:top w:val="nil"/>
              <w:left w:val="nil"/>
              <w:bottom w:val="single" w:sz="8" w:space="0" w:color="auto"/>
              <w:right w:val="single" w:sz="8" w:space="0" w:color="auto"/>
            </w:tcBorders>
            <w:vAlign w:val="center"/>
            <w:hideMark/>
          </w:tcPr>
          <w:p w14:paraId="47679899" w14:textId="77777777" w:rsidR="00D664CB" w:rsidRPr="00D91062" w:rsidRDefault="00D664CB" w:rsidP="00D664CB">
            <w:pPr>
              <w:spacing w:before="0" w:after="0"/>
              <w:jc w:val="center"/>
              <w:rPr>
                <w:b/>
                <w:noProof/>
                <w:color w:val="000000"/>
                <w:sz w:val="20"/>
              </w:rPr>
            </w:pPr>
            <w:r w:rsidRPr="00D91062">
              <w:rPr>
                <w:b/>
                <w:noProof/>
                <w:color w:val="000000"/>
                <w:sz w:val="20"/>
              </w:rPr>
              <w:t>2030</w:t>
            </w:r>
          </w:p>
        </w:tc>
        <w:tc>
          <w:tcPr>
            <w:tcW w:w="332" w:type="pct"/>
            <w:tcBorders>
              <w:top w:val="nil"/>
              <w:left w:val="nil"/>
              <w:bottom w:val="single" w:sz="8" w:space="0" w:color="auto"/>
              <w:right w:val="single" w:sz="8" w:space="0" w:color="auto"/>
            </w:tcBorders>
            <w:vAlign w:val="center"/>
            <w:hideMark/>
          </w:tcPr>
          <w:p w14:paraId="6C560018" w14:textId="77777777" w:rsidR="00D664CB" w:rsidRPr="00D91062" w:rsidRDefault="00D664CB" w:rsidP="00D664CB">
            <w:pPr>
              <w:spacing w:before="0" w:after="0"/>
              <w:jc w:val="center"/>
              <w:rPr>
                <w:b/>
                <w:noProof/>
                <w:color w:val="000000"/>
                <w:sz w:val="20"/>
              </w:rPr>
            </w:pPr>
            <w:r w:rsidRPr="00D91062">
              <w:rPr>
                <w:b/>
                <w:noProof/>
                <w:color w:val="000000"/>
                <w:sz w:val="20"/>
              </w:rPr>
              <w:t>2031</w:t>
            </w:r>
          </w:p>
        </w:tc>
        <w:tc>
          <w:tcPr>
            <w:tcW w:w="332" w:type="pct"/>
            <w:tcBorders>
              <w:top w:val="nil"/>
              <w:left w:val="nil"/>
              <w:bottom w:val="single" w:sz="8" w:space="0" w:color="auto"/>
              <w:right w:val="single" w:sz="8" w:space="0" w:color="auto"/>
            </w:tcBorders>
            <w:vAlign w:val="center"/>
            <w:hideMark/>
          </w:tcPr>
          <w:p w14:paraId="3A4E82BE" w14:textId="77777777" w:rsidR="00D664CB" w:rsidRPr="00D91062" w:rsidRDefault="00D664CB" w:rsidP="00D664CB">
            <w:pPr>
              <w:spacing w:before="0" w:after="0"/>
              <w:jc w:val="center"/>
              <w:rPr>
                <w:b/>
                <w:noProof/>
                <w:color w:val="000000"/>
                <w:sz w:val="20"/>
              </w:rPr>
            </w:pPr>
            <w:r w:rsidRPr="00D91062">
              <w:rPr>
                <w:b/>
                <w:noProof/>
                <w:color w:val="000000"/>
                <w:sz w:val="20"/>
              </w:rPr>
              <w:t>2032</w:t>
            </w:r>
          </w:p>
        </w:tc>
        <w:tc>
          <w:tcPr>
            <w:tcW w:w="332" w:type="pct"/>
            <w:tcBorders>
              <w:top w:val="nil"/>
              <w:left w:val="nil"/>
              <w:bottom w:val="single" w:sz="8" w:space="0" w:color="auto"/>
              <w:right w:val="single" w:sz="8" w:space="0" w:color="auto"/>
            </w:tcBorders>
            <w:vAlign w:val="center"/>
            <w:hideMark/>
          </w:tcPr>
          <w:p w14:paraId="70FA8DC2" w14:textId="77777777" w:rsidR="00D664CB" w:rsidRPr="00D91062" w:rsidRDefault="00D664CB" w:rsidP="00D664CB">
            <w:pPr>
              <w:spacing w:before="0" w:after="0"/>
              <w:jc w:val="center"/>
              <w:rPr>
                <w:b/>
                <w:noProof/>
                <w:color w:val="000000"/>
                <w:sz w:val="20"/>
              </w:rPr>
            </w:pPr>
            <w:r w:rsidRPr="00D91062">
              <w:rPr>
                <w:b/>
                <w:noProof/>
                <w:color w:val="000000"/>
                <w:sz w:val="20"/>
              </w:rPr>
              <w:t>2033</w:t>
            </w:r>
          </w:p>
        </w:tc>
        <w:tc>
          <w:tcPr>
            <w:tcW w:w="332" w:type="pct"/>
            <w:tcBorders>
              <w:top w:val="nil"/>
              <w:left w:val="nil"/>
              <w:bottom w:val="single" w:sz="8" w:space="0" w:color="auto"/>
              <w:right w:val="single" w:sz="8" w:space="0" w:color="auto"/>
            </w:tcBorders>
            <w:vAlign w:val="center"/>
            <w:hideMark/>
          </w:tcPr>
          <w:p w14:paraId="571D4A67" w14:textId="77777777" w:rsidR="00D664CB" w:rsidRPr="00D91062" w:rsidRDefault="00D664CB" w:rsidP="00D664CB">
            <w:pPr>
              <w:spacing w:before="0" w:after="0"/>
              <w:jc w:val="center"/>
              <w:rPr>
                <w:b/>
                <w:noProof/>
                <w:color w:val="000000"/>
                <w:sz w:val="20"/>
              </w:rPr>
            </w:pPr>
            <w:r w:rsidRPr="00D91062">
              <w:rPr>
                <w:b/>
                <w:noProof/>
                <w:color w:val="000000"/>
                <w:sz w:val="20"/>
              </w:rPr>
              <w:t>2034</w:t>
            </w:r>
          </w:p>
        </w:tc>
        <w:tc>
          <w:tcPr>
            <w:tcW w:w="365" w:type="pct"/>
            <w:vMerge/>
            <w:vAlign w:val="center"/>
            <w:hideMark/>
          </w:tcPr>
          <w:p w14:paraId="19BC463C" w14:textId="77777777" w:rsidR="00D664CB" w:rsidRPr="00D91062" w:rsidRDefault="00D664CB" w:rsidP="00D664CB">
            <w:pPr>
              <w:spacing w:before="0" w:after="0"/>
              <w:jc w:val="left"/>
              <w:rPr>
                <w:b/>
                <w:noProof/>
                <w:color w:val="000000"/>
                <w:sz w:val="20"/>
              </w:rPr>
            </w:pPr>
          </w:p>
        </w:tc>
      </w:tr>
      <w:tr w:rsidR="009F0B59" w:rsidRPr="00D91062" w14:paraId="63A7341B" w14:textId="77777777" w:rsidTr="00354501">
        <w:trPr>
          <w:trHeight w:val="300"/>
        </w:trPr>
        <w:tc>
          <w:tcPr>
            <w:tcW w:w="2308" w:type="pct"/>
            <w:gridSpan w:val="4"/>
            <w:tcBorders>
              <w:top w:val="single" w:sz="8" w:space="0" w:color="auto"/>
              <w:left w:val="single" w:sz="8" w:space="0" w:color="auto"/>
              <w:bottom w:val="single" w:sz="8" w:space="0" w:color="auto"/>
              <w:right w:val="single" w:sz="8" w:space="0" w:color="000000" w:themeColor="text1"/>
            </w:tcBorders>
            <w:vAlign w:val="center"/>
            <w:hideMark/>
          </w:tcPr>
          <w:p w14:paraId="19C52656" w14:textId="77777777" w:rsidR="00D664CB" w:rsidRPr="00D91062" w:rsidRDefault="00D664CB" w:rsidP="00D664CB">
            <w:pPr>
              <w:spacing w:before="0" w:after="0"/>
              <w:jc w:val="left"/>
              <w:rPr>
                <w:rFonts w:ascii="Wingdings" w:hAnsi="Wingdings"/>
                <w:noProof/>
                <w:color w:val="000000"/>
                <w:sz w:val="22"/>
              </w:rPr>
            </w:pPr>
            <w:r w:rsidRPr="00D91062">
              <w:rPr>
                <w:rFonts w:ascii="Wingdings" w:hAnsi="Wingdings"/>
                <w:noProof/>
                <w:color w:val="000000" w:themeColor="text1"/>
                <w:sz w:val="22"/>
              </w:rPr>
              <w:t></w:t>
            </w:r>
            <w:r w:rsidRPr="00D91062">
              <w:rPr>
                <w:noProof/>
                <w:color w:val="000000" w:themeColor="text1"/>
                <w:sz w:val="22"/>
              </w:rPr>
              <w:t xml:space="preserve"> Resurse umane </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3B5C6CE3" w14:textId="77777777" w:rsidR="00D664CB" w:rsidRPr="00D91062" w:rsidRDefault="00D664CB" w:rsidP="00D664CB">
            <w:pPr>
              <w:spacing w:before="0" w:after="0"/>
              <w:jc w:val="right"/>
              <w:rPr>
                <w:rFonts w:eastAsia="Times New Roman"/>
                <w:noProof/>
                <w:color w:val="000000"/>
                <w:sz w:val="20"/>
                <w:szCs w:val="20"/>
              </w:rPr>
            </w:pPr>
            <w:r w:rsidRPr="00D91062">
              <w:rPr>
                <w:noProof/>
                <w:color w:val="000000" w:themeColor="text1"/>
                <w:sz w:val="20"/>
              </w:rPr>
              <w:t>1,479</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63CA0A6B" w14:textId="77777777" w:rsidR="00D664CB" w:rsidRPr="00D91062" w:rsidRDefault="00D664CB" w:rsidP="00D664CB">
            <w:pPr>
              <w:spacing w:before="0" w:after="0"/>
              <w:jc w:val="right"/>
              <w:rPr>
                <w:rFonts w:eastAsia="Times New Roman"/>
                <w:noProof/>
                <w:color w:val="000000"/>
                <w:sz w:val="20"/>
                <w:szCs w:val="20"/>
              </w:rPr>
            </w:pPr>
            <w:r w:rsidRPr="00D91062">
              <w:rPr>
                <w:noProof/>
                <w:color w:val="000000" w:themeColor="text1"/>
                <w:sz w:val="20"/>
              </w:rPr>
              <w:t>1,479</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58FE8F6C" w14:textId="77777777" w:rsidR="00D664CB" w:rsidRPr="00D91062" w:rsidRDefault="00D664CB" w:rsidP="00D664CB">
            <w:pPr>
              <w:spacing w:before="0" w:after="0"/>
              <w:jc w:val="right"/>
              <w:rPr>
                <w:rFonts w:eastAsia="Times New Roman"/>
                <w:noProof/>
                <w:color w:val="000000"/>
                <w:sz w:val="20"/>
                <w:szCs w:val="20"/>
              </w:rPr>
            </w:pPr>
            <w:r w:rsidRPr="00D91062">
              <w:rPr>
                <w:noProof/>
                <w:color w:val="000000" w:themeColor="text1"/>
                <w:sz w:val="20"/>
              </w:rPr>
              <w:t>1,479</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38D1194C" w14:textId="77777777" w:rsidR="00D664CB" w:rsidRPr="00D91062" w:rsidRDefault="00D664CB" w:rsidP="00D664CB">
            <w:pPr>
              <w:spacing w:before="0" w:after="0"/>
              <w:jc w:val="right"/>
              <w:rPr>
                <w:rFonts w:eastAsia="Times New Roman"/>
                <w:noProof/>
                <w:color w:val="000000"/>
                <w:sz w:val="20"/>
                <w:szCs w:val="20"/>
              </w:rPr>
            </w:pPr>
            <w:r w:rsidRPr="00D91062">
              <w:rPr>
                <w:noProof/>
                <w:color w:val="000000" w:themeColor="text1"/>
                <w:sz w:val="20"/>
              </w:rPr>
              <w:t>1,479</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48C44423" w14:textId="77777777" w:rsidR="00D664CB" w:rsidRPr="00D91062" w:rsidRDefault="00D664CB" w:rsidP="00D664CB">
            <w:pPr>
              <w:spacing w:before="0" w:after="0"/>
              <w:jc w:val="right"/>
              <w:rPr>
                <w:rFonts w:eastAsia="Times New Roman"/>
                <w:noProof/>
                <w:color w:val="000000"/>
                <w:sz w:val="20"/>
                <w:szCs w:val="20"/>
              </w:rPr>
            </w:pPr>
            <w:r w:rsidRPr="00D91062">
              <w:rPr>
                <w:noProof/>
                <w:color w:val="000000" w:themeColor="text1"/>
                <w:sz w:val="20"/>
              </w:rPr>
              <w:t>1,479</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2C76D027" w14:textId="77777777" w:rsidR="00D664CB" w:rsidRPr="00D91062" w:rsidRDefault="00D664CB" w:rsidP="00D664CB">
            <w:pPr>
              <w:spacing w:before="0" w:after="0"/>
              <w:jc w:val="right"/>
              <w:rPr>
                <w:rFonts w:eastAsia="Times New Roman"/>
                <w:noProof/>
                <w:color w:val="000000"/>
                <w:sz w:val="20"/>
                <w:szCs w:val="20"/>
              </w:rPr>
            </w:pPr>
            <w:r w:rsidRPr="00D91062">
              <w:rPr>
                <w:noProof/>
                <w:color w:val="000000" w:themeColor="text1"/>
                <w:sz w:val="20"/>
              </w:rPr>
              <w:t>1,479</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651C2F0C" w14:textId="77777777" w:rsidR="00D664CB" w:rsidRPr="00D91062" w:rsidRDefault="00D664CB" w:rsidP="00D664CB">
            <w:pPr>
              <w:spacing w:before="0" w:after="0"/>
              <w:jc w:val="right"/>
              <w:rPr>
                <w:noProof/>
                <w:color w:val="000000"/>
                <w:sz w:val="20"/>
                <w:szCs w:val="20"/>
              </w:rPr>
            </w:pPr>
            <w:r w:rsidRPr="00D91062">
              <w:rPr>
                <w:noProof/>
                <w:color w:val="000000" w:themeColor="text1"/>
                <w:sz w:val="20"/>
              </w:rPr>
              <w:t>1,479</w:t>
            </w:r>
          </w:p>
        </w:tc>
        <w:tc>
          <w:tcPr>
            <w:tcW w:w="365" w:type="pct"/>
            <w:tcBorders>
              <w:top w:val="nil"/>
              <w:left w:val="nil"/>
              <w:bottom w:val="single" w:sz="8" w:space="0" w:color="auto"/>
              <w:right w:val="single" w:sz="8" w:space="0" w:color="auto"/>
            </w:tcBorders>
            <w:shd w:val="clear" w:color="auto" w:fill="D9D9D9" w:themeFill="background1" w:themeFillShade="D9"/>
            <w:vAlign w:val="center"/>
          </w:tcPr>
          <w:p w14:paraId="0545D91F" w14:textId="77777777" w:rsidR="00D664CB" w:rsidRPr="00D91062" w:rsidRDefault="00D664CB" w:rsidP="00D664CB">
            <w:pPr>
              <w:spacing w:before="0" w:after="0"/>
              <w:jc w:val="right"/>
              <w:rPr>
                <w:b/>
                <w:bCs/>
                <w:noProof/>
                <w:color w:val="000000"/>
                <w:sz w:val="20"/>
                <w:szCs w:val="20"/>
              </w:rPr>
            </w:pPr>
            <w:r w:rsidRPr="00D91062">
              <w:rPr>
                <w:b/>
                <w:noProof/>
                <w:color w:val="000000" w:themeColor="text1"/>
                <w:sz w:val="20"/>
              </w:rPr>
              <w:t>10,353</w:t>
            </w:r>
          </w:p>
        </w:tc>
      </w:tr>
      <w:tr w:rsidR="009F0B59" w:rsidRPr="00D91062" w14:paraId="6D69BE77" w14:textId="77777777" w:rsidTr="00354501">
        <w:trPr>
          <w:trHeight w:val="300"/>
        </w:trPr>
        <w:tc>
          <w:tcPr>
            <w:tcW w:w="2308" w:type="pct"/>
            <w:gridSpan w:val="4"/>
            <w:tcBorders>
              <w:top w:val="single" w:sz="8" w:space="0" w:color="auto"/>
              <w:left w:val="single" w:sz="8" w:space="0" w:color="auto"/>
              <w:bottom w:val="single" w:sz="8" w:space="0" w:color="auto"/>
              <w:right w:val="single" w:sz="8" w:space="0" w:color="000000" w:themeColor="text1"/>
            </w:tcBorders>
            <w:vAlign w:val="center"/>
            <w:hideMark/>
          </w:tcPr>
          <w:p w14:paraId="2086D257" w14:textId="77777777" w:rsidR="00D664CB" w:rsidRPr="00D91062" w:rsidRDefault="00D664CB" w:rsidP="00D664CB">
            <w:pPr>
              <w:spacing w:before="0" w:after="0"/>
              <w:jc w:val="left"/>
              <w:rPr>
                <w:rFonts w:ascii="Wingdings" w:hAnsi="Wingdings"/>
                <w:noProof/>
                <w:color w:val="000000"/>
                <w:sz w:val="22"/>
              </w:rPr>
            </w:pPr>
            <w:r w:rsidRPr="00D91062">
              <w:rPr>
                <w:rFonts w:ascii="Wingdings" w:hAnsi="Wingdings"/>
                <w:noProof/>
                <w:color w:val="000000" w:themeColor="text1"/>
                <w:sz w:val="22"/>
              </w:rPr>
              <w:t></w:t>
            </w:r>
            <w:r w:rsidRPr="00D91062">
              <w:rPr>
                <w:noProof/>
                <w:color w:val="000000" w:themeColor="text1"/>
                <w:sz w:val="22"/>
              </w:rPr>
              <w:t xml:space="preserve"> Alte cheltuieli administrative </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6F4027F9" w14:textId="77777777" w:rsidR="00D664CB" w:rsidRPr="00D91062" w:rsidRDefault="00D664CB" w:rsidP="00D664CB">
            <w:pPr>
              <w:spacing w:before="0" w:after="0"/>
              <w:jc w:val="right"/>
              <w:rPr>
                <w:rFonts w:eastAsia="Times New Roman"/>
                <w:noProof/>
                <w:color w:val="000000" w:themeColor="text1"/>
                <w:sz w:val="20"/>
                <w:szCs w:val="20"/>
              </w:rPr>
            </w:pPr>
            <w:r w:rsidRPr="00D91062">
              <w:rPr>
                <w:noProof/>
                <w:color w:val="000000" w:themeColor="text1"/>
                <w:sz w:val="20"/>
              </w:rPr>
              <w:t>0,062</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0B4A6988" w14:textId="77777777" w:rsidR="00D664CB" w:rsidRPr="00D91062" w:rsidRDefault="00D664CB" w:rsidP="00D664CB">
            <w:pPr>
              <w:spacing w:before="0" w:after="0"/>
              <w:jc w:val="right"/>
              <w:rPr>
                <w:noProof/>
                <w:color w:val="000000" w:themeColor="text1"/>
                <w:sz w:val="20"/>
                <w:szCs w:val="20"/>
              </w:rPr>
            </w:pPr>
            <w:r w:rsidRPr="00D91062">
              <w:rPr>
                <w:noProof/>
                <w:color w:val="000000" w:themeColor="text1"/>
                <w:sz w:val="20"/>
              </w:rPr>
              <w:t>0,062</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40BF3370" w14:textId="77777777" w:rsidR="00D664CB" w:rsidRPr="00D91062" w:rsidRDefault="00D664CB" w:rsidP="00D664CB">
            <w:pPr>
              <w:spacing w:before="0" w:after="0"/>
              <w:jc w:val="right"/>
              <w:rPr>
                <w:noProof/>
                <w:color w:val="000000" w:themeColor="text1"/>
                <w:sz w:val="20"/>
                <w:szCs w:val="20"/>
              </w:rPr>
            </w:pPr>
            <w:r w:rsidRPr="00D91062">
              <w:rPr>
                <w:noProof/>
                <w:color w:val="000000" w:themeColor="text1"/>
                <w:sz w:val="20"/>
              </w:rPr>
              <w:t xml:space="preserve">0,021 </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02252FE6" w14:textId="77777777" w:rsidR="00D664CB" w:rsidRPr="00D91062" w:rsidRDefault="00D664CB" w:rsidP="00D664CB">
            <w:pPr>
              <w:spacing w:before="0" w:after="0"/>
              <w:jc w:val="right"/>
              <w:rPr>
                <w:noProof/>
                <w:color w:val="000000" w:themeColor="text1"/>
                <w:sz w:val="20"/>
                <w:szCs w:val="20"/>
              </w:rPr>
            </w:pPr>
            <w:r w:rsidRPr="00D91062">
              <w:rPr>
                <w:noProof/>
                <w:color w:val="000000" w:themeColor="text1"/>
                <w:sz w:val="20"/>
              </w:rPr>
              <w:t>0,021</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67AB46B8" w14:textId="77777777" w:rsidR="00D664CB" w:rsidRPr="00D91062" w:rsidRDefault="00D664CB" w:rsidP="00D664CB">
            <w:pPr>
              <w:spacing w:before="0" w:after="0"/>
              <w:jc w:val="right"/>
              <w:rPr>
                <w:noProof/>
                <w:color w:val="000000" w:themeColor="text1"/>
                <w:sz w:val="20"/>
                <w:szCs w:val="20"/>
              </w:rPr>
            </w:pPr>
            <w:r w:rsidRPr="00D91062">
              <w:rPr>
                <w:noProof/>
                <w:color w:val="000000" w:themeColor="text1"/>
                <w:sz w:val="20"/>
              </w:rPr>
              <w:t xml:space="preserve">0,021 </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30C4FB94" w14:textId="77777777" w:rsidR="00D664CB" w:rsidRPr="00D91062" w:rsidRDefault="00D664CB" w:rsidP="00D664CB">
            <w:pPr>
              <w:spacing w:before="0" w:after="0"/>
              <w:jc w:val="right"/>
              <w:rPr>
                <w:noProof/>
                <w:color w:val="000000" w:themeColor="text1"/>
                <w:sz w:val="20"/>
                <w:szCs w:val="20"/>
              </w:rPr>
            </w:pPr>
            <w:r w:rsidRPr="00D91062">
              <w:rPr>
                <w:noProof/>
                <w:color w:val="000000" w:themeColor="text1"/>
                <w:sz w:val="20"/>
              </w:rPr>
              <w:t xml:space="preserve">0,021 </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0FF43B7A" w14:textId="77777777" w:rsidR="00D664CB" w:rsidRPr="00D91062" w:rsidRDefault="00D664CB" w:rsidP="00D664CB">
            <w:pPr>
              <w:spacing w:before="0" w:after="0"/>
              <w:jc w:val="right"/>
              <w:rPr>
                <w:noProof/>
                <w:color w:val="000000"/>
                <w:sz w:val="20"/>
                <w:szCs w:val="20"/>
              </w:rPr>
            </w:pPr>
            <w:r w:rsidRPr="00D91062">
              <w:rPr>
                <w:noProof/>
                <w:color w:val="000000" w:themeColor="text1"/>
                <w:sz w:val="20"/>
              </w:rPr>
              <w:t xml:space="preserve">0,021 </w:t>
            </w:r>
          </w:p>
        </w:tc>
        <w:tc>
          <w:tcPr>
            <w:tcW w:w="365" w:type="pct"/>
            <w:tcBorders>
              <w:top w:val="nil"/>
              <w:left w:val="nil"/>
              <w:bottom w:val="single" w:sz="8" w:space="0" w:color="auto"/>
              <w:right w:val="single" w:sz="8" w:space="0" w:color="auto"/>
            </w:tcBorders>
            <w:shd w:val="clear" w:color="auto" w:fill="D9D9D9" w:themeFill="background1" w:themeFillShade="D9"/>
            <w:vAlign w:val="center"/>
          </w:tcPr>
          <w:p w14:paraId="279A8193" w14:textId="77777777" w:rsidR="00D664CB" w:rsidRPr="00D91062" w:rsidRDefault="00D664CB" w:rsidP="00D664CB">
            <w:pPr>
              <w:spacing w:before="0" w:after="0"/>
              <w:jc w:val="right"/>
              <w:rPr>
                <w:b/>
                <w:bCs/>
                <w:noProof/>
                <w:color w:val="000000"/>
                <w:sz w:val="20"/>
                <w:szCs w:val="20"/>
              </w:rPr>
            </w:pPr>
            <w:r w:rsidRPr="00D91062">
              <w:rPr>
                <w:b/>
                <w:noProof/>
                <w:color w:val="000000" w:themeColor="text1"/>
                <w:sz w:val="20"/>
              </w:rPr>
              <w:t>0,229</w:t>
            </w:r>
          </w:p>
        </w:tc>
      </w:tr>
      <w:tr w:rsidR="00750ED0" w:rsidRPr="00D91062" w14:paraId="428E8CBD" w14:textId="77777777" w:rsidTr="00354501">
        <w:trPr>
          <w:trHeight w:val="850"/>
        </w:trPr>
        <w:tc>
          <w:tcPr>
            <w:tcW w:w="911" w:type="pct"/>
            <w:tcBorders>
              <w:top w:val="nil"/>
              <w:left w:val="single" w:sz="8" w:space="0" w:color="auto"/>
              <w:bottom w:val="single" w:sz="8" w:space="0" w:color="auto"/>
              <w:right w:val="single" w:sz="8" w:space="0" w:color="auto"/>
            </w:tcBorders>
            <w:vAlign w:val="center"/>
            <w:hideMark/>
          </w:tcPr>
          <w:p w14:paraId="0CBCC1D0" w14:textId="77777777" w:rsidR="00D664CB" w:rsidRPr="00D91062" w:rsidRDefault="00D664CB" w:rsidP="00D664CB">
            <w:pPr>
              <w:spacing w:before="0" w:after="0"/>
              <w:jc w:val="center"/>
              <w:rPr>
                <w:b/>
                <w:noProof/>
                <w:color w:val="000000"/>
                <w:sz w:val="22"/>
              </w:rPr>
            </w:pPr>
            <w:r w:rsidRPr="00D91062">
              <w:rPr>
                <w:b/>
                <w:noProof/>
                <w:color w:val="000000"/>
                <w:sz w:val="22"/>
              </w:rPr>
              <w:t xml:space="preserve">TOTAL PENTRU DG </w:t>
            </w:r>
            <w:r w:rsidRPr="00D91062">
              <w:rPr>
                <w:noProof/>
                <w:color w:val="000000"/>
                <w:sz w:val="22"/>
              </w:rPr>
              <w:t>&lt;CNECT&gt;</w:t>
            </w:r>
          </w:p>
        </w:tc>
        <w:tc>
          <w:tcPr>
            <w:tcW w:w="1397" w:type="pct"/>
            <w:gridSpan w:val="3"/>
            <w:tcBorders>
              <w:top w:val="single" w:sz="8" w:space="0" w:color="auto"/>
              <w:left w:val="nil"/>
              <w:bottom w:val="single" w:sz="8" w:space="0" w:color="auto"/>
              <w:right w:val="single" w:sz="8" w:space="0" w:color="000000" w:themeColor="text1"/>
            </w:tcBorders>
            <w:vAlign w:val="center"/>
            <w:hideMark/>
          </w:tcPr>
          <w:p w14:paraId="4063EF4D" w14:textId="77777777" w:rsidR="00D664CB" w:rsidRPr="00D91062" w:rsidRDefault="00D664CB" w:rsidP="00D664CB">
            <w:pPr>
              <w:spacing w:before="0" w:after="0"/>
              <w:jc w:val="left"/>
              <w:rPr>
                <w:noProof/>
                <w:color w:val="000000"/>
                <w:sz w:val="18"/>
              </w:rPr>
            </w:pPr>
            <w:r w:rsidRPr="00D91062">
              <w:rPr>
                <w:noProof/>
                <w:color w:val="000000"/>
                <w:sz w:val="18"/>
              </w:rPr>
              <w:t xml:space="preserve">Credite </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54E0334A" w14:textId="77777777" w:rsidR="00D664CB" w:rsidRPr="00D91062" w:rsidRDefault="00D664CB" w:rsidP="00D664CB">
            <w:pPr>
              <w:spacing w:before="0" w:after="0"/>
              <w:jc w:val="right"/>
              <w:rPr>
                <w:rFonts w:eastAsia="Times New Roman"/>
                <w:b/>
                <w:noProof/>
                <w:color w:val="000000"/>
                <w:sz w:val="20"/>
                <w:szCs w:val="20"/>
              </w:rPr>
            </w:pPr>
            <w:r w:rsidRPr="00D91062">
              <w:rPr>
                <w:b/>
                <w:noProof/>
                <w:color w:val="000000" w:themeColor="text1"/>
                <w:sz w:val="20"/>
              </w:rPr>
              <w:t>1,541</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381C8150" w14:textId="77777777" w:rsidR="00D664CB" w:rsidRPr="00D91062" w:rsidRDefault="00D664CB" w:rsidP="00D664CB">
            <w:pPr>
              <w:spacing w:before="0" w:after="0"/>
              <w:jc w:val="right"/>
              <w:rPr>
                <w:rFonts w:eastAsia="Times New Roman"/>
                <w:b/>
                <w:noProof/>
                <w:color w:val="000000"/>
                <w:sz w:val="20"/>
                <w:szCs w:val="20"/>
              </w:rPr>
            </w:pPr>
            <w:r w:rsidRPr="00D91062">
              <w:rPr>
                <w:b/>
                <w:noProof/>
                <w:color w:val="000000" w:themeColor="text1"/>
                <w:sz w:val="20"/>
              </w:rPr>
              <w:t>1,541</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3899B553" w14:textId="77777777" w:rsidR="00D664CB" w:rsidRPr="00D91062" w:rsidRDefault="00D664CB" w:rsidP="00D664CB">
            <w:pPr>
              <w:spacing w:before="0" w:after="0"/>
              <w:jc w:val="right"/>
              <w:rPr>
                <w:rFonts w:eastAsia="Times New Roman"/>
                <w:b/>
                <w:noProof/>
                <w:color w:val="000000"/>
                <w:sz w:val="20"/>
                <w:szCs w:val="20"/>
              </w:rPr>
            </w:pPr>
            <w:r w:rsidRPr="00D91062">
              <w:rPr>
                <w:b/>
                <w:noProof/>
                <w:color w:val="000000" w:themeColor="text1"/>
                <w:sz w:val="20"/>
              </w:rPr>
              <w:t>1,500</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7BCE1421" w14:textId="77777777" w:rsidR="00D664CB" w:rsidRPr="00D91062" w:rsidRDefault="00D664CB" w:rsidP="00D664CB">
            <w:pPr>
              <w:spacing w:before="0" w:after="0"/>
              <w:jc w:val="right"/>
              <w:rPr>
                <w:rFonts w:eastAsia="Times New Roman"/>
                <w:b/>
                <w:noProof/>
                <w:color w:val="000000"/>
                <w:sz w:val="20"/>
                <w:szCs w:val="20"/>
              </w:rPr>
            </w:pPr>
            <w:r w:rsidRPr="00D91062">
              <w:rPr>
                <w:b/>
                <w:noProof/>
                <w:color w:val="000000" w:themeColor="text1"/>
                <w:sz w:val="20"/>
              </w:rPr>
              <w:t>1,500</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2BE7342B" w14:textId="77777777" w:rsidR="00D664CB" w:rsidRPr="00D91062" w:rsidRDefault="00D664CB" w:rsidP="00D664CB">
            <w:pPr>
              <w:spacing w:before="0" w:after="0"/>
              <w:jc w:val="right"/>
              <w:rPr>
                <w:rFonts w:eastAsia="Times New Roman"/>
                <w:b/>
                <w:noProof/>
                <w:color w:val="000000"/>
                <w:sz w:val="20"/>
                <w:szCs w:val="20"/>
              </w:rPr>
            </w:pPr>
            <w:r w:rsidRPr="00D91062">
              <w:rPr>
                <w:b/>
                <w:noProof/>
                <w:color w:val="000000" w:themeColor="text1"/>
                <w:sz w:val="20"/>
              </w:rPr>
              <w:t>1,500</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5FC92AF6" w14:textId="77777777" w:rsidR="00D664CB" w:rsidRPr="00D91062" w:rsidRDefault="00D664CB" w:rsidP="00D664CB">
            <w:pPr>
              <w:spacing w:before="0" w:after="0"/>
              <w:jc w:val="right"/>
              <w:rPr>
                <w:rFonts w:eastAsia="Times New Roman"/>
                <w:b/>
                <w:noProof/>
                <w:color w:val="000000"/>
                <w:sz w:val="20"/>
                <w:szCs w:val="20"/>
              </w:rPr>
            </w:pPr>
            <w:r w:rsidRPr="00D91062">
              <w:rPr>
                <w:b/>
                <w:noProof/>
                <w:color w:val="000000" w:themeColor="text1"/>
                <w:sz w:val="20"/>
              </w:rPr>
              <w:t>1,500</w:t>
            </w:r>
          </w:p>
        </w:tc>
        <w:tc>
          <w:tcPr>
            <w:tcW w:w="332" w:type="pct"/>
            <w:tcBorders>
              <w:top w:val="nil"/>
              <w:left w:val="nil"/>
              <w:bottom w:val="single" w:sz="8" w:space="0" w:color="auto"/>
              <w:right w:val="single" w:sz="8" w:space="0" w:color="auto"/>
            </w:tcBorders>
            <w:shd w:val="clear" w:color="auto" w:fill="D9D9D9" w:themeFill="background1" w:themeFillShade="D9"/>
            <w:vAlign w:val="center"/>
          </w:tcPr>
          <w:p w14:paraId="43821B4C" w14:textId="77777777" w:rsidR="00D664CB" w:rsidRPr="00D91062" w:rsidRDefault="00D664CB" w:rsidP="00D664CB">
            <w:pPr>
              <w:spacing w:before="0" w:after="0"/>
              <w:jc w:val="right"/>
              <w:rPr>
                <w:b/>
                <w:bCs/>
                <w:noProof/>
                <w:color w:val="000000"/>
                <w:sz w:val="20"/>
                <w:szCs w:val="20"/>
              </w:rPr>
            </w:pPr>
            <w:r w:rsidRPr="00D91062">
              <w:rPr>
                <w:b/>
                <w:noProof/>
                <w:color w:val="000000" w:themeColor="text1"/>
                <w:sz w:val="20"/>
              </w:rPr>
              <w:t>1,500</w:t>
            </w:r>
          </w:p>
        </w:tc>
        <w:tc>
          <w:tcPr>
            <w:tcW w:w="365" w:type="pct"/>
            <w:tcBorders>
              <w:top w:val="nil"/>
              <w:left w:val="nil"/>
              <w:bottom w:val="single" w:sz="8" w:space="0" w:color="auto"/>
              <w:right w:val="single" w:sz="8" w:space="0" w:color="auto"/>
            </w:tcBorders>
            <w:shd w:val="clear" w:color="auto" w:fill="D9D9D9" w:themeFill="background1" w:themeFillShade="D9"/>
            <w:vAlign w:val="center"/>
          </w:tcPr>
          <w:p w14:paraId="715E1D14" w14:textId="77777777" w:rsidR="00D664CB" w:rsidRPr="00D91062" w:rsidRDefault="00D664CB" w:rsidP="00D664CB">
            <w:pPr>
              <w:spacing w:before="0" w:after="0"/>
              <w:jc w:val="right"/>
              <w:rPr>
                <w:rFonts w:eastAsia="Times New Roman"/>
                <w:b/>
                <w:noProof/>
                <w:color w:val="000000"/>
                <w:sz w:val="20"/>
                <w:szCs w:val="20"/>
              </w:rPr>
            </w:pPr>
            <w:r w:rsidRPr="00D91062">
              <w:rPr>
                <w:b/>
                <w:noProof/>
                <w:color w:val="000000" w:themeColor="text1"/>
                <w:sz w:val="20"/>
              </w:rPr>
              <w:t>10,582</w:t>
            </w:r>
          </w:p>
        </w:tc>
      </w:tr>
      <w:tr w:rsidR="00D664CB" w:rsidRPr="00D91062" w14:paraId="1637D927" w14:textId="77777777" w:rsidTr="00354501">
        <w:trPr>
          <w:trHeight w:val="300"/>
        </w:trPr>
        <w:tc>
          <w:tcPr>
            <w:tcW w:w="911" w:type="pct"/>
            <w:tcBorders>
              <w:top w:val="nil"/>
              <w:left w:val="nil"/>
              <w:bottom w:val="nil"/>
              <w:right w:val="nil"/>
            </w:tcBorders>
            <w:noWrap/>
            <w:vAlign w:val="bottom"/>
            <w:hideMark/>
          </w:tcPr>
          <w:p w14:paraId="71BA0DE4" w14:textId="77777777" w:rsidR="00D664CB" w:rsidRPr="00D91062" w:rsidRDefault="00D664CB" w:rsidP="00D664CB">
            <w:pPr>
              <w:spacing w:before="0" w:after="0"/>
              <w:jc w:val="right"/>
              <w:rPr>
                <w:b/>
                <w:noProof/>
                <w:color w:val="000000"/>
                <w:sz w:val="20"/>
              </w:rPr>
            </w:pPr>
          </w:p>
        </w:tc>
        <w:tc>
          <w:tcPr>
            <w:tcW w:w="910" w:type="pct"/>
            <w:tcBorders>
              <w:top w:val="nil"/>
              <w:left w:val="nil"/>
              <w:bottom w:val="nil"/>
              <w:right w:val="nil"/>
            </w:tcBorders>
            <w:noWrap/>
            <w:vAlign w:val="bottom"/>
            <w:hideMark/>
          </w:tcPr>
          <w:p w14:paraId="09B3DEDD" w14:textId="77777777" w:rsidR="00D664CB" w:rsidRPr="00D91062" w:rsidRDefault="00D664CB" w:rsidP="00D664CB">
            <w:pPr>
              <w:spacing w:before="0" w:after="0"/>
              <w:jc w:val="left"/>
              <w:rPr>
                <w:noProof/>
                <w:sz w:val="20"/>
              </w:rPr>
            </w:pPr>
          </w:p>
          <w:p w14:paraId="547981A7" w14:textId="77777777" w:rsidR="00D664CB" w:rsidRPr="00D91062" w:rsidRDefault="00D664CB" w:rsidP="00D664CB">
            <w:pPr>
              <w:spacing w:before="0" w:after="0"/>
              <w:jc w:val="left"/>
              <w:rPr>
                <w:noProof/>
                <w:sz w:val="20"/>
              </w:rPr>
            </w:pPr>
          </w:p>
          <w:p w14:paraId="546FB471" w14:textId="77777777" w:rsidR="00D664CB" w:rsidRPr="00D91062" w:rsidRDefault="00D664CB" w:rsidP="00D664CB">
            <w:pPr>
              <w:spacing w:before="0" w:after="0"/>
              <w:jc w:val="left"/>
              <w:rPr>
                <w:noProof/>
                <w:sz w:val="20"/>
              </w:rPr>
            </w:pPr>
          </w:p>
          <w:p w14:paraId="5C6A258C" w14:textId="77777777" w:rsidR="00D664CB" w:rsidRPr="00D91062" w:rsidRDefault="00D664CB" w:rsidP="00D664CB">
            <w:pPr>
              <w:spacing w:before="0" w:after="0"/>
              <w:jc w:val="left"/>
              <w:rPr>
                <w:noProof/>
                <w:sz w:val="20"/>
              </w:rPr>
            </w:pPr>
          </w:p>
        </w:tc>
        <w:tc>
          <w:tcPr>
            <w:tcW w:w="243" w:type="pct"/>
            <w:tcBorders>
              <w:top w:val="nil"/>
              <w:left w:val="nil"/>
              <w:bottom w:val="nil"/>
              <w:right w:val="nil"/>
            </w:tcBorders>
            <w:noWrap/>
            <w:vAlign w:val="bottom"/>
            <w:hideMark/>
          </w:tcPr>
          <w:p w14:paraId="6F2F452C" w14:textId="77777777" w:rsidR="00D664CB" w:rsidRPr="00D91062" w:rsidRDefault="00D664CB" w:rsidP="00D664CB">
            <w:pPr>
              <w:spacing w:before="0" w:after="0"/>
              <w:jc w:val="left"/>
              <w:rPr>
                <w:noProof/>
                <w:sz w:val="20"/>
              </w:rPr>
            </w:pPr>
          </w:p>
        </w:tc>
        <w:tc>
          <w:tcPr>
            <w:tcW w:w="244" w:type="pct"/>
            <w:tcBorders>
              <w:top w:val="nil"/>
              <w:left w:val="nil"/>
              <w:bottom w:val="nil"/>
              <w:right w:val="nil"/>
            </w:tcBorders>
            <w:noWrap/>
            <w:vAlign w:val="bottom"/>
            <w:hideMark/>
          </w:tcPr>
          <w:p w14:paraId="037D969C" w14:textId="77777777" w:rsidR="00D664CB" w:rsidRPr="00D91062" w:rsidRDefault="00D664CB" w:rsidP="00D664CB">
            <w:pPr>
              <w:spacing w:before="0" w:after="0"/>
              <w:jc w:val="left"/>
              <w:rPr>
                <w:noProof/>
                <w:sz w:val="20"/>
              </w:rPr>
            </w:pPr>
          </w:p>
        </w:tc>
        <w:tc>
          <w:tcPr>
            <w:tcW w:w="332" w:type="pct"/>
            <w:tcBorders>
              <w:top w:val="nil"/>
              <w:left w:val="nil"/>
              <w:bottom w:val="nil"/>
              <w:right w:val="nil"/>
            </w:tcBorders>
            <w:noWrap/>
            <w:vAlign w:val="bottom"/>
            <w:hideMark/>
          </w:tcPr>
          <w:p w14:paraId="04078843" w14:textId="77777777" w:rsidR="00D664CB" w:rsidRPr="00D91062" w:rsidRDefault="00D664CB" w:rsidP="00D664CB">
            <w:pPr>
              <w:spacing w:before="0" w:after="0"/>
              <w:jc w:val="left"/>
              <w:rPr>
                <w:noProof/>
                <w:sz w:val="20"/>
                <w:szCs w:val="20"/>
              </w:rPr>
            </w:pPr>
          </w:p>
        </w:tc>
        <w:tc>
          <w:tcPr>
            <w:tcW w:w="332" w:type="pct"/>
            <w:tcBorders>
              <w:top w:val="nil"/>
              <w:left w:val="nil"/>
              <w:bottom w:val="nil"/>
              <w:right w:val="nil"/>
            </w:tcBorders>
            <w:noWrap/>
            <w:vAlign w:val="bottom"/>
            <w:hideMark/>
          </w:tcPr>
          <w:p w14:paraId="30031E8D" w14:textId="77777777" w:rsidR="00D664CB" w:rsidRPr="00D91062" w:rsidRDefault="00D664CB" w:rsidP="00D664CB">
            <w:pPr>
              <w:spacing w:before="0" w:after="0"/>
              <w:jc w:val="left"/>
              <w:rPr>
                <w:noProof/>
                <w:sz w:val="20"/>
                <w:szCs w:val="20"/>
              </w:rPr>
            </w:pPr>
          </w:p>
        </w:tc>
        <w:tc>
          <w:tcPr>
            <w:tcW w:w="332" w:type="pct"/>
            <w:tcBorders>
              <w:top w:val="nil"/>
              <w:left w:val="nil"/>
              <w:bottom w:val="nil"/>
              <w:right w:val="nil"/>
            </w:tcBorders>
            <w:noWrap/>
            <w:vAlign w:val="bottom"/>
            <w:hideMark/>
          </w:tcPr>
          <w:p w14:paraId="02B7C125" w14:textId="77777777" w:rsidR="00D664CB" w:rsidRPr="00D91062" w:rsidRDefault="00D664CB" w:rsidP="00D664CB">
            <w:pPr>
              <w:spacing w:before="0" w:after="0"/>
              <w:jc w:val="left"/>
              <w:rPr>
                <w:noProof/>
                <w:sz w:val="20"/>
                <w:szCs w:val="20"/>
              </w:rPr>
            </w:pPr>
          </w:p>
        </w:tc>
        <w:tc>
          <w:tcPr>
            <w:tcW w:w="332" w:type="pct"/>
            <w:tcBorders>
              <w:top w:val="nil"/>
              <w:left w:val="nil"/>
              <w:bottom w:val="nil"/>
              <w:right w:val="nil"/>
            </w:tcBorders>
            <w:noWrap/>
            <w:vAlign w:val="bottom"/>
            <w:hideMark/>
          </w:tcPr>
          <w:p w14:paraId="5E796B93" w14:textId="77777777" w:rsidR="00D664CB" w:rsidRPr="00D91062" w:rsidRDefault="00D664CB" w:rsidP="00D664CB">
            <w:pPr>
              <w:spacing w:before="0" w:after="0"/>
              <w:jc w:val="left"/>
              <w:rPr>
                <w:noProof/>
                <w:sz w:val="20"/>
                <w:szCs w:val="20"/>
              </w:rPr>
            </w:pPr>
          </w:p>
        </w:tc>
        <w:tc>
          <w:tcPr>
            <w:tcW w:w="332" w:type="pct"/>
            <w:tcBorders>
              <w:top w:val="nil"/>
              <w:left w:val="nil"/>
              <w:bottom w:val="nil"/>
              <w:right w:val="nil"/>
            </w:tcBorders>
            <w:noWrap/>
            <w:vAlign w:val="bottom"/>
            <w:hideMark/>
          </w:tcPr>
          <w:p w14:paraId="7320DD03" w14:textId="77777777" w:rsidR="00D664CB" w:rsidRPr="00D91062" w:rsidRDefault="00D664CB" w:rsidP="00D664CB">
            <w:pPr>
              <w:spacing w:before="0" w:after="0"/>
              <w:jc w:val="left"/>
              <w:rPr>
                <w:noProof/>
                <w:sz w:val="20"/>
                <w:szCs w:val="20"/>
              </w:rPr>
            </w:pPr>
          </w:p>
        </w:tc>
        <w:tc>
          <w:tcPr>
            <w:tcW w:w="332" w:type="pct"/>
            <w:tcBorders>
              <w:top w:val="nil"/>
              <w:left w:val="nil"/>
              <w:bottom w:val="nil"/>
              <w:right w:val="nil"/>
            </w:tcBorders>
            <w:noWrap/>
            <w:vAlign w:val="bottom"/>
            <w:hideMark/>
          </w:tcPr>
          <w:p w14:paraId="4ECBC189" w14:textId="77777777" w:rsidR="00D664CB" w:rsidRPr="00D91062" w:rsidRDefault="00D664CB" w:rsidP="00D664CB">
            <w:pPr>
              <w:spacing w:before="0" w:after="0"/>
              <w:jc w:val="left"/>
              <w:rPr>
                <w:noProof/>
                <w:sz w:val="20"/>
                <w:szCs w:val="20"/>
              </w:rPr>
            </w:pPr>
          </w:p>
        </w:tc>
        <w:tc>
          <w:tcPr>
            <w:tcW w:w="332" w:type="pct"/>
            <w:tcBorders>
              <w:top w:val="nil"/>
              <w:left w:val="nil"/>
              <w:bottom w:val="nil"/>
              <w:right w:val="nil"/>
            </w:tcBorders>
            <w:noWrap/>
            <w:vAlign w:val="bottom"/>
            <w:hideMark/>
          </w:tcPr>
          <w:p w14:paraId="79CC91F0" w14:textId="77777777" w:rsidR="00D664CB" w:rsidRPr="00D91062" w:rsidRDefault="00D664CB" w:rsidP="00D664CB">
            <w:pPr>
              <w:spacing w:before="0" w:after="0"/>
              <w:jc w:val="left"/>
              <w:rPr>
                <w:noProof/>
                <w:sz w:val="20"/>
                <w:szCs w:val="20"/>
              </w:rPr>
            </w:pPr>
          </w:p>
        </w:tc>
        <w:tc>
          <w:tcPr>
            <w:tcW w:w="365" w:type="pct"/>
            <w:tcBorders>
              <w:top w:val="nil"/>
              <w:left w:val="nil"/>
              <w:bottom w:val="nil"/>
              <w:right w:val="nil"/>
            </w:tcBorders>
            <w:noWrap/>
            <w:vAlign w:val="bottom"/>
            <w:hideMark/>
          </w:tcPr>
          <w:p w14:paraId="380796FA" w14:textId="77777777" w:rsidR="00D664CB" w:rsidRPr="00D91062" w:rsidRDefault="00D664CB" w:rsidP="00D664CB">
            <w:pPr>
              <w:spacing w:before="0" w:after="0"/>
              <w:jc w:val="left"/>
              <w:rPr>
                <w:noProof/>
                <w:sz w:val="20"/>
              </w:rPr>
            </w:pPr>
          </w:p>
        </w:tc>
      </w:tr>
      <w:tr w:rsidR="00D664CB" w:rsidRPr="00D91062" w14:paraId="79CC6BC4" w14:textId="77777777" w:rsidTr="00354501">
        <w:trPr>
          <w:trHeight w:val="300"/>
        </w:trPr>
        <w:tc>
          <w:tcPr>
            <w:tcW w:w="911" w:type="pct"/>
            <w:tcBorders>
              <w:top w:val="nil"/>
              <w:left w:val="nil"/>
              <w:bottom w:val="nil"/>
              <w:right w:val="nil"/>
            </w:tcBorders>
            <w:noWrap/>
            <w:vAlign w:val="bottom"/>
            <w:hideMark/>
          </w:tcPr>
          <w:p w14:paraId="779268F5" w14:textId="77777777" w:rsidR="00D664CB" w:rsidRPr="00D91062" w:rsidRDefault="00D664CB" w:rsidP="00D664CB">
            <w:pPr>
              <w:spacing w:before="0" w:after="0"/>
              <w:jc w:val="right"/>
              <w:rPr>
                <w:b/>
                <w:noProof/>
                <w:color w:val="000000"/>
                <w:sz w:val="20"/>
              </w:rPr>
            </w:pPr>
          </w:p>
        </w:tc>
        <w:tc>
          <w:tcPr>
            <w:tcW w:w="910" w:type="pct"/>
            <w:tcBorders>
              <w:top w:val="nil"/>
              <w:left w:val="nil"/>
              <w:bottom w:val="nil"/>
              <w:right w:val="nil"/>
            </w:tcBorders>
            <w:noWrap/>
            <w:vAlign w:val="bottom"/>
            <w:hideMark/>
          </w:tcPr>
          <w:p w14:paraId="46D17D42" w14:textId="77777777" w:rsidR="00D664CB" w:rsidRPr="00D91062" w:rsidRDefault="00D664CB" w:rsidP="00D664CB">
            <w:pPr>
              <w:spacing w:before="0" w:after="0"/>
              <w:jc w:val="left"/>
              <w:rPr>
                <w:noProof/>
                <w:sz w:val="20"/>
              </w:rPr>
            </w:pPr>
          </w:p>
        </w:tc>
        <w:tc>
          <w:tcPr>
            <w:tcW w:w="243" w:type="pct"/>
            <w:tcBorders>
              <w:top w:val="nil"/>
              <w:left w:val="nil"/>
              <w:bottom w:val="nil"/>
              <w:right w:val="nil"/>
            </w:tcBorders>
            <w:noWrap/>
            <w:vAlign w:val="bottom"/>
            <w:hideMark/>
          </w:tcPr>
          <w:p w14:paraId="6DBF295C" w14:textId="77777777" w:rsidR="00D664CB" w:rsidRPr="00D91062" w:rsidRDefault="00D664CB" w:rsidP="00D664CB">
            <w:pPr>
              <w:spacing w:before="0" w:after="0"/>
              <w:jc w:val="left"/>
              <w:rPr>
                <w:noProof/>
                <w:sz w:val="20"/>
              </w:rPr>
            </w:pPr>
          </w:p>
        </w:tc>
        <w:tc>
          <w:tcPr>
            <w:tcW w:w="244" w:type="pct"/>
            <w:tcBorders>
              <w:top w:val="nil"/>
              <w:left w:val="nil"/>
              <w:bottom w:val="nil"/>
              <w:right w:val="nil"/>
            </w:tcBorders>
            <w:noWrap/>
            <w:vAlign w:val="bottom"/>
            <w:hideMark/>
          </w:tcPr>
          <w:p w14:paraId="59A2AD33" w14:textId="77777777" w:rsidR="00D664CB" w:rsidRPr="00D91062" w:rsidRDefault="00D664CB" w:rsidP="00D664CB">
            <w:pPr>
              <w:spacing w:before="0" w:after="0"/>
              <w:jc w:val="left"/>
              <w:rPr>
                <w:noProof/>
                <w:sz w:val="20"/>
              </w:rPr>
            </w:pPr>
          </w:p>
        </w:tc>
        <w:tc>
          <w:tcPr>
            <w:tcW w:w="332" w:type="pct"/>
            <w:tcBorders>
              <w:top w:val="nil"/>
              <w:left w:val="nil"/>
              <w:bottom w:val="nil"/>
              <w:right w:val="nil"/>
            </w:tcBorders>
            <w:noWrap/>
            <w:vAlign w:val="bottom"/>
            <w:hideMark/>
          </w:tcPr>
          <w:p w14:paraId="50DB6441" w14:textId="77777777" w:rsidR="00D664CB" w:rsidRPr="00D91062" w:rsidRDefault="00D664CB" w:rsidP="00D664CB">
            <w:pPr>
              <w:spacing w:before="0" w:after="0"/>
              <w:jc w:val="left"/>
              <w:rPr>
                <w:noProof/>
                <w:sz w:val="20"/>
                <w:szCs w:val="20"/>
              </w:rPr>
            </w:pPr>
          </w:p>
        </w:tc>
        <w:tc>
          <w:tcPr>
            <w:tcW w:w="332" w:type="pct"/>
            <w:tcBorders>
              <w:top w:val="nil"/>
              <w:left w:val="nil"/>
              <w:bottom w:val="nil"/>
              <w:right w:val="nil"/>
            </w:tcBorders>
            <w:noWrap/>
            <w:vAlign w:val="bottom"/>
            <w:hideMark/>
          </w:tcPr>
          <w:p w14:paraId="0BA1EC94" w14:textId="77777777" w:rsidR="00D664CB" w:rsidRPr="00D91062" w:rsidRDefault="00D664CB" w:rsidP="00D664CB">
            <w:pPr>
              <w:spacing w:before="0" w:after="0"/>
              <w:jc w:val="left"/>
              <w:rPr>
                <w:noProof/>
                <w:sz w:val="20"/>
                <w:szCs w:val="20"/>
              </w:rPr>
            </w:pPr>
          </w:p>
        </w:tc>
        <w:tc>
          <w:tcPr>
            <w:tcW w:w="332" w:type="pct"/>
            <w:tcBorders>
              <w:top w:val="nil"/>
              <w:left w:val="nil"/>
              <w:bottom w:val="nil"/>
              <w:right w:val="nil"/>
            </w:tcBorders>
            <w:noWrap/>
            <w:vAlign w:val="bottom"/>
            <w:hideMark/>
          </w:tcPr>
          <w:p w14:paraId="5DFDB0DF" w14:textId="77777777" w:rsidR="00D664CB" w:rsidRPr="00D91062" w:rsidRDefault="00D664CB" w:rsidP="00D664CB">
            <w:pPr>
              <w:spacing w:before="0" w:after="0"/>
              <w:jc w:val="left"/>
              <w:rPr>
                <w:noProof/>
                <w:sz w:val="20"/>
                <w:szCs w:val="20"/>
              </w:rPr>
            </w:pPr>
          </w:p>
        </w:tc>
        <w:tc>
          <w:tcPr>
            <w:tcW w:w="332" w:type="pct"/>
            <w:tcBorders>
              <w:top w:val="nil"/>
              <w:left w:val="nil"/>
              <w:bottom w:val="nil"/>
              <w:right w:val="nil"/>
            </w:tcBorders>
            <w:noWrap/>
            <w:vAlign w:val="bottom"/>
            <w:hideMark/>
          </w:tcPr>
          <w:p w14:paraId="6877434F" w14:textId="77777777" w:rsidR="00D664CB" w:rsidRPr="00D91062" w:rsidRDefault="00D664CB" w:rsidP="00D664CB">
            <w:pPr>
              <w:spacing w:before="0" w:after="0"/>
              <w:jc w:val="left"/>
              <w:rPr>
                <w:noProof/>
                <w:sz w:val="20"/>
                <w:szCs w:val="20"/>
              </w:rPr>
            </w:pPr>
          </w:p>
        </w:tc>
        <w:tc>
          <w:tcPr>
            <w:tcW w:w="332" w:type="pct"/>
            <w:tcBorders>
              <w:top w:val="nil"/>
              <w:left w:val="nil"/>
              <w:bottom w:val="nil"/>
              <w:right w:val="nil"/>
            </w:tcBorders>
            <w:noWrap/>
            <w:vAlign w:val="bottom"/>
            <w:hideMark/>
          </w:tcPr>
          <w:p w14:paraId="425E27E8" w14:textId="77777777" w:rsidR="00D664CB" w:rsidRPr="00D91062" w:rsidRDefault="00D664CB" w:rsidP="00D664CB">
            <w:pPr>
              <w:spacing w:before="0" w:after="0"/>
              <w:jc w:val="left"/>
              <w:rPr>
                <w:noProof/>
                <w:sz w:val="20"/>
                <w:szCs w:val="20"/>
              </w:rPr>
            </w:pPr>
          </w:p>
        </w:tc>
        <w:tc>
          <w:tcPr>
            <w:tcW w:w="332" w:type="pct"/>
            <w:tcBorders>
              <w:top w:val="nil"/>
              <w:left w:val="nil"/>
              <w:bottom w:val="nil"/>
              <w:right w:val="nil"/>
            </w:tcBorders>
            <w:noWrap/>
            <w:vAlign w:val="bottom"/>
            <w:hideMark/>
          </w:tcPr>
          <w:p w14:paraId="312DD2F0" w14:textId="77777777" w:rsidR="00D664CB" w:rsidRPr="00D91062" w:rsidRDefault="00D664CB" w:rsidP="00D664CB">
            <w:pPr>
              <w:spacing w:before="0" w:after="0"/>
              <w:jc w:val="left"/>
              <w:rPr>
                <w:noProof/>
                <w:sz w:val="20"/>
                <w:szCs w:val="20"/>
              </w:rPr>
            </w:pPr>
          </w:p>
        </w:tc>
        <w:tc>
          <w:tcPr>
            <w:tcW w:w="332" w:type="pct"/>
            <w:tcBorders>
              <w:top w:val="nil"/>
              <w:left w:val="nil"/>
              <w:bottom w:val="nil"/>
              <w:right w:val="nil"/>
            </w:tcBorders>
            <w:noWrap/>
            <w:vAlign w:val="bottom"/>
            <w:hideMark/>
          </w:tcPr>
          <w:p w14:paraId="46020AFE" w14:textId="77777777" w:rsidR="00D664CB" w:rsidRPr="00D91062" w:rsidRDefault="00D664CB" w:rsidP="00D664CB">
            <w:pPr>
              <w:spacing w:before="0" w:after="0"/>
              <w:jc w:val="left"/>
              <w:rPr>
                <w:noProof/>
                <w:sz w:val="20"/>
                <w:szCs w:val="20"/>
              </w:rPr>
            </w:pPr>
          </w:p>
        </w:tc>
        <w:tc>
          <w:tcPr>
            <w:tcW w:w="365" w:type="pct"/>
            <w:tcBorders>
              <w:top w:val="nil"/>
              <w:left w:val="nil"/>
              <w:bottom w:val="nil"/>
              <w:right w:val="nil"/>
            </w:tcBorders>
            <w:noWrap/>
            <w:vAlign w:val="bottom"/>
            <w:hideMark/>
          </w:tcPr>
          <w:p w14:paraId="576C88E4" w14:textId="77777777" w:rsidR="00D664CB" w:rsidRPr="00D91062" w:rsidRDefault="00D664CB" w:rsidP="00D664CB">
            <w:pPr>
              <w:spacing w:before="0" w:after="0"/>
              <w:jc w:val="left"/>
              <w:rPr>
                <w:noProof/>
                <w:sz w:val="20"/>
              </w:rPr>
            </w:pPr>
          </w:p>
        </w:tc>
      </w:tr>
      <w:tr w:rsidR="009F0B59" w:rsidRPr="00D91062" w14:paraId="1D875236" w14:textId="77777777" w:rsidTr="00354501">
        <w:trPr>
          <w:trHeight w:val="1430"/>
        </w:trPr>
        <w:tc>
          <w:tcPr>
            <w:tcW w:w="1821" w:type="pct"/>
            <w:gridSpan w:val="2"/>
            <w:tcBorders>
              <w:top w:val="single" w:sz="8" w:space="0" w:color="auto"/>
              <w:left w:val="single" w:sz="8" w:space="0" w:color="auto"/>
              <w:bottom w:val="single" w:sz="8" w:space="0" w:color="auto"/>
              <w:right w:val="single" w:sz="8" w:space="0" w:color="000000" w:themeColor="text1"/>
            </w:tcBorders>
            <w:shd w:val="clear" w:color="auto" w:fill="E6E6E6"/>
            <w:vAlign w:val="center"/>
            <w:hideMark/>
          </w:tcPr>
          <w:p w14:paraId="324F2F59" w14:textId="77777777" w:rsidR="00D664CB" w:rsidRPr="00D91062" w:rsidRDefault="00D664CB" w:rsidP="00D664CB">
            <w:pPr>
              <w:spacing w:before="0" w:after="0"/>
              <w:jc w:val="center"/>
              <w:rPr>
                <w:b/>
                <w:noProof/>
                <w:color w:val="000000"/>
                <w:sz w:val="22"/>
              </w:rPr>
            </w:pPr>
            <w:r w:rsidRPr="00D91062">
              <w:rPr>
                <w:b/>
                <w:noProof/>
                <w:color w:val="000000"/>
                <w:sz w:val="22"/>
              </w:rPr>
              <w:t xml:space="preserve">TOTAL credite în cadrul RUBRICII 4 din cadrul financiar multianual </w:t>
            </w:r>
          </w:p>
        </w:tc>
        <w:tc>
          <w:tcPr>
            <w:tcW w:w="487" w:type="pct"/>
            <w:gridSpan w:val="2"/>
            <w:tcBorders>
              <w:top w:val="single" w:sz="8" w:space="0" w:color="auto"/>
              <w:left w:val="nil"/>
              <w:bottom w:val="single" w:sz="8" w:space="0" w:color="auto"/>
              <w:right w:val="single" w:sz="8" w:space="0" w:color="000000" w:themeColor="text1"/>
            </w:tcBorders>
            <w:vAlign w:val="center"/>
            <w:hideMark/>
          </w:tcPr>
          <w:p w14:paraId="22D82799" w14:textId="77777777" w:rsidR="00D664CB" w:rsidRPr="00D91062" w:rsidRDefault="00D664CB" w:rsidP="00D664CB">
            <w:pPr>
              <w:spacing w:before="0" w:after="0"/>
              <w:jc w:val="center"/>
              <w:rPr>
                <w:noProof/>
                <w:color w:val="000000"/>
                <w:sz w:val="18"/>
              </w:rPr>
            </w:pPr>
            <w:r w:rsidRPr="00D91062">
              <w:rPr>
                <w:noProof/>
                <w:color w:val="000000"/>
                <w:sz w:val="18"/>
              </w:rPr>
              <w:t>(Total angajamente = Total plăți)</w:t>
            </w:r>
          </w:p>
        </w:tc>
        <w:tc>
          <w:tcPr>
            <w:tcW w:w="332"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5973F03F" w14:textId="77777777" w:rsidR="00D664CB" w:rsidRPr="00D91062" w:rsidRDefault="00D664CB" w:rsidP="00D664CB">
            <w:pPr>
              <w:spacing w:before="0" w:after="0"/>
              <w:jc w:val="right"/>
              <w:rPr>
                <w:rFonts w:eastAsia="Times New Roman"/>
                <w:b/>
                <w:bCs/>
                <w:noProof/>
                <w:color w:val="000000"/>
                <w:sz w:val="20"/>
                <w:szCs w:val="20"/>
              </w:rPr>
            </w:pPr>
            <w:r w:rsidRPr="00D91062">
              <w:rPr>
                <w:b/>
                <w:noProof/>
                <w:color w:val="000000" w:themeColor="text1"/>
                <w:sz w:val="20"/>
              </w:rPr>
              <w:t>1,541</w:t>
            </w:r>
          </w:p>
        </w:tc>
        <w:tc>
          <w:tcPr>
            <w:tcW w:w="332"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4FD48EA8" w14:textId="77777777" w:rsidR="00D664CB" w:rsidRPr="00D91062" w:rsidRDefault="00D664CB" w:rsidP="00D664CB">
            <w:pPr>
              <w:spacing w:before="0" w:after="0"/>
              <w:jc w:val="right"/>
              <w:rPr>
                <w:rFonts w:eastAsia="Times New Roman"/>
                <w:b/>
                <w:noProof/>
                <w:color w:val="000000"/>
                <w:sz w:val="20"/>
                <w:szCs w:val="20"/>
              </w:rPr>
            </w:pPr>
            <w:r w:rsidRPr="00D91062">
              <w:rPr>
                <w:b/>
                <w:noProof/>
                <w:color w:val="000000" w:themeColor="text1"/>
                <w:sz w:val="20"/>
              </w:rPr>
              <w:t>1,541</w:t>
            </w:r>
          </w:p>
        </w:tc>
        <w:tc>
          <w:tcPr>
            <w:tcW w:w="332"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2871A0D8" w14:textId="77777777" w:rsidR="00D664CB" w:rsidRPr="00D91062" w:rsidRDefault="00D664CB" w:rsidP="00D664CB">
            <w:pPr>
              <w:spacing w:before="0" w:after="0"/>
              <w:jc w:val="right"/>
              <w:rPr>
                <w:rFonts w:eastAsia="Times New Roman"/>
                <w:b/>
                <w:noProof/>
                <w:color w:val="000000"/>
                <w:sz w:val="20"/>
                <w:szCs w:val="20"/>
              </w:rPr>
            </w:pPr>
            <w:r w:rsidRPr="00D91062">
              <w:rPr>
                <w:b/>
                <w:noProof/>
                <w:color w:val="000000" w:themeColor="text1"/>
                <w:sz w:val="20"/>
              </w:rPr>
              <w:t>1,500</w:t>
            </w:r>
          </w:p>
        </w:tc>
        <w:tc>
          <w:tcPr>
            <w:tcW w:w="332"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2A3441D5" w14:textId="77777777" w:rsidR="00D664CB" w:rsidRPr="00D91062" w:rsidRDefault="00D664CB" w:rsidP="00D664CB">
            <w:pPr>
              <w:spacing w:before="0" w:after="0"/>
              <w:jc w:val="right"/>
              <w:rPr>
                <w:rFonts w:eastAsia="Times New Roman"/>
                <w:b/>
                <w:noProof/>
                <w:color w:val="000000"/>
                <w:sz w:val="20"/>
                <w:szCs w:val="20"/>
              </w:rPr>
            </w:pPr>
            <w:r w:rsidRPr="00D91062">
              <w:rPr>
                <w:b/>
                <w:noProof/>
                <w:color w:val="000000" w:themeColor="text1"/>
                <w:sz w:val="20"/>
              </w:rPr>
              <w:t>1,500</w:t>
            </w:r>
          </w:p>
        </w:tc>
        <w:tc>
          <w:tcPr>
            <w:tcW w:w="332"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31CE472C" w14:textId="77777777" w:rsidR="00D664CB" w:rsidRPr="00D91062" w:rsidRDefault="00D664CB" w:rsidP="00D664CB">
            <w:pPr>
              <w:spacing w:before="0" w:after="0"/>
              <w:jc w:val="right"/>
              <w:rPr>
                <w:rFonts w:eastAsia="Times New Roman"/>
                <w:b/>
                <w:bCs/>
                <w:noProof/>
                <w:color w:val="000000"/>
                <w:sz w:val="20"/>
                <w:szCs w:val="20"/>
              </w:rPr>
            </w:pPr>
            <w:r w:rsidRPr="00D91062">
              <w:rPr>
                <w:b/>
                <w:noProof/>
                <w:color w:val="000000" w:themeColor="text1"/>
                <w:sz w:val="20"/>
              </w:rPr>
              <w:t>1,500</w:t>
            </w:r>
          </w:p>
        </w:tc>
        <w:tc>
          <w:tcPr>
            <w:tcW w:w="332"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518D1EB4" w14:textId="77777777" w:rsidR="00D664CB" w:rsidRPr="00D91062" w:rsidRDefault="00D664CB" w:rsidP="00D664CB">
            <w:pPr>
              <w:spacing w:before="0" w:after="0"/>
              <w:jc w:val="right"/>
              <w:rPr>
                <w:rFonts w:eastAsia="Times New Roman"/>
                <w:b/>
                <w:noProof/>
                <w:color w:val="000000"/>
                <w:sz w:val="20"/>
                <w:szCs w:val="20"/>
              </w:rPr>
            </w:pPr>
            <w:r w:rsidRPr="00D91062">
              <w:rPr>
                <w:b/>
                <w:noProof/>
                <w:color w:val="000000" w:themeColor="text1"/>
                <w:sz w:val="20"/>
              </w:rPr>
              <w:t>1,500</w:t>
            </w:r>
          </w:p>
        </w:tc>
        <w:tc>
          <w:tcPr>
            <w:tcW w:w="332"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2DDFB051" w14:textId="77777777" w:rsidR="00D664CB" w:rsidRPr="00D91062" w:rsidRDefault="00D664CB" w:rsidP="00D664CB">
            <w:pPr>
              <w:spacing w:before="0" w:after="0"/>
              <w:jc w:val="right"/>
              <w:rPr>
                <w:rFonts w:eastAsia="Times New Roman"/>
                <w:b/>
                <w:noProof/>
                <w:color w:val="000000"/>
                <w:sz w:val="20"/>
                <w:szCs w:val="20"/>
              </w:rPr>
            </w:pPr>
            <w:r w:rsidRPr="00D91062">
              <w:rPr>
                <w:b/>
                <w:noProof/>
                <w:color w:val="000000" w:themeColor="text1"/>
                <w:sz w:val="20"/>
              </w:rPr>
              <w:t>1,500</w:t>
            </w:r>
          </w:p>
        </w:tc>
        <w:tc>
          <w:tcPr>
            <w:tcW w:w="365" w:type="pct"/>
            <w:tcBorders>
              <w:top w:val="single" w:sz="8" w:space="0" w:color="auto"/>
              <w:left w:val="nil"/>
              <w:bottom w:val="single" w:sz="8" w:space="0" w:color="auto"/>
              <w:right w:val="single" w:sz="8" w:space="0" w:color="auto"/>
            </w:tcBorders>
            <w:shd w:val="clear" w:color="auto" w:fill="D9D9D9" w:themeFill="background1" w:themeFillShade="D9"/>
            <w:vAlign w:val="center"/>
          </w:tcPr>
          <w:p w14:paraId="797BCD7E" w14:textId="77777777" w:rsidR="00D664CB" w:rsidRPr="00D91062" w:rsidRDefault="00D664CB" w:rsidP="00D664CB">
            <w:pPr>
              <w:spacing w:before="0" w:after="0"/>
              <w:jc w:val="right"/>
              <w:rPr>
                <w:rFonts w:eastAsia="Times New Roman"/>
                <w:b/>
                <w:noProof/>
                <w:color w:val="000000"/>
                <w:sz w:val="20"/>
                <w:szCs w:val="20"/>
              </w:rPr>
            </w:pPr>
            <w:r w:rsidRPr="00D91062">
              <w:rPr>
                <w:b/>
                <w:noProof/>
                <w:color w:val="000000" w:themeColor="text1"/>
                <w:sz w:val="20"/>
              </w:rPr>
              <w:t>10,582</w:t>
            </w:r>
          </w:p>
        </w:tc>
      </w:tr>
    </w:tbl>
    <w:p w14:paraId="6B69A9C5" w14:textId="77777777" w:rsidR="00D664CB" w:rsidRPr="00D91062" w:rsidRDefault="00D664CB" w:rsidP="00D664CB">
      <w:pPr>
        <w:rPr>
          <w:noProof/>
          <w:sz w:val="16"/>
        </w:rPr>
      </w:pPr>
    </w:p>
    <w:tbl>
      <w:tblPr>
        <w:tblW w:w="5000" w:type="pct"/>
        <w:tblLook w:val="04A0" w:firstRow="1" w:lastRow="0" w:firstColumn="1" w:lastColumn="0" w:noHBand="0" w:noVBand="1"/>
      </w:tblPr>
      <w:tblGrid>
        <w:gridCol w:w="2374"/>
        <w:gridCol w:w="1846"/>
        <w:gridCol w:w="1132"/>
        <w:gridCol w:w="1277"/>
        <w:gridCol w:w="1277"/>
        <w:gridCol w:w="1274"/>
        <w:gridCol w:w="1277"/>
        <w:gridCol w:w="1135"/>
        <w:gridCol w:w="1132"/>
        <w:gridCol w:w="1496"/>
      </w:tblGrid>
      <w:tr w:rsidR="00D664CB" w:rsidRPr="00D91062" w14:paraId="0E333DE1" w14:textId="77777777" w:rsidTr="00C617FD">
        <w:trPr>
          <w:trHeight w:val="410"/>
        </w:trPr>
        <w:tc>
          <w:tcPr>
            <w:tcW w:w="1484" w:type="pct"/>
            <w:gridSpan w:val="2"/>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4FA2E7B2" w14:textId="77777777" w:rsidR="00D664CB" w:rsidRPr="00D91062" w:rsidRDefault="00D664CB" w:rsidP="00D664CB">
            <w:pPr>
              <w:spacing w:before="0" w:after="0"/>
              <w:jc w:val="center"/>
              <w:rPr>
                <w:noProof/>
                <w:color w:val="000000"/>
              </w:rPr>
            </w:pPr>
          </w:p>
        </w:tc>
        <w:tc>
          <w:tcPr>
            <w:tcW w:w="398" w:type="pct"/>
            <w:tcBorders>
              <w:top w:val="single" w:sz="8" w:space="0" w:color="auto"/>
              <w:left w:val="nil"/>
              <w:bottom w:val="nil"/>
              <w:right w:val="single" w:sz="8" w:space="0" w:color="auto"/>
            </w:tcBorders>
            <w:vAlign w:val="center"/>
            <w:hideMark/>
          </w:tcPr>
          <w:p w14:paraId="379F7EB1" w14:textId="77777777" w:rsidR="00D664CB" w:rsidRPr="00D91062" w:rsidRDefault="00D664CB" w:rsidP="00D664CB">
            <w:pPr>
              <w:spacing w:before="0" w:after="0"/>
              <w:jc w:val="center"/>
              <w:rPr>
                <w:noProof/>
                <w:color w:val="000000"/>
                <w:sz w:val="20"/>
              </w:rPr>
            </w:pPr>
            <w:r w:rsidRPr="00D91062">
              <w:rPr>
                <w:noProof/>
                <w:color w:val="000000"/>
                <w:sz w:val="20"/>
              </w:rPr>
              <w:t>Anul</w:t>
            </w:r>
          </w:p>
        </w:tc>
        <w:tc>
          <w:tcPr>
            <w:tcW w:w="449" w:type="pct"/>
            <w:tcBorders>
              <w:top w:val="single" w:sz="8" w:space="0" w:color="auto"/>
              <w:left w:val="nil"/>
              <w:bottom w:val="nil"/>
              <w:right w:val="single" w:sz="8" w:space="0" w:color="auto"/>
            </w:tcBorders>
            <w:vAlign w:val="center"/>
            <w:hideMark/>
          </w:tcPr>
          <w:p w14:paraId="7CCC1CC5" w14:textId="77777777" w:rsidR="00D664CB" w:rsidRPr="00D91062" w:rsidRDefault="00D664CB" w:rsidP="00D664CB">
            <w:pPr>
              <w:spacing w:before="0" w:after="0"/>
              <w:jc w:val="center"/>
              <w:rPr>
                <w:noProof/>
                <w:color w:val="000000"/>
                <w:sz w:val="20"/>
              </w:rPr>
            </w:pPr>
            <w:r w:rsidRPr="00D91062">
              <w:rPr>
                <w:noProof/>
                <w:color w:val="000000"/>
                <w:sz w:val="20"/>
              </w:rPr>
              <w:t>Anul</w:t>
            </w:r>
          </w:p>
        </w:tc>
        <w:tc>
          <w:tcPr>
            <w:tcW w:w="449" w:type="pct"/>
            <w:tcBorders>
              <w:top w:val="single" w:sz="8" w:space="0" w:color="auto"/>
              <w:left w:val="nil"/>
              <w:bottom w:val="nil"/>
              <w:right w:val="single" w:sz="8" w:space="0" w:color="auto"/>
            </w:tcBorders>
            <w:vAlign w:val="center"/>
            <w:hideMark/>
          </w:tcPr>
          <w:p w14:paraId="3D78B4EB" w14:textId="77777777" w:rsidR="00D664CB" w:rsidRPr="00D91062" w:rsidRDefault="00D664CB" w:rsidP="00D664CB">
            <w:pPr>
              <w:spacing w:before="0" w:after="0"/>
              <w:jc w:val="center"/>
              <w:rPr>
                <w:noProof/>
                <w:color w:val="000000"/>
                <w:sz w:val="20"/>
              </w:rPr>
            </w:pPr>
            <w:r w:rsidRPr="00D91062">
              <w:rPr>
                <w:noProof/>
                <w:color w:val="000000"/>
                <w:sz w:val="20"/>
              </w:rPr>
              <w:t>Anul</w:t>
            </w:r>
          </w:p>
        </w:tc>
        <w:tc>
          <w:tcPr>
            <w:tcW w:w="448" w:type="pct"/>
            <w:tcBorders>
              <w:top w:val="single" w:sz="8" w:space="0" w:color="auto"/>
              <w:left w:val="nil"/>
              <w:bottom w:val="nil"/>
              <w:right w:val="single" w:sz="8" w:space="0" w:color="auto"/>
            </w:tcBorders>
            <w:vAlign w:val="center"/>
            <w:hideMark/>
          </w:tcPr>
          <w:p w14:paraId="5AC15EE1" w14:textId="77777777" w:rsidR="00D664CB" w:rsidRPr="00D91062" w:rsidRDefault="00D664CB" w:rsidP="00D664CB">
            <w:pPr>
              <w:spacing w:before="0" w:after="0"/>
              <w:jc w:val="center"/>
              <w:rPr>
                <w:noProof/>
                <w:color w:val="000000"/>
                <w:sz w:val="20"/>
              </w:rPr>
            </w:pPr>
            <w:r w:rsidRPr="00D91062">
              <w:rPr>
                <w:noProof/>
                <w:color w:val="000000"/>
                <w:sz w:val="20"/>
              </w:rPr>
              <w:t>Anul</w:t>
            </w:r>
          </w:p>
        </w:tc>
        <w:tc>
          <w:tcPr>
            <w:tcW w:w="449" w:type="pct"/>
            <w:tcBorders>
              <w:top w:val="single" w:sz="8" w:space="0" w:color="auto"/>
              <w:left w:val="nil"/>
              <w:bottom w:val="nil"/>
              <w:right w:val="single" w:sz="8" w:space="0" w:color="auto"/>
            </w:tcBorders>
            <w:vAlign w:val="center"/>
            <w:hideMark/>
          </w:tcPr>
          <w:p w14:paraId="4761D0D4" w14:textId="77777777" w:rsidR="00D664CB" w:rsidRPr="00D91062" w:rsidRDefault="00D664CB" w:rsidP="00D664CB">
            <w:pPr>
              <w:spacing w:before="0" w:after="0"/>
              <w:jc w:val="center"/>
              <w:rPr>
                <w:noProof/>
                <w:color w:val="000000"/>
                <w:sz w:val="20"/>
              </w:rPr>
            </w:pPr>
            <w:r w:rsidRPr="00D91062">
              <w:rPr>
                <w:noProof/>
                <w:color w:val="000000"/>
                <w:sz w:val="20"/>
              </w:rPr>
              <w:t>Anul</w:t>
            </w:r>
          </w:p>
        </w:tc>
        <w:tc>
          <w:tcPr>
            <w:tcW w:w="399" w:type="pct"/>
            <w:tcBorders>
              <w:top w:val="single" w:sz="8" w:space="0" w:color="auto"/>
              <w:left w:val="nil"/>
              <w:bottom w:val="nil"/>
              <w:right w:val="single" w:sz="8" w:space="0" w:color="auto"/>
            </w:tcBorders>
            <w:vAlign w:val="center"/>
            <w:hideMark/>
          </w:tcPr>
          <w:p w14:paraId="0E952EDC" w14:textId="77777777" w:rsidR="00D664CB" w:rsidRPr="00D91062" w:rsidRDefault="00D664CB" w:rsidP="00D664CB">
            <w:pPr>
              <w:spacing w:before="0" w:after="0"/>
              <w:jc w:val="center"/>
              <w:rPr>
                <w:noProof/>
                <w:color w:val="000000"/>
                <w:sz w:val="20"/>
              </w:rPr>
            </w:pPr>
            <w:r w:rsidRPr="00D91062">
              <w:rPr>
                <w:noProof/>
                <w:color w:val="000000"/>
                <w:sz w:val="20"/>
              </w:rPr>
              <w:t>Anul</w:t>
            </w:r>
          </w:p>
        </w:tc>
        <w:tc>
          <w:tcPr>
            <w:tcW w:w="398" w:type="pct"/>
            <w:tcBorders>
              <w:top w:val="single" w:sz="8" w:space="0" w:color="auto"/>
              <w:left w:val="nil"/>
              <w:bottom w:val="nil"/>
              <w:right w:val="single" w:sz="8" w:space="0" w:color="auto"/>
            </w:tcBorders>
            <w:vAlign w:val="center"/>
            <w:hideMark/>
          </w:tcPr>
          <w:p w14:paraId="0C33593C" w14:textId="77777777" w:rsidR="00D664CB" w:rsidRPr="00D91062" w:rsidRDefault="00D664CB" w:rsidP="00D664CB">
            <w:pPr>
              <w:spacing w:before="0" w:after="0"/>
              <w:jc w:val="center"/>
              <w:rPr>
                <w:noProof/>
                <w:color w:val="000000"/>
                <w:sz w:val="20"/>
              </w:rPr>
            </w:pPr>
            <w:r w:rsidRPr="00D91062">
              <w:rPr>
                <w:noProof/>
                <w:color w:val="000000"/>
                <w:sz w:val="20"/>
              </w:rPr>
              <w:t>Anul</w:t>
            </w:r>
          </w:p>
        </w:tc>
        <w:tc>
          <w:tcPr>
            <w:tcW w:w="526"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28F305D3" w14:textId="77777777" w:rsidR="00D664CB" w:rsidRPr="00D91062" w:rsidRDefault="00D664CB" w:rsidP="00D664CB">
            <w:pPr>
              <w:spacing w:before="0" w:after="0"/>
              <w:jc w:val="center"/>
              <w:rPr>
                <w:b/>
                <w:noProof/>
                <w:color w:val="000000"/>
                <w:sz w:val="20"/>
              </w:rPr>
            </w:pPr>
            <w:r w:rsidRPr="00D91062">
              <w:rPr>
                <w:b/>
                <w:noProof/>
                <w:color w:val="000000"/>
                <w:sz w:val="20"/>
              </w:rPr>
              <w:t>TOTAL CFM 2028-2034</w:t>
            </w:r>
          </w:p>
        </w:tc>
      </w:tr>
      <w:tr w:rsidR="00D664CB" w:rsidRPr="00D91062" w14:paraId="57282590" w14:textId="77777777" w:rsidTr="00C617FD">
        <w:trPr>
          <w:trHeight w:val="300"/>
        </w:trPr>
        <w:tc>
          <w:tcPr>
            <w:tcW w:w="1484" w:type="pct"/>
            <w:gridSpan w:val="2"/>
            <w:vMerge/>
            <w:vAlign w:val="center"/>
            <w:hideMark/>
          </w:tcPr>
          <w:p w14:paraId="5ED9AC7D" w14:textId="77777777" w:rsidR="00D664CB" w:rsidRPr="00D91062" w:rsidRDefault="00D664CB" w:rsidP="00D664CB">
            <w:pPr>
              <w:spacing w:before="0" w:after="0"/>
              <w:jc w:val="left"/>
              <w:rPr>
                <w:noProof/>
                <w:color w:val="000000"/>
              </w:rPr>
            </w:pPr>
          </w:p>
        </w:tc>
        <w:tc>
          <w:tcPr>
            <w:tcW w:w="398" w:type="pct"/>
            <w:tcBorders>
              <w:top w:val="nil"/>
              <w:left w:val="nil"/>
              <w:bottom w:val="single" w:sz="8" w:space="0" w:color="auto"/>
              <w:right w:val="single" w:sz="8" w:space="0" w:color="auto"/>
            </w:tcBorders>
            <w:vAlign w:val="center"/>
            <w:hideMark/>
          </w:tcPr>
          <w:p w14:paraId="5FBB29C0" w14:textId="77777777" w:rsidR="00D664CB" w:rsidRPr="00D91062" w:rsidRDefault="00D664CB" w:rsidP="00D664CB">
            <w:pPr>
              <w:spacing w:before="0" w:after="0"/>
              <w:jc w:val="center"/>
              <w:rPr>
                <w:b/>
                <w:noProof/>
                <w:color w:val="000000"/>
                <w:sz w:val="20"/>
              </w:rPr>
            </w:pPr>
            <w:r w:rsidRPr="00D91062">
              <w:rPr>
                <w:b/>
                <w:noProof/>
                <w:color w:val="000000"/>
                <w:sz w:val="20"/>
              </w:rPr>
              <w:t>2028</w:t>
            </w:r>
          </w:p>
        </w:tc>
        <w:tc>
          <w:tcPr>
            <w:tcW w:w="449" w:type="pct"/>
            <w:tcBorders>
              <w:top w:val="nil"/>
              <w:left w:val="nil"/>
              <w:bottom w:val="single" w:sz="8" w:space="0" w:color="auto"/>
              <w:right w:val="single" w:sz="8" w:space="0" w:color="auto"/>
            </w:tcBorders>
            <w:vAlign w:val="center"/>
            <w:hideMark/>
          </w:tcPr>
          <w:p w14:paraId="2A3D8BA2" w14:textId="77777777" w:rsidR="00D664CB" w:rsidRPr="00D91062" w:rsidRDefault="00D664CB" w:rsidP="00D664CB">
            <w:pPr>
              <w:spacing w:before="0" w:after="0"/>
              <w:jc w:val="center"/>
              <w:rPr>
                <w:b/>
                <w:noProof/>
                <w:color w:val="000000"/>
                <w:sz w:val="20"/>
              </w:rPr>
            </w:pPr>
            <w:r w:rsidRPr="00D91062">
              <w:rPr>
                <w:b/>
                <w:noProof/>
                <w:color w:val="000000"/>
                <w:sz w:val="20"/>
              </w:rPr>
              <w:t>2029</w:t>
            </w:r>
          </w:p>
        </w:tc>
        <w:tc>
          <w:tcPr>
            <w:tcW w:w="449" w:type="pct"/>
            <w:tcBorders>
              <w:top w:val="nil"/>
              <w:left w:val="nil"/>
              <w:bottom w:val="single" w:sz="8" w:space="0" w:color="auto"/>
              <w:right w:val="single" w:sz="8" w:space="0" w:color="auto"/>
            </w:tcBorders>
            <w:vAlign w:val="center"/>
            <w:hideMark/>
          </w:tcPr>
          <w:p w14:paraId="16229A60" w14:textId="77777777" w:rsidR="00D664CB" w:rsidRPr="00D91062" w:rsidRDefault="00D664CB" w:rsidP="00D664CB">
            <w:pPr>
              <w:spacing w:before="0" w:after="0"/>
              <w:jc w:val="center"/>
              <w:rPr>
                <w:b/>
                <w:noProof/>
                <w:color w:val="000000"/>
                <w:sz w:val="20"/>
              </w:rPr>
            </w:pPr>
            <w:r w:rsidRPr="00D91062">
              <w:rPr>
                <w:b/>
                <w:noProof/>
                <w:color w:val="000000"/>
                <w:sz w:val="20"/>
              </w:rPr>
              <w:t>2030</w:t>
            </w:r>
          </w:p>
        </w:tc>
        <w:tc>
          <w:tcPr>
            <w:tcW w:w="448" w:type="pct"/>
            <w:tcBorders>
              <w:top w:val="nil"/>
              <w:left w:val="nil"/>
              <w:bottom w:val="single" w:sz="8" w:space="0" w:color="auto"/>
              <w:right w:val="single" w:sz="8" w:space="0" w:color="auto"/>
            </w:tcBorders>
            <w:vAlign w:val="center"/>
            <w:hideMark/>
          </w:tcPr>
          <w:p w14:paraId="48890428" w14:textId="77777777" w:rsidR="00D664CB" w:rsidRPr="00D91062" w:rsidRDefault="00D664CB" w:rsidP="00D664CB">
            <w:pPr>
              <w:spacing w:before="0" w:after="0"/>
              <w:jc w:val="center"/>
              <w:rPr>
                <w:b/>
                <w:noProof/>
                <w:color w:val="000000"/>
                <w:sz w:val="20"/>
              </w:rPr>
            </w:pPr>
            <w:r w:rsidRPr="00D91062">
              <w:rPr>
                <w:b/>
                <w:noProof/>
                <w:color w:val="000000"/>
                <w:sz w:val="20"/>
              </w:rPr>
              <w:t>2031</w:t>
            </w:r>
          </w:p>
        </w:tc>
        <w:tc>
          <w:tcPr>
            <w:tcW w:w="449" w:type="pct"/>
            <w:tcBorders>
              <w:top w:val="nil"/>
              <w:left w:val="nil"/>
              <w:bottom w:val="single" w:sz="8" w:space="0" w:color="auto"/>
              <w:right w:val="single" w:sz="8" w:space="0" w:color="auto"/>
            </w:tcBorders>
            <w:vAlign w:val="center"/>
            <w:hideMark/>
          </w:tcPr>
          <w:p w14:paraId="4B713D9C" w14:textId="77777777" w:rsidR="00D664CB" w:rsidRPr="00D91062" w:rsidRDefault="00D664CB" w:rsidP="00D664CB">
            <w:pPr>
              <w:spacing w:before="0" w:after="0"/>
              <w:jc w:val="center"/>
              <w:rPr>
                <w:b/>
                <w:noProof/>
                <w:color w:val="000000"/>
                <w:sz w:val="20"/>
              </w:rPr>
            </w:pPr>
            <w:r w:rsidRPr="00D91062">
              <w:rPr>
                <w:b/>
                <w:noProof/>
                <w:color w:val="000000"/>
                <w:sz w:val="20"/>
              </w:rPr>
              <w:t>2032</w:t>
            </w:r>
          </w:p>
        </w:tc>
        <w:tc>
          <w:tcPr>
            <w:tcW w:w="399" w:type="pct"/>
            <w:tcBorders>
              <w:top w:val="nil"/>
              <w:left w:val="nil"/>
              <w:bottom w:val="single" w:sz="8" w:space="0" w:color="auto"/>
              <w:right w:val="single" w:sz="8" w:space="0" w:color="auto"/>
            </w:tcBorders>
            <w:vAlign w:val="center"/>
            <w:hideMark/>
          </w:tcPr>
          <w:p w14:paraId="525563A9" w14:textId="77777777" w:rsidR="00D664CB" w:rsidRPr="00D91062" w:rsidRDefault="00D664CB" w:rsidP="00D664CB">
            <w:pPr>
              <w:spacing w:before="0" w:after="0"/>
              <w:jc w:val="center"/>
              <w:rPr>
                <w:b/>
                <w:noProof/>
                <w:color w:val="000000"/>
                <w:sz w:val="20"/>
              </w:rPr>
            </w:pPr>
            <w:r w:rsidRPr="00D91062">
              <w:rPr>
                <w:b/>
                <w:noProof/>
                <w:color w:val="000000"/>
                <w:sz w:val="20"/>
              </w:rPr>
              <w:t>2033</w:t>
            </w:r>
          </w:p>
        </w:tc>
        <w:tc>
          <w:tcPr>
            <w:tcW w:w="398" w:type="pct"/>
            <w:tcBorders>
              <w:top w:val="nil"/>
              <w:left w:val="nil"/>
              <w:bottom w:val="single" w:sz="8" w:space="0" w:color="auto"/>
              <w:right w:val="single" w:sz="8" w:space="0" w:color="auto"/>
            </w:tcBorders>
            <w:vAlign w:val="center"/>
            <w:hideMark/>
          </w:tcPr>
          <w:p w14:paraId="30DD2A01" w14:textId="77777777" w:rsidR="00D664CB" w:rsidRPr="00D91062" w:rsidRDefault="00D664CB" w:rsidP="00D664CB">
            <w:pPr>
              <w:spacing w:before="0" w:after="0"/>
              <w:jc w:val="center"/>
              <w:rPr>
                <w:b/>
                <w:noProof/>
                <w:color w:val="000000"/>
                <w:sz w:val="20"/>
              </w:rPr>
            </w:pPr>
            <w:r w:rsidRPr="00D91062">
              <w:rPr>
                <w:b/>
                <w:noProof/>
                <w:color w:val="000000"/>
                <w:sz w:val="20"/>
              </w:rPr>
              <w:t>2034</w:t>
            </w:r>
          </w:p>
        </w:tc>
        <w:tc>
          <w:tcPr>
            <w:tcW w:w="526" w:type="pct"/>
            <w:vMerge/>
            <w:vAlign w:val="center"/>
            <w:hideMark/>
          </w:tcPr>
          <w:p w14:paraId="2FA13983" w14:textId="77777777" w:rsidR="00D664CB" w:rsidRPr="00D91062" w:rsidRDefault="00D664CB" w:rsidP="00D664CB">
            <w:pPr>
              <w:spacing w:before="0" w:after="0"/>
              <w:jc w:val="left"/>
              <w:rPr>
                <w:b/>
                <w:noProof/>
                <w:color w:val="000000"/>
                <w:sz w:val="20"/>
              </w:rPr>
            </w:pPr>
          </w:p>
        </w:tc>
      </w:tr>
      <w:tr w:rsidR="00D664CB" w:rsidRPr="00D91062" w14:paraId="7B243573" w14:textId="77777777" w:rsidTr="00C617FD">
        <w:trPr>
          <w:trHeight w:val="321"/>
        </w:trPr>
        <w:tc>
          <w:tcPr>
            <w:tcW w:w="835" w:type="pct"/>
            <w:tcBorders>
              <w:top w:val="nil"/>
              <w:left w:val="single" w:sz="8" w:space="0" w:color="auto"/>
              <w:bottom w:val="single" w:sz="8" w:space="0" w:color="auto"/>
              <w:right w:val="single" w:sz="8" w:space="0" w:color="000000" w:themeColor="text1"/>
            </w:tcBorders>
            <w:shd w:val="clear" w:color="auto" w:fill="C0C0C0"/>
            <w:vAlign w:val="center"/>
            <w:hideMark/>
          </w:tcPr>
          <w:p w14:paraId="3A35F063" w14:textId="074504A8" w:rsidR="00D664CB" w:rsidRPr="00D91062" w:rsidRDefault="00D664CB" w:rsidP="00D664CB">
            <w:pPr>
              <w:spacing w:before="0" w:after="0"/>
              <w:jc w:val="center"/>
              <w:rPr>
                <w:b/>
                <w:noProof/>
                <w:color w:val="000000"/>
                <w:sz w:val="22"/>
              </w:rPr>
            </w:pPr>
            <w:r w:rsidRPr="00D91062">
              <w:rPr>
                <w:b/>
                <w:noProof/>
                <w:color w:val="000000"/>
                <w:sz w:val="22"/>
              </w:rPr>
              <w:t>TOTAL credite în cadrul RUBRICILOR</w:t>
            </w:r>
            <w:r w:rsidR="00C617FD">
              <w:rPr>
                <w:b/>
                <w:noProof/>
                <w:color w:val="000000"/>
                <w:sz w:val="22"/>
              </w:rPr>
              <w:t> </w:t>
            </w:r>
            <w:r w:rsidRPr="00D91062">
              <w:rPr>
                <w:b/>
                <w:noProof/>
                <w:color w:val="000000"/>
                <w:sz w:val="22"/>
              </w:rPr>
              <w:t>1-4</w:t>
            </w:r>
          </w:p>
        </w:tc>
        <w:tc>
          <w:tcPr>
            <w:tcW w:w="649" w:type="pct"/>
            <w:tcBorders>
              <w:top w:val="nil"/>
              <w:left w:val="nil"/>
              <w:bottom w:val="single" w:sz="8" w:space="0" w:color="auto"/>
              <w:right w:val="single" w:sz="8" w:space="0" w:color="auto"/>
            </w:tcBorders>
            <w:vAlign w:val="center"/>
            <w:hideMark/>
          </w:tcPr>
          <w:p w14:paraId="4253CF18" w14:textId="77777777" w:rsidR="00D664CB" w:rsidRPr="00D91062" w:rsidRDefault="00D664CB" w:rsidP="00D664CB">
            <w:pPr>
              <w:spacing w:before="0" w:after="0"/>
              <w:rPr>
                <w:noProof/>
                <w:color w:val="000000"/>
                <w:sz w:val="18"/>
              </w:rPr>
            </w:pPr>
            <w:r w:rsidRPr="00D91062">
              <w:rPr>
                <w:noProof/>
                <w:color w:val="000000"/>
                <w:sz w:val="18"/>
              </w:rPr>
              <w:t>Angajamente</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243CB059" w14:textId="77777777" w:rsidR="00D664CB" w:rsidRPr="00D91062" w:rsidRDefault="00D664CB" w:rsidP="00D664CB">
            <w:pPr>
              <w:spacing w:before="0" w:after="0"/>
              <w:jc w:val="right"/>
              <w:rPr>
                <w:rFonts w:eastAsia="Times New Roman"/>
                <w:b/>
                <w:noProof/>
                <w:color w:val="000000"/>
              </w:rPr>
            </w:pPr>
            <w:r w:rsidRPr="00D91062">
              <w:rPr>
                <w:b/>
                <w:noProof/>
                <w:color w:val="000000" w:themeColor="text1"/>
              </w:rPr>
              <w:t>1,541</w:t>
            </w:r>
          </w:p>
        </w:tc>
        <w:tc>
          <w:tcPr>
            <w:tcW w:w="449" w:type="pct"/>
            <w:tcBorders>
              <w:top w:val="nil"/>
              <w:left w:val="nil"/>
              <w:bottom w:val="single" w:sz="8" w:space="0" w:color="auto"/>
              <w:right w:val="single" w:sz="8" w:space="0" w:color="auto"/>
            </w:tcBorders>
            <w:shd w:val="clear" w:color="auto" w:fill="D9D9D9" w:themeFill="background1" w:themeFillShade="D9"/>
            <w:vAlign w:val="center"/>
          </w:tcPr>
          <w:p w14:paraId="47461DFF" w14:textId="77777777" w:rsidR="00D664CB" w:rsidRPr="00D91062" w:rsidRDefault="00D664CB" w:rsidP="00D664CB">
            <w:pPr>
              <w:spacing w:before="0" w:after="0"/>
              <w:jc w:val="right"/>
              <w:rPr>
                <w:rFonts w:eastAsia="Times New Roman"/>
                <w:b/>
                <w:noProof/>
                <w:color w:val="000000"/>
              </w:rPr>
            </w:pPr>
            <w:r w:rsidRPr="00D91062">
              <w:rPr>
                <w:b/>
                <w:noProof/>
                <w:color w:val="000000" w:themeColor="text1"/>
              </w:rPr>
              <w:t>1,541</w:t>
            </w:r>
          </w:p>
        </w:tc>
        <w:tc>
          <w:tcPr>
            <w:tcW w:w="449" w:type="pct"/>
            <w:tcBorders>
              <w:top w:val="nil"/>
              <w:left w:val="nil"/>
              <w:bottom w:val="single" w:sz="8" w:space="0" w:color="auto"/>
              <w:right w:val="single" w:sz="8" w:space="0" w:color="auto"/>
            </w:tcBorders>
            <w:shd w:val="clear" w:color="auto" w:fill="D9D9D9" w:themeFill="background1" w:themeFillShade="D9"/>
            <w:vAlign w:val="center"/>
          </w:tcPr>
          <w:p w14:paraId="67F9AD68" w14:textId="77777777" w:rsidR="00D664CB" w:rsidRPr="00D91062" w:rsidRDefault="00D664CB" w:rsidP="00D664CB">
            <w:pPr>
              <w:spacing w:before="0" w:after="0"/>
              <w:jc w:val="right"/>
              <w:rPr>
                <w:rFonts w:eastAsia="Times New Roman"/>
                <w:b/>
                <w:noProof/>
                <w:color w:val="000000"/>
              </w:rPr>
            </w:pPr>
            <w:r w:rsidRPr="00D91062">
              <w:rPr>
                <w:b/>
                <w:noProof/>
                <w:color w:val="000000" w:themeColor="text1"/>
              </w:rPr>
              <w:t>1,500</w:t>
            </w:r>
          </w:p>
        </w:tc>
        <w:tc>
          <w:tcPr>
            <w:tcW w:w="448" w:type="pct"/>
            <w:tcBorders>
              <w:top w:val="nil"/>
              <w:left w:val="nil"/>
              <w:bottom w:val="single" w:sz="8" w:space="0" w:color="auto"/>
              <w:right w:val="single" w:sz="8" w:space="0" w:color="auto"/>
            </w:tcBorders>
            <w:shd w:val="clear" w:color="auto" w:fill="D9D9D9" w:themeFill="background1" w:themeFillShade="D9"/>
            <w:vAlign w:val="center"/>
          </w:tcPr>
          <w:p w14:paraId="707E4C97" w14:textId="77777777" w:rsidR="00D664CB" w:rsidRPr="00D91062" w:rsidRDefault="00D664CB" w:rsidP="00D664CB">
            <w:pPr>
              <w:spacing w:before="0" w:after="0"/>
              <w:jc w:val="right"/>
              <w:rPr>
                <w:rFonts w:eastAsia="Times New Roman"/>
                <w:b/>
                <w:bCs/>
                <w:noProof/>
                <w:color w:val="000000"/>
              </w:rPr>
            </w:pPr>
            <w:r w:rsidRPr="00D91062">
              <w:rPr>
                <w:b/>
                <w:noProof/>
                <w:color w:val="000000" w:themeColor="text1"/>
              </w:rPr>
              <w:t>1,500</w:t>
            </w:r>
          </w:p>
        </w:tc>
        <w:tc>
          <w:tcPr>
            <w:tcW w:w="449" w:type="pct"/>
            <w:tcBorders>
              <w:top w:val="nil"/>
              <w:left w:val="nil"/>
              <w:bottom w:val="single" w:sz="8" w:space="0" w:color="auto"/>
              <w:right w:val="single" w:sz="8" w:space="0" w:color="auto"/>
            </w:tcBorders>
            <w:shd w:val="clear" w:color="auto" w:fill="D9D9D9" w:themeFill="background1" w:themeFillShade="D9"/>
            <w:vAlign w:val="center"/>
          </w:tcPr>
          <w:p w14:paraId="384D2695" w14:textId="77777777" w:rsidR="00D664CB" w:rsidRPr="00D91062" w:rsidRDefault="00D664CB" w:rsidP="00D664CB">
            <w:pPr>
              <w:spacing w:before="0" w:after="0"/>
              <w:jc w:val="right"/>
              <w:rPr>
                <w:rFonts w:eastAsia="Times New Roman"/>
                <w:b/>
                <w:bCs/>
                <w:noProof/>
                <w:color w:val="000000"/>
              </w:rPr>
            </w:pPr>
            <w:r w:rsidRPr="00D91062">
              <w:rPr>
                <w:b/>
                <w:noProof/>
                <w:color w:val="000000" w:themeColor="text1"/>
              </w:rPr>
              <w:t>1,500</w:t>
            </w:r>
          </w:p>
        </w:tc>
        <w:tc>
          <w:tcPr>
            <w:tcW w:w="399" w:type="pct"/>
            <w:tcBorders>
              <w:top w:val="nil"/>
              <w:left w:val="nil"/>
              <w:bottom w:val="single" w:sz="8" w:space="0" w:color="auto"/>
              <w:right w:val="single" w:sz="8" w:space="0" w:color="auto"/>
            </w:tcBorders>
            <w:shd w:val="clear" w:color="auto" w:fill="D9D9D9" w:themeFill="background1" w:themeFillShade="D9"/>
            <w:vAlign w:val="center"/>
          </w:tcPr>
          <w:p w14:paraId="02CDE0FF" w14:textId="77777777" w:rsidR="00D664CB" w:rsidRPr="00D91062" w:rsidRDefault="00D664CB" w:rsidP="00D664CB">
            <w:pPr>
              <w:spacing w:before="0" w:after="0"/>
              <w:jc w:val="right"/>
              <w:rPr>
                <w:rFonts w:eastAsia="Times New Roman"/>
                <w:b/>
                <w:bCs/>
                <w:noProof/>
                <w:color w:val="000000"/>
              </w:rPr>
            </w:pPr>
            <w:r w:rsidRPr="00D91062">
              <w:rPr>
                <w:b/>
                <w:noProof/>
                <w:color w:val="000000" w:themeColor="text1"/>
              </w:rPr>
              <w:t>1,500</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2F3D5953" w14:textId="77777777" w:rsidR="00D664CB" w:rsidRPr="00D91062" w:rsidRDefault="00D664CB" w:rsidP="00D664CB">
            <w:pPr>
              <w:spacing w:before="0" w:after="0"/>
              <w:jc w:val="right"/>
              <w:rPr>
                <w:rFonts w:eastAsia="Times New Roman"/>
                <w:b/>
                <w:noProof/>
                <w:color w:val="000000"/>
              </w:rPr>
            </w:pPr>
            <w:r w:rsidRPr="00D91062">
              <w:rPr>
                <w:b/>
                <w:noProof/>
                <w:color w:val="000000" w:themeColor="text1"/>
              </w:rPr>
              <w:t>1,500</w:t>
            </w:r>
          </w:p>
        </w:tc>
        <w:tc>
          <w:tcPr>
            <w:tcW w:w="526" w:type="pct"/>
            <w:tcBorders>
              <w:top w:val="nil"/>
              <w:left w:val="nil"/>
              <w:bottom w:val="single" w:sz="8" w:space="0" w:color="auto"/>
              <w:right w:val="single" w:sz="8" w:space="0" w:color="auto"/>
            </w:tcBorders>
            <w:shd w:val="clear" w:color="auto" w:fill="D9D9D9" w:themeFill="background1" w:themeFillShade="D9"/>
            <w:vAlign w:val="center"/>
          </w:tcPr>
          <w:p w14:paraId="5F9891F4" w14:textId="77777777" w:rsidR="00D664CB" w:rsidRPr="00D91062" w:rsidRDefault="00D664CB" w:rsidP="00D664CB">
            <w:pPr>
              <w:spacing w:before="0" w:after="0"/>
              <w:jc w:val="right"/>
              <w:rPr>
                <w:b/>
                <w:bCs/>
                <w:noProof/>
                <w:color w:val="000000"/>
              </w:rPr>
            </w:pPr>
            <w:r w:rsidRPr="00D91062">
              <w:rPr>
                <w:b/>
                <w:noProof/>
                <w:color w:val="000000" w:themeColor="text1"/>
              </w:rPr>
              <w:t>10,582</w:t>
            </w:r>
          </w:p>
        </w:tc>
      </w:tr>
      <w:tr w:rsidR="00D664CB" w:rsidRPr="00D91062" w14:paraId="6F6950FC" w14:textId="77777777" w:rsidTr="00C617FD">
        <w:trPr>
          <w:trHeight w:val="247"/>
        </w:trPr>
        <w:tc>
          <w:tcPr>
            <w:tcW w:w="835" w:type="pct"/>
            <w:tcBorders>
              <w:top w:val="nil"/>
              <w:left w:val="single" w:sz="8" w:space="0" w:color="auto"/>
              <w:bottom w:val="single" w:sz="8" w:space="0" w:color="auto"/>
              <w:right w:val="single" w:sz="8" w:space="0" w:color="000000" w:themeColor="text1"/>
            </w:tcBorders>
            <w:shd w:val="clear" w:color="auto" w:fill="C0C0C0"/>
            <w:vAlign w:val="center"/>
            <w:hideMark/>
          </w:tcPr>
          <w:p w14:paraId="372367A0" w14:textId="77777777" w:rsidR="00D664CB" w:rsidRPr="00D91062" w:rsidRDefault="00D664CB" w:rsidP="00D664CB">
            <w:pPr>
              <w:spacing w:before="0" w:after="0"/>
              <w:jc w:val="center"/>
              <w:rPr>
                <w:noProof/>
                <w:color w:val="000000"/>
                <w:sz w:val="22"/>
              </w:rPr>
            </w:pPr>
            <w:r w:rsidRPr="00D91062">
              <w:rPr>
                <w:noProof/>
                <w:color w:val="000000"/>
                <w:sz w:val="22"/>
              </w:rPr>
              <w:t>din cadrul financiar multianual</w:t>
            </w:r>
            <w:r w:rsidRPr="00D91062">
              <w:rPr>
                <w:b/>
                <w:noProof/>
                <w:color w:val="000000"/>
                <w:sz w:val="22"/>
              </w:rPr>
              <w:t xml:space="preserve"> </w:t>
            </w:r>
          </w:p>
        </w:tc>
        <w:tc>
          <w:tcPr>
            <w:tcW w:w="649" w:type="pct"/>
            <w:tcBorders>
              <w:top w:val="nil"/>
              <w:left w:val="nil"/>
              <w:bottom w:val="single" w:sz="8" w:space="0" w:color="auto"/>
              <w:right w:val="single" w:sz="8" w:space="0" w:color="auto"/>
            </w:tcBorders>
            <w:vAlign w:val="center"/>
            <w:hideMark/>
          </w:tcPr>
          <w:p w14:paraId="644B3FDC" w14:textId="77777777" w:rsidR="00D664CB" w:rsidRPr="00D91062" w:rsidRDefault="00D664CB" w:rsidP="00D664CB">
            <w:pPr>
              <w:spacing w:before="0" w:after="0"/>
              <w:rPr>
                <w:noProof/>
                <w:color w:val="000000"/>
                <w:sz w:val="18"/>
              </w:rPr>
            </w:pPr>
            <w:r w:rsidRPr="00D91062">
              <w:rPr>
                <w:noProof/>
                <w:color w:val="000000"/>
                <w:sz w:val="18"/>
              </w:rPr>
              <w:t>Plăți</w:t>
            </w: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35DDD9DA" w14:textId="77777777" w:rsidR="00D664CB" w:rsidRPr="00D91062" w:rsidRDefault="00D664CB" w:rsidP="00D664CB">
            <w:pPr>
              <w:spacing w:before="0" w:after="0"/>
              <w:jc w:val="right"/>
              <w:rPr>
                <w:rFonts w:eastAsia="Times New Roman"/>
                <w:b/>
                <w:bCs/>
                <w:noProof/>
                <w:color w:val="000000"/>
                <w:lang w:eastAsia="en-IE"/>
              </w:rPr>
            </w:pPr>
          </w:p>
        </w:tc>
        <w:tc>
          <w:tcPr>
            <w:tcW w:w="449" w:type="pct"/>
            <w:tcBorders>
              <w:top w:val="nil"/>
              <w:left w:val="nil"/>
              <w:bottom w:val="single" w:sz="8" w:space="0" w:color="auto"/>
              <w:right w:val="single" w:sz="8" w:space="0" w:color="auto"/>
            </w:tcBorders>
            <w:shd w:val="clear" w:color="auto" w:fill="D9D9D9" w:themeFill="background1" w:themeFillShade="D9"/>
            <w:vAlign w:val="center"/>
          </w:tcPr>
          <w:p w14:paraId="1AFB4E7F" w14:textId="77777777" w:rsidR="00D664CB" w:rsidRPr="00D91062" w:rsidRDefault="00D664CB" w:rsidP="00D664CB">
            <w:pPr>
              <w:spacing w:before="0" w:after="0"/>
              <w:jc w:val="right"/>
              <w:rPr>
                <w:rFonts w:eastAsia="Times New Roman"/>
                <w:b/>
                <w:bCs/>
                <w:noProof/>
                <w:color w:val="000000"/>
                <w:lang w:eastAsia="en-IE"/>
              </w:rPr>
            </w:pPr>
          </w:p>
        </w:tc>
        <w:tc>
          <w:tcPr>
            <w:tcW w:w="449" w:type="pct"/>
            <w:tcBorders>
              <w:top w:val="nil"/>
              <w:left w:val="nil"/>
              <w:bottom w:val="single" w:sz="8" w:space="0" w:color="auto"/>
              <w:right w:val="single" w:sz="8" w:space="0" w:color="auto"/>
            </w:tcBorders>
            <w:shd w:val="clear" w:color="auto" w:fill="D9D9D9" w:themeFill="background1" w:themeFillShade="D9"/>
            <w:vAlign w:val="center"/>
          </w:tcPr>
          <w:p w14:paraId="35FF30DC" w14:textId="77777777" w:rsidR="00D664CB" w:rsidRPr="00D91062" w:rsidRDefault="00D664CB" w:rsidP="00D664CB">
            <w:pPr>
              <w:spacing w:before="0" w:after="0"/>
              <w:jc w:val="right"/>
              <w:rPr>
                <w:rFonts w:eastAsia="Times New Roman"/>
                <w:b/>
                <w:bCs/>
                <w:noProof/>
                <w:color w:val="000000"/>
                <w:lang w:eastAsia="en-IE"/>
              </w:rPr>
            </w:pPr>
          </w:p>
        </w:tc>
        <w:tc>
          <w:tcPr>
            <w:tcW w:w="448" w:type="pct"/>
            <w:tcBorders>
              <w:top w:val="nil"/>
              <w:left w:val="nil"/>
              <w:bottom w:val="single" w:sz="8" w:space="0" w:color="auto"/>
              <w:right w:val="single" w:sz="8" w:space="0" w:color="auto"/>
            </w:tcBorders>
            <w:shd w:val="clear" w:color="auto" w:fill="D9D9D9" w:themeFill="background1" w:themeFillShade="D9"/>
            <w:vAlign w:val="center"/>
          </w:tcPr>
          <w:p w14:paraId="1A022FC8" w14:textId="77777777" w:rsidR="00D664CB" w:rsidRPr="00D91062" w:rsidRDefault="00D664CB" w:rsidP="00D664CB">
            <w:pPr>
              <w:spacing w:before="0" w:after="0"/>
              <w:jc w:val="right"/>
              <w:rPr>
                <w:rFonts w:eastAsia="Times New Roman"/>
                <w:b/>
                <w:bCs/>
                <w:noProof/>
                <w:color w:val="000000"/>
                <w:lang w:eastAsia="en-IE"/>
              </w:rPr>
            </w:pPr>
          </w:p>
        </w:tc>
        <w:tc>
          <w:tcPr>
            <w:tcW w:w="449" w:type="pct"/>
            <w:tcBorders>
              <w:top w:val="nil"/>
              <w:left w:val="nil"/>
              <w:bottom w:val="single" w:sz="8" w:space="0" w:color="auto"/>
              <w:right w:val="single" w:sz="8" w:space="0" w:color="auto"/>
            </w:tcBorders>
            <w:shd w:val="clear" w:color="auto" w:fill="D9D9D9" w:themeFill="background1" w:themeFillShade="D9"/>
            <w:vAlign w:val="center"/>
          </w:tcPr>
          <w:p w14:paraId="60EFC68C" w14:textId="77777777" w:rsidR="00D664CB" w:rsidRPr="00D91062" w:rsidRDefault="00D664CB" w:rsidP="00D664CB">
            <w:pPr>
              <w:spacing w:before="0" w:after="0"/>
              <w:jc w:val="right"/>
              <w:rPr>
                <w:rFonts w:eastAsia="Times New Roman"/>
                <w:b/>
                <w:bCs/>
                <w:noProof/>
                <w:color w:val="000000"/>
                <w:lang w:eastAsia="en-IE"/>
              </w:rPr>
            </w:pPr>
          </w:p>
        </w:tc>
        <w:tc>
          <w:tcPr>
            <w:tcW w:w="399" w:type="pct"/>
            <w:tcBorders>
              <w:top w:val="nil"/>
              <w:left w:val="nil"/>
              <w:bottom w:val="single" w:sz="8" w:space="0" w:color="auto"/>
              <w:right w:val="single" w:sz="8" w:space="0" w:color="auto"/>
            </w:tcBorders>
            <w:shd w:val="clear" w:color="auto" w:fill="D9D9D9" w:themeFill="background1" w:themeFillShade="D9"/>
            <w:vAlign w:val="center"/>
          </w:tcPr>
          <w:p w14:paraId="69A0E038" w14:textId="77777777" w:rsidR="00D664CB" w:rsidRPr="00D91062" w:rsidRDefault="00D664CB" w:rsidP="00D664CB">
            <w:pPr>
              <w:spacing w:before="0" w:after="0"/>
              <w:jc w:val="right"/>
              <w:rPr>
                <w:rFonts w:eastAsia="Times New Roman"/>
                <w:b/>
                <w:bCs/>
                <w:noProof/>
                <w:color w:val="000000"/>
                <w:lang w:eastAsia="en-IE"/>
              </w:rPr>
            </w:pPr>
          </w:p>
        </w:tc>
        <w:tc>
          <w:tcPr>
            <w:tcW w:w="398" w:type="pct"/>
            <w:tcBorders>
              <w:top w:val="nil"/>
              <w:left w:val="nil"/>
              <w:bottom w:val="single" w:sz="8" w:space="0" w:color="auto"/>
              <w:right w:val="single" w:sz="8" w:space="0" w:color="auto"/>
            </w:tcBorders>
            <w:shd w:val="clear" w:color="auto" w:fill="D9D9D9" w:themeFill="background1" w:themeFillShade="D9"/>
            <w:vAlign w:val="center"/>
          </w:tcPr>
          <w:p w14:paraId="5BC6ABBE" w14:textId="77777777" w:rsidR="00D664CB" w:rsidRPr="00D91062" w:rsidRDefault="00D664CB" w:rsidP="00D664CB">
            <w:pPr>
              <w:spacing w:before="0" w:after="0"/>
              <w:jc w:val="right"/>
              <w:rPr>
                <w:rFonts w:eastAsia="Times New Roman"/>
                <w:b/>
                <w:bCs/>
                <w:noProof/>
                <w:color w:val="000000"/>
                <w:lang w:eastAsia="en-IE"/>
              </w:rPr>
            </w:pPr>
          </w:p>
        </w:tc>
        <w:tc>
          <w:tcPr>
            <w:tcW w:w="526" w:type="pct"/>
            <w:tcBorders>
              <w:top w:val="nil"/>
              <w:left w:val="nil"/>
              <w:bottom w:val="single" w:sz="8" w:space="0" w:color="auto"/>
              <w:right w:val="single" w:sz="8" w:space="0" w:color="auto"/>
            </w:tcBorders>
            <w:shd w:val="clear" w:color="auto" w:fill="D9D9D9" w:themeFill="background1" w:themeFillShade="D9"/>
            <w:vAlign w:val="center"/>
          </w:tcPr>
          <w:p w14:paraId="6FB78B56" w14:textId="77777777" w:rsidR="00D664CB" w:rsidRPr="00D91062" w:rsidRDefault="00D664CB" w:rsidP="00D664CB">
            <w:pPr>
              <w:spacing w:before="0" w:after="0"/>
              <w:jc w:val="right"/>
              <w:rPr>
                <w:rFonts w:eastAsia="Times New Roman"/>
                <w:b/>
                <w:bCs/>
                <w:noProof/>
                <w:color w:val="000000"/>
                <w:lang w:eastAsia="en-IE"/>
              </w:rPr>
            </w:pPr>
          </w:p>
        </w:tc>
      </w:tr>
    </w:tbl>
    <w:p w14:paraId="3654BF5F" w14:textId="77777777" w:rsidR="00D664CB" w:rsidRPr="00D91062" w:rsidRDefault="00D664CB" w:rsidP="00D664CB">
      <w:pPr>
        <w:rPr>
          <w:noProof/>
        </w:rPr>
        <w:sectPr w:rsidR="00D664CB" w:rsidRPr="00D91062" w:rsidSect="00A8433C">
          <w:headerReference w:type="default" r:id="rId16"/>
          <w:footerReference w:type="default" r:id="rId17"/>
          <w:pgSz w:w="16840" w:h="11907" w:orient="landscape" w:code="9"/>
          <w:pgMar w:top="1134" w:right="1418" w:bottom="567" w:left="1418" w:header="709" w:footer="709" w:gutter="0"/>
          <w:cols w:space="708"/>
          <w:docGrid w:linePitch="360"/>
        </w:sectPr>
      </w:pPr>
    </w:p>
    <w:p w14:paraId="6C3E61AC" w14:textId="77777777" w:rsidR="00D664CB" w:rsidRPr="00D91062" w:rsidRDefault="00D664CB" w:rsidP="007A5721">
      <w:pPr>
        <w:pStyle w:val="ManualHeading3"/>
        <w:rPr>
          <w:bCs/>
          <w:noProof/>
          <w:szCs w:val="24"/>
        </w:rPr>
      </w:pPr>
      <w:r w:rsidRPr="00D91062">
        <w:rPr>
          <w:noProof/>
        </w:rPr>
        <w:t>3.2.3.</w:t>
      </w:r>
      <w:r w:rsidRPr="00D91062">
        <w:rPr>
          <w:noProof/>
        </w:rPr>
        <w:tab/>
        <w:t>Sinteza impactului estimat asupra creditelor administrative</w:t>
      </w:r>
    </w:p>
    <w:p w14:paraId="3035EC3C" w14:textId="77777777" w:rsidR="00D664CB" w:rsidRPr="00D91062" w:rsidRDefault="00D664CB" w:rsidP="007A5721">
      <w:pPr>
        <w:pStyle w:val="ListDash1"/>
        <w:rPr>
          <w:noProof/>
        </w:rPr>
      </w:pPr>
      <w:r w:rsidRPr="00D91062">
        <w:rPr>
          <w:rFonts w:ascii="Wingdings" w:hAnsi="Wingdings"/>
          <w:noProof/>
        </w:rPr>
        <w:t></w:t>
      </w:r>
      <w:r w:rsidRPr="00D91062">
        <w:rPr>
          <w:rFonts w:ascii="Wingdings" w:hAnsi="Wingdings"/>
          <w:noProof/>
        </w:rPr>
        <w:t></w:t>
      </w:r>
      <w:r w:rsidRPr="00D91062">
        <w:rPr>
          <w:noProof/>
        </w:rPr>
        <w:t>Propunerea/inițiativa nu implică utilizarea de credite cu caracter administrativ</w:t>
      </w:r>
    </w:p>
    <w:p w14:paraId="1FB4913E" w14:textId="77777777" w:rsidR="00D664CB" w:rsidRPr="00D91062" w:rsidRDefault="00D664CB" w:rsidP="007A5721">
      <w:pPr>
        <w:pStyle w:val="ListDash1"/>
        <w:rPr>
          <w:noProof/>
        </w:rPr>
      </w:pPr>
      <w:r w:rsidRPr="00D91062">
        <w:rPr>
          <w:rFonts w:ascii="Wingdings" w:hAnsi="Wingdings"/>
          <w:noProof/>
        </w:rPr>
        <w:t></w:t>
      </w:r>
      <w:r w:rsidRPr="00D91062">
        <w:rPr>
          <w:rFonts w:ascii="Wingdings" w:hAnsi="Wingdings"/>
          <w:noProof/>
        </w:rPr>
        <w:t></w:t>
      </w:r>
      <w:r w:rsidRPr="00D91062">
        <w:rPr>
          <w:noProof/>
        </w:rPr>
        <w:t>Propunerea/inițiativa implică utilizarea de credite cu caracter administrativ, conform explicațiilor de mai jos</w:t>
      </w:r>
    </w:p>
    <w:p w14:paraId="6D34AA06" w14:textId="77777777" w:rsidR="00D664CB" w:rsidRPr="00D91062" w:rsidRDefault="00D664CB" w:rsidP="007A5721">
      <w:pPr>
        <w:pStyle w:val="ManualHeading3"/>
        <w:rPr>
          <w:noProof/>
        </w:rPr>
      </w:pPr>
      <w:r w:rsidRPr="00D91062">
        <w:rPr>
          <w:noProof/>
        </w:rPr>
        <w:t>3.2.3.1. Credite din bugetul votat</w:t>
      </w:r>
    </w:p>
    <w:tbl>
      <w:tblPr>
        <w:tblW w:w="5000" w:type="pct"/>
        <w:tblLook w:val="04A0" w:firstRow="1" w:lastRow="0" w:firstColumn="1" w:lastColumn="0" w:noHBand="0" w:noVBand="1"/>
      </w:tblPr>
      <w:tblGrid>
        <w:gridCol w:w="2085"/>
        <w:gridCol w:w="937"/>
        <w:gridCol w:w="936"/>
        <w:gridCol w:w="576"/>
        <w:gridCol w:w="936"/>
        <w:gridCol w:w="936"/>
        <w:gridCol w:w="936"/>
        <w:gridCol w:w="936"/>
        <w:gridCol w:w="1011"/>
      </w:tblGrid>
      <w:tr w:rsidR="00D664CB" w:rsidRPr="00D91062" w14:paraId="55917D4B" w14:textId="77777777" w:rsidTr="00A2361B">
        <w:trPr>
          <w:trHeight w:val="300"/>
        </w:trPr>
        <w:tc>
          <w:tcPr>
            <w:tcW w:w="1122" w:type="pct"/>
            <w:vMerge w:val="restart"/>
            <w:tcBorders>
              <w:top w:val="single" w:sz="8" w:space="0" w:color="auto"/>
              <w:left w:val="single" w:sz="8" w:space="0" w:color="auto"/>
              <w:bottom w:val="single" w:sz="8" w:space="0" w:color="auto"/>
              <w:right w:val="single" w:sz="8" w:space="0" w:color="auto"/>
            </w:tcBorders>
            <w:vAlign w:val="center"/>
            <w:hideMark/>
          </w:tcPr>
          <w:p w14:paraId="186B925B" w14:textId="77777777" w:rsidR="00D664CB" w:rsidRPr="00D91062" w:rsidRDefault="00D664CB" w:rsidP="00D664CB">
            <w:pPr>
              <w:spacing w:before="0" w:after="0"/>
              <w:jc w:val="center"/>
              <w:rPr>
                <w:b/>
                <w:noProof/>
                <w:color w:val="000000"/>
                <w:sz w:val="18"/>
              </w:rPr>
            </w:pPr>
            <w:r w:rsidRPr="00D91062">
              <w:rPr>
                <w:b/>
                <w:noProof/>
                <w:color w:val="000000"/>
                <w:sz w:val="18"/>
              </w:rPr>
              <w:t>CREDITE VOTATE</w:t>
            </w:r>
          </w:p>
        </w:tc>
        <w:tc>
          <w:tcPr>
            <w:tcW w:w="504" w:type="pct"/>
            <w:tcBorders>
              <w:top w:val="single" w:sz="8" w:space="0" w:color="auto"/>
              <w:left w:val="nil"/>
              <w:bottom w:val="single" w:sz="8" w:space="0" w:color="auto"/>
              <w:right w:val="single" w:sz="8" w:space="0" w:color="auto"/>
            </w:tcBorders>
            <w:vAlign w:val="center"/>
            <w:hideMark/>
          </w:tcPr>
          <w:p w14:paraId="71DA6F5E" w14:textId="77777777" w:rsidR="00D664CB" w:rsidRPr="00D91062" w:rsidRDefault="00D664CB" w:rsidP="00D664CB">
            <w:pPr>
              <w:spacing w:before="0" w:after="0"/>
              <w:jc w:val="center"/>
              <w:rPr>
                <w:noProof/>
                <w:color w:val="000000"/>
                <w:sz w:val="18"/>
              </w:rPr>
            </w:pPr>
            <w:r w:rsidRPr="00D91062">
              <w:rPr>
                <w:noProof/>
                <w:color w:val="000000"/>
                <w:sz w:val="18"/>
              </w:rPr>
              <w:t>Anul</w:t>
            </w:r>
          </w:p>
        </w:tc>
        <w:tc>
          <w:tcPr>
            <w:tcW w:w="504" w:type="pct"/>
            <w:tcBorders>
              <w:top w:val="single" w:sz="8" w:space="0" w:color="auto"/>
              <w:left w:val="nil"/>
              <w:bottom w:val="single" w:sz="8" w:space="0" w:color="auto"/>
              <w:right w:val="single" w:sz="8" w:space="0" w:color="auto"/>
            </w:tcBorders>
            <w:vAlign w:val="center"/>
            <w:hideMark/>
          </w:tcPr>
          <w:p w14:paraId="63EF5FD5" w14:textId="77777777" w:rsidR="00D664CB" w:rsidRPr="00D91062" w:rsidRDefault="00D664CB" w:rsidP="00D664CB">
            <w:pPr>
              <w:spacing w:before="0" w:after="0"/>
              <w:jc w:val="center"/>
              <w:rPr>
                <w:noProof/>
                <w:color w:val="000000"/>
                <w:sz w:val="18"/>
              </w:rPr>
            </w:pPr>
            <w:r w:rsidRPr="00D91062">
              <w:rPr>
                <w:noProof/>
                <w:color w:val="000000"/>
                <w:sz w:val="18"/>
              </w:rPr>
              <w:t>Anul</w:t>
            </w:r>
          </w:p>
        </w:tc>
        <w:tc>
          <w:tcPr>
            <w:tcW w:w="310" w:type="pct"/>
            <w:tcBorders>
              <w:top w:val="single" w:sz="8" w:space="0" w:color="auto"/>
              <w:left w:val="nil"/>
              <w:bottom w:val="single" w:sz="8" w:space="0" w:color="auto"/>
              <w:right w:val="single" w:sz="8" w:space="0" w:color="auto"/>
            </w:tcBorders>
            <w:vAlign w:val="center"/>
            <w:hideMark/>
          </w:tcPr>
          <w:p w14:paraId="713C63CA" w14:textId="77777777" w:rsidR="00D664CB" w:rsidRPr="00D91062" w:rsidRDefault="00D664CB" w:rsidP="00D664CB">
            <w:pPr>
              <w:spacing w:before="0" w:after="0"/>
              <w:jc w:val="center"/>
              <w:rPr>
                <w:noProof/>
                <w:color w:val="000000"/>
                <w:sz w:val="18"/>
              </w:rPr>
            </w:pPr>
            <w:r w:rsidRPr="00D91062">
              <w:rPr>
                <w:noProof/>
                <w:color w:val="000000"/>
                <w:sz w:val="18"/>
              </w:rPr>
              <w:t>Anul</w:t>
            </w:r>
          </w:p>
        </w:tc>
        <w:tc>
          <w:tcPr>
            <w:tcW w:w="504" w:type="pct"/>
            <w:tcBorders>
              <w:top w:val="single" w:sz="8" w:space="0" w:color="auto"/>
              <w:left w:val="nil"/>
              <w:bottom w:val="single" w:sz="8" w:space="0" w:color="auto"/>
              <w:right w:val="single" w:sz="8" w:space="0" w:color="auto"/>
            </w:tcBorders>
            <w:vAlign w:val="center"/>
            <w:hideMark/>
          </w:tcPr>
          <w:p w14:paraId="34CD2E6D" w14:textId="77777777" w:rsidR="00D664CB" w:rsidRPr="00D91062" w:rsidRDefault="00D664CB" w:rsidP="00D664CB">
            <w:pPr>
              <w:spacing w:before="0" w:after="0"/>
              <w:jc w:val="center"/>
              <w:rPr>
                <w:noProof/>
                <w:color w:val="000000"/>
                <w:sz w:val="18"/>
              </w:rPr>
            </w:pPr>
            <w:r w:rsidRPr="00D91062">
              <w:rPr>
                <w:noProof/>
                <w:color w:val="000000"/>
                <w:sz w:val="18"/>
              </w:rPr>
              <w:t>Anul</w:t>
            </w:r>
          </w:p>
        </w:tc>
        <w:tc>
          <w:tcPr>
            <w:tcW w:w="504" w:type="pct"/>
            <w:tcBorders>
              <w:top w:val="single" w:sz="8" w:space="0" w:color="auto"/>
              <w:left w:val="single" w:sz="8" w:space="0" w:color="auto"/>
              <w:bottom w:val="single" w:sz="8" w:space="0" w:color="auto"/>
              <w:right w:val="single" w:sz="8" w:space="0" w:color="auto"/>
            </w:tcBorders>
            <w:vAlign w:val="center"/>
          </w:tcPr>
          <w:p w14:paraId="3E7AD0C2" w14:textId="77777777" w:rsidR="00D664CB" w:rsidRPr="00D91062" w:rsidRDefault="00D664CB" w:rsidP="00D664CB">
            <w:pPr>
              <w:spacing w:before="0" w:after="0"/>
              <w:jc w:val="center"/>
              <w:rPr>
                <w:noProof/>
                <w:color w:val="000000"/>
                <w:sz w:val="18"/>
              </w:rPr>
            </w:pPr>
            <w:r w:rsidRPr="00D91062">
              <w:rPr>
                <w:noProof/>
                <w:color w:val="000000"/>
                <w:sz w:val="18"/>
              </w:rPr>
              <w:t>Anul</w:t>
            </w:r>
          </w:p>
        </w:tc>
        <w:tc>
          <w:tcPr>
            <w:tcW w:w="504" w:type="pct"/>
            <w:tcBorders>
              <w:top w:val="single" w:sz="8" w:space="0" w:color="auto"/>
              <w:left w:val="single" w:sz="8" w:space="0" w:color="auto"/>
              <w:bottom w:val="single" w:sz="8" w:space="0" w:color="auto"/>
              <w:right w:val="single" w:sz="8" w:space="0" w:color="auto"/>
            </w:tcBorders>
            <w:vAlign w:val="center"/>
          </w:tcPr>
          <w:p w14:paraId="08A76F0F" w14:textId="77777777" w:rsidR="00D664CB" w:rsidRPr="00D91062" w:rsidRDefault="00D664CB" w:rsidP="00D664CB">
            <w:pPr>
              <w:spacing w:before="0" w:after="0"/>
              <w:jc w:val="center"/>
              <w:rPr>
                <w:noProof/>
                <w:color w:val="000000"/>
                <w:sz w:val="18"/>
              </w:rPr>
            </w:pPr>
            <w:r w:rsidRPr="00D91062">
              <w:rPr>
                <w:noProof/>
                <w:color w:val="000000"/>
                <w:sz w:val="18"/>
              </w:rPr>
              <w:t>Anul</w:t>
            </w:r>
          </w:p>
        </w:tc>
        <w:tc>
          <w:tcPr>
            <w:tcW w:w="504" w:type="pct"/>
            <w:tcBorders>
              <w:top w:val="single" w:sz="8" w:space="0" w:color="auto"/>
              <w:left w:val="single" w:sz="8" w:space="0" w:color="auto"/>
              <w:bottom w:val="single" w:sz="8" w:space="0" w:color="auto"/>
              <w:right w:val="single" w:sz="8" w:space="0" w:color="auto"/>
            </w:tcBorders>
            <w:vAlign w:val="center"/>
          </w:tcPr>
          <w:p w14:paraId="1A5C37FE" w14:textId="77777777" w:rsidR="00D664CB" w:rsidRPr="00D91062" w:rsidRDefault="00D664CB" w:rsidP="00D664CB">
            <w:pPr>
              <w:spacing w:before="0" w:after="0"/>
              <w:jc w:val="center"/>
              <w:rPr>
                <w:noProof/>
                <w:color w:val="000000"/>
                <w:sz w:val="18"/>
              </w:rPr>
            </w:pPr>
            <w:r w:rsidRPr="00D91062">
              <w:rPr>
                <w:noProof/>
                <w:color w:val="000000"/>
                <w:sz w:val="18"/>
              </w:rPr>
              <w:t>Anul</w:t>
            </w:r>
          </w:p>
        </w:tc>
        <w:tc>
          <w:tcPr>
            <w:tcW w:w="544" w:type="pct"/>
            <w:vMerge w:val="restart"/>
            <w:tcBorders>
              <w:top w:val="single" w:sz="8" w:space="0" w:color="auto"/>
              <w:left w:val="single" w:sz="8" w:space="0" w:color="auto"/>
              <w:bottom w:val="single" w:sz="8" w:space="0" w:color="auto"/>
              <w:right w:val="single" w:sz="8" w:space="0" w:color="auto"/>
            </w:tcBorders>
            <w:vAlign w:val="center"/>
            <w:hideMark/>
          </w:tcPr>
          <w:p w14:paraId="5EDCBED3" w14:textId="77777777" w:rsidR="00D664CB" w:rsidRPr="00D91062" w:rsidRDefault="00D664CB" w:rsidP="00D664CB">
            <w:pPr>
              <w:spacing w:before="0" w:after="0"/>
              <w:jc w:val="center"/>
              <w:rPr>
                <w:b/>
                <w:noProof/>
                <w:color w:val="000000"/>
                <w:sz w:val="18"/>
              </w:rPr>
            </w:pPr>
            <w:r w:rsidRPr="00D91062">
              <w:rPr>
                <w:b/>
                <w:noProof/>
                <w:color w:val="000000"/>
                <w:sz w:val="18"/>
              </w:rPr>
              <w:t>TOTAL 2028-2034</w:t>
            </w:r>
          </w:p>
        </w:tc>
      </w:tr>
      <w:tr w:rsidR="00D664CB" w:rsidRPr="00D91062" w14:paraId="573DF0A8" w14:textId="77777777" w:rsidTr="00A2361B">
        <w:trPr>
          <w:trHeight w:val="300"/>
        </w:trPr>
        <w:tc>
          <w:tcPr>
            <w:tcW w:w="1122" w:type="pct"/>
            <w:vMerge/>
            <w:vAlign w:val="center"/>
            <w:hideMark/>
          </w:tcPr>
          <w:p w14:paraId="49807B84" w14:textId="77777777" w:rsidR="00D664CB" w:rsidRPr="00D91062" w:rsidRDefault="00D664CB" w:rsidP="00D664CB">
            <w:pPr>
              <w:spacing w:before="0" w:after="0"/>
              <w:jc w:val="left"/>
              <w:rPr>
                <w:b/>
                <w:noProof/>
                <w:color w:val="000000"/>
                <w:sz w:val="18"/>
              </w:rPr>
            </w:pPr>
          </w:p>
        </w:tc>
        <w:tc>
          <w:tcPr>
            <w:tcW w:w="504" w:type="pct"/>
            <w:tcBorders>
              <w:top w:val="nil"/>
              <w:left w:val="nil"/>
              <w:bottom w:val="single" w:sz="8" w:space="0" w:color="auto"/>
              <w:right w:val="single" w:sz="8" w:space="0" w:color="auto"/>
            </w:tcBorders>
            <w:vAlign w:val="center"/>
            <w:hideMark/>
          </w:tcPr>
          <w:p w14:paraId="610F458D" w14:textId="77777777" w:rsidR="00D664CB" w:rsidRPr="00D91062" w:rsidRDefault="00D664CB" w:rsidP="00D664CB">
            <w:pPr>
              <w:spacing w:before="0" w:after="0"/>
              <w:jc w:val="center"/>
              <w:rPr>
                <w:b/>
                <w:noProof/>
                <w:color w:val="000000"/>
                <w:sz w:val="18"/>
              </w:rPr>
            </w:pPr>
            <w:r w:rsidRPr="00D91062">
              <w:rPr>
                <w:b/>
                <w:noProof/>
                <w:color w:val="000000"/>
                <w:sz w:val="18"/>
              </w:rPr>
              <w:t>2028</w:t>
            </w:r>
          </w:p>
        </w:tc>
        <w:tc>
          <w:tcPr>
            <w:tcW w:w="504" w:type="pct"/>
            <w:tcBorders>
              <w:top w:val="nil"/>
              <w:left w:val="nil"/>
              <w:bottom w:val="single" w:sz="8" w:space="0" w:color="auto"/>
              <w:right w:val="single" w:sz="8" w:space="0" w:color="auto"/>
            </w:tcBorders>
            <w:vAlign w:val="center"/>
            <w:hideMark/>
          </w:tcPr>
          <w:p w14:paraId="21EC20D2" w14:textId="77777777" w:rsidR="00D664CB" w:rsidRPr="00D91062" w:rsidRDefault="00D664CB" w:rsidP="00D664CB">
            <w:pPr>
              <w:spacing w:before="0" w:after="0"/>
              <w:jc w:val="center"/>
              <w:rPr>
                <w:b/>
                <w:noProof/>
                <w:color w:val="000000"/>
                <w:sz w:val="18"/>
              </w:rPr>
            </w:pPr>
            <w:r w:rsidRPr="00D91062">
              <w:rPr>
                <w:b/>
                <w:noProof/>
                <w:color w:val="000000"/>
                <w:sz w:val="18"/>
              </w:rPr>
              <w:t>2029</w:t>
            </w:r>
          </w:p>
        </w:tc>
        <w:tc>
          <w:tcPr>
            <w:tcW w:w="310" w:type="pct"/>
            <w:tcBorders>
              <w:top w:val="nil"/>
              <w:left w:val="nil"/>
              <w:bottom w:val="single" w:sz="8" w:space="0" w:color="auto"/>
              <w:right w:val="single" w:sz="8" w:space="0" w:color="auto"/>
            </w:tcBorders>
            <w:vAlign w:val="center"/>
            <w:hideMark/>
          </w:tcPr>
          <w:p w14:paraId="7AB3CFA8" w14:textId="77777777" w:rsidR="00D664CB" w:rsidRPr="00D91062" w:rsidRDefault="00D664CB" w:rsidP="00D664CB">
            <w:pPr>
              <w:spacing w:before="0" w:after="0"/>
              <w:jc w:val="center"/>
              <w:rPr>
                <w:b/>
                <w:noProof/>
                <w:color w:val="000000"/>
                <w:sz w:val="18"/>
              </w:rPr>
            </w:pPr>
            <w:r w:rsidRPr="00D91062">
              <w:rPr>
                <w:b/>
                <w:noProof/>
                <w:color w:val="000000"/>
                <w:sz w:val="18"/>
              </w:rPr>
              <w:t>2030</w:t>
            </w:r>
          </w:p>
        </w:tc>
        <w:tc>
          <w:tcPr>
            <w:tcW w:w="504" w:type="pct"/>
            <w:tcBorders>
              <w:top w:val="nil"/>
              <w:left w:val="nil"/>
              <w:bottom w:val="single" w:sz="8" w:space="0" w:color="auto"/>
              <w:right w:val="single" w:sz="8" w:space="0" w:color="auto"/>
            </w:tcBorders>
            <w:vAlign w:val="center"/>
            <w:hideMark/>
          </w:tcPr>
          <w:p w14:paraId="5F326926" w14:textId="77777777" w:rsidR="00D664CB" w:rsidRPr="00D91062" w:rsidRDefault="00D664CB" w:rsidP="00D664CB">
            <w:pPr>
              <w:spacing w:before="0" w:after="0"/>
              <w:jc w:val="center"/>
              <w:rPr>
                <w:b/>
                <w:noProof/>
                <w:color w:val="000000"/>
                <w:sz w:val="18"/>
              </w:rPr>
            </w:pPr>
            <w:r w:rsidRPr="00D91062">
              <w:rPr>
                <w:b/>
                <w:noProof/>
                <w:color w:val="000000"/>
                <w:sz w:val="18"/>
              </w:rPr>
              <w:t>2031</w:t>
            </w:r>
          </w:p>
        </w:tc>
        <w:tc>
          <w:tcPr>
            <w:tcW w:w="504" w:type="pct"/>
            <w:tcBorders>
              <w:top w:val="single" w:sz="8" w:space="0" w:color="auto"/>
              <w:left w:val="single" w:sz="8" w:space="0" w:color="auto"/>
              <w:bottom w:val="single" w:sz="8" w:space="0" w:color="auto"/>
              <w:right w:val="single" w:sz="8" w:space="0" w:color="auto"/>
            </w:tcBorders>
            <w:vAlign w:val="center"/>
          </w:tcPr>
          <w:p w14:paraId="2BF8C03B" w14:textId="77777777" w:rsidR="00D664CB" w:rsidRPr="00D91062" w:rsidRDefault="00D664CB" w:rsidP="00D664CB">
            <w:pPr>
              <w:spacing w:before="0" w:after="0"/>
              <w:jc w:val="center"/>
              <w:rPr>
                <w:b/>
                <w:noProof/>
                <w:color w:val="000000"/>
                <w:sz w:val="18"/>
              </w:rPr>
            </w:pPr>
            <w:r w:rsidRPr="00D91062">
              <w:rPr>
                <w:b/>
                <w:noProof/>
                <w:color w:val="000000"/>
                <w:sz w:val="18"/>
              </w:rPr>
              <w:t>2032</w:t>
            </w:r>
          </w:p>
        </w:tc>
        <w:tc>
          <w:tcPr>
            <w:tcW w:w="504" w:type="pct"/>
            <w:tcBorders>
              <w:top w:val="single" w:sz="8" w:space="0" w:color="auto"/>
              <w:left w:val="single" w:sz="8" w:space="0" w:color="auto"/>
              <w:bottom w:val="single" w:sz="8" w:space="0" w:color="auto"/>
              <w:right w:val="single" w:sz="8" w:space="0" w:color="auto"/>
            </w:tcBorders>
            <w:vAlign w:val="center"/>
          </w:tcPr>
          <w:p w14:paraId="00F360B8" w14:textId="77777777" w:rsidR="00D664CB" w:rsidRPr="00D91062" w:rsidRDefault="00D664CB" w:rsidP="00D664CB">
            <w:pPr>
              <w:spacing w:before="0" w:after="0"/>
              <w:jc w:val="center"/>
              <w:rPr>
                <w:b/>
                <w:noProof/>
                <w:color w:val="000000"/>
                <w:sz w:val="18"/>
              </w:rPr>
            </w:pPr>
            <w:r w:rsidRPr="00D91062">
              <w:rPr>
                <w:b/>
                <w:noProof/>
                <w:color w:val="000000"/>
                <w:sz w:val="18"/>
              </w:rPr>
              <w:t>2033</w:t>
            </w:r>
          </w:p>
        </w:tc>
        <w:tc>
          <w:tcPr>
            <w:tcW w:w="504" w:type="pct"/>
            <w:tcBorders>
              <w:top w:val="single" w:sz="8" w:space="0" w:color="auto"/>
              <w:left w:val="single" w:sz="8" w:space="0" w:color="auto"/>
              <w:bottom w:val="single" w:sz="8" w:space="0" w:color="auto"/>
              <w:right w:val="single" w:sz="8" w:space="0" w:color="auto"/>
            </w:tcBorders>
            <w:vAlign w:val="center"/>
          </w:tcPr>
          <w:p w14:paraId="13D218B0" w14:textId="77777777" w:rsidR="00D664CB" w:rsidRPr="00D91062" w:rsidRDefault="00D664CB" w:rsidP="00D664CB">
            <w:pPr>
              <w:spacing w:before="0" w:after="0"/>
              <w:jc w:val="center"/>
              <w:rPr>
                <w:b/>
                <w:noProof/>
                <w:color w:val="000000"/>
                <w:sz w:val="18"/>
              </w:rPr>
            </w:pPr>
            <w:r w:rsidRPr="00D91062">
              <w:rPr>
                <w:b/>
                <w:noProof/>
                <w:color w:val="000000"/>
                <w:sz w:val="18"/>
              </w:rPr>
              <w:t>2034</w:t>
            </w:r>
          </w:p>
        </w:tc>
        <w:tc>
          <w:tcPr>
            <w:tcW w:w="544" w:type="pct"/>
            <w:vMerge/>
            <w:vAlign w:val="center"/>
            <w:hideMark/>
          </w:tcPr>
          <w:p w14:paraId="7E09C0FF" w14:textId="77777777" w:rsidR="00D664CB" w:rsidRPr="00D91062" w:rsidRDefault="00D664CB" w:rsidP="00D664CB">
            <w:pPr>
              <w:spacing w:before="0" w:after="0"/>
              <w:jc w:val="left"/>
              <w:rPr>
                <w:b/>
                <w:noProof/>
                <w:color w:val="000000"/>
                <w:sz w:val="18"/>
              </w:rPr>
            </w:pPr>
          </w:p>
        </w:tc>
      </w:tr>
      <w:tr w:rsidR="00D664CB" w:rsidRPr="00D91062" w14:paraId="68744682" w14:textId="77777777" w:rsidTr="00A2361B">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7E46428E" w14:textId="77777777" w:rsidR="00D664CB" w:rsidRPr="00D91062" w:rsidRDefault="00D664CB" w:rsidP="00D664CB">
            <w:pPr>
              <w:spacing w:before="0" w:after="0"/>
              <w:jc w:val="center"/>
              <w:rPr>
                <w:b/>
                <w:noProof/>
                <w:sz w:val="16"/>
              </w:rPr>
            </w:pPr>
            <w:r w:rsidRPr="00D91062">
              <w:rPr>
                <w:b/>
                <w:noProof/>
                <w:sz w:val="16"/>
              </w:rPr>
              <w:t>RUBRICA 4</w:t>
            </w:r>
          </w:p>
        </w:tc>
      </w:tr>
      <w:tr w:rsidR="00D664CB" w:rsidRPr="00D91062" w14:paraId="720F8506" w14:textId="77777777" w:rsidTr="00A2361B">
        <w:trPr>
          <w:trHeight w:val="300"/>
        </w:trPr>
        <w:tc>
          <w:tcPr>
            <w:tcW w:w="1122" w:type="pct"/>
            <w:tcBorders>
              <w:top w:val="nil"/>
              <w:left w:val="single" w:sz="8" w:space="0" w:color="auto"/>
              <w:bottom w:val="single" w:sz="8" w:space="0" w:color="auto"/>
              <w:right w:val="single" w:sz="8" w:space="0" w:color="auto"/>
            </w:tcBorders>
            <w:vAlign w:val="center"/>
            <w:hideMark/>
          </w:tcPr>
          <w:p w14:paraId="4FC1CC0E" w14:textId="77777777" w:rsidR="00D664CB" w:rsidRPr="00D91062" w:rsidRDefault="00D664CB" w:rsidP="00D664CB">
            <w:pPr>
              <w:spacing w:before="0" w:after="0"/>
              <w:jc w:val="left"/>
              <w:rPr>
                <w:noProof/>
                <w:color w:val="000000"/>
                <w:sz w:val="16"/>
                <w:szCs w:val="16"/>
              </w:rPr>
            </w:pPr>
            <w:r w:rsidRPr="00D91062">
              <w:rPr>
                <w:noProof/>
                <w:color w:val="000000" w:themeColor="text1"/>
                <w:sz w:val="16"/>
              </w:rPr>
              <w:t xml:space="preserve">Resurse umane </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14:paraId="58BE2554" w14:textId="77777777" w:rsidR="00D664CB" w:rsidRPr="00D91062" w:rsidRDefault="00D664CB" w:rsidP="00D664CB">
            <w:pPr>
              <w:spacing w:before="0" w:after="0"/>
              <w:jc w:val="right"/>
              <w:rPr>
                <w:noProof/>
                <w:color w:val="000000"/>
                <w:sz w:val="16"/>
                <w:szCs w:val="16"/>
              </w:rPr>
            </w:pPr>
            <w:r w:rsidRPr="00D91062">
              <w:rPr>
                <w:noProof/>
                <w:color w:val="000000" w:themeColor="text1"/>
                <w:sz w:val="16"/>
              </w:rPr>
              <w:t>1,479</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14:paraId="11AAE51B" w14:textId="77777777" w:rsidR="00D664CB" w:rsidRPr="00D91062" w:rsidRDefault="00D664CB" w:rsidP="00D664CB">
            <w:pPr>
              <w:spacing w:before="0" w:after="0"/>
              <w:jc w:val="right"/>
              <w:rPr>
                <w:noProof/>
                <w:color w:val="000000"/>
                <w:sz w:val="16"/>
                <w:szCs w:val="16"/>
              </w:rPr>
            </w:pPr>
            <w:r w:rsidRPr="00D91062">
              <w:rPr>
                <w:noProof/>
                <w:color w:val="000000" w:themeColor="text1"/>
                <w:sz w:val="16"/>
              </w:rPr>
              <w:t>1,479</w:t>
            </w:r>
          </w:p>
        </w:tc>
        <w:tc>
          <w:tcPr>
            <w:tcW w:w="310" w:type="pct"/>
            <w:tcBorders>
              <w:top w:val="nil"/>
              <w:left w:val="nil"/>
              <w:bottom w:val="single" w:sz="8" w:space="0" w:color="auto"/>
              <w:right w:val="single" w:sz="8" w:space="0" w:color="auto"/>
            </w:tcBorders>
            <w:shd w:val="clear" w:color="auto" w:fill="D9D9D9" w:themeFill="background1" w:themeFillShade="D9"/>
            <w:vAlign w:val="center"/>
            <w:hideMark/>
          </w:tcPr>
          <w:p w14:paraId="6423EB43" w14:textId="77777777" w:rsidR="00D664CB" w:rsidRPr="00D91062" w:rsidRDefault="00D664CB" w:rsidP="00D664CB">
            <w:pPr>
              <w:spacing w:before="0" w:after="0"/>
              <w:jc w:val="right"/>
              <w:rPr>
                <w:noProof/>
                <w:color w:val="000000"/>
                <w:sz w:val="16"/>
                <w:szCs w:val="16"/>
              </w:rPr>
            </w:pPr>
            <w:r w:rsidRPr="00D91062">
              <w:rPr>
                <w:noProof/>
                <w:color w:val="000000" w:themeColor="text1"/>
                <w:sz w:val="16"/>
              </w:rPr>
              <w:t>1,479</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14:paraId="51055ADB" w14:textId="77777777" w:rsidR="00D664CB" w:rsidRPr="00D91062" w:rsidRDefault="00D664CB" w:rsidP="00D664CB">
            <w:pPr>
              <w:spacing w:before="0" w:after="0"/>
              <w:jc w:val="right"/>
              <w:rPr>
                <w:noProof/>
                <w:color w:val="000000"/>
                <w:sz w:val="16"/>
                <w:szCs w:val="16"/>
              </w:rPr>
            </w:pPr>
            <w:r w:rsidRPr="00D91062">
              <w:rPr>
                <w:noProof/>
                <w:color w:val="000000" w:themeColor="text1"/>
                <w:sz w:val="16"/>
              </w:rPr>
              <w:t>1,479</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557B6484" w14:textId="77777777" w:rsidR="00D664CB" w:rsidRPr="00D91062" w:rsidRDefault="00D664CB" w:rsidP="00D664CB">
            <w:pPr>
              <w:spacing w:before="0" w:after="0"/>
              <w:jc w:val="center"/>
              <w:rPr>
                <w:noProof/>
                <w:color w:val="000000"/>
                <w:sz w:val="16"/>
                <w:szCs w:val="16"/>
              </w:rPr>
            </w:pPr>
            <w:r w:rsidRPr="00D91062">
              <w:rPr>
                <w:noProof/>
                <w:color w:val="000000" w:themeColor="text1"/>
                <w:sz w:val="16"/>
              </w:rPr>
              <w:t>1,479</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79CBF770" w14:textId="77777777" w:rsidR="00D664CB" w:rsidRPr="00D91062" w:rsidRDefault="00D664CB" w:rsidP="00D664CB">
            <w:pPr>
              <w:spacing w:before="0" w:after="0"/>
              <w:jc w:val="center"/>
              <w:rPr>
                <w:noProof/>
                <w:color w:val="000000"/>
                <w:sz w:val="16"/>
                <w:szCs w:val="16"/>
              </w:rPr>
            </w:pPr>
            <w:r w:rsidRPr="00D91062">
              <w:rPr>
                <w:noProof/>
                <w:color w:val="000000" w:themeColor="text1"/>
                <w:sz w:val="16"/>
              </w:rPr>
              <w:t>1,479</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20E07B93" w14:textId="77777777" w:rsidR="00D664CB" w:rsidRPr="00D91062" w:rsidRDefault="00D664CB" w:rsidP="00D664CB">
            <w:pPr>
              <w:spacing w:before="0" w:after="0"/>
              <w:jc w:val="center"/>
              <w:rPr>
                <w:noProof/>
                <w:color w:val="000000"/>
                <w:sz w:val="16"/>
                <w:szCs w:val="16"/>
              </w:rPr>
            </w:pPr>
            <w:r w:rsidRPr="00D91062">
              <w:rPr>
                <w:noProof/>
                <w:color w:val="000000" w:themeColor="text1"/>
                <w:sz w:val="16"/>
              </w:rPr>
              <w:t>1,479</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5EF181DB" w14:textId="77777777" w:rsidR="00D664CB" w:rsidRPr="00D91062" w:rsidRDefault="00D664CB" w:rsidP="00D664CB">
            <w:pPr>
              <w:spacing w:before="0" w:after="0"/>
              <w:jc w:val="right"/>
              <w:rPr>
                <w:b/>
                <w:bCs/>
                <w:noProof/>
                <w:color w:val="000000"/>
                <w:sz w:val="16"/>
                <w:szCs w:val="16"/>
              </w:rPr>
            </w:pPr>
            <w:r w:rsidRPr="00D91062">
              <w:rPr>
                <w:b/>
                <w:noProof/>
                <w:color w:val="000000" w:themeColor="text1"/>
                <w:sz w:val="16"/>
              </w:rPr>
              <w:t>10,353</w:t>
            </w:r>
          </w:p>
        </w:tc>
      </w:tr>
      <w:tr w:rsidR="00D664CB" w:rsidRPr="00D91062" w14:paraId="7E614F31" w14:textId="77777777" w:rsidTr="00A2361B">
        <w:trPr>
          <w:trHeight w:val="300"/>
        </w:trPr>
        <w:tc>
          <w:tcPr>
            <w:tcW w:w="1122" w:type="pct"/>
            <w:tcBorders>
              <w:top w:val="nil"/>
              <w:left w:val="single" w:sz="8" w:space="0" w:color="auto"/>
              <w:bottom w:val="single" w:sz="8" w:space="0" w:color="auto"/>
              <w:right w:val="single" w:sz="8" w:space="0" w:color="auto"/>
            </w:tcBorders>
            <w:vAlign w:val="center"/>
            <w:hideMark/>
          </w:tcPr>
          <w:p w14:paraId="586F288C" w14:textId="77777777" w:rsidR="00D664CB" w:rsidRPr="00D91062" w:rsidRDefault="00D664CB" w:rsidP="00D664CB">
            <w:pPr>
              <w:spacing w:before="0" w:after="0"/>
              <w:jc w:val="left"/>
              <w:rPr>
                <w:noProof/>
                <w:color w:val="000000"/>
                <w:sz w:val="16"/>
              </w:rPr>
            </w:pPr>
            <w:r w:rsidRPr="00D91062">
              <w:rPr>
                <w:noProof/>
                <w:color w:val="000000"/>
                <w:sz w:val="16"/>
              </w:rPr>
              <w:t xml:space="preserve">Alte cheltuieli administrative </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14:paraId="3B7355F5" w14:textId="77777777" w:rsidR="00D664CB" w:rsidRPr="00D91062" w:rsidRDefault="00D664CB" w:rsidP="00D664CB">
            <w:pPr>
              <w:spacing w:before="0" w:after="0"/>
              <w:jc w:val="right"/>
              <w:rPr>
                <w:noProof/>
                <w:color w:val="000000"/>
                <w:sz w:val="16"/>
                <w:szCs w:val="16"/>
              </w:rPr>
            </w:pPr>
            <w:r w:rsidRPr="00D91062">
              <w:rPr>
                <w:noProof/>
                <w:color w:val="000000" w:themeColor="text1"/>
                <w:sz w:val="16"/>
              </w:rPr>
              <w:t>0,062</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14:paraId="52B55C56" w14:textId="77777777" w:rsidR="00D664CB" w:rsidRPr="00D91062" w:rsidRDefault="00D664CB" w:rsidP="00D664CB">
            <w:pPr>
              <w:spacing w:before="0" w:after="0"/>
              <w:jc w:val="right"/>
              <w:rPr>
                <w:noProof/>
                <w:color w:val="000000"/>
                <w:sz w:val="16"/>
                <w:szCs w:val="16"/>
              </w:rPr>
            </w:pPr>
            <w:r w:rsidRPr="00D91062">
              <w:rPr>
                <w:noProof/>
                <w:color w:val="000000" w:themeColor="text1"/>
                <w:sz w:val="16"/>
              </w:rPr>
              <w:t>0,062</w:t>
            </w:r>
          </w:p>
        </w:tc>
        <w:tc>
          <w:tcPr>
            <w:tcW w:w="310" w:type="pct"/>
            <w:tcBorders>
              <w:top w:val="nil"/>
              <w:left w:val="nil"/>
              <w:bottom w:val="single" w:sz="8" w:space="0" w:color="auto"/>
              <w:right w:val="single" w:sz="8" w:space="0" w:color="auto"/>
            </w:tcBorders>
            <w:shd w:val="clear" w:color="auto" w:fill="D9D9D9" w:themeFill="background1" w:themeFillShade="D9"/>
            <w:vAlign w:val="center"/>
            <w:hideMark/>
          </w:tcPr>
          <w:p w14:paraId="12A44243" w14:textId="77777777" w:rsidR="00D664CB" w:rsidRPr="00D91062" w:rsidRDefault="00D664CB" w:rsidP="00D664CB">
            <w:pPr>
              <w:spacing w:before="0" w:after="0"/>
              <w:jc w:val="right"/>
              <w:rPr>
                <w:noProof/>
                <w:color w:val="000000"/>
                <w:sz w:val="16"/>
                <w:szCs w:val="16"/>
              </w:rPr>
            </w:pPr>
            <w:r w:rsidRPr="00D91062">
              <w:rPr>
                <w:noProof/>
                <w:color w:val="000000" w:themeColor="text1"/>
                <w:sz w:val="16"/>
              </w:rPr>
              <w:t xml:space="preserve">0,021 </w:t>
            </w:r>
          </w:p>
        </w:tc>
        <w:tc>
          <w:tcPr>
            <w:tcW w:w="504" w:type="pct"/>
            <w:tcBorders>
              <w:top w:val="nil"/>
              <w:left w:val="nil"/>
              <w:bottom w:val="single" w:sz="8" w:space="0" w:color="auto"/>
              <w:right w:val="single" w:sz="8" w:space="0" w:color="auto"/>
            </w:tcBorders>
            <w:shd w:val="clear" w:color="auto" w:fill="D9D9D9" w:themeFill="background1" w:themeFillShade="D9"/>
            <w:vAlign w:val="center"/>
            <w:hideMark/>
          </w:tcPr>
          <w:p w14:paraId="428EB0D9" w14:textId="77777777" w:rsidR="00D664CB" w:rsidRPr="00D91062" w:rsidRDefault="00D664CB" w:rsidP="00D664CB">
            <w:pPr>
              <w:spacing w:before="0" w:after="0"/>
              <w:jc w:val="right"/>
              <w:rPr>
                <w:noProof/>
                <w:color w:val="000000"/>
                <w:sz w:val="16"/>
                <w:szCs w:val="16"/>
              </w:rPr>
            </w:pPr>
            <w:r w:rsidRPr="00D91062">
              <w:rPr>
                <w:noProof/>
                <w:color w:val="000000" w:themeColor="text1"/>
                <w:sz w:val="16"/>
              </w:rPr>
              <w:t xml:space="preserve">0,021 </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77234A9F" w14:textId="77777777" w:rsidR="00D664CB" w:rsidRPr="00D91062" w:rsidRDefault="00D664CB" w:rsidP="00D664CB">
            <w:pPr>
              <w:spacing w:before="0" w:after="0"/>
              <w:jc w:val="center"/>
              <w:rPr>
                <w:b/>
                <w:noProof/>
                <w:color w:val="000000"/>
                <w:sz w:val="16"/>
                <w:szCs w:val="16"/>
              </w:rPr>
            </w:pPr>
            <w:r w:rsidRPr="00D91062">
              <w:rPr>
                <w:noProof/>
                <w:color w:val="000000" w:themeColor="text1"/>
                <w:sz w:val="16"/>
              </w:rPr>
              <w:t xml:space="preserve">0,021 </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1FF2B524" w14:textId="77777777" w:rsidR="00D664CB" w:rsidRPr="00D91062" w:rsidRDefault="00D664CB" w:rsidP="00D664CB">
            <w:pPr>
              <w:spacing w:before="0" w:after="0"/>
              <w:jc w:val="center"/>
              <w:rPr>
                <w:b/>
                <w:noProof/>
                <w:color w:val="000000"/>
                <w:sz w:val="16"/>
                <w:szCs w:val="16"/>
              </w:rPr>
            </w:pPr>
            <w:r w:rsidRPr="00D91062">
              <w:rPr>
                <w:noProof/>
                <w:color w:val="000000" w:themeColor="text1"/>
                <w:sz w:val="16"/>
              </w:rPr>
              <w:t>0,021</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3D1BF7D3" w14:textId="77777777" w:rsidR="00D664CB" w:rsidRPr="00D91062" w:rsidRDefault="00D664CB" w:rsidP="00D664CB">
            <w:pPr>
              <w:spacing w:before="0" w:after="0"/>
              <w:jc w:val="center"/>
              <w:rPr>
                <w:b/>
                <w:noProof/>
                <w:color w:val="000000"/>
                <w:sz w:val="16"/>
                <w:szCs w:val="16"/>
              </w:rPr>
            </w:pPr>
            <w:r w:rsidRPr="00D91062">
              <w:rPr>
                <w:noProof/>
                <w:color w:val="000000" w:themeColor="text1"/>
                <w:sz w:val="16"/>
              </w:rPr>
              <w:t>0,021</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14:paraId="74FF3A02" w14:textId="77777777" w:rsidR="00D664CB" w:rsidRPr="00D91062" w:rsidRDefault="00D664CB" w:rsidP="00D664CB">
            <w:pPr>
              <w:spacing w:before="0" w:after="0"/>
              <w:jc w:val="right"/>
              <w:rPr>
                <w:b/>
                <w:bCs/>
                <w:noProof/>
                <w:color w:val="000000"/>
                <w:sz w:val="16"/>
                <w:szCs w:val="16"/>
              </w:rPr>
            </w:pPr>
            <w:r w:rsidRPr="00D91062">
              <w:rPr>
                <w:b/>
                <w:noProof/>
                <w:color w:val="000000" w:themeColor="text1"/>
                <w:sz w:val="16"/>
              </w:rPr>
              <w:t>0,229</w:t>
            </w:r>
          </w:p>
        </w:tc>
      </w:tr>
      <w:tr w:rsidR="00D664CB" w:rsidRPr="00D91062" w14:paraId="2F965DAC" w14:textId="77777777" w:rsidTr="00A2361B">
        <w:trPr>
          <w:trHeight w:val="300"/>
        </w:trPr>
        <w:tc>
          <w:tcPr>
            <w:tcW w:w="1122" w:type="pct"/>
            <w:tcBorders>
              <w:top w:val="nil"/>
              <w:left w:val="single" w:sz="8" w:space="0" w:color="auto"/>
              <w:bottom w:val="single" w:sz="8" w:space="0" w:color="auto"/>
              <w:right w:val="single" w:sz="8" w:space="0" w:color="auto"/>
            </w:tcBorders>
            <w:shd w:val="clear" w:color="auto" w:fill="CCCCCC"/>
            <w:vAlign w:val="center"/>
            <w:hideMark/>
          </w:tcPr>
          <w:p w14:paraId="7627FD5D" w14:textId="77777777" w:rsidR="00D664CB" w:rsidRPr="00D91062" w:rsidRDefault="00D664CB" w:rsidP="00D664CB">
            <w:pPr>
              <w:spacing w:before="0" w:after="0"/>
              <w:jc w:val="center"/>
              <w:rPr>
                <w:b/>
                <w:noProof/>
                <w:color w:val="000000"/>
                <w:sz w:val="16"/>
              </w:rPr>
            </w:pPr>
            <w:r w:rsidRPr="00D91062">
              <w:rPr>
                <w:b/>
                <w:noProof/>
                <w:color w:val="000000"/>
                <w:sz w:val="16"/>
              </w:rPr>
              <w:t>Subtotal de la RUBRICA 4</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772FCEA5" w14:textId="77777777" w:rsidR="00D664CB" w:rsidRPr="00D91062" w:rsidRDefault="00D664CB" w:rsidP="00D664CB">
            <w:pPr>
              <w:spacing w:before="0" w:after="0"/>
              <w:jc w:val="right"/>
              <w:rPr>
                <w:rFonts w:eastAsia="Calibri"/>
                <w:b/>
                <w:noProof/>
                <w:color w:val="000000"/>
                <w:sz w:val="16"/>
                <w:szCs w:val="16"/>
              </w:rPr>
            </w:pPr>
            <w:r w:rsidRPr="00D91062">
              <w:rPr>
                <w:b/>
                <w:noProof/>
                <w:color w:val="000000" w:themeColor="text1"/>
                <w:sz w:val="16"/>
              </w:rPr>
              <w:t>1,541</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00178582" w14:textId="77777777" w:rsidR="00D664CB" w:rsidRPr="00D91062" w:rsidRDefault="00D664CB" w:rsidP="00D664CB">
            <w:pPr>
              <w:spacing w:before="0" w:after="0"/>
              <w:jc w:val="right"/>
              <w:rPr>
                <w:rFonts w:eastAsia="Calibri"/>
                <w:b/>
                <w:noProof/>
                <w:color w:val="000000"/>
                <w:sz w:val="16"/>
                <w:szCs w:val="16"/>
              </w:rPr>
            </w:pPr>
            <w:r w:rsidRPr="00D91062">
              <w:rPr>
                <w:b/>
                <w:noProof/>
                <w:color w:val="000000" w:themeColor="text1"/>
                <w:sz w:val="16"/>
              </w:rPr>
              <w:t>1,541</w:t>
            </w:r>
          </w:p>
        </w:tc>
        <w:tc>
          <w:tcPr>
            <w:tcW w:w="310" w:type="pct"/>
            <w:tcBorders>
              <w:top w:val="nil"/>
              <w:left w:val="nil"/>
              <w:bottom w:val="single" w:sz="8" w:space="0" w:color="auto"/>
              <w:right w:val="single" w:sz="8" w:space="0" w:color="auto"/>
            </w:tcBorders>
            <w:shd w:val="clear" w:color="auto" w:fill="D9D9D9" w:themeFill="background1" w:themeFillShade="D9"/>
            <w:vAlign w:val="center"/>
          </w:tcPr>
          <w:p w14:paraId="21697F8E" w14:textId="77777777" w:rsidR="00D664CB" w:rsidRPr="00D91062" w:rsidRDefault="00D664CB" w:rsidP="00D664CB">
            <w:pPr>
              <w:spacing w:before="0" w:after="0"/>
              <w:jc w:val="right"/>
              <w:rPr>
                <w:rFonts w:eastAsia="Calibri"/>
                <w:b/>
                <w:noProof/>
                <w:color w:val="000000"/>
                <w:sz w:val="16"/>
                <w:szCs w:val="16"/>
              </w:rPr>
            </w:pPr>
            <w:r w:rsidRPr="00D91062">
              <w:rPr>
                <w:b/>
                <w:noProof/>
                <w:color w:val="000000" w:themeColor="text1"/>
                <w:sz w:val="16"/>
              </w:rPr>
              <w:t>1,500</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674F2E52" w14:textId="77777777" w:rsidR="00D664CB" w:rsidRPr="00D91062" w:rsidRDefault="00D664CB" w:rsidP="00D664CB">
            <w:pPr>
              <w:spacing w:before="0" w:after="0"/>
              <w:jc w:val="right"/>
              <w:rPr>
                <w:rFonts w:eastAsia="Calibri"/>
                <w:b/>
                <w:noProof/>
                <w:color w:val="000000"/>
                <w:sz w:val="16"/>
                <w:szCs w:val="16"/>
              </w:rPr>
            </w:pPr>
            <w:r w:rsidRPr="00D91062">
              <w:rPr>
                <w:b/>
                <w:noProof/>
                <w:color w:val="000000" w:themeColor="text1"/>
                <w:sz w:val="16"/>
              </w:rPr>
              <w:t>1,500</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63B0EF0E" w14:textId="77777777" w:rsidR="00D664CB" w:rsidRPr="00D91062" w:rsidRDefault="00D664CB" w:rsidP="00D664CB">
            <w:pPr>
              <w:spacing w:before="0" w:after="0"/>
              <w:jc w:val="center"/>
              <w:rPr>
                <w:rFonts w:eastAsia="Calibri"/>
                <w:b/>
                <w:noProof/>
                <w:color w:val="000000"/>
                <w:sz w:val="16"/>
                <w:szCs w:val="16"/>
              </w:rPr>
            </w:pPr>
            <w:r w:rsidRPr="00D91062">
              <w:rPr>
                <w:b/>
                <w:noProof/>
                <w:color w:val="000000" w:themeColor="text1"/>
                <w:sz w:val="16"/>
              </w:rPr>
              <w:t>1,500</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15CFE22D" w14:textId="77777777" w:rsidR="00D664CB" w:rsidRPr="00D91062" w:rsidRDefault="00D664CB" w:rsidP="00D664CB">
            <w:pPr>
              <w:spacing w:before="0" w:after="0"/>
              <w:jc w:val="center"/>
              <w:rPr>
                <w:rFonts w:eastAsia="Calibri"/>
                <w:b/>
                <w:noProof/>
                <w:color w:val="000000"/>
                <w:sz w:val="16"/>
                <w:szCs w:val="16"/>
              </w:rPr>
            </w:pPr>
            <w:r w:rsidRPr="00D91062">
              <w:rPr>
                <w:b/>
                <w:noProof/>
                <w:color w:val="000000" w:themeColor="text1"/>
                <w:sz w:val="16"/>
              </w:rPr>
              <w:t>1,500</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63249603" w14:textId="77777777" w:rsidR="00D664CB" w:rsidRPr="00D91062" w:rsidRDefault="00D664CB" w:rsidP="00D664CB">
            <w:pPr>
              <w:spacing w:before="0" w:after="0"/>
              <w:jc w:val="center"/>
              <w:rPr>
                <w:rFonts w:eastAsia="Calibri"/>
                <w:b/>
                <w:noProof/>
                <w:color w:val="000000"/>
                <w:sz w:val="16"/>
                <w:szCs w:val="16"/>
              </w:rPr>
            </w:pPr>
            <w:r w:rsidRPr="00D91062">
              <w:rPr>
                <w:b/>
                <w:noProof/>
                <w:color w:val="000000" w:themeColor="text1"/>
                <w:sz w:val="16"/>
              </w:rPr>
              <w:t>1,500</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tcPr>
          <w:p w14:paraId="0D9BDDBD" w14:textId="77777777" w:rsidR="00D664CB" w:rsidRPr="00D91062" w:rsidRDefault="00D664CB" w:rsidP="00D664CB">
            <w:pPr>
              <w:spacing w:before="0" w:after="0"/>
              <w:jc w:val="right"/>
              <w:rPr>
                <w:rFonts w:eastAsia="Calibri"/>
                <w:b/>
                <w:bCs/>
                <w:noProof/>
                <w:color w:val="000000"/>
                <w:sz w:val="16"/>
                <w:szCs w:val="16"/>
              </w:rPr>
            </w:pPr>
            <w:r w:rsidRPr="00D91062">
              <w:rPr>
                <w:b/>
                <w:noProof/>
                <w:color w:val="000000" w:themeColor="text1"/>
                <w:sz w:val="16"/>
              </w:rPr>
              <w:t>10,582</w:t>
            </w:r>
          </w:p>
        </w:tc>
      </w:tr>
      <w:tr w:rsidR="00D664CB" w:rsidRPr="00D91062" w14:paraId="76BEC524" w14:textId="77777777" w:rsidTr="00A2361B">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14:paraId="36946A4C" w14:textId="77777777" w:rsidR="00D664CB" w:rsidRPr="00D91062" w:rsidRDefault="00D664CB" w:rsidP="00D664CB">
            <w:pPr>
              <w:spacing w:before="0" w:after="0"/>
              <w:jc w:val="center"/>
              <w:rPr>
                <w:b/>
                <w:noProof/>
                <w:sz w:val="16"/>
              </w:rPr>
            </w:pPr>
          </w:p>
        </w:tc>
      </w:tr>
      <w:tr w:rsidR="00D664CB" w:rsidRPr="00D91062" w14:paraId="3269E5B8" w14:textId="77777777" w:rsidTr="00A2361B">
        <w:trPr>
          <w:trHeight w:val="300"/>
        </w:trPr>
        <w:tc>
          <w:tcPr>
            <w:tcW w:w="1122" w:type="pct"/>
            <w:tcBorders>
              <w:top w:val="nil"/>
              <w:left w:val="single" w:sz="8" w:space="0" w:color="auto"/>
              <w:bottom w:val="single" w:sz="8" w:space="0" w:color="auto"/>
              <w:right w:val="single" w:sz="8" w:space="0" w:color="auto"/>
            </w:tcBorders>
            <w:vAlign w:val="center"/>
            <w:hideMark/>
          </w:tcPr>
          <w:p w14:paraId="0F9DE6A0" w14:textId="77777777" w:rsidR="00D664CB" w:rsidRPr="00D91062" w:rsidRDefault="00D664CB" w:rsidP="00D664CB">
            <w:pPr>
              <w:spacing w:before="0" w:after="0"/>
              <w:jc w:val="left"/>
              <w:rPr>
                <w:noProof/>
                <w:color w:val="000000"/>
                <w:sz w:val="16"/>
              </w:rPr>
            </w:pPr>
            <w:r w:rsidRPr="00D91062">
              <w:rPr>
                <w:noProof/>
                <w:color w:val="000000"/>
                <w:sz w:val="16"/>
              </w:rPr>
              <w:t xml:space="preserve">Resurse umane </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37A53502" w14:textId="77777777" w:rsidR="00D664CB" w:rsidRPr="00D91062" w:rsidRDefault="00D664CB" w:rsidP="00D664CB">
            <w:pPr>
              <w:spacing w:before="0" w:after="0"/>
              <w:jc w:val="right"/>
              <w:rPr>
                <w:noProof/>
                <w:color w:val="000000"/>
                <w:sz w:val="16"/>
              </w:rPr>
            </w:pPr>
            <w:r w:rsidRPr="00D91062">
              <w:rPr>
                <w:noProof/>
                <w:color w:val="000000"/>
                <w:sz w:val="16"/>
              </w:rPr>
              <w:t>0,000</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57EF5FFF" w14:textId="77777777" w:rsidR="00D664CB" w:rsidRPr="00D91062" w:rsidRDefault="00D664CB" w:rsidP="00D664CB">
            <w:pPr>
              <w:spacing w:before="0" w:after="0"/>
              <w:jc w:val="right"/>
              <w:rPr>
                <w:noProof/>
                <w:color w:val="000000"/>
                <w:sz w:val="16"/>
              </w:rPr>
            </w:pPr>
            <w:r w:rsidRPr="00D91062">
              <w:rPr>
                <w:noProof/>
                <w:color w:val="000000"/>
                <w:sz w:val="16"/>
              </w:rPr>
              <w:t>0,000</w:t>
            </w:r>
          </w:p>
        </w:tc>
        <w:tc>
          <w:tcPr>
            <w:tcW w:w="310" w:type="pct"/>
            <w:tcBorders>
              <w:top w:val="nil"/>
              <w:left w:val="nil"/>
              <w:bottom w:val="single" w:sz="8" w:space="0" w:color="auto"/>
              <w:right w:val="single" w:sz="8" w:space="0" w:color="auto"/>
            </w:tcBorders>
            <w:shd w:val="clear" w:color="auto" w:fill="D9D9D9" w:themeFill="background1" w:themeFillShade="D9"/>
            <w:vAlign w:val="center"/>
          </w:tcPr>
          <w:p w14:paraId="1542A46A" w14:textId="77777777" w:rsidR="00D664CB" w:rsidRPr="00D91062" w:rsidRDefault="00D664CB" w:rsidP="00D664CB">
            <w:pPr>
              <w:spacing w:before="0" w:after="0"/>
              <w:jc w:val="right"/>
              <w:rPr>
                <w:noProof/>
                <w:color w:val="000000"/>
                <w:sz w:val="16"/>
              </w:rPr>
            </w:pPr>
            <w:r w:rsidRPr="00D91062">
              <w:rPr>
                <w:noProof/>
                <w:color w:val="000000"/>
                <w:sz w:val="16"/>
              </w:rPr>
              <w:t>0,000</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38AA23C4" w14:textId="77777777" w:rsidR="00D664CB" w:rsidRPr="00D91062" w:rsidRDefault="00D664CB" w:rsidP="00D664CB">
            <w:pPr>
              <w:spacing w:before="0" w:after="0"/>
              <w:jc w:val="right"/>
              <w:rPr>
                <w:noProof/>
                <w:color w:val="000000"/>
                <w:sz w:val="16"/>
              </w:rPr>
            </w:pPr>
            <w:r w:rsidRPr="00D91062">
              <w:rPr>
                <w:noProof/>
                <w:color w:val="000000"/>
                <w:sz w:val="16"/>
              </w:rPr>
              <w:t>0,000</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722AE4F3" w14:textId="77777777" w:rsidR="00D664CB" w:rsidRPr="00D91062" w:rsidRDefault="00D664CB" w:rsidP="00D664CB">
            <w:pPr>
              <w:spacing w:before="0" w:after="0"/>
              <w:jc w:val="center"/>
              <w:rPr>
                <w:b/>
                <w:noProof/>
                <w:color w:val="000000"/>
                <w:sz w:val="16"/>
              </w:rPr>
            </w:pPr>
            <w:r w:rsidRPr="00D91062">
              <w:rPr>
                <w:noProof/>
                <w:color w:val="000000"/>
                <w:sz w:val="16"/>
              </w:rPr>
              <w:t>0,000</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729E3ACE" w14:textId="77777777" w:rsidR="00D664CB" w:rsidRPr="00D91062" w:rsidRDefault="00D664CB" w:rsidP="00D664CB">
            <w:pPr>
              <w:spacing w:before="0" w:after="0"/>
              <w:jc w:val="center"/>
              <w:rPr>
                <w:b/>
                <w:noProof/>
                <w:color w:val="000000"/>
                <w:sz w:val="16"/>
              </w:rPr>
            </w:pPr>
            <w:r w:rsidRPr="00D91062">
              <w:rPr>
                <w:noProof/>
                <w:color w:val="000000"/>
                <w:sz w:val="16"/>
              </w:rPr>
              <w:t>0,000</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3B42ECD8" w14:textId="77777777" w:rsidR="00D664CB" w:rsidRPr="00D91062" w:rsidRDefault="00D664CB" w:rsidP="00D664CB">
            <w:pPr>
              <w:spacing w:before="0" w:after="0"/>
              <w:jc w:val="center"/>
              <w:rPr>
                <w:b/>
                <w:noProof/>
                <w:color w:val="000000"/>
                <w:sz w:val="16"/>
              </w:rPr>
            </w:pPr>
            <w:r w:rsidRPr="00D91062">
              <w:rPr>
                <w:noProof/>
                <w:color w:val="000000"/>
                <w:sz w:val="16"/>
              </w:rPr>
              <w:t>0,000</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tcPr>
          <w:p w14:paraId="1184E5A0" w14:textId="77777777" w:rsidR="00D664CB" w:rsidRPr="00D91062" w:rsidRDefault="00D664CB" w:rsidP="00D664CB">
            <w:pPr>
              <w:spacing w:before="0" w:after="0"/>
              <w:jc w:val="right"/>
              <w:rPr>
                <w:b/>
                <w:noProof/>
                <w:color w:val="000000"/>
                <w:sz w:val="16"/>
              </w:rPr>
            </w:pPr>
            <w:r w:rsidRPr="00D91062">
              <w:rPr>
                <w:b/>
                <w:noProof/>
                <w:color w:val="000000"/>
                <w:sz w:val="16"/>
              </w:rPr>
              <w:t>0,000</w:t>
            </w:r>
          </w:p>
        </w:tc>
      </w:tr>
      <w:tr w:rsidR="00D664CB" w:rsidRPr="00D91062" w14:paraId="66A65365" w14:textId="77777777" w:rsidTr="00A2361B">
        <w:trPr>
          <w:trHeight w:val="300"/>
        </w:trPr>
        <w:tc>
          <w:tcPr>
            <w:tcW w:w="1122" w:type="pct"/>
            <w:tcBorders>
              <w:top w:val="nil"/>
              <w:left w:val="single" w:sz="8" w:space="0" w:color="auto"/>
              <w:bottom w:val="single" w:sz="8" w:space="0" w:color="auto"/>
              <w:right w:val="single" w:sz="8" w:space="0" w:color="auto"/>
            </w:tcBorders>
            <w:vAlign w:val="center"/>
            <w:hideMark/>
          </w:tcPr>
          <w:p w14:paraId="239E9F55" w14:textId="77777777" w:rsidR="00D664CB" w:rsidRPr="00D91062" w:rsidRDefault="00D664CB" w:rsidP="00D664CB">
            <w:pPr>
              <w:spacing w:before="0" w:after="0"/>
              <w:jc w:val="left"/>
              <w:rPr>
                <w:noProof/>
                <w:color w:val="000000"/>
                <w:sz w:val="16"/>
              </w:rPr>
            </w:pPr>
            <w:r w:rsidRPr="00D91062">
              <w:rPr>
                <w:noProof/>
                <w:color w:val="000000"/>
                <w:sz w:val="16"/>
              </w:rPr>
              <w:t>Alte cheltuieli cu caracter administrativ</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17535167" w14:textId="77777777" w:rsidR="00D664CB" w:rsidRPr="00D91062" w:rsidRDefault="00D664CB" w:rsidP="00D664CB">
            <w:pPr>
              <w:spacing w:before="0" w:after="0"/>
              <w:jc w:val="right"/>
              <w:rPr>
                <w:noProof/>
                <w:color w:val="000000"/>
                <w:sz w:val="16"/>
              </w:rPr>
            </w:pPr>
            <w:r w:rsidRPr="00D91062">
              <w:rPr>
                <w:noProof/>
                <w:color w:val="000000"/>
                <w:sz w:val="16"/>
              </w:rPr>
              <w:t xml:space="preserve">0,000 </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7266A7DE" w14:textId="77777777" w:rsidR="00D664CB" w:rsidRPr="00D91062" w:rsidRDefault="00D664CB" w:rsidP="00D664CB">
            <w:pPr>
              <w:spacing w:before="0" w:after="0"/>
              <w:jc w:val="right"/>
              <w:rPr>
                <w:noProof/>
                <w:color w:val="000000"/>
                <w:sz w:val="16"/>
              </w:rPr>
            </w:pPr>
            <w:r w:rsidRPr="00D91062">
              <w:rPr>
                <w:noProof/>
                <w:color w:val="000000"/>
                <w:sz w:val="16"/>
              </w:rPr>
              <w:t>0,000</w:t>
            </w:r>
          </w:p>
        </w:tc>
        <w:tc>
          <w:tcPr>
            <w:tcW w:w="310" w:type="pct"/>
            <w:tcBorders>
              <w:top w:val="nil"/>
              <w:left w:val="nil"/>
              <w:bottom w:val="single" w:sz="8" w:space="0" w:color="auto"/>
              <w:right w:val="single" w:sz="8" w:space="0" w:color="auto"/>
            </w:tcBorders>
            <w:shd w:val="clear" w:color="auto" w:fill="D9D9D9" w:themeFill="background1" w:themeFillShade="D9"/>
            <w:vAlign w:val="center"/>
          </w:tcPr>
          <w:p w14:paraId="6742EC7A" w14:textId="77777777" w:rsidR="00D664CB" w:rsidRPr="00D91062" w:rsidRDefault="00D664CB" w:rsidP="00D664CB">
            <w:pPr>
              <w:spacing w:before="0" w:after="0"/>
              <w:jc w:val="right"/>
              <w:rPr>
                <w:noProof/>
                <w:color w:val="000000"/>
                <w:sz w:val="16"/>
              </w:rPr>
            </w:pPr>
            <w:r w:rsidRPr="00D91062">
              <w:rPr>
                <w:noProof/>
                <w:color w:val="000000"/>
                <w:sz w:val="16"/>
              </w:rPr>
              <w:t xml:space="preserve">0,000 </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0D76F5D7" w14:textId="77777777" w:rsidR="00D664CB" w:rsidRPr="00D91062" w:rsidRDefault="00D664CB" w:rsidP="00D664CB">
            <w:pPr>
              <w:spacing w:before="0" w:after="0"/>
              <w:jc w:val="right"/>
              <w:rPr>
                <w:noProof/>
                <w:color w:val="000000"/>
                <w:sz w:val="16"/>
              </w:rPr>
            </w:pPr>
            <w:r w:rsidRPr="00D91062">
              <w:rPr>
                <w:noProof/>
                <w:color w:val="000000"/>
                <w:sz w:val="16"/>
              </w:rPr>
              <w:t xml:space="preserve">0,000 </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27C1F3B4" w14:textId="77777777" w:rsidR="00D664CB" w:rsidRPr="00D91062" w:rsidRDefault="00D664CB" w:rsidP="00D664CB">
            <w:pPr>
              <w:spacing w:before="0" w:after="0"/>
              <w:jc w:val="center"/>
              <w:rPr>
                <w:b/>
                <w:noProof/>
                <w:color w:val="000000"/>
                <w:sz w:val="16"/>
              </w:rPr>
            </w:pPr>
            <w:r w:rsidRPr="00D91062">
              <w:rPr>
                <w:noProof/>
                <w:color w:val="000000"/>
                <w:sz w:val="16"/>
              </w:rPr>
              <w:t xml:space="preserve">0,000 </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56AEF584" w14:textId="77777777" w:rsidR="00D664CB" w:rsidRPr="00D91062" w:rsidRDefault="00D664CB" w:rsidP="00D664CB">
            <w:pPr>
              <w:spacing w:before="0" w:after="0"/>
              <w:jc w:val="center"/>
              <w:rPr>
                <w:b/>
                <w:noProof/>
                <w:color w:val="000000"/>
                <w:sz w:val="16"/>
              </w:rPr>
            </w:pPr>
            <w:r w:rsidRPr="00D91062">
              <w:rPr>
                <w:noProof/>
                <w:color w:val="000000"/>
                <w:sz w:val="16"/>
              </w:rPr>
              <w:t xml:space="preserve">0,000 </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110D9A7A" w14:textId="77777777" w:rsidR="00D664CB" w:rsidRPr="00D91062" w:rsidRDefault="00D664CB" w:rsidP="00D664CB">
            <w:pPr>
              <w:spacing w:before="0" w:after="0"/>
              <w:jc w:val="center"/>
              <w:rPr>
                <w:b/>
                <w:noProof/>
                <w:color w:val="000000"/>
                <w:sz w:val="16"/>
              </w:rPr>
            </w:pPr>
            <w:r w:rsidRPr="00D91062">
              <w:rPr>
                <w:noProof/>
                <w:color w:val="000000"/>
                <w:sz w:val="16"/>
              </w:rPr>
              <w:t xml:space="preserve">0,000 </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tcPr>
          <w:p w14:paraId="51EC05C6" w14:textId="77777777" w:rsidR="00D664CB" w:rsidRPr="00D91062" w:rsidRDefault="00D664CB" w:rsidP="00D664CB">
            <w:pPr>
              <w:spacing w:before="0" w:after="0"/>
              <w:jc w:val="right"/>
              <w:rPr>
                <w:b/>
                <w:noProof/>
                <w:color w:val="000000"/>
                <w:sz w:val="16"/>
              </w:rPr>
            </w:pPr>
            <w:r w:rsidRPr="00D91062">
              <w:rPr>
                <w:b/>
                <w:noProof/>
                <w:color w:val="000000"/>
                <w:sz w:val="16"/>
              </w:rPr>
              <w:t>0,000</w:t>
            </w:r>
          </w:p>
        </w:tc>
      </w:tr>
      <w:tr w:rsidR="00D664CB" w:rsidRPr="00D91062" w14:paraId="12A63E6D" w14:textId="77777777" w:rsidTr="00A2361B">
        <w:trPr>
          <w:trHeight w:val="300"/>
        </w:trPr>
        <w:tc>
          <w:tcPr>
            <w:tcW w:w="1122" w:type="pct"/>
            <w:tcBorders>
              <w:top w:val="nil"/>
              <w:left w:val="single" w:sz="8" w:space="0" w:color="auto"/>
              <w:bottom w:val="single" w:sz="8" w:space="0" w:color="auto"/>
              <w:right w:val="single" w:sz="8" w:space="0" w:color="auto"/>
            </w:tcBorders>
            <w:shd w:val="clear" w:color="auto" w:fill="CCCCCC"/>
            <w:vAlign w:val="center"/>
            <w:hideMark/>
          </w:tcPr>
          <w:p w14:paraId="15DA3B10" w14:textId="77777777" w:rsidR="00D664CB" w:rsidRPr="00D91062" w:rsidRDefault="00D664CB" w:rsidP="00D664CB">
            <w:pPr>
              <w:spacing w:before="0" w:after="0"/>
              <w:jc w:val="center"/>
              <w:rPr>
                <w:b/>
                <w:noProof/>
                <w:color w:val="000000"/>
                <w:sz w:val="16"/>
              </w:rPr>
            </w:pPr>
            <w:r w:rsidRPr="00D91062">
              <w:rPr>
                <w:b/>
                <w:noProof/>
                <w:color w:val="000000"/>
                <w:sz w:val="16"/>
              </w:rPr>
              <w:t>Subtotal în afara RUBRICII 4</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70188178" w14:textId="77777777" w:rsidR="00D664CB" w:rsidRPr="00D91062" w:rsidRDefault="00D664CB" w:rsidP="00D664CB">
            <w:pPr>
              <w:spacing w:before="0" w:after="0"/>
              <w:jc w:val="right"/>
              <w:rPr>
                <w:b/>
                <w:noProof/>
                <w:color w:val="000000"/>
                <w:sz w:val="16"/>
              </w:rPr>
            </w:pPr>
            <w:r w:rsidRPr="00D91062">
              <w:rPr>
                <w:b/>
                <w:noProof/>
                <w:color w:val="000000"/>
                <w:sz w:val="16"/>
              </w:rPr>
              <w:t>0,000</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772BBC52" w14:textId="77777777" w:rsidR="00D664CB" w:rsidRPr="00D91062" w:rsidRDefault="00D664CB" w:rsidP="00D664CB">
            <w:pPr>
              <w:spacing w:before="0" w:after="0"/>
              <w:jc w:val="right"/>
              <w:rPr>
                <w:b/>
                <w:noProof/>
                <w:color w:val="000000"/>
                <w:sz w:val="16"/>
              </w:rPr>
            </w:pPr>
            <w:r w:rsidRPr="00D91062">
              <w:rPr>
                <w:b/>
                <w:noProof/>
                <w:color w:val="000000"/>
                <w:sz w:val="16"/>
              </w:rPr>
              <w:t>0,000</w:t>
            </w:r>
          </w:p>
        </w:tc>
        <w:tc>
          <w:tcPr>
            <w:tcW w:w="310" w:type="pct"/>
            <w:tcBorders>
              <w:top w:val="nil"/>
              <w:left w:val="nil"/>
              <w:bottom w:val="single" w:sz="8" w:space="0" w:color="auto"/>
              <w:right w:val="single" w:sz="8" w:space="0" w:color="auto"/>
            </w:tcBorders>
            <w:shd w:val="clear" w:color="auto" w:fill="D9D9D9" w:themeFill="background1" w:themeFillShade="D9"/>
            <w:vAlign w:val="center"/>
          </w:tcPr>
          <w:p w14:paraId="63E48D00" w14:textId="77777777" w:rsidR="00D664CB" w:rsidRPr="00D91062" w:rsidRDefault="00D664CB" w:rsidP="00D664CB">
            <w:pPr>
              <w:spacing w:before="0" w:after="0"/>
              <w:jc w:val="right"/>
              <w:rPr>
                <w:b/>
                <w:noProof/>
                <w:color w:val="000000"/>
                <w:sz w:val="16"/>
              </w:rPr>
            </w:pPr>
            <w:r w:rsidRPr="00D91062">
              <w:rPr>
                <w:b/>
                <w:noProof/>
                <w:color w:val="000000"/>
                <w:sz w:val="16"/>
              </w:rPr>
              <w:t>0,000</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5202128A" w14:textId="77777777" w:rsidR="00D664CB" w:rsidRPr="00D91062" w:rsidRDefault="00D664CB" w:rsidP="00D664CB">
            <w:pPr>
              <w:spacing w:before="0" w:after="0"/>
              <w:jc w:val="right"/>
              <w:rPr>
                <w:b/>
                <w:noProof/>
                <w:color w:val="000000"/>
                <w:sz w:val="16"/>
              </w:rPr>
            </w:pPr>
            <w:r w:rsidRPr="00D91062">
              <w:rPr>
                <w:b/>
                <w:noProof/>
                <w:color w:val="000000"/>
                <w:sz w:val="16"/>
              </w:rPr>
              <w:t>0,000</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348E144C" w14:textId="77777777" w:rsidR="00D664CB" w:rsidRPr="00D91062" w:rsidRDefault="00D664CB" w:rsidP="00D664CB">
            <w:pPr>
              <w:spacing w:before="0" w:after="0"/>
              <w:jc w:val="center"/>
              <w:rPr>
                <w:b/>
                <w:noProof/>
                <w:color w:val="000000"/>
                <w:sz w:val="16"/>
              </w:rPr>
            </w:pPr>
            <w:r w:rsidRPr="00D91062">
              <w:rPr>
                <w:b/>
                <w:noProof/>
                <w:color w:val="000000"/>
                <w:sz w:val="16"/>
              </w:rPr>
              <w:t>0,000</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49AD6B1F" w14:textId="77777777" w:rsidR="00D664CB" w:rsidRPr="00D91062" w:rsidRDefault="00D664CB" w:rsidP="00D664CB">
            <w:pPr>
              <w:spacing w:before="0" w:after="0"/>
              <w:jc w:val="center"/>
              <w:rPr>
                <w:b/>
                <w:noProof/>
                <w:color w:val="000000"/>
                <w:sz w:val="16"/>
              </w:rPr>
            </w:pPr>
            <w:r w:rsidRPr="00D91062">
              <w:rPr>
                <w:b/>
                <w:noProof/>
                <w:color w:val="000000"/>
                <w:sz w:val="16"/>
              </w:rPr>
              <w:t>0,000</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1CF350FE" w14:textId="77777777" w:rsidR="00D664CB" w:rsidRPr="00D91062" w:rsidRDefault="00D664CB" w:rsidP="00D664CB">
            <w:pPr>
              <w:spacing w:before="0" w:after="0"/>
              <w:jc w:val="center"/>
              <w:rPr>
                <w:b/>
                <w:noProof/>
                <w:color w:val="000000"/>
                <w:sz w:val="16"/>
              </w:rPr>
            </w:pPr>
            <w:r w:rsidRPr="00D91062">
              <w:rPr>
                <w:b/>
                <w:noProof/>
                <w:color w:val="000000"/>
                <w:sz w:val="16"/>
              </w:rPr>
              <w:t>0,000</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tcPr>
          <w:p w14:paraId="3D76D3C0" w14:textId="77777777" w:rsidR="00D664CB" w:rsidRPr="00D91062" w:rsidRDefault="00D664CB" w:rsidP="00D664CB">
            <w:pPr>
              <w:spacing w:before="0" w:after="0"/>
              <w:jc w:val="right"/>
              <w:rPr>
                <w:b/>
                <w:noProof/>
                <w:color w:val="000000"/>
                <w:sz w:val="16"/>
              </w:rPr>
            </w:pPr>
            <w:r w:rsidRPr="00D91062">
              <w:rPr>
                <w:b/>
                <w:noProof/>
                <w:color w:val="000000"/>
                <w:sz w:val="16"/>
              </w:rPr>
              <w:t>0,000</w:t>
            </w:r>
          </w:p>
        </w:tc>
      </w:tr>
      <w:tr w:rsidR="00D664CB" w:rsidRPr="00D91062" w14:paraId="662D5E59" w14:textId="77777777" w:rsidTr="00A2361B">
        <w:trPr>
          <w:trHeight w:val="300"/>
        </w:trPr>
        <w:tc>
          <w:tcPr>
            <w:tcW w:w="5000" w:type="pct"/>
            <w:gridSpan w:val="9"/>
            <w:tcBorders>
              <w:top w:val="single" w:sz="8" w:space="0" w:color="auto"/>
              <w:left w:val="single" w:sz="8" w:space="0" w:color="auto"/>
              <w:bottom w:val="single" w:sz="8" w:space="0" w:color="auto"/>
              <w:right w:val="single" w:sz="4" w:space="0" w:color="auto"/>
            </w:tcBorders>
          </w:tcPr>
          <w:p w14:paraId="0EB58EA1" w14:textId="77777777" w:rsidR="00D664CB" w:rsidRPr="00D91062" w:rsidRDefault="00D664CB" w:rsidP="00D664CB">
            <w:pPr>
              <w:spacing w:before="0" w:after="0"/>
              <w:jc w:val="center"/>
              <w:rPr>
                <w:noProof/>
                <w:color w:val="000000"/>
                <w:sz w:val="16"/>
              </w:rPr>
            </w:pPr>
          </w:p>
        </w:tc>
      </w:tr>
      <w:tr w:rsidR="00D664CB" w:rsidRPr="00D91062" w14:paraId="24D015EF" w14:textId="77777777" w:rsidTr="00A2361B">
        <w:trPr>
          <w:trHeight w:val="300"/>
        </w:trPr>
        <w:tc>
          <w:tcPr>
            <w:tcW w:w="1122" w:type="pct"/>
            <w:tcBorders>
              <w:top w:val="nil"/>
              <w:left w:val="single" w:sz="8" w:space="0" w:color="auto"/>
              <w:bottom w:val="single" w:sz="8" w:space="0" w:color="auto"/>
              <w:right w:val="single" w:sz="8" w:space="0" w:color="auto"/>
            </w:tcBorders>
            <w:vAlign w:val="center"/>
            <w:hideMark/>
          </w:tcPr>
          <w:p w14:paraId="75896E72" w14:textId="77777777" w:rsidR="00D664CB" w:rsidRPr="00D91062" w:rsidRDefault="00D664CB" w:rsidP="00D664CB">
            <w:pPr>
              <w:spacing w:before="0" w:after="0"/>
              <w:jc w:val="center"/>
              <w:rPr>
                <w:b/>
                <w:noProof/>
                <w:color w:val="000000"/>
                <w:sz w:val="16"/>
              </w:rPr>
            </w:pPr>
            <w:r w:rsidRPr="00D91062">
              <w:rPr>
                <w:b/>
                <w:noProof/>
                <w:color w:val="000000"/>
                <w:sz w:val="16"/>
              </w:rPr>
              <w:t>TOTAL</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345EFDC1" w14:textId="77777777" w:rsidR="00D664CB" w:rsidRPr="00D91062" w:rsidRDefault="00D664CB" w:rsidP="00D664CB">
            <w:pPr>
              <w:spacing w:before="0" w:after="0"/>
              <w:jc w:val="right"/>
              <w:rPr>
                <w:rFonts w:eastAsia="Calibri"/>
                <w:b/>
                <w:noProof/>
                <w:color w:val="000000"/>
                <w:sz w:val="16"/>
                <w:szCs w:val="16"/>
              </w:rPr>
            </w:pPr>
            <w:r w:rsidRPr="00D91062">
              <w:rPr>
                <w:b/>
                <w:noProof/>
                <w:color w:val="000000" w:themeColor="text1"/>
                <w:sz w:val="16"/>
              </w:rPr>
              <w:t>1,541</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3B39B625" w14:textId="77777777" w:rsidR="00D664CB" w:rsidRPr="00D91062" w:rsidRDefault="00D664CB" w:rsidP="00D664CB">
            <w:pPr>
              <w:spacing w:before="0" w:after="0"/>
              <w:jc w:val="right"/>
              <w:rPr>
                <w:rFonts w:eastAsia="Calibri"/>
                <w:b/>
                <w:noProof/>
                <w:color w:val="000000"/>
                <w:sz w:val="16"/>
                <w:szCs w:val="16"/>
              </w:rPr>
            </w:pPr>
            <w:r w:rsidRPr="00D91062">
              <w:rPr>
                <w:b/>
                <w:noProof/>
                <w:color w:val="000000" w:themeColor="text1"/>
                <w:sz w:val="16"/>
              </w:rPr>
              <w:t>1,541</w:t>
            </w:r>
          </w:p>
        </w:tc>
        <w:tc>
          <w:tcPr>
            <w:tcW w:w="310" w:type="pct"/>
            <w:tcBorders>
              <w:top w:val="nil"/>
              <w:left w:val="nil"/>
              <w:bottom w:val="single" w:sz="8" w:space="0" w:color="auto"/>
              <w:right w:val="single" w:sz="8" w:space="0" w:color="auto"/>
            </w:tcBorders>
            <w:shd w:val="clear" w:color="auto" w:fill="D9D9D9" w:themeFill="background1" w:themeFillShade="D9"/>
            <w:vAlign w:val="center"/>
          </w:tcPr>
          <w:p w14:paraId="300D8BE6" w14:textId="77777777" w:rsidR="00D664CB" w:rsidRPr="00D91062" w:rsidRDefault="00D664CB" w:rsidP="00D664CB">
            <w:pPr>
              <w:spacing w:before="0" w:after="0"/>
              <w:jc w:val="right"/>
              <w:rPr>
                <w:rFonts w:eastAsia="Calibri"/>
                <w:b/>
                <w:bCs/>
                <w:noProof/>
                <w:color w:val="000000"/>
                <w:sz w:val="16"/>
                <w:szCs w:val="16"/>
              </w:rPr>
            </w:pPr>
            <w:r w:rsidRPr="00D91062">
              <w:rPr>
                <w:b/>
                <w:noProof/>
                <w:color w:val="000000" w:themeColor="text1"/>
                <w:sz w:val="16"/>
              </w:rPr>
              <w:t>1,500</w:t>
            </w:r>
          </w:p>
        </w:tc>
        <w:tc>
          <w:tcPr>
            <w:tcW w:w="504" w:type="pct"/>
            <w:tcBorders>
              <w:top w:val="nil"/>
              <w:left w:val="nil"/>
              <w:bottom w:val="single" w:sz="8" w:space="0" w:color="auto"/>
              <w:right w:val="single" w:sz="8" w:space="0" w:color="auto"/>
            </w:tcBorders>
            <w:shd w:val="clear" w:color="auto" w:fill="D9D9D9" w:themeFill="background1" w:themeFillShade="D9"/>
            <w:vAlign w:val="center"/>
          </w:tcPr>
          <w:p w14:paraId="12BCC3F5" w14:textId="77777777" w:rsidR="00D664CB" w:rsidRPr="00D91062" w:rsidRDefault="00D664CB" w:rsidP="00D664CB">
            <w:pPr>
              <w:spacing w:before="0" w:after="0"/>
              <w:jc w:val="right"/>
              <w:rPr>
                <w:rFonts w:eastAsia="Calibri"/>
                <w:b/>
                <w:noProof/>
                <w:color w:val="000000"/>
                <w:sz w:val="16"/>
                <w:szCs w:val="16"/>
              </w:rPr>
            </w:pPr>
            <w:r w:rsidRPr="00D91062">
              <w:rPr>
                <w:b/>
                <w:noProof/>
                <w:color w:val="000000" w:themeColor="text1"/>
                <w:sz w:val="16"/>
              </w:rPr>
              <w:t>1,500</w:t>
            </w:r>
          </w:p>
        </w:tc>
        <w:tc>
          <w:tcPr>
            <w:tcW w:w="504" w:type="pct"/>
            <w:tcBorders>
              <w:top w:val="nil"/>
              <w:left w:val="nil"/>
              <w:bottom w:val="single" w:sz="8" w:space="0" w:color="auto"/>
              <w:right w:val="single" w:sz="4" w:space="0" w:color="auto"/>
            </w:tcBorders>
            <w:shd w:val="clear" w:color="auto" w:fill="D9D9D9" w:themeFill="background1" w:themeFillShade="D9"/>
            <w:vAlign w:val="center"/>
          </w:tcPr>
          <w:p w14:paraId="6EB659D4" w14:textId="77777777" w:rsidR="00D664CB" w:rsidRPr="00D91062" w:rsidRDefault="00D664CB" w:rsidP="00D664CB">
            <w:pPr>
              <w:spacing w:before="0" w:after="0"/>
              <w:jc w:val="center"/>
              <w:rPr>
                <w:rFonts w:eastAsia="Calibri"/>
                <w:b/>
                <w:noProof/>
                <w:color w:val="000000"/>
                <w:sz w:val="16"/>
                <w:szCs w:val="16"/>
              </w:rPr>
            </w:pPr>
            <w:r w:rsidRPr="00D91062">
              <w:rPr>
                <w:b/>
                <w:noProof/>
                <w:color w:val="000000" w:themeColor="text1"/>
                <w:sz w:val="16"/>
              </w:rPr>
              <w:t>1,500</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64A11353" w14:textId="77777777" w:rsidR="00D664CB" w:rsidRPr="00D91062" w:rsidRDefault="00D664CB" w:rsidP="00D664CB">
            <w:pPr>
              <w:spacing w:before="0" w:after="0"/>
              <w:jc w:val="center"/>
              <w:rPr>
                <w:rFonts w:eastAsia="Calibri"/>
                <w:b/>
                <w:noProof/>
                <w:color w:val="000000"/>
                <w:sz w:val="16"/>
                <w:szCs w:val="16"/>
              </w:rPr>
            </w:pPr>
            <w:r w:rsidRPr="00D91062">
              <w:rPr>
                <w:b/>
                <w:noProof/>
                <w:color w:val="000000" w:themeColor="text1"/>
                <w:sz w:val="16"/>
              </w:rPr>
              <w:t>1,500</w:t>
            </w:r>
          </w:p>
        </w:tc>
        <w:tc>
          <w:tcPr>
            <w:tcW w:w="504" w:type="pct"/>
            <w:tcBorders>
              <w:top w:val="nil"/>
              <w:left w:val="single" w:sz="4" w:space="0" w:color="auto"/>
              <w:bottom w:val="single" w:sz="8" w:space="0" w:color="auto"/>
              <w:right w:val="single" w:sz="4" w:space="0" w:color="auto"/>
            </w:tcBorders>
            <w:shd w:val="clear" w:color="auto" w:fill="D9D9D9" w:themeFill="background1" w:themeFillShade="D9"/>
            <w:vAlign w:val="center"/>
          </w:tcPr>
          <w:p w14:paraId="126F33FE" w14:textId="77777777" w:rsidR="00D664CB" w:rsidRPr="00D91062" w:rsidRDefault="00D664CB" w:rsidP="00D664CB">
            <w:pPr>
              <w:spacing w:before="0" w:after="0"/>
              <w:jc w:val="center"/>
              <w:rPr>
                <w:rFonts w:eastAsia="Calibri"/>
                <w:b/>
                <w:noProof/>
                <w:color w:val="000000"/>
                <w:sz w:val="16"/>
                <w:szCs w:val="16"/>
              </w:rPr>
            </w:pPr>
            <w:r w:rsidRPr="00D91062">
              <w:rPr>
                <w:b/>
                <w:noProof/>
                <w:color w:val="000000" w:themeColor="text1"/>
                <w:sz w:val="16"/>
              </w:rPr>
              <w:t>1,500</w:t>
            </w:r>
          </w:p>
        </w:tc>
        <w:tc>
          <w:tcPr>
            <w:tcW w:w="544" w:type="pct"/>
            <w:tcBorders>
              <w:top w:val="nil"/>
              <w:left w:val="single" w:sz="4" w:space="0" w:color="auto"/>
              <w:bottom w:val="single" w:sz="8" w:space="0" w:color="auto"/>
              <w:right w:val="single" w:sz="8" w:space="0" w:color="auto"/>
            </w:tcBorders>
            <w:shd w:val="clear" w:color="auto" w:fill="D9D9D9" w:themeFill="background1" w:themeFillShade="D9"/>
            <w:vAlign w:val="center"/>
          </w:tcPr>
          <w:p w14:paraId="4F2A4CC6" w14:textId="77777777" w:rsidR="00D664CB" w:rsidRPr="00D91062" w:rsidRDefault="00D664CB" w:rsidP="00D664CB">
            <w:pPr>
              <w:spacing w:before="0" w:after="0"/>
              <w:jc w:val="right"/>
              <w:rPr>
                <w:rFonts w:eastAsia="Calibri"/>
                <w:b/>
                <w:bCs/>
                <w:noProof/>
                <w:color w:val="000000"/>
                <w:sz w:val="16"/>
                <w:szCs w:val="16"/>
              </w:rPr>
            </w:pPr>
            <w:r w:rsidRPr="00D91062">
              <w:rPr>
                <w:b/>
                <w:noProof/>
                <w:color w:val="000000" w:themeColor="text1"/>
                <w:sz w:val="16"/>
              </w:rPr>
              <w:t>10,582</w:t>
            </w:r>
          </w:p>
        </w:tc>
      </w:tr>
    </w:tbl>
    <w:p w14:paraId="5DE628AC" w14:textId="77777777" w:rsidR="00D664CB" w:rsidRPr="00D91062" w:rsidRDefault="00D664CB" w:rsidP="00D664CB">
      <w:pPr>
        <w:rPr>
          <w:noProof/>
          <w:sz w:val="22"/>
        </w:rPr>
      </w:pPr>
      <w:r w:rsidRPr="00D91062">
        <w:rPr>
          <w:noProof/>
          <w:sz w:val="22"/>
        </w:rPr>
        <w:t>Impactul estimat asupra cheltuielilor și a personalului pentru 2028 și ulterior este adăugat doar cu titlu orientativ și nu aduce atingere următorului cadru financiar multianual. Sursa de finanțare și domeniul de aplicare al angajamentului financiar al Uniunii pentru perioada de după 2027 depind în continuare de rezultatul negocierilor interinstituționale privind CFM 2028-2034 și, ulterior, vor fi stabilite prin procedura bugetară anuală. Toate creditele și alocările de personal începând cu 2028 sunt orientative.</w:t>
      </w:r>
    </w:p>
    <w:p w14:paraId="61B326D3" w14:textId="77777777" w:rsidR="00D664CB" w:rsidRPr="00D91062" w:rsidRDefault="00D664CB" w:rsidP="007A5721">
      <w:pPr>
        <w:pStyle w:val="ManualHeading3"/>
        <w:rPr>
          <w:noProof/>
        </w:rPr>
      </w:pPr>
      <w:r w:rsidRPr="00D91062">
        <w:rPr>
          <w:noProof/>
        </w:rPr>
        <w:t>3.2.4.</w:t>
      </w:r>
      <w:r w:rsidRPr="00D91062">
        <w:rPr>
          <w:noProof/>
        </w:rPr>
        <w:tab/>
        <w:t>Necesarul de resurse umane estimat</w:t>
      </w:r>
    </w:p>
    <w:p w14:paraId="30E54C69" w14:textId="77777777" w:rsidR="00D664CB" w:rsidRPr="00D91062" w:rsidRDefault="00D664CB" w:rsidP="007A5721">
      <w:pPr>
        <w:pStyle w:val="ListDash1"/>
        <w:rPr>
          <w:noProof/>
        </w:rPr>
      </w:pPr>
      <w:r w:rsidRPr="00D91062">
        <w:rPr>
          <w:rFonts w:ascii="Wingdings" w:hAnsi="Wingdings"/>
          <w:noProof/>
        </w:rPr>
        <w:t></w:t>
      </w:r>
      <w:r w:rsidRPr="00D91062">
        <w:rPr>
          <w:noProof/>
        </w:rPr>
        <w:tab/>
        <w:t>Propunerea/inițiativa nu implică utilizarea de resurse umane</w:t>
      </w:r>
    </w:p>
    <w:p w14:paraId="67B1373A" w14:textId="77777777" w:rsidR="00D664CB" w:rsidRPr="00D91062" w:rsidRDefault="00D664CB" w:rsidP="007A5721">
      <w:pPr>
        <w:pStyle w:val="ListDash1"/>
        <w:rPr>
          <w:noProof/>
        </w:rPr>
      </w:pPr>
      <w:r w:rsidRPr="00D91062">
        <w:rPr>
          <w:rFonts w:ascii="Wingdings" w:hAnsi="Wingdings"/>
          <w:noProof/>
        </w:rPr>
        <w:t></w:t>
      </w:r>
      <w:r w:rsidRPr="00D91062">
        <w:rPr>
          <w:noProof/>
        </w:rPr>
        <w:tab/>
        <w:t>Propunerea/inițiativa implică utilizarea de resurse umane, conform explicațiilor de mai jos</w:t>
      </w:r>
    </w:p>
    <w:p w14:paraId="14A0992B" w14:textId="77777777" w:rsidR="00D664CB" w:rsidRPr="00D91062" w:rsidRDefault="00D664CB" w:rsidP="007A5721">
      <w:pPr>
        <w:pStyle w:val="ManualHeading3"/>
        <w:rPr>
          <w:noProof/>
        </w:rPr>
      </w:pPr>
      <w:r w:rsidRPr="00D91062">
        <w:rPr>
          <w:noProof/>
        </w:rPr>
        <w:t>3.2.4.1.</w:t>
      </w:r>
      <w:r w:rsidRPr="00D91062">
        <w:rPr>
          <w:noProof/>
        </w:rPr>
        <w:tab/>
        <w:t>Finanțare din bugetul votat</w:t>
      </w:r>
    </w:p>
    <w:p w14:paraId="7020CC14" w14:textId="77777777" w:rsidR="00D664CB" w:rsidRPr="00D91062" w:rsidRDefault="00D664CB" w:rsidP="00D664CB">
      <w:pPr>
        <w:spacing w:after="60"/>
        <w:jc w:val="right"/>
        <w:rPr>
          <w:i/>
          <w:noProof/>
          <w:sz w:val="20"/>
        </w:rPr>
      </w:pPr>
      <w:r w:rsidRPr="00D91062">
        <w:rPr>
          <w:i/>
          <w:noProof/>
          <w:sz w:val="20"/>
        </w:rPr>
        <w:t>Estimări în echivalent normă întreagă (ENI)</w:t>
      </w:r>
    </w:p>
    <w:tbl>
      <w:tblPr>
        <w:tblW w:w="5000" w:type="pct"/>
        <w:tblLook w:val="04A0" w:firstRow="1" w:lastRow="0" w:firstColumn="1" w:lastColumn="0" w:noHBand="0" w:noVBand="1"/>
      </w:tblPr>
      <w:tblGrid>
        <w:gridCol w:w="1396"/>
        <w:gridCol w:w="1150"/>
        <w:gridCol w:w="964"/>
        <w:gridCol w:w="964"/>
        <w:gridCol w:w="964"/>
        <w:gridCol w:w="964"/>
        <w:gridCol w:w="964"/>
        <w:gridCol w:w="964"/>
        <w:gridCol w:w="959"/>
      </w:tblGrid>
      <w:tr w:rsidR="00D664CB" w:rsidRPr="00D91062" w14:paraId="21E080B8" w14:textId="77777777" w:rsidTr="00A2361B">
        <w:trPr>
          <w:trHeight w:val="290"/>
        </w:trPr>
        <w:tc>
          <w:tcPr>
            <w:tcW w:w="1370" w:type="pct"/>
            <w:gridSpan w:val="2"/>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14:paraId="354203B7" w14:textId="77777777" w:rsidR="00D664CB" w:rsidRPr="00D91062" w:rsidRDefault="00D664CB" w:rsidP="00D664CB">
            <w:pPr>
              <w:spacing w:before="0" w:after="0"/>
              <w:jc w:val="center"/>
              <w:rPr>
                <w:b/>
                <w:noProof/>
                <w:color w:val="000000"/>
                <w:sz w:val="18"/>
              </w:rPr>
            </w:pPr>
            <w:r w:rsidRPr="00D91062">
              <w:rPr>
                <w:b/>
                <w:noProof/>
                <w:color w:val="000000"/>
                <w:sz w:val="18"/>
              </w:rPr>
              <w:t>CREDITE VOTATE</w:t>
            </w:r>
          </w:p>
        </w:tc>
        <w:tc>
          <w:tcPr>
            <w:tcW w:w="519" w:type="pct"/>
            <w:tcBorders>
              <w:top w:val="single" w:sz="8" w:space="0" w:color="auto"/>
              <w:left w:val="nil"/>
              <w:bottom w:val="nil"/>
              <w:right w:val="single" w:sz="8" w:space="0" w:color="auto"/>
            </w:tcBorders>
            <w:vAlign w:val="center"/>
            <w:hideMark/>
          </w:tcPr>
          <w:p w14:paraId="40956569" w14:textId="77777777" w:rsidR="00D664CB" w:rsidRPr="00D91062" w:rsidRDefault="00D664CB" w:rsidP="00D664CB">
            <w:pPr>
              <w:spacing w:before="0" w:after="0"/>
              <w:jc w:val="center"/>
              <w:rPr>
                <w:noProof/>
                <w:color w:val="000000"/>
                <w:sz w:val="20"/>
              </w:rPr>
            </w:pPr>
            <w:r w:rsidRPr="00D91062">
              <w:rPr>
                <w:noProof/>
                <w:color w:val="000000"/>
                <w:sz w:val="20"/>
              </w:rPr>
              <w:t>Anul</w:t>
            </w:r>
          </w:p>
        </w:tc>
        <w:tc>
          <w:tcPr>
            <w:tcW w:w="519" w:type="pct"/>
            <w:tcBorders>
              <w:top w:val="single" w:sz="8" w:space="0" w:color="auto"/>
              <w:left w:val="nil"/>
              <w:bottom w:val="nil"/>
              <w:right w:val="single" w:sz="8" w:space="0" w:color="auto"/>
            </w:tcBorders>
            <w:vAlign w:val="center"/>
            <w:hideMark/>
          </w:tcPr>
          <w:p w14:paraId="3E60567E" w14:textId="77777777" w:rsidR="00D664CB" w:rsidRPr="00D91062" w:rsidRDefault="00D664CB" w:rsidP="00D664CB">
            <w:pPr>
              <w:spacing w:before="0" w:after="0"/>
              <w:jc w:val="center"/>
              <w:rPr>
                <w:noProof/>
                <w:color w:val="000000"/>
                <w:sz w:val="20"/>
              </w:rPr>
            </w:pPr>
            <w:r w:rsidRPr="00D91062">
              <w:rPr>
                <w:noProof/>
                <w:color w:val="000000"/>
                <w:sz w:val="20"/>
              </w:rPr>
              <w:t>Anul</w:t>
            </w:r>
          </w:p>
        </w:tc>
        <w:tc>
          <w:tcPr>
            <w:tcW w:w="519" w:type="pct"/>
            <w:tcBorders>
              <w:top w:val="single" w:sz="8" w:space="0" w:color="auto"/>
              <w:left w:val="nil"/>
              <w:bottom w:val="nil"/>
              <w:right w:val="single" w:sz="8" w:space="0" w:color="auto"/>
            </w:tcBorders>
            <w:vAlign w:val="center"/>
            <w:hideMark/>
          </w:tcPr>
          <w:p w14:paraId="10E30874" w14:textId="77777777" w:rsidR="00D664CB" w:rsidRPr="00D91062" w:rsidRDefault="00D664CB" w:rsidP="00D664CB">
            <w:pPr>
              <w:spacing w:before="0" w:after="0"/>
              <w:jc w:val="center"/>
              <w:rPr>
                <w:noProof/>
                <w:color w:val="000000"/>
                <w:sz w:val="20"/>
              </w:rPr>
            </w:pPr>
            <w:r w:rsidRPr="00D91062">
              <w:rPr>
                <w:noProof/>
                <w:color w:val="000000"/>
                <w:sz w:val="20"/>
              </w:rPr>
              <w:t>Anul</w:t>
            </w:r>
          </w:p>
        </w:tc>
        <w:tc>
          <w:tcPr>
            <w:tcW w:w="519" w:type="pct"/>
            <w:tcBorders>
              <w:top w:val="single" w:sz="8" w:space="0" w:color="auto"/>
              <w:left w:val="nil"/>
              <w:bottom w:val="nil"/>
              <w:right w:val="single" w:sz="8" w:space="0" w:color="auto"/>
            </w:tcBorders>
            <w:vAlign w:val="center"/>
            <w:hideMark/>
          </w:tcPr>
          <w:p w14:paraId="70C7F419" w14:textId="77777777" w:rsidR="00D664CB" w:rsidRPr="00D91062" w:rsidRDefault="00D664CB" w:rsidP="00D664CB">
            <w:pPr>
              <w:spacing w:before="0" w:after="0"/>
              <w:jc w:val="center"/>
              <w:rPr>
                <w:noProof/>
                <w:color w:val="000000"/>
                <w:sz w:val="20"/>
              </w:rPr>
            </w:pPr>
            <w:r w:rsidRPr="00D91062">
              <w:rPr>
                <w:noProof/>
                <w:color w:val="000000"/>
                <w:sz w:val="20"/>
              </w:rPr>
              <w:t>Anul</w:t>
            </w:r>
          </w:p>
        </w:tc>
        <w:tc>
          <w:tcPr>
            <w:tcW w:w="519" w:type="pct"/>
            <w:tcBorders>
              <w:top w:val="single" w:sz="8" w:space="0" w:color="auto"/>
              <w:left w:val="nil"/>
              <w:bottom w:val="nil"/>
              <w:right w:val="single" w:sz="8" w:space="0" w:color="auto"/>
            </w:tcBorders>
            <w:vAlign w:val="center"/>
            <w:hideMark/>
          </w:tcPr>
          <w:p w14:paraId="41EC587F" w14:textId="77777777" w:rsidR="00D664CB" w:rsidRPr="00D91062" w:rsidRDefault="00D664CB" w:rsidP="00D664CB">
            <w:pPr>
              <w:spacing w:before="0" w:after="0"/>
              <w:jc w:val="center"/>
              <w:rPr>
                <w:noProof/>
                <w:color w:val="000000"/>
                <w:sz w:val="20"/>
              </w:rPr>
            </w:pPr>
            <w:r w:rsidRPr="00D91062">
              <w:rPr>
                <w:noProof/>
                <w:color w:val="000000"/>
                <w:sz w:val="20"/>
              </w:rPr>
              <w:t>Anul</w:t>
            </w:r>
          </w:p>
        </w:tc>
        <w:tc>
          <w:tcPr>
            <w:tcW w:w="519" w:type="pct"/>
            <w:tcBorders>
              <w:top w:val="single" w:sz="8" w:space="0" w:color="auto"/>
              <w:left w:val="nil"/>
              <w:bottom w:val="nil"/>
              <w:right w:val="single" w:sz="8" w:space="0" w:color="auto"/>
            </w:tcBorders>
            <w:vAlign w:val="center"/>
            <w:hideMark/>
          </w:tcPr>
          <w:p w14:paraId="230BCBE4" w14:textId="77777777" w:rsidR="00D664CB" w:rsidRPr="00D91062" w:rsidRDefault="00D664CB" w:rsidP="00D664CB">
            <w:pPr>
              <w:spacing w:before="0" w:after="0"/>
              <w:jc w:val="center"/>
              <w:rPr>
                <w:noProof/>
                <w:color w:val="000000"/>
                <w:sz w:val="20"/>
              </w:rPr>
            </w:pPr>
            <w:r w:rsidRPr="00D91062">
              <w:rPr>
                <w:noProof/>
                <w:color w:val="000000"/>
                <w:sz w:val="20"/>
              </w:rPr>
              <w:t>Anul</w:t>
            </w:r>
          </w:p>
        </w:tc>
        <w:tc>
          <w:tcPr>
            <w:tcW w:w="519" w:type="pct"/>
            <w:tcBorders>
              <w:top w:val="single" w:sz="8" w:space="0" w:color="auto"/>
              <w:left w:val="nil"/>
              <w:bottom w:val="nil"/>
              <w:right w:val="single" w:sz="8" w:space="0" w:color="auto"/>
            </w:tcBorders>
            <w:vAlign w:val="center"/>
            <w:hideMark/>
          </w:tcPr>
          <w:p w14:paraId="1699B5CF" w14:textId="77777777" w:rsidR="00D664CB" w:rsidRPr="00D91062" w:rsidRDefault="00D664CB" w:rsidP="00D664CB">
            <w:pPr>
              <w:spacing w:before="0" w:after="0"/>
              <w:jc w:val="center"/>
              <w:rPr>
                <w:noProof/>
                <w:color w:val="000000"/>
                <w:sz w:val="20"/>
              </w:rPr>
            </w:pPr>
            <w:r w:rsidRPr="00D91062">
              <w:rPr>
                <w:noProof/>
                <w:color w:val="000000"/>
                <w:sz w:val="20"/>
              </w:rPr>
              <w:t>Anul</w:t>
            </w:r>
          </w:p>
        </w:tc>
      </w:tr>
      <w:tr w:rsidR="00D664CB" w:rsidRPr="00D91062" w14:paraId="337D625B" w14:textId="77777777" w:rsidTr="00A2361B">
        <w:trPr>
          <w:trHeight w:val="300"/>
        </w:trPr>
        <w:tc>
          <w:tcPr>
            <w:tcW w:w="1370" w:type="pct"/>
            <w:gridSpan w:val="2"/>
            <w:vMerge/>
            <w:vAlign w:val="center"/>
            <w:hideMark/>
          </w:tcPr>
          <w:p w14:paraId="3CB6E75D" w14:textId="77777777" w:rsidR="00D664CB" w:rsidRPr="00D91062" w:rsidRDefault="00D664CB" w:rsidP="00D664CB">
            <w:pPr>
              <w:spacing w:before="0" w:after="0"/>
              <w:jc w:val="left"/>
              <w:rPr>
                <w:b/>
                <w:noProof/>
                <w:color w:val="000000"/>
                <w:sz w:val="18"/>
              </w:rPr>
            </w:pPr>
          </w:p>
        </w:tc>
        <w:tc>
          <w:tcPr>
            <w:tcW w:w="519" w:type="pct"/>
            <w:tcBorders>
              <w:top w:val="nil"/>
              <w:left w:val="nil"/>
              <w:bottom w:val="single" w:sz="8" w:space="0" w:color="auto"/>
              <w:right w:val="single" w:sz="8" w:space="0" w:color="auto"/>
            </w:tcBorders>
            <w:vAlign w:val="center"/>
            <w:hideMark/>
          </w:tcPr>
          <w:p w14:paraId="4FD6B06D" w14:textId="77777777" w:rsidR="00D664CB" w:rsidRPr="00D91062" w:rsidRDefault="00D664CB" w:rsidP="00D664CB">
            <w:pPr>
              <w:spacing w:before="0" w:after="0"/>
              <w:jc w:val="center"/>
              <w:rPr>
                <w:b/>
                <w:noProof/>
                <w:color w:val="000000"/>
                <w:sz w:val="20"/>
              </w:rPr>
            </w:pPr>
            <w:r w:rsidRPr="00D91062">
              <w:rPr>
                <w:b/>
                <w:noProof/>
                <w:color w:val="000000"/>
                <w:sz w:val="20"/>
              </w:rPr>
              <w:t>2028</w:t>
            </w:r>
          </w:p>
        </w:tc>
        <w:tc>
          <w:tcPr>
            <w:tcW w:w="519" w:type="pct"/>
            <w:tcBorders>
              <w:top w:val="nil"/>
              <w:left w:val="nil"/>
              <w:bottom w:val="single" w:sz="8" w:space="0" w:color="auto"/>
              <w:right w:val="single" w:sz="8" w:space="0" w:color="auto"/>
            </w:tcBorders>
            <w:vAlign w:val="center"/>
            <w:hideMark/>
          </w:tcPr>
          <w:p w14:paraId="7A3B3709" w14:textId="77777777" w:rsidR="00D664CB" w:rsidRPr="00D91062" w:rsidRDefault="00D664CB" w:rsidP="00D664CB">
            <w:pPr>
              <w:spacing w:before="0" w:after="0"/>
              <w:jc w:val="center"/>
              <w:rPr>
                <w:b/>
                <w:noProof/>
                <w:color w:val="000000"/>
                <w:sz w:val="20"/>
              </w:rPr>
            </w:pPr>
            <w:r w:rsidRPr="00D91062">
              <w:rPr>
                <w:b/>
                <w:noProof/>
                <w:color w:val="000000"/>
                <w:sz w:val="20"/>
              </w:rPr>
              <w:t>2029</w:t>
            </w:r>
          </w:p>
        </w:tc>
        <w:tc>
          <w:tcPr>
            <w:tcW w:w="519" w:type="pct"/>
            <w:tcBorders>
              <w:top w:val="nil"/>
              <w:left w:val="nil"/>
              <w:bottom w:val="single" w:sz="8" w:space="0" w:color="auto"/>
              <w:right w:val="single" w:sz="8" w:space="0" w:color="auto"/>
            </w:tcBorders>
            <w:vAlign w:val="center"/>
            <w:hideMark/>
          </w:tcPr>
          <w:p w14:paraId="4CBB549F" w14:textId="77777777" w:rsidR="00D664CB" w:rsidRPr="00D91062" w:rsidRDefault="00D664CB" w:rsidP="00D664CB">
            <w:pPr>
              <w:spacing w:before="0" w:after="0"/>
              <w:jc w:val="center"/>
              <w:rPr>
                <w:b/>
                <w:noProof/>
                <w:color w:val="000000"/>
                <w:sz w:val="20"/>
              </w:rPr>
            </w:pPr>
            <w:r w:rsidRPr="00D91062">
              <w:rPr>
                <w:b/>
                <w:noProof/>
                <w:color w:val="000000"/>
                <w:sz w:val="20"/>
              </w:rPr>
              <w:t>2030</w:t>
            </w:r>
          </w:p>
        </w:tc>
        <w:tc>
          <w:tcPr>
            <w:tcW w:w="519" w:type="pct"/>
            <w:tcBorders>
              <w:top w:val="nil"/>
              <w:left w:val="nil"/>
              <w:bottom w:val="single" w:sz="8" w:space="0" w:color="auto"/>
              <w:right w:val="single" w:sz="8" w:space="0" w:color="auto"/>
            </w:tcBorders>
            <w:vAlign w:val="center"/>
            <w:hideMark/>
          </w:tcPr>
          <w:p w14:paraId="49AA3772" w14:textId="77777777" w:rsidR="00D664CB" w:rsidRPr="00D91062" w:rsidRDefault="00D664CB" w:rsidP="00D664CB">
            <w:pPr>
              <w:spacing w:before="0" w:after="0"/>
              <w:jc w:val="center"/>
              <w:rPr>
                <w:b/>
                <w:noProof/>
                <w:color w:val="000000"/>
                <w:sz w:val="20"/>
              </w:rPr>
            </w:pPr>
            <w:r w:rsidRPr="00D91062">
              <w:rPr>
                <w:b/>
                <w:noProof/>
                <w:color w:val="000000"/>
                <w:sz w:val="20"/>
              </w:rPr>
              <w:t>2031</w:t>
            </w:r>
          </w:p>
        </w:tc>
        <w:tc>
          <w:tcPr>
            <w:tcW w:w="519" w:type="pct"/>
            <w:tcBorders>
              <w:top w:val="nil"/>
              <w:left w:val="nil"/>
              <w:bottom w:val="single" w:sz="8" w:space="0" w:color="auto"/>
              <w:right w:val="single" w:sz="8" w:space="0" w:color="auto"/>
            </w:tcBorders>
            <w:vAlign w:val="center"/>
            <w:hideMark/>
          </w:tcPr>
          <w:p w14:paraId="221DE888" w14:textId="77777777" w:rsidR="00D664CB" w:rsidRPr="00D91062" w:rsidRDefault="00D664CB" w:rsidP="00D664CB">
            <w:pPr>
              <w:spacing w:before="0" w:after="0"/>
              <w:jc w:val="center"/>
              <w:rPr>
                <w:b/>
                <w:noProof/>
                <w:color w:val="000000"/>
                <w:sz w:val="20"/>
              </w:rPr>
            </w:pPr>
            <w:r w:rsidRPr="00D91062">
              <w:rPr>
                <w:b/>
                <w:noProof/>
                <w:color w:val="000000"/>
                <w:sz w:val="20"/>
              </w:rPr>
              <w:t>2032</w:t>
            </w:r>
          </w:p>
        </w:tc>
        <w:tc>
          <w:tcPr>
            <w:tcW w:w="519" w:type="pct"/>
            <w:tcBorders>
              <w:top w:val="nil"/>
              <w:left w:val="nil"/>
              <w:bottom w:val="single" w:sz="8" w:space="0" w:color="auto"/>
              <w:right w:val="single" w:sz="8" w:space="0" w:color="auto"/>
            </w:tcBorders>
            <w:vAlign w:val="center"/>
            <w:hideMark/>
          </w:tcPr>
          <w:p w14:paraId="706E7442" w14:textId="77777777" w:rsidR="00D664CB" w:rsidRPr="00D91062" w:rsidRDefault="00D664CB" w:rsidP="00D664CB">
            <w:pPr>
              <w:spacing w:before="0" w:after="0"/>
              <w:jc w:val="center"/>
              <w:rPr>
                <w:b/>
                <w:noProof/>
                <w:color w:val="000000"/>
                <w:sz w:val="20"/>
              </w:rPr>
            </w:pPr>
            <w:r w:rsidRPr="00D91062">
              <w:rPr>
                <w:b/>
                <w:noProof/>
                <w:color w:val="000000"/>
                <w:sz w:val="20"/>
              </w:rPr>
              <w:t>2033</w:t>
            </w:r>
          </w:p>
        </w:tc>
        <w:tc>
          <w:tcPr>
            <w:tcW w:w="519" w:type="pct"/>
            <w:tcBorders>
              <w:top w:val="nil"/>
              <w:left w:val="nil"/>
              <w:bottom w:val="single" w:sz="8" w:space="0" w:color="auto"/>
              <w:right w:val="single" w:sz="8" w:space="0" w:color="auto"/>
            </w:tcBorders>
            <w:vAlign w:val="center"/>
            <w:hideMark/>
          </w:tcPr>
          <w:p w14:paraId="586EF36C" w14:textId="77777777" w:rsidR="00D664CB" w:rsidRPr="00D91062" w:rsidRDefault="00D664CB" w:rsidP="00D664CB">
            <w:pPr>
              <w:spacing w:before="0" w:after="0"/>
              <w:jc w:val="center"/>
              <w:rPr>
                <w:b/>
                <w:noProof/>
                <w:color w:val="000000"/>
                <w:sz w:val="20"/>
              </w:rPr>
            </w:pPr>
            <w:r w:rsidRPr="00D91062">
              <w:rPr>
                <w:b/>
                <w:noProof/>
                <w:color w:val="000000"/>
                <w:sz w:val="20"/>
              </w:rPr>
              <w:t>2034</w:t>
            </w:r>
          </w:p>
        </w:tc>
      </w:tr>
      <w:tr w:rsidR="00D664CB" w:rsidRPr="00D91062" w14:paraId="7FA0601C" w14:textId="77777777" w:rsidTr="00A2361B">
        <w:trPr>
          <w:trHeight w:val="300"/>
        </w:trPr>
        <w:tc>
          <w:tcPr>
            <w:tcW w:w="5000" w:type="pct"/>
            <w:gridSpan w:val="9"/>
            <w:tcBorders>
              <w:top w:val="single" w:sz="8" w:space="0" w:color="auto"/>
              <w:left w:val="single" w:sz="8" w:space="0" w:color="auto"/>
              <w:bottom w:val="nil"/>
              <w:right w:val="nil"/>
            </w:tcBorders>
            <w:vAlign w:val="center"/>
            <w:hideMark/>
          </w:tcPr>
          <w:p w14:paraId="6C331B04" w14:textId="77777777" w:rsidR="00D664CB" w:rsidRPr="00D91062" w:rsidRDefault="00D664CB" w:rsidP="00D664CB">
            <w:pPr>
              <w:spacing w:before="0" w:after="0"/>
              <w:jc w:val="center"/>
              <w:rPr>
                <w:rFonts w:ascii="Wingdings" w:hAnsi="Wingdings"/>
                <w:b/>
                <w:noProof/>
                <w:color w:val="000000"/>
                <w:sz w:val="16"/>
              </w:rPr>
            </w:pPr>
            <w:r w:rsidRPr="00D91062">
              <w:rPr>
                <w:rFonts w:ascii="Wingdings" w:hAnsi="Wingdings"/>
                <w:b/>
                <w:noProof/>
                <w:color w:val="000000"/>
                <w:sz w:val="16"/>
              </w:rPr>
              <w:t></w:t>
            </w:r>
            <w:r w:rsidRPr="00D91062">
              <w:rPr>
                <w:b/>
                <w:noProof/>
                <w:color w:val="000000"/>
                <w:sz w:val="16"/>
              </w:rPr>
              <w:t xml:space="preserve"> Posturi din schema de personal (funcționari și agenți temporari)</w:t>
            </w:r>
          </w:p>
        </w:tc>
      </w:tr>
      <w:tr w:rsidR="00D664CB" w:rsidRPr="00D91062" w14:paraId="0E58B33C" w14:textId="77777777" w:rsidTr="00A2361B">
        <w:trPr>
          <w:trHeight w:val="55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46941585" w14:textId="77777777" w:rsidR="00D664CB" w:rsidRPr="00D91062" w:rsidRDefault="00D664CB" w:rsidP="00D664CB">
            <w:pPr>
              <w:spacing w:before="0" w:after="0"/>
              <w:ind w:firstLineChars="100" w:firstLine="160"/>
              <w:jc w:val="left"/>
              <w:rPr>
                <w:noProof/>
                <w:color w:val="000000"/>
                <w:sz w:val="16"/>
              </w:rPr>
            </w:pPr>
            <w:r w:rsidRPr="00D91062">
              <w:rPr>
                <w:noProof/>
                <w:color w:val="000000"/>
                <w:sz w:val="16"/>
              </w:rPr>
              <w:t>20 01 02 01 (la sediu și în reprezentanțele Comisiei)</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A0A7931" w14:textId="77777777" w:rsidR="00D664CB" w:rsidRPr="00D91062" w:rsidRDefault="00D664CB" w:rsidP="00D664CB">
            <w:pPr>
              <w:spacing w:before="0" w:after="0"/>
              <w:jc w:val="center"/>
              <w:rPr>
                <w:noProof/>
                <w:color w:val="000000"/>
                <w:sz w:val="16"/>
                <w:szCs w:val="16"/>
              </w:rPr>
            </w:pPr>
            <w:r w:rsidRPr="00D91062">
              <w:rPr>
                <w:noProof/>
                <w:color w:val="000000" w:themeColor="text1"/>
                <w:sz w:val="16"/>
              </w:rPr>
              <w:t>6</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ED81987" w14:textId="77777777" w:rsidR="00D664CB" w:rsidRPr="00D91062" w:rsidRDefault="00D664CB" w:rsidP="00D664CB">
            <w:pPr>
              <w:spacing w:before="0" w:after="0"/>
              <w:jc w:val="center"/>
              <w:rPr>
                <w:noProof/>
                <w:color w:val="000000"/>
                <w:sz w:val="16"/>
                <w:szCs w:val="16"/>
              </w:rPr>
            </w:pPr>
            <w:r w:rsidRPr="00D91062">
              <w:rPr>
                <w:noProof/>
                <w:color w:val="000000" w:themeColor="text1"/>
                <w:sz w:val="16"/>
              </w:rPr>
              <w:t>6</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35829E3" w14:textId="77777777" w:rsidR="00D664CB" w:rsidRPr="00D91062" w:rsidRDefault="00D664CB" w:rsidP="00D664CB">
            <w:pPr>
              <w:spacing w:before="0" w:after="0"/>
              <w:jc w:val="center"/>
              <w:rPr>
                <w:noProof/>
                <w:color w:val="000000"/>
                <w:sz w:val="16"/>
                <w:szCs w:val="16"/>
              </w:rPr>
            </w:pPr>
            <w:r w:rsidRPr="00D91062">
              <w:rPr>
                <w:noProof/>
                <w:color w:val="000000" w:themeColor="text1"/>
                <w:sz w:val="16"/>
              </w:rPr>
              <w:t>6</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84B94C5" w14:textId="77777777" w:rsidR="00D664CB" w:rsidRPr="00D91062" w:rsidRDefault="00D664CB" w:rsidP="00D664CB">
            <w:pPr>
              <w:spacing w:before="0" w:after="0"/>
              <w:jc w:val="center"/>
              <w:rPr>
                <w:noProof/>
                <w:color w:val="000000"/>
                <w:sz w:val="16"/>
                <w:szCs w:val="16"/>
              </w:rPr>
            </w:pPr>
            <w:r w:rsidRPr="00D91062">
              <w:rPr>
                <w:noProof/>
                <w:color w:val="000000" w:themeColor="text1"/>
                <w:sz w:val="16"/>
              </w:rPr>
              <w:t>6</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6974952" w14:textId="77777777" w:rsidR="00D664CB" w:rsidRPr="00D91062" w:rsidRDefault="00D664CB" w:rsidP="00D664CB">
            <w:pPr>
              <w:spacing w:before="0" w:after="0"/>
              <w:jc w:val="center"/>
              <w:rPr>
                <w:noProof/>
                <w:color w:val="000000"/>
                <w:sz w:val="16"/>
                <w:szCs w:val="16"/>
              </w:rPr>
            </w:pPr>
            <w:r w:rsidRPr="00D91062">
              <w:rPr>
                <w:noProof/>
                <w:color w:val="000000" w:themeColor="text1"/>
                <w:sz w:val="16"/>
              </w:rPr>
              <w:t>6</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4E49D03" w14:textId="77777777" w:rsidR="00D664CB" w:rsidRPr="00D91062" w:rsidRDefault="00D664CB" w:rsidP="00D664CB">
            <w:pPr>
              <w:spacing w:before="0" w:after="0"/>
              <w:jc w:val="center"/>
              <w:rPr>
                <w:noProof/>
                <w:color w:val="000000"/>
                <w:sz w:val="16"/>
                <w:szCs w:val="16"/>
              </w:rPr>
            </w:pPr>
            <w:r w:rsidRPr="00D91062">
              <w:rPr>
                <w:noProof/>
                <w:color w:val="000000" w:themeColor="text1"/>
                <w:sz w:val="16"/>
              </w:rPr>
              <w:t>6</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1686E35" w14:textId="77777777" w:rsidR="00D664CB" w:rsidRPr="00D91062" w:rsidRDefault="00D664CB" w:rsidP="00D664CB">
            <w:pPr>
              <w:spacing w:before="0" w:after="0"/>
              <w:jc w:val="center"/>
              <w:rPr>
                <w:noProof/>
                <w:color w:val="000000"/>
                <w:sz w:val="16"/>
                <w:szCs w:val="16"/>
              </w:rPr>
            </w:pPr>
            <w:r w:rsidRPr="00D91062">
              <w:rPr>
                <w:noProof/>
                <w:color w:val="000000" w:themeColor="text1"/>
                <w:sz w:val="16"/>
              </w:rPr>
              <w:t>6</w:t>
            </w:r>
          </w:p>
        </w:tc>
      </w:tr>
      <w:tr w:rsidR="00D664CB" w:rsidRPr="00D91062" w14:paraId="36B25C5A" w14:textId="77777777" w:rsidTr="00A2361B">
        <w:trPr>
          <w:trHeight w:val="38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7BE0BF50" w14:textId="77777777" w:rsidR="00D664CB" w:rsidRPr="00D91062" w:rsidRDefault="00D664CB" w:rsidP="00D664CB">
            <w:pPr>
              <w:spacing w:before="0" w:after="0"/>
              <w:ind w:firstLineChars="100" w:firstLine="160"/>
              <w:jc w:val="left"/>
              <w:rPr>
                <w:noProof/>
                <w:color w:val="000000"/>
                <w:sz w:val="16"/>
              </w:rPr>
            </w:pPr>
            <w:r w:rsidRPr="00D91062">
              <w:rPr>
                <w:noProof/>
                <w:color w:val="000000"/>
                <w:sz w:val="16"/>
              </w:rPr>
              <w:t>20 01 02 03 (delegațiile UE)</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8185AF1"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965CB8E"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13EF81B"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7C0DE67"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D20F0E8"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3C6C5CE"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B9F3B4A" w14:textId="77777777" w:rsidR="00D664CB" w:rsidRPr="00D91062" w:rsidRDefault="00D664CB" w:rsidP="00D664CB">
            <w:pPr>
              <w:spacing w:before="0" w:after="0"/>
              <w:jc w:val="center"/>
              <w:rPr>
                <w:noProof/>
                <w:color w:val="000000"/>
                <w:sz w:val="16"/>
              </w:rPr>
            </w:pPr>
            <w:r w:rsidRPr="00D91062">
              <w:rPr>
                <w:noProof/>
                <w:color w:val="000000"/>
                <w:sz w:val="16"/>
              </w:rPr>
              <w:t>0</w:t>
            </w:r>
          </w:p>
        </w:tc>
      </w:tr>
      <w:tr w:rsidR="00D664CB" w:rsidRPr="00D91062" w14:paraId="171FD87D" w14:textId="77777777" w:rsidTr="00A2361B">
        <w:trPr>
          <w:trHeight w:val="41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738DB3B2" w14:textId="77777777" w:rsidR="00D664CB" w:rsidRPr="00D91062" w:rsidRDefault="00D664CB" w:rsidP="00D664CB">
            <w:pPr>
              <w:spacing w:before="0" w:after="0"/>
              <w:ind w:firstLineChars="100" w:firstLine="160"/>
              <w:jc w:val="left"/>
              <w:rPr>
                <w:noProof/>
                <w:color w:val="000000"/>
                <w:sz w:val="16"/>
              </w:rPr>
            </w:pPr>
            <w:r w:rsidRPr="00D91062">
              <w:rPr>
                <w:noProof/>
                <w:color w:val="000000"/>
                <w:sz w:val="16"/>
              </w:rPr>
              <w:t>(cercetare indirectă)</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E33AD0D"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F828917"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DD20822"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D8EAC7C"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57BEA5C"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DDAB90B"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AF9AAF2" w14:textId="77777777" w:rsidR="00D664CB" w:rsidRPr="00D91062" w:rsidRDefault="00D664CB" w:rsidP="00D664CB">
            <w:pPr>
              <w:spacing w:before="0" w:after="0"/>
              <w:jc w:val="center"/>
              <w:rPr>
                <w:noProof/>
                <w:color w:val="000000"/>
                <w:sz w:val="16"/>
              </w:rPr>
            </w:pPr>
            <w:r w:rsidRPr="00D91062">
              <w:rPr>
                <w:noProof/>
                <w:color w:val="000000"/>
                <w:sz w:val="16"/>
              </w:rPr>
              <w:t>0</w:t>
            </w:r>
          </w:p>
        </w:tc>
      </w:tr>
      <w:tr w:rsidR="00D664CB" w:rsidRPr="00D91062" w14:paraId="7EB1F6C7" w14:textId="77777777" w:rsidTr="00A2361B">
        <w:trPr>
          <w:trHeight w:val="38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3BC0ED55" w14:textId="77777777" w:rsidR="00D664CB" w:rsidRPr="00D91062" w:rsidRDefault="00D664CB" w:rsidP="00D664CB">
            <w:pPr>
              <w:spacing w:before="0" w:after="0"/>
              <w:ind w:firstLineChars="100" w:firstLine="160"/>
              <w:jc w:val="left"/>
              <w:rPr>
                <w:noProof/>
                <w:color w:val="000000"/>
                <w:sz w:val="16"/>
              </w:rPr>
            </w:pPr>
            <w:r w:rsidRPr="00D91062">
              <w:rPr>
                <w:noProof/>
                <w:color w:val="000000"/>
                <w:sz w:val="16"/>
              </w:rPr>
              <w:t>(cercetare directă)</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35D9903"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8C3FEB3"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20F078C"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5A15CA0"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A6B4D01"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175E1E6"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26819C8" w14:textId="77777777" w:rsidR="00D664CB" w:rsidRPr="00D91062" w:rsidRDefault="00D664CB" w:rsidP="00D664CB">
            <w:pPr>
              <w:spacing w:before="0" w:after="0"/>
              <w:jc w:val="center"/>
              <w:rPr>
                <w:noProof/>
                <w:color w:val="000000"/>
                <w:sz w:val="16"/>
              </w:rPr>
            </w:pPr>
            <w:r w:rsidRPr="00D91062">
              <w:rPr>
                <w:noProof/>
                <w:color w:val="000000"/>
                <w:sz w:val="16"/>
              </w:rPr>
              <w:t>0</w:t>
            </w:r>
          </w:p>
        </w:tc>
      </w:tr>
      <w:tr w:rsidR="00D664CB" w:rsidRPr="00D91062" w14:paraId="2E6B1085" w14:textId="77777777" w:rsidTr="00A2361B">
        <w:trPr>
          <w:trHeight w:val="38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0C552A6E" w14:textId="77777777" w:rsidR="00D664CB" w:rsidRPr="00D91062" w:rsidRDefault="00D664CB" w:rsidP="00D664CB">
            <w:pPr>
              <w:spacing w:before="0" w:after="0"/>
              <w:ind w:firstLineChars="100" w:firstLine="160"/>
              <w:jc w:val="left"/>
              <w:rPr>
                <w:noProof/>
                <w:color w:val="000000"/>
                <w:sz w:val="16"/>
              </w:rPr>
            </w:pPr>
            <w:r w:rsidRPr="00D91062">
              <w:rPr>
                <w:noProof/>
                <w:color w:val="000000"/>
                <w:sz w:val="16"/>
              </w:rPr>
              <w:t>Alte linii bugetare (a se preciza)</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A49746F"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F04A230"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FCED970"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D787AE7"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20FA1E5"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CC2ADF4"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398225C" w14:textId="77777777" w:rsidR="00D664CB" w:rsidRPr="00D91062" w:rsidRDefault="00D664CB" w:rsidP="00D664CB">
            <w:pPr>
              <w:spacing w:before="0" w:after="0"/>
              <w:jc w:val="center"/>
              <w:rPr>
                <w:noProof/>
                <w:color w:val="000000"/>
                <w:sz w:val="16"/>
              </w:rPr>
            </w:pPr>
            <w:r w:rsidRPr="00D91062">
              <w:rPr>
                <w:noProof/>
                <w:color w:val="000000"/>
                <w:sz w:val="16"/>
              </w:rPr>
              <w:t>0</w:t>
            </w:r>
          </w:p>
        </w:tc>
      </w:tr>
      <w:tr w:rsidR="00D664CB" w:rsidRPr="00D91062" w14:paraId="3D7D2B61" w14:textId="77777777" w:rsidTr="00A2361B">
        <w:trPr>
          <w:trHeight w:val="300"/>
        </w:trPr>
        <w:tc>
          <w:tcPr>
            <w:tcW w:w="5000" w:type="pct"/>
            <w:gridSpan w:val="9"/>
            <w:tcBorders>
              <w:top w:val="single" w:sz="8" w:space="0" w:color="auto"/>
              <w:left w:val="single" w:sz="8" w:space="0" w:color="auto"/>
              <w:bottom w:val="nil"/>
              <w:right w:val="nil"/>
            </w:tcBorders>
            <w:vAlign w:val="center"/>
            <w:hideMark/>
          </w:tcPr>
          <w:p w14:paraId="5C6583C6" w14:textId="77777777" w:rsidR="00D664CB" w:rsidRPr="00D91062" w:rsidRDefault="00D664CB" w:rsidP="00D664CB">
            <w:pPr>
              <w:spacing w:before="0" w:after="0"/>
              <w:jc w:val="center"/>
              <w:rPr>
                <w:rFonts w:ascii="Calibri" w:hAnsi="Calibri"/>
                <w:b/>
                <w:noProof/>
                <w:color w:val="000000"/>
                <w:sz w:val="16"/>
              </w:rPr>
            </w:pPr>
            <w:r w:rsidRPr="00D91062">
              <w:rPr>
                <w:rFonts w:ascii="Calibri" w:hAnsi="Calibri"/>
                <w:b/>
                <w:noProof/>
                <w:color w:val="000000"/>
                <w:sz w:val="16"/>
              </w:rPr>
              <w:t>•</w:t>
            </w:r>
            <w:r w:rsidRPr="00D91062">
              <w:rPr>
                <w:b/>
                <w:noProof/>
                <w:color w:val="000000"/>
                <w:sz w:val="16"/>
              </w:rPr>
              <w:t xml:space="preserve"> Personal extern (în ENI)</w:t>
            </w:r>
          </w:p>
        </w:tc>
      </w:tr>
      <w:tr w:rsidR="00D664CB" w:rsidRPr="00D91062" w14:paraId="7AEE1992" w14:textId="77777777" w:rsidTr="00A2361B">
        <w:trPr>
          <w:trHeight w:val="41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05F60A06" w14:textId="77777777" w:rsidR="00D664CB" w:rsidRPr="00D91062" w:rsidRDefault="00D664CB" w:rsidP="00D664CB">
            <w:pPr>
              <w:spacing w:before="0" w:after="0"/>
              <w:ind w:firstLineChars="100" w:firstLine="160"/>
              <w:jc w:val="left"/>
              <w:rPr>
                <w:noProof/>
                <w:color w:val="000000"/>
                <w:sz w:val="16"/>
              </w:rPr>
            </w:pPr>
            <w:r w:rsidRPr="00D91062">
              <w:rPr>
                <w:noProof/>
                <w:color w:val="000000"/>
                <w:sz w:val="16"/>
              </w:rPr>
              <w:t>20 02 01 (AC, END din „pachetul global”)</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AEB3D3B" w14:textId="77777777" w:rsidR="00D664CB" w:rsidRPr="00D91062" w:rsidRDefault="00D664CB" w:rsidP="00D664CB">
            <w:pPr>
              <w:spacing w:before="0" w:after="0"/>
              <w:jc w:val="center"/>
              <w:rPr>
                <w:noProof/>
                <w:color w:val="000000"/>
                <w:sz w:val="16"/>
                <w:szCs w:val="16"/>
              </w:rPr>
            </w:pPr>
            <w:r w:rsidRPr="00D91062">
              <w:rPr>
                <w:noProof/>
                <w:color w:val="000000" w:themeColor="text1"/>
                <w:sz w:val="16"/>
              </w:rPr>
              <w:t>3</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D98CAFD" w14:textId="77777777" w:rsidR="00D664CB" w:rsidRPr="00D91062" w:rsidRDefault="00D664CB" w:rsidP="00D664CB">
            <w:pPr>
              <w:spacing w:before="0" w:after="0"/>
              <w:jc w:val="center"/>
              <w:rPr>
                <w:noProof/>
                <w:color w:val="000000"/>
                <w:sz w:val="16"/>
                <w:szCs w:val="16"/>
              </w:rPr>
            </w:pPr>
            <w:r w:rsidRPr="00D91062">
              <w:rPr>
                <w:noProof/>
                <w:color w:val="000000" w:themeColor="text1"/>
                <w:sz w:val="16"/>
              </w:rPr>
              <w:t>3</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9B01B7C" w14:textId="77777777" w:rsidR="00D664CB" w:rsidRPr="00D91062" w:rsidRDefault="00D664CB" w:rsidP="00D664CB">
            <w:pPr>
              <w:spacing w:before="0" w:after="0"/>
              <w:jc w:val="center"/>
              <w:rPr>
                <w:noProof/>
                <w:color w:val="000000"/>
                <w:sz w:val="16"/>
                <w:szCs w:val="16"/>
              </w:rPr>
            </w:pPr>
            <w:r w:rsidRPr="00D91062">
              <w:rPr>
                <w:noProof/>
                <w:color w:val="000000" w:themeColor="text1"/>
                <w:sz w:val="16"/>
              </w:rPr>
              <w:t>3</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41B3A23" w14:textId="77777777" w:rsidR="00D664CB" w:rsidRPr="00D91062" w:rsidRDefault="00D664CB" w:rsidP="00D664CB">
            <w:pPr>
              <w:spacing w:before="0" w:after="0"/>
              <w:jc w:val="center"/>
              <w:rPr>
                <w:noProof/>
                <w:color w:val="000000"/>
                <w:sz w:val="16"/>
                <w:szCs w:val="16"/>
              </w:rPr>
            </w:pPr>
            <w:r w:rsidRPr="00D91062">
              <w:rPr>
                <w:noProof/>
                <w:color w:val="000000" w:themeColor="text1"/>
                <w:sz w:val="16"/>
              </w:rPr>
              <w:t>3</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392459B" w14:textId="77777777" w:rsidR="00D664CB" w:rsidRPr="00D91062" w:rsidRDefault="00D664CB" w:rsidP="00D664CB">
            <w:pPr>
              <w:spacing w:before="0" w:after="0"/>
              <w:jc w:val="center"/>
              <w:rPr>
                <w:noProof/>
                <w:color w:val="000000"/>
                <w:sz w:val="16"/>
                <w:szCs w:val="16"/>
              </w:rPr>
            </w:pPr>
            <w:r w:rsidRPr="00D91062">
              <w:rPr>
                <w:noProof/>
                <w:color w:val="000000" w:themeColor="text1"/>
                <w:sz w:val="16"/>
              </w:rPr>
              <w:t>3</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D850C93" w14:textId="77777777" w:rsidR="00D664CB" w:rsidRPr="00D91062" w:rsidRDefault="00D664CB" w:rsidP="00D664CB">
            <w:pPr>
              <w:spacing w:before="0" w:after="0"/>
              <w:jc w:val="center"/>
              <w:rPr>
                <w:noProof/>
                <w:color w:val="000000"/>
                <w:sz w:val="16"/>
                <w:szCs w:val="16"/>
              </w:rPr>
            </w:pPr>
            <w:r w:rsidRPr="00D91062">
              <w:rPr>
                <w:noProof/>
                <w:color w:val="000000" w:themeColor="text1"/>
                <w:sz w:val="16"/>
              </w:rPr>
              <w:t>3</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4401EE6" w14:textId="77777777" w:rsidR="00D664CB" w:rsidRPr="00D91062" w:rsidRDefault="00D664CB" w:rsidP="00D664CB">
            <w:pPr>
              <w:spacing w:before="0" w:after="0"/>
              <w:jc w:val="center"/>
              <w:rPr>
                <w:noProof/>
                <w:color w:val="000000"/>
                <w:sz w:val="16"/>
                <w:szCs w:val="16"/>
              </w:rPr>
            </w:pPr>
            <w:r w:rsidRPr="00D91062">
              <w:rPr>
                <w:noProof/>
                <w:color w:val="000000" w:themeColor="text1"/>
                <w:sz w:val="16"/>
              </w:rPr>
              <w:t>3</w:t>
            </w:r>
          </w:p>
        </w:tc>
      </w:tr>
      <w:tr w:rsidR="00D664CB" w:rsidRPr="00D91062" w14:paraId="4FB273C7" w14:textId="77777777" w:rsidTr="00A2361B">
        <w:trPr>
          <w:trHeight w:val="52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1B57E2D6" w14:textId="77777777" w:rsidR="00D664CB" w:rsidRPr="00D91062" w:rsidRDefault="00D664CB" w:rsidP="00D664CB">
            <w:pPr>
              <w:spacing w:before="0" w:after="0"/>
              <w:ind w:firstLineChars="100" w:firstLine="160"/>
              <w:jc w:val="left"/>
              <w:rPr>
                <w:noProof/>
                <w:color w:val="000000"/>
                <w:sz w:val="16"/>
              </w:rPr>
            </w:pPr>
            <w:r w:rsidRPr="00D91062">
              <w:rPr>
                <w:noProof/>
                <w:color w:val="000000"/>
                <w:sz w:val="16"/>
              </w:rPr>
              <w:t>20 02 03 (AC, AL, END și JPD în delegațiile UE)</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5A5FBB2"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BB587E0"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E2A564C"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93D64BE"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34EC3A3"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FB40C4C"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9488F68" w14:textId="77777777" w:rsidR="00D664CB" w:rsidRPr="00D91062" w:rsidRDefault="00D664CB" w:rsidP="00D664CB">
            <w:pPr>
              <w:spacing w:before="0" w:after="0"/>
              <w:jc w:val="center"/>
              <w:rPr>
                <w:noProof/>
                <w:color w:val="000000"/>
                <w:sz w:val="16"/>
              </w:rPr>
            </w:pPr>
            <w:r w:rsidRPr="00D91062">
              <w:rPr>
                <w:noProof/>
                <w:color w:val="000000"/>
                <w:sz w:val="16"/>
              </w:rPr>
              <w:t>0</w:t>
            </w:r>
          </w:p>
        </w:tc>
      </w:tr>
      <w:tr w:rsidR="00D664CB" w:rsidRPr="00D91062" w14:paraId="72DD23E3" w14:textId="77777777" w:rsidTr="00A2361B">
        <w:trPr>
          <w:trHeight w:val="640"/>
        </w:trPr>
        <w:tc>
          <w:tcPr>
            <w:tcW w:w="751" w:type="pct"/>
            <w:tcBorders>
              <w:top w:val="nil"/>
              <w:left w:val="single" w:sz="8" w:space="0" w:color="auto"/>
              <w:bottom w:val="nil"/>
              <w:right w:val="single" w:sz="8" w:space="0" w:color="auto"/>
            </w:tcBorders>
            <w:vAlign w:val="center"/>
            <w:hideMark/>
          </w:tcPr>
          <w:p w14:paraId="0C1081D2" w14:textId="77777777" w:rsidR="00D664CB" w:rsidRPr="00D91062" w:rsidRDefault="00D664CB" w:rsidP="00D664CB">
            <w:pPr>
              <w:spacing w:before="0" w:after="0"/>
              <w:jc w:val="center"/>
              <w:rPr>
                <w:noProof/>
                <w:color w:val="000000"/>
                <w:sz w:val="16"/>
              </w:rPr>
            </w:pPr>
            <w:r w:rsidRPr="00D91062">
              <w:rPr>
                <w:noProof/>
                <w:color w:val="000000"/>
                <w:sz w:val="16"/>
              </w:rPr>
              <w:t>Linia de sprijin administrativ</w:t>
            </w:r>
          </w:p>
        </w:tc>
        <w:tc>
          <w:tcPr>
            <w:tcW w:w="619" w:type="pct"/>
            <w:tcBorders>
              <w:top w:val="nil"/>
              <w:left w:val="nil"/>
              <w:bottom w:val="single" w:sz="8" w:space="0" w:color="auto"/>
              <w:right w:val="single" w:sz="8" w:space="0" w:color="auto"/>
            </w:tcBorders>
            <w:vAlign w:val="center"/>
            <w:hideMark/>
          </w:tcPr>
          <w:p w14:paraId="705117AC" w14:textId="77777777" w:rsidR="00D664CB" w:rsidRPr="00D91062" w:rsidRDefault="00D664CB" w:rsidP="00D664CB">
            <w:pPr>
              <w:spacing w:before="0" w:after="0"/>
              <w:ind w:firstLineChars="100" w:firstLine="160"/>
              <w:jc w:val="left"/>
              <w:rPr>
                <w:noProof/>
                <w:color w:val="000000"/>
                <w:sz w:val="16"/>
              </w:rPr>
            </w:pPr>
            <w:r w:rsidRPr="00D91062">
              <w:rPr>
                <w:noProof/>
                <w:color w:val="000000"/>
                <w:sz w:val="16"/>
              </w:rPr>
              <w:t>- la sediu</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2061F23"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FE57314"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07CBFB9"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CD406FA"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D1C9ECE"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E051396"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3CD37AA" w14:textId="77777777" w:rsidR="00D664CB" w:rsidRPr="00D91062" w:rsidRDefault="00D664CB" w:rsidP="00D664CB">
            <w:pPr>
              <w:spacing w:before="0" w:after="0"/>
              <w:jc w:val="center"/>
              <w:rPr>
                <w:noProof/>
                <w:color w:val="000000"/>
                <w:sz w:val="16"/>
              </w:rPr>
            </w:pPr>
            <w:r w:rsidRPr="00D91062">
              <w:rPr>
                <w:noProof/>
                <w:color w:val="000000"/>
                <w:sz w:val="16"/>
              </w:rPr>
              <w:t>0</w:t>
            </w:r>
          </w:p>
        </w:tc>
      </w:tr>
      <w:tr w:rsidR="00D664CB" w:rsidRPr="00D91062" w14:paraId="777EDB54" w14:textId="77777777" w:rsidTr="00A2361B">
        <w:trPr>
          <w:trHeight w:val="430"/>
        </w:trPr>
        <w:tc>
          <w:tcPr>
            <w:tcW w:w="751" w:type="pct"/>
            <w:tcBorders>
              <w:top w:val="nil"/>
              <w:left w:val="single" w:sz="8" w:space="0" w:color="auto"/>
              <w:bottom w:val="single" w:sz="8" w:space="0" w:color="auto"/>
              <w:right w:val="single" w:sz="8" w:space="0" w:color="auto"/>
            </w:tcBorders>
            <w:vAlign w:val="center"/>
            <w:hideMark/>
          </w:tcPr>
          <w:p w14:paraId="28B69EF9" w14:textId="77777777" w:rsidR="00D664CB" w:rsidRPr="00D91062" w:rsidRDefault="00D664CB" w:rsidP="00D664CB">
            <w:pPr>
              <w:spacing w:before="0" w:after="0"/>
              <w:jc w:val="center"/>
              <w:rPr>
                <w:noProof/>
                <w:color w:val="000000"/>
                <w:sz w:val="16"/>
              </w:rPr>
            </w:pPr>
            <w:r w:rsidRPr="00D91062">
              <w:rPr>
                <w:noProof/>
                <w:color w:val="000000"/>
                <w:sz w:val="16"/>
              </w:rPr>
              <w:t>[XX.01.YY.YY]</w:t>
            </w:r>
          </w:p>
        </w:tc>
        <w:tc>
          <w:tcPr>
            <w:tcW w:w="619" w:type="pct"/>
            <w:tcBorders>
              <w:top w:val="nil"/>
              <w:left w:val="nil"/>
              <w:bottom w:val="single" w:sz="8" w:space="0" w:color="auto"/>
              <w:right w:val="single" w:sz="8" w:space="0" w:color="auto"/>
            </w:tcBorders>
            <w:vAlign w:val="center"/>
            <w:hideMark/>
          </w:tcPr>
          <w:p w14:paraId="00FD7254" w14:textId="77777777" w:rsidR="00D664CB" w:rsidRPr="00D91062" w:rsidRDefault="00D664CB" w:rsidP="00D664CB">
            <w:pPr>
              <w:spacing w:before="0" w:after="0"/>
              <w:ind w:firstLineChars="100" w:firstLine="160"/>
              <w:jc w:val="left"/>
              <w:rPr>
                <w:noProof/>
                <w:color w:val="000000"/>
                <w:sz w:val="16"/>
              </w:rPr>
            </w:pPr>
            <w:r w:rsidRPr="00D91062">
              <w:rPr>
                <w:noProof/>
                <w:color w:val="000000"/>
                <w:sz w:val="16"/>
              </w:rPr>
              <w:t xml:space="preserve">- în delegațiile UE </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617B904"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27218049"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B43277B"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A4E694B"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D2A4F0A"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B2728F2"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85A9E7C" w14:textId="77777777" w:rsidR="00D664CB" w:rsidRPr="00D91062" w:rsidRDefault="00D664CB" w:rsidP="00D664CB">
            <w:pPr>
              <w:spacing w:before="0" w:after="0"/>
              <w:jc w:val="center"/>
              <w:rPr>
                <w:noProof/>
                <w:color w:val="000000"/>
                <w:sz w:val="16"/>
              </w:rPr>
            </w:pPr>
            <w:r w:rsidRPr="00D91062">
              <w:rPr>
                <w:noProof/>
                <w:color w:val="000000"/>
                <w:sz w:val="16"/>
              </w:rPr>
              <w:t>0</w:t>
            </w:r>
          </w:p>
        </w:tc>
      </w:tr>
      <w:tr w:rsidR="00D664CB" w:rsidRPr="00D91062" w14:paraId="42EB97C5" w14:textId="77777777" w:rsidTr="00A2361B">
        <w:trPr>
          <w:trHeight w:val="41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58B10F03" w14:textId="77777777" w:rsidR="00D664CB" w:rsidRPr="00D91062" w:rsidRDefault="00D664CB" w:rsidP="00D664CB">
            <w:pPr>
              <w:spacing w:before="0" w:after="0"/>
              <w:ind w:firstLineChars="100" w:firstLine="160"/>
              <w:jc w:val="left"/>
              <w:rPr>
                <w:noProof/>
                <w:color w:val="000000"/>
                <w:sz w:val="16"/>
              </w:rPr>
            </w:pPr>
            <w:r w:rsidRPr="00D91062">
              <w:rPr>
                <w:noProof/>
                <w:color w:val="000000"/>
                <w:sz w:val="16"/>
              </w:rPr>
              <w:t>(AC, END – cercetare indirectă)</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B99DCB4"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8B4AD78"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66FCAC1"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9C2392F"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B18AF91"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D14324E"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ADAB200" w14:textId="77777777" w:rsidR="00D664CB" w:rsidRPr="00D91062" w:rsidRDefault="00D664CB" w:rsidP="00D664CB">
            <w:pPr>
              <w:spacing w:before="0" w:after="0"/>
              <w:jc w:val="center"/>
              <w:rPr>
                <w:noProof/>
                <w:color w:val="000000"/>
                <w:sz w:val="16"/>
              </w:rPr>
            </w:pPr>
            <w:r w:rsidRPr="00D91062">
              <w:rPr>
                <w:noProof/>
                <w:color w:val="000000"/>
                <w:sz w:val="16"/>
              </w:rPr>
              <w:t>0</w:t>
            </w:r>
          </w:p>
        </w:tc>
      </w:tr>
      <w:tr w:rsidR="00D664CB" w:rsidRPr="00D91062" w14:paraId="5E44D31D" w14:textId="77777777" w:rsidTr="00A2361B">
        <w:trPr>
          <w:trHeight w:val="38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632A3E60" w14:textId="77777777" w:rsidR="00D664CB" w:rsidRPr="00D91062" w:rsidRDefault="00D664CB" w:rsidP="00D664CB">
            <w:pPr>
              <w:spacing w:before="0" w:after="0"/>
              <w:ind w:firstLineChars="100" w:firstLine="160"/>
              <w:jc w:val="left"/>
              <w:rPr>
                <w:noProof/>
                <w:color w:val="000000"/>
                <w:sz w:val="16"/>
              </w:rPr>
            </w:pPr>
            <w:r w:rsidRPr="00D91062">
              <w:rPr>
                <w:noProof/>
                <w:color w:val="000000"/>
                <w:sz w:val="16"/>
              </w:rPr>
              <w:t>(AC, END – cercetare directă)</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6A7D299"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F471CBC"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6263A60"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39A6C29"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6344154"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DBB0496"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AABDCDC" w14:textId="77777777" w:rsidR="00D664CB" w:rsidRPr="00D91062" w:rsidRDefault="00D664CB" w:rsidP="00D664CB">
            <w:pPr>
              <w:spacing w:before="0" w:after="0"/>
              <w:jc w:val="center"/>
              <w:rPr>
                <w:noProof/>
                <w:color w:val="000000"/>
                <w:sz w:val="16"/>
              </w:rPr>
            </w:pPr>
            <w:r w:rsidRPr="00D91062">
              <w:rPr>
                <w:noProof/>
                <w:color w:val="000000"/>
                <w:sz w:val="16"/>
              </w:rPr>
              <w:t>0</w:t>
            </w:r>
          </w:p>
        </w:tc>
      </w:tr>
      <w:tr w:rsidR="00D664CB" w:rsidRPr="00D91062" w14:paraId="151F64E5" w14:textId="77777777" w:rsidTr="00A2361B">
        <w:trPr>
          <w:trHeight w:val="38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1163EEA8" w14:textId="77777777" w:rsidR="00D664CB" w:rsidRPr="00D91062" w:rsidRDefault="00D664CB" w:rsidP="00D664CB">
            <w:pPr>
              <w:spacing w:before="0" w:after="0"/>
              <w:ind w:firstLineChars="100" w:firstLine="160"/>
              <w:jc w:val="left"/>
              <w:rPr>
                <w:noProof/>
                <w:color w:val="000000"/>
                <w:sz w:val="16"/>
              </w:rPr>
            </w:pPr>
            <w:r w:rsidRPr="00D91062">
              <w:rPr>
                <w:noProof/>
                <w:color w:val="000000"/>
                <w:sz w:val="16"/>
              </w:rPr>
              <w:t>Alte linii bugetare (a se preciza) – rubrica 4</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1C764D2"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9739233"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01BC7411"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5BD52DE"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B20EC50"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916857C"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700BF0BD" w14:textId="77777777" w:rsidR="00D664CB" w:rsidRPr="00D91062" w:rsidRDefault="00D664CB" w:rsidP="00D664CB">
            <w:pPr>
              <w:spacing w:before="0" w:after="0"/>
              <w:jc w:val="center"/>
              <w:rPr>
                <w:noProof/>
                <w:color w:val="000000"/>
                <w:sz w:val="16"/>
              </w:rPr>
            </w:pPr>
            <w:r w:rsidRPr="00D91062">
              <w:rPr>
                <w:noProof/>
                <w:color w:val="000000"/>
                <w:sz w:val="16"/>
              </w:rPr>
              <w:t>0</w:t>
            </w:r>
          </w:p>
        </w:tc>
      </w:tr>
      <w:tr w:rsidR="00D664CB" w:rsidRPr="00D91062" w14:paraId="358D3A66" w14:textId="77777777" w:rsidTr="00A2361B">
        <w:trPr>
          <w:trHeight w:val="52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706E5DC2" w14:textId="77777777" w:rsidR="00D664CB" w:rsidRPr="00D91062" w:rsidRDefault="00D664CB" w:rsidP="00D664CB">
            <w:pPr>
              <w:spacing w:before="0" w:after="0"/>
              <w:ind w:firstLineChars="100" w:firstLine="160"/>
              <w:jc w:val="left"/>
              <w:rPr>
                <w:noProof/>
                <w:color w:val="000000"/>
                <w:sz w:val="16"/>
              </w:rPr>
            </w:pPr>
            <w:r w:rsidRPr="00D91062">
              <w:rPr>
                <w:noProof/>
                <w:color w:val="000000"/>
                <w:sz w:val="16"/>
              </w:rPr>
              <w:t>Alte linii bugetare (a se preciza) – în afara rubricii 4</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50FE0FF"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D378AD9"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6D69C78"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23D882D"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D9E055B"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2405A2F" w14:textId="77777777" w:rsidR="00D664CB" w:rsidRPr="00D91062" w:rsidRDefault="00D664CB" w:rsidP="00D664CB">
            <w:pPr>
              <w:spacing w:before="0" w:after="0"/>
              <w:jc w:val="center"/>
              <w:rPr>
                <w:noProof/>
                <w:color w:val="000000"/>
                <w:sz w:val="16"/>
              </w:rPr>
            </w:pPr>
            <w:r w:rsidRPr="00D91062">
              <w:rPr>
                <w:noProof/>
                <w:color w:val="000000"/>
                <w:sz w:val="16"/>
              </w:rPr>
              <w:t>0</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59D0AD17" w14:textId="77777777" w:rsidR="00D664CB" w:rsidRPr="00D91062" w:rsidRDefault="00D664CB" w:rsidP="00D664CB">
            <w:pPr>
              <w:spacing w:before="0" w:after="0"/>
              <w:jc w:val="center"/>
              <w:rPr>
                <w:noProof/>
                <w:color w:val="000000"/>
                <w:sz w:val="16"/>
              </w:rPr>
            </w:pPr>
            <w:r w:rsidRPr="00D91062">
              <w:rPr>
                <w:noProof/>
                <w:color w:val="000000"/>
                <w:sz w:val="16"/>
              </w:rPr>
              <w:t>0</w:t>
            </w:r>
          </w:p>
        </w:tc>
      </w:tr>
      <w:tr w:rsidR="00D664CB" w:rsidRPr="00D91062" w14:paraId="66C038A1" w14:textId="77777777" w:rsidTr="00A2361B">
        <w:trPr>
          <w:trHeight w:val="300"/>
        </w:trPr>
        <w:tc>
          <w:tcPr>
            <w:tcW w:w="1370" w:type="pct"/>
            <w:gridSpan w:val="2"/>
            <w:tcBorders>
              <w:top w:val="single" w:sz="8" w:space="0" w:color="auto"/>
              <w:left w:val="single" w:sz="8" w:space="0" w:color="auto"/>
              <w:bottom w:val="single" w:sz="8" w:space="0" w:color="auto"/>
              <w:right w:val="single" w:sz="8" w:space="0" w:color="000000" w:themeColor="text1"/>
            </w:tcBorders>
            <w:vAlign w:val="center"/>
            <w:hideMark/>
          </w:tcPr>
          <w:p w14:paraId="06063C3E" w14:textId="77777777" w:rsidR="00D664CB" w:rsidRPr="00D91062" w:rsidRDefault="00D664CB" w:rsidP="00D664CB">
            <w:pPr>
              <w:spacing w:before="0" w:after="0"/>
              <w:ind w:firstLineChars="100" w:firstLine="160"/>
              <w:jc w:val="left"/>
              <w:rPr>
                <w:b/>
                <w:bCs/>
                <w:noProof/>
                <w:color w:val="000000"/>
                <w:sz w:val="16"/>
                <w:szCs w:val="16"/>
              </w:rPr>
            </w:pPr>
            <w:r w:rsidRPr="00D91062">
              <w:rPr>
                <w:b/>
                <w:noProof/>
                <w:color w:val="000000" w:themeColor="text1"/>
                <w:sz w:val="16"/>
              </w:rPr>
              <w:t>TOTAL</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3841BA31" w14:textId="77777777" w:rsidR="00D664CB" w:rsidRPr="00D91062" w:rsidRDefault="00D664CB" w:rsidP="00D664CB">
            <w:pPr>
              <w:spacing w:before="0" w:after="0"/>
              <w:jc w:val="center"/>
              <w:rPr>
                <w:b/>
                <w:bCs/>
                <w:noProof/>
                <w:color w:val="000000"/>
                <w:sz w:val="16"/>
                <w:szCs w:val="16"/>
              </w:rPr>
            </w:pPr>
            <w:r w:rsidRPr="00D91062">
              <w:rPr>
                <w:b/>
                <w:noProof/>
                <w:color w:val="000000" w:themeColor="text1"/>
                <w:sz w:val="16"/>
              </w:rPr>
              <w:t>9</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C90AEF6" w14:textId="77777777" w:rsidR="00D664CB" w:rsidRPr="00D91062" w:rsidRDefault="00D664CB" w:rsidP="00D664CB">
            <w:pPr>
              <w:spacing w:before="0" w:after="0"/>
              <w:jc w:val="center"/>
              <w:rPr>
                <w:b/>
                <w:bCs/>
                <w:noProof/>
                <w:color w:val="000000"/>
                <w:sz w:val="16"/>
                <w:szCs w:val="16"/>
              </w:rPr>
            </w:pPr>
            <w:r w:rsidRPr="00D91062">
              <w:rPr>
                <w:b/>
                <w:noProof/>
                <w:color w:val="000000" w:themeColor="text1"/>
                <w:sz w:val="16"/>
              </w:rPr>
              <w:t>9</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594DFF1" w14:textId="77777777" w:rsidR="00D664CB" w:rsidRPr="00D91062" w:rsidRDefault="00D664CB" w:rsidP="00D664CB">
            <w:pPr>
              <w:spacing w:before="0" w:after="0"/>
              <w:jc w:val="center"/>
              <w:rPr>
                <w:b/>
                <w:bCs/>
                <w:noProof/>
                <w:color w:val="000000"/>
                <w:sz w:val="16"/>
                <w:szCs w:val="16"/>
              </w:rPr>
            </w:pPr>
            <w:r w:rsidRPr="00D91062">
              <w:rPr>
                <w:b/>
                <w:noProof/>
                <w:color w:val="000000" w:themeColor="text1"/>
                <w:sz w:val="16"/>
              </w:rPr>
              <w:t>9</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B6012D2" w14:textId="77777777" w:rsidR="00D664CB" w:rsidRPr="00D91062" w:rsidRDefault="00D664CB" w:rsidP="00D664CB">
            <w:pPr>
              <w:spacing w:before="0" w:after="0"/>
              <w:jc w:val="center"/>
              <w:rPr>
                <w:b/>
                <w:bCs/>
                <w:noProof/>
                <w:color w:val="000000"/>
                <w:sz w:val="16"/>
                <w:szCs w:val="16"/>
              </w:rPr>
            </w:pPr>
            <w:r w:rsidRPr="00D91062">
              <w:rPr>
                <w:b/>
                <w:noProof/>
                <w:color w:val="000000" w:themeColor="text1"/>
                <w:sz w:val="16"/>
              </w:rPr>
              <w:t>9</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4FBEB5D7" w14:textId="77777777" w:rsidR="00D664CB" w:rsidRPr="00D91062" w:rsidRDefault="00D664CB" w:rsidP="00D664CB">
            <w:pPr>
              <w:spacing w:before="0" w:after="0"/>
              <w:jc w:val="center"/>
              <w:rPr>
                <w:b/>
                <w:bCs/>
                <w:noProof/>
                <w:color w:val="000000"/>
                <w:sz w:val="16"/>
                <w:szCs w:val="16"/>
              </w:rPr>
            </w:pPr>
            <w:r w:rsidRPr="00D91062">
              <w:rPr>
                <w:b/>
                <w:noProof/>
                <w:color w:val="000000" w:themeColor="text1"/>
                <w:sz w:val="16"/>
              </w:rPr>
              <w:t>9</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6252D1BE" w14:textId="77777777" w:rsidR="00D664CB" w:rsidRPr="00D91062" w:rsidRDefault="00D664CB" w:rsidP="00D664CB">
            <w:pPr>
              <w:spacing w:before="0" w:after="0"/>
              <w:jc w:val="center"/>
              <w:rPr>
                <w:b/>
                <w:bCs/>
                <w:noProof/>
                <w:color w:val="000000"/>
                <w:sz w:val="16"/>
                <w:szCs w:val="16"/>
              </w:rPr>
            </w:pPr>
            <w:r w:rsidRPr="00D91062">
              <w:rPr>
                <w:b/>
                <w:noProof/>
                <w:color w:val="000000" w:themeColor="text1"/>
                <w:sz w:val="16"/>
              </w:rPr>
              <w:t>9</w:t>
            </w:r>
          </w:p>
        </w:tc>
        <w:tc>
          <w:tcPr>
            <w:tcW w:w="519" w:type="pct"/>
            <w:tcBorders>
              <w:top w:val="nil"/>
              <w:left w:val="nil"/>
              <w:bottom w:val="single" w:sz="8" w:space="0" w:color="auto"/>
              <w:right w:val="single" w:sz="8" w:space="0" w:color="auto"/>
            </w:tcBorders>
            <w:shd w:val="clear" w:color="auto" w:fill="D9D9D9" w:themeFill="background1" w:themeFillShade="D9"/>
            <w:vAlign w:val="center"/>
            <w:hideMark/>
          </w:tcPr>
          <w:p w14:paraId="1E4561A8" w14:textId="77777777" w:rsidR="00D664CB" w:rsidRPr="00D91062" w:rsidRDefault="00D664CB" w:rsidP="00D664CB">
            <w:pPr>
              <w:spacing w:before="0" w:after="0"/>
              <w:jc w:val="center"/>
              <w:rPr>
                <w:b/>
                <w:bCs/>
                <w:noProof/>
                <w:color w:val="000000"/>
                <w:sz w:val="16"/>
                <w:szCs w:val="16"/>
              </w:rPr>
            </w:pPr>
            <w:r w:rsidRPr="00D91062">
              <w:rPr>
                <w:b/>
                <w:noProof/>
                <w:color w:val="000000" w:themeColor="text1"/>
                <w:sz w:val="16"/>
              </w:rPr>
              <w:t>9</w:t>
            </w:r>
          </w:p>
        </w:tc>
      </w:tr>
    </w:tbl>
    <w:p w14:paraId="77496714" w14:textId="77777777" w:rsidR="00D664CB" w:rsidRPr="00D91062" w:rsidRDefault="00D664CB" w:rsidP="007A5721">
      <w:pPr>
        <w:pStyle w:val="Text1"/>
        <w:rPr>
          <w:noProof/>
        </w:rPr>
      </w:pPr>
      <w:r w:rsidRPr="00D91062">
        <w:rPr>
          <w:noProof/>
        </w:rPr>
        <w:t>Personalul necesar pentru punerea în aplicare a propunerii (în ENI):</w:t>
      </w:r>
    </w:p>
    <w:tbl>
      <w:tblPr>
        <w:tblStyle w:val="TableGrid"/>
        <w:tblW w:w="9487" w:type="dxa"/>
        <w:tblInd w:w="-426" w:type="dxa"/>
        <w:tblLook w:val="04A0" w:firstRow="1" w:lastRow="0" w:firstColumn="1" w:lastColumn="0" w:noHBand="0" w:noVBand="1"/>
      </w:tblPr>
      <w:tblGrid>
        <w:gridCol w:w="1952"/>
        <w:gridCol w:w="1924"/>
        <w:gridCol w:w="1927"/>
        <w:gridCol w:w="1937"/>
        <w:gridCol w:w="1747"/>
      </w:tblGrid>
      <w:tr w:rsidR="00D664CB" w:rsidRPr="00D91062" w14:paraId="721FC461" w14:textId="77777777" w:rsidTr="00354501">
        <w:trPr>
          <w:trHeight w:val="300"/>
        </w:trPr>
        <w:tc>
          <w:tcPr>
            <w:tcW w:w="1952" w:type="dxa"/>
          </w:tcPr>
          <w:p w14:paraId="56046E5D" w14:textId="77777777" w:rsidR="00D664CB" w:rsidRPr="00D91062" w:rsidRDefault="00D664CB" w:rsidP="00D664CB">
            <w:pPr>
              <w:jc w:val="center"/>
              <w:rPr>
                <w:b/>
                <w:bCs/>
                <w:noProof/>
                <w:sz w:val="22"/>
                <w:szCs w:val="28"/>
              </w:rPr>
            </w:pPr>
          </w:p>
        </w:tc>
        <w:tc>
          <w:tcPr>
            <w:tcW w:w="1924" w:type="dxa"/>
          </w:tcPr>
          <w:p w14:paraId="030AC89F" w14:textId="77777777" w:rsidR="00D664CB" w:rsidRPr="00D91062" w:rsidRDefault="00D664CB" w:rsidP="00D664CB">
            <w:pPr>
              <w:jc w:val="center"/>
              <w:rPr>
                <w:b/>
                <w:bCs/>
                <w:noProof/>
                <w:sz w:val="22"/>
              </w:rPr>
            </w:pPr>
            <w:r w:rsidRPr="00D91062">
              <w:rPr>
                <w:b/>
                <w:noProof/>
                <w:sz w:val="22"/>
              </w:rPr>
              <w:t xml:space="preserve">Personal ce urmează să fie acoperit de personalul actual disponibil în cadrul serviciilor Comisiei </w:t>
            </w:r>
          </w:p>
        </w:tc>
        <w:tc>
          <w:tcPr>
            <w:tcW w:w="5611" w:type="dxa"/>
            <w:gridSpan w:val="3"/>
          </w:tcPr>
          <w:p w14:paraId="4FBF1F47" w14:textId="77777777" w:rsidR="00D664CB" w:rsidRPr="00D91062" w:rsidRDefault="00D664CB" w:rsidP="00D664CB">
            <w:pPr>
              <w:jc w:val="center"/>
              <w:rPr>
                <w:b/>
                <w:bCs/>
                <w:noProof/>
                <w:sz w:val="22"/>
              </w:rPr>
            </w:pPr>
            <w:r w:rsidRPr="00D91062">
              <w:rPr>
                <w:b/>
                <w:noProof/>
                <w:sz w:val="22"/>
              </w:rPr>
              <w:t>În mod excepțional, personal suplimentar*</w:t>
            </w:r>
          </w:p>
        </w:tc>
      </w:tr>
      <w:tr w:rsidR="00D664CB" w:rsidRPr="00D91062" w14:paraId="2CEB1370" w14:textId="77777777" w:rsidTr="00354501">
        <w:trPr>
          <w:trHeight w:val="300"/>
        </w:trPr>
        <w:tc>
          <w:tcPr>
            <w:tcW w:w="1952" w:type="dxa"/>
          </w:tcPr>
          <w:p w14:paraId="47BDA90F" w14:textId="77777777" w:rsidR="00D664CB" w:rsidRPr="00D91062" w:rsidRDefault="00D664CB" w:rsidP="00D664CB">
            <w:pPr>
              <w:jc w:val="center"/>
              <w:rPr>
                <w:b/>
                <w:bCs/>
                <w:noProof/>
                <w:sz w:val="22"/>
                <w:szCs w:val="28"/>
              </w:rPr>
            </w:pPr>
          </w:p>
        </w:tc>
        <w:tc>
          <w:tcPr>
            <w:tcW w:w="1924" w:type="dxa"/>
          </w:tcPr>
          <w:p w14:paraId="520B8CF9" w14:textId="77777777" w:rsidR="00D664CB" w:rsidRPr="00D91062" w:rsidRDefault="00D664CB" w:rsidP="00D664CB">
            <w:pPr>
              <w:jc w:val="center"/>
              <w:rPr>
                <w:b/>
                <w:bCs/>
                <w:noProof/>
                <w:sz w:val="22"/>
                <w:szCs w:val="28"/>
              </w:rPr>
            </w:pPr>
          </w:p>
        </w:tc>
        <w:tc>
          <w:tcPr>
            <w:tcW w:w="1927" w:type="dxa"/>
          </w:tcPr>
          <w:p w14:paraId="202C1536" w14:textId="77777777" w:rsidR="00D664CB" w:rsidRPr="00D91062" w:rsidRDefault="00D664CB" w:rsidP="00D664CB">
            <w:pPr>
              <w:jc w:val="center"/>
              <w:rPr>
                <w:b/>
                <w:bCs/>
                <w:noProof/>
                <w:sz w:val="22"/>
              </w:rPr>
            </w:pPr>
            <w:r w:rsidRPr="00D91062">
              <w:rPr>
                <w:b/>
                <w:noProof/>
                <w:sz w:val="22"/>
              </w:rPr>
              <w:t>Personal ce urmează să fie finanțat în cadrul rubricii 4 sau Cercetare</w:t>
            </w:r>
          </w:p>
        </w:tc>
        <w:tc>
          <w:tcPr>
            <w:tcW w:w="1937" w:type="dxa"/>
          </w:tcPr>
          <w:p w14:paraId="5636698B" w14:textId="77777777" w:rsidR="00D664CB" w:rsidRPr="00D91062" w:rsidRDefault="00D664CB" w:rsidP="00D664CB">
            <w:pPr>
              <w:jc w:val="center"/>
              <w:rPr>
                <w:b/>
                <w:bCs/>
                <w:noProof/>
                <w:sz w:val="22"/>
                <w:szCs w:val="28"/>
              </w:rPr>
            </w:pPr>
            <w:r w:rsidRPr="00D91062">
              <w:rPr>
                <w:b/>
                <w:noProof/>
                <w:sz w:val="22"/>
              </w:rPr>
              <w:t>Personal ce urmează să fie finanțat de la linia BA</w:t>
            </w:r>
          </w:p>
        </w:tc>
        <w:tc>
          <w:tcPr>
            <w:tcW w:w="1747" w:type="dxa"/>
          </w:tcPr>
          <w:p w14:paraId="007BEACB" w14:textId="77777777" w:rsidR="00D664CB" w:rsidRPr="00D91062" w:rsidRDefault="00D664CB" w:rsidP="00D664CB">
            <w:pPr>
              <w:jc w:val="center"/>
              <w:rPr>
                <w:b/>
                <w:bCs/>
                <w:noProof/>
                <w:sz w:val="22"/>
                <w:szCs w:val="28"/>
              </w:rPr>
            </w:pPr>
            <w:r w:rsidRPr="00D91062">
              <w:rPr>
                <w:b/>
                <w:noProof/>
                <w:sz w:val="22"/>
              </w:rPr>
              <w:t>Personal ce urmează să fie finanțat din taxe</w:t>
            </w:r>
          </w:p>
        </w:tc>
      </w:tr>
      <w:tr w:rsidR="00D664CB" w:rsidRPr="00D91062" w14:paraId="0C91C5A3" w14:textId="77777777" w:rsidTr="00354501">
        <w:trPr>
          <w:trHeight w:val="300"/>
        </w:trPr>
        <w:tc>
          <w:tcPr>
            <w:tcW w:w="1952" w:type="dxa"/>
          </w:tcPr>
          <w:p w14:paraId="5155712D" w14:textId="77777777" w:rsidR="00D664CB" w:rsidRPr="00D91062" w:rsidRDefault="00D664CB" w:rsidP="00D664CB">
            <w:pPr>
              <w:rPr>
                <w:noProof/>
                <w:sz w:val="22"/>
              </w:rPr>
            </w:pPr>
            <w:r w:rsidRPr="00D91062">
              <w:rPr>
                <w:noProof/>
                <w:sz w:val="22"/>
              </w:rPr>
              <w:t>Posturi din schema de personal</w:t>
            </w:r>
          </w:p>
        </w:tc>
        <w:tc>
          <w:tcPr>
            <w:tcW w:w="1924" w:type="dxa"/>
          </w:tcPr>
          <w:p w14:paraId="55E3A73F" w14:textId="77777777" w:rsidR="00D664CB" w:rsidRPr="00D91062" w:rsidRDefault="00D664CB" w:rsidP="00D664CB">
            <w:pPr>
              <w:rPr>
                <w:noProof/>
                <w:sz w:val="22"/>
              </w:rPr>
            </w:pPr>
            <w:r w:rsidRPr="00D91062">
              <w:rPr>
                <w:noProof/>
                <w:sz w:val="22"/>
              </w:rPr>
              <w:t>3</w:t>
            </w:r>
          </w:p>
        </w:tc>
        <w:tc>
          <w:tcPr>
            <w:tcW w:w="1927" w:type="dxa"/>
          </w:tcPr>
          <w:p w14:paraId="19940098" w14:textId="77777777" w:rsidR="00D664CB" w:rsidRPr="00D91062" w:rsidRDefault="00D664CB" w:rsidP="00D664CB">
            <w:pPr>
              <w:rPr>
                <w:noProof/>
                <w:sz w:val="22"/>
              </w:rPr>
            </w:pPr>
            <w:r w:rsidRPr="00D91062">
              <w:rPr>
                <w:noProof/>
                <w:sz w:val="22"/>
              </w:rPr>
              <w:t>3</w:t>
            </w:r>
          </w:p>
        </w:tc>
        <w:tc>
          <w:tcPr>
            <w:tcW w:w="1937" w:type="dxa"/>
          </w:tcPr>
          <w:p w14:paraId="5DE77F7D" w14:textId="77777777" w:rsidR="00D664CB" w:rsidRPr="00D91062" w:rsidRDefault="00D664CB" w:rsidP="00D664CB">
            <w:pPr>
              <w:rPr>
                <w:noProof/>
                <w:sz w:val="22"/>
                <w:szCs w:val="28"/>
              </w:rPr>
            </w:pPr>
            <w:r w:rsidRPr="00D91062">
              <w:rPr>
                <w:noProof/>
                <w:sz w:val="22"/>
              </w:rPr>
              <w:t>N/A</w:t>
            </w:r>
          </w:p>
        </w:tc>
        <w:tc>
          <w:tcPr>
            <w:tcW w:w="1747" w:type="dxa"/>
          </w:tcPr>
          <w:p w14:paraId="1512C810" w14:textId="77777777" w:rsidR="00D664CB" w:rsidRPr="00D91062" w:rsidRDefault="00D664CB" w:rsidP="00D664CB">
            <w:pPr>
              <w:rPr>
                <w:noProof/>
                <w:sz w:val="22"/>
                <w:szCs w:val="28"/>
              </w:rPr>
            </w:pPr>
          </w:p>
        </w:tc>
      </w:tr>
      <w:tr w:rsidR="00D664CB" w:rsidRPr="00D91062" w14:paraId="75D04514" w14:textId="77777777" w:rsidTr="00354501">
        <w:trPr>
          <w:trHeight w:val="300"/>
        </w:trPr>
        <w:tc>
          <w:tcPr>
            <w:tcW w:w="1952" w:type="dxa"/>
          </w:tcPr>
          <w:p w14:paraId="4F57BE0E" w14:textId="77777777" w:rsidR="00D664CB" w:rsidRPr="00D91062" w:rsidRDefault="00D664CB" w:rsidP="00D664CB">
            <w:pPr>
              <w:rPr>
                <w:noProof/>
                <w:sz w:val="22"/>
                <w:szCs w:val="28"/>
              </w:rPr>
            </w:pPr>
            <w:r w:rsidRPr="00D91062">
              <w:rPr>
                <w:noProof/>
                <w:sz w:val="22"/>
              </w:rPr>
              <w:t>Personal extern (AC, END, INT)</w:t>
            </w:r>
          </w:p>
        </w:tc>
        <w:tc>
          <w:tcPr>
            <w:tcW w:w="1924" w:type="dxa"/>
          </w:tcPr>
          <w:p w14:paraId="7422EFA2" w14:textId="77777777" w:rsidR="00D664CB" w:rsidRPr="00D91062" w:rsidRDefault="00D664CB" w:rsidP="00D664CB">
            <w:pPr>
              <w:rPr>
                <w:noProof/>
                <w:sz w:val="22"/>
              </w:rPr>
            </w:pPr>
            <w:r w:rsidRPr="00D91062">
              <w:rPr>
                <w:noProof/>
                <w:sz w:val="22"/>
              </w:rPr>
              <w:t>1</w:t>
            </w:r>
          </w:p>
        </w:tc>
        <w:tc>
          <w:tcPr>
            <w:tcW w:w="1927" w:type="dxa"/>
          </w:tcPr>
          <w:p w14:paraId="7B4FFDCD" w14:textId="77777777" w:rsidR="00D664CB" w:rsidRPr="00D91062" w:rsidRDefault="00D664CB" w:rsidP="00D664CB">
            <w:pPr>
              <w:rPr>
                <w:noProof/>
                <w:sz w:val="22"/>
              </w:rPr>
            </w:pPr>
            <w:r w:rsidRPr="00D91062">
              <w:rPr>
                <w:noProof/>
                <w:sz w:val="22"/>
              </w:rPr>
              <w:t>2</w:t>
            </w:r>
          </w:p>
        </w:tc>
        <w:tc>
          <w:tcPr>
            <w:tcW w:w="1937" w:type="dxa"/>
          </w:tcPr>
          <w:p w14:paraId="46C8ADAA" w14:textId="77777777" w:rsidR="00D664CB" w:rsidRPr="00D91062" w:rsidRDefault="00D664CB" w:rsidP="00D664CB">
            <w:pPr>
              <w:rPr>
                <w:noProof/>
                <w:sz w:val="22"/>
                <w:szCs w:val="28"/>
              </w:rPr>
            </w:pPr>
          </w:p>
        </w:tc>
        <w:tc>
          <w:tcPr>
            <w:tcW w:w="1747" w:type="dxa"/>
          </w:tcPr>
          <w:p w14:paraId="1BBB26E8" w14:textId="77777777" w:rsidR="00D664CB" w:rsidRPr="00D91062" w:rsidRDefault="00D664CB" w:rsidP="00D664CB">
            <w:pPr>
              <w:rPr>
                <w:noProof/>
                <w:sz w:val="22"/>
                <w:szCs w:val="28"/>
              </w:rPr>
            </w:pPr>
          </w:p>
        </w:tc>
      </w:tr>
    </w:tbl>
    <w:p w14:paraId="51F71650" w14:textId="77777777" w:rsidR="00D664CB" w:rsidRPr="00D91062" w:rsidRDefault="00D664CB" w:rsidP="00D664CB">
      <w:pPr>
        <w:rPr>
          <w:rFonts w:eastAsia="Calibri"/>
          <w:noProof/>
        </w:rPr>
      </w:pPr>
      <w:r w:rsidRPr="00D91062">
        <w:rPr>
          <w:noProof/>
        </w:rPr>
        <w:t>În total, 4 ENI solicitate pentru inițiativă există deja în cadrul DG CNECT și vor fi redistribuite, constând în 3 posturi din schema de personal și 1 post de personal extern (AC și END). Pe lângă aceste resurse existente, inițiativa necesită 5 ENI de personal suplimentar excepțional [3 funcționari și 2 personal extern – AC sau END], care sunt necesari în plus față de nivelurile actuale de personal pentru a asigura punerea în aplicare deplină și eficace a inițiativei.</w:t>
      </w:r>
    </w:p>
    <w:p w14:paraId="0F1FD342" w14:textId="77777777" w:rsidR="00D664CB" w:rsidRPr="00D91062" w:rsidRDefault="00D664CB" w:rsidP="00D664CB">
      <w:pPr>
        <w:rPr>
          <w:rFonts w:eastAsia="Calibri"/>
          <w:noProof/>
        </w:rPr>
      </w:pPr>
      <w:r w:rsidRPr="00D91062">
        <w:rPr>
          <w:noProof/>
        </w:rPr>
        <w:t xml:space="preserve">Noile sarcini introduse de propunerea MSS – nu pot fi absorbite pe deplin de resursele umane existente ale DG CNECT. </w:t>
      </w:r>
    </w:p>
    <w:p w14:paraId="52F8366F" w14:textId="77777777" w:rsidR="00D664CB" w:rsidRPr="00D91062" w:rsidRDefault="00D664CB" w:rsidP="00D664CB">
      <w:pPr>
        <w:rPr>
          <w:rFonts w:eastAsia="Calibri"/>
          <w:noProof/>
        </w:rPr>
      </w:pPr>
      <w:r w:rsidRPr="00D91062">
        <w:rPr>
          <w:noProof/>
        </w:rPr>
        <w:t>Unitatea principală pentru chestiunile legate de spectru și satelit responsabilă de aceste domenii este foarte mică și gestionează deja un portofoliu amplu de dosare complexe din punct de vedere tehnic și sensibile la factorul timp, legate de toate aspectele politicii UE în domeniul spectrului de frecvențe radio. Evaluările interne arată că unitatea nu are capacitatea de a-și asuma responsabilități suplimentare fără a compromite activitatea principală în curs sau fără a diminua calitatea și promptitudinea coordonării politicii în domeniul spectrului de frecvențe radio și al sateliților la nivelul UE. Alte unități nu dispun de personal excedentar și nici de expertiza tehnică specializată necesară pentru a lucra în mod eficace la comunicațiile prin satelit, la ingineria avansată a spectrului de frecvențe radio, la gestionarea interferențelor sau la ecosistemul emergent satelit-dispozitiv. Acestea sunt domenii extrem de inovatoare și solicitante din punct de vedere tehnic, în care profilurile generale sau personalul redistribuit din domenii de politică neînrudite nu se pot substitui experților specializați. Sarcinile prevăzute în propunere necesită cunoștințe aprofundate, specifice domeniului, și colaborarea continuă cu autoritățile naționale, cu industria și cu organismele internaționale. Având în vedere combinația dintre o echipă existentă foarte mică, volumul mare de muncă deja existent, inclusiv secretariatul RSPG format dintr-o singură persoană, și natura specializată a activității în domeniul sateliților și al spectrului de frecvențe radio, sunt indispensabile posturi specifice suplimentare astfel încât Comisia să își îndeplinească noile responsabilități atribuite în temeiul propunerii.</w:t>
      </w:r>
    </w:p>
    <w:p w14:paraId="174D27A7" w14:textId="77777777" w:rsidR="00D664CB" w:rsidRPr="00D91062" w:rsidRDefault="00D664CB" w:rsidP="00D664CB">
      <w:pPr>
        <w:rPr>
          <w:noProof/>
        </w:rPr>
      </w:pPr>
      <w:r w:rsidRPr="00D91062">
        <w:rPr>
          <w:noProof/>
        </w:rPr>
        <w:t>Tipul de personal este specificat în tabelul de mai sus. Cifrele privind personalul și creditele solicitate ar trebui considerate orientative și nu pot aduce atingere rezultatului negocierilor în curs privind viitorul cadru financiar multianual.</w:t>
      </w:r>
    </w:p>
    <w:tbl>
      <w:tblPr>
        <w:tblW w:w="0" w:type="auto"/>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017"/>
        <w:gridCol w:w="6704"/>
      </w:tblGrid>
      <w:tr w:rsidR="00D664CB" w:rsidRPr="00D91062" w14:paraId="3A237952" w14:textId="77777777" w:rsidTr="00354501">
        <w:trPr>
          <w:trHeight w:val="300"/>
        </w:trPr>
        <w:tc>
          <w:tcPr>
            <w:tcW w:w="3240" w:type="dxa"/>
          </w:tcPr>
          <w:p w14:paraId="05F6F7A8" w14:textId="77777777" w:rsidR="00D664CB" w:rsidRPr="00D91062" w:rsidRDefault="00D664CB" w:rsidP="00D664CB">
            <w:pPr>
              <w:rPr>
                <w:rFonts w:eastAsia="Calibri"/>
                <w:noProof/>
                <w:sz w:val="20"/>
                <w:szCs w:val="20"/>
              </w:rPr>
            </w:pPr>
            <w:r w:rsidRPr="00D91062">
              <w:rPr>
                <w:noProof/>
                <w:sz w:val="20"/>
              </w:rPr>
              <w:t>Funcționari și personal temporar</w:t>
            </w:r>
          </w:p>
        </w:tc>
        <w:tc>
          <w:tcPr>
            <w:tcW w:w="7200" w:type="dxa"/>
          </w:tcPr>
          <w:p w14:paraId="6E878E2B" w14:textId="77777777" w:rsidR="00D664CB" w:rsidRPr="00D91062" w:rsidRDefault="00D664CB" w:rsidP="00D664CB">
            <w:pPr>
              <w:rPr>
                <w:noProof/>
                <w:sz w:val="20"/>
              </w:rPr>
            </w:pPr>
            <w:r w:rsidRPr="00D91062">
              <w:rPr>
                <w:noProof/>
                <w:sz w:val="20"/>
              </w:rPr>
              <w:t>Sarcini noi:</w:t>
            </w:r>
          </w:p>
          <w:p w14:paraId="6165F2EB" w14:textId="77777777" w:rsidR="00D664CB" w:rsidRPr="00D91062" w:rsidRDefault="00D664CB" w:rsidP="00D664CB">
            <w:pPr>
              <w:contextualSpacing/>
              <w:rPr>
                <w:noProof/>
                <w:sz w:val="20"/>
              </w:rPr>
            </w:pPr>
            <w:r w:rsidRPr="00D91062">
              <w:rPr>
                <w:noProof/>
                <w:sz w:val="20"/>
              </w:rPr>
              <w:t>Organizarea și punerea în aplicare a procedurii de selecție pentru banda MSS de 2 GHz, cu stabilirea cererii de candidaturi și definirea actelor delegate și de punere în aplicare (și anume în ceea ce privește cererea de candidaturi, stabilirea metodologiei de calculare a costurilor pentru taxele anuale în banda MSS de 2 GHz și punerea în aplicare a mecanismului de contribuție unică)</w:t>
            </w:r>
          </w:p>
          <w:p w14:paraId="1F24FF69" w14:textId="77777777" w:rsidR="00D664CB" w:rsidRPr="00D91062" w:rsidRDefault="00D664CB" w:rsidP="007A5721">
            <w:pPr>
              <w:numPr>
                <w:ilvl w:val="0"/>
                <w:numId w:val="5"/>
              </w:numPr>
              <w:autoSpaceDE w:val="0"/>
              <w:autoSpaceDN w:val="0"/>
              <w:adjustRightInd w:val="0"/>
              <w:spacing w:before="0" w:after="0"/>
              <w:ind w:left="0" w:firstLine="0"/>
              <w:rPr>
                <w:noProof/>
                <w:color w:val="000000"/>
                <w:sz w:val="20"/>
                <w:szCs w:val="20"/>
              </w:rPr>
            </w:pPr>
            <w:r w:rsidRPr="00D91062">
              <w:rPr>
                <w:noProof/>
                <w:color w:val="000000"/>
                <w:sz w:val="20"/>
              </w:rPr>
              <w:t>Gestionarea și organizarea mai multor reuniuni suplimentare ale subgrupului COCOM și MSS COCOM pentru a discuta și a aproba actele de punere în aplicare prevăzute în Regulamentul MSS.</w:t>
            </w:r>
          </w:p>
          <w:p w14:paraId="6967110B" w14:textId="77777777" w:rsidR="00D664CB" w:rsidRPr="00D91062" w:rsidRDefault="00D664CB" w:rsidP="007A5721">
            <w:pPr>
              <w:numPr>
                <w:ilvl w:val="0"/>
                <w:numId w:val="5"/>
              </w:numPr>
              <w:autoSpaceDE w:val="0"/>
              <w:autoSpaceDN w:val="0"/>
              <w:adjustRightInd w:val="0"/>
              <w:spacing w:before="0" w:after="0"/>
              <w:ind w:left="0" w:firstLine="0"/>
              <w:rPr>
                <w:noProof/>
                <w:color w:val="000000"/>
                <w:sz w:val="20"/>
                <w:szCs w:val="20"/>
              </w:rPr>
            </w:pPr>
            <w:r w:rsidRPr="00D91062">
              <w:rPr>
                <w:noProof/>
                <w:color w:val="000000"/>
                <w:sz w:val="20"/>
              </w:rPr>
              <w:t>Acordarea autorizației Uniunii pentru banda MSS de 2 GHz, inclusiv pentru componentele spațiale și terestre.</w:t>
            </w:r>
          </w:p>
          <w:p w14:paraId="3205D227" w14:textId="77777777" w:rsidR="00D664CB" w:rsidRPr="00D91062" w:rsidRDefault="00D664CB" w:rsidP="007A5721">
            <w:pPr>
              <w:numPr>
                <w:ilvl w:val="0"/>
                <w:numId w:val="5"/>
              </w:numPr>
              <w:autoSpaceDE w:val="0"/>
              <w:autoSpaceDN w:val="0"/>
              <w:adjustRightInd w:val="0"/>
              <w:spacing w:before="0" w:after="0"/>
              <w:ind w:left="0" w:firstLine="0"/>
              <w:rPr>
                <w:noProof/>
                <w:color w:val="000000"/>
                <w:sz w:val="20"/>
                <w:szCs w:val="20"/>
              </w:rPr>
            </w:pPr>
            <w:r w:rsidRPr="00D91062">
              <w:rPr>
                <w:noProof/>
                <w:color w:val="000000"/>
                <w:sz w:val="20"/>
              </w:rPr>
              <w:t>Colectarea taxelor în banda MSS de 2 GHz</w:t>
            </w:r>
          </w:p>
          <w:p w14:paraId="245BDF03" w14:textId="77777777" w:rsidR="00D664CB" w:rsidRPr="00D91062" w:rsidRDefault="00D664CB" w:rsidP="007A5721">
            <w:pPr>
              <w:numPr>
                <w:ilvl w:val="0"/>
                <w:numId w:val="5"/>
              </w:numPr>
              <w:autoSpaceDE w:val="0"/>
              <w:autoSpaceDN w:val="0"/>
              <w:adjustRightInd w:val="0"/>
              <w:spacing w:before="0" w:after="0"/>
              <w:ind w:left="0" w:firstLine="0"/>
              <w:rPr>
                <w:noProof/>
                <w:color w:val="000000"/>
                <w:sz w:val="20"/>
                <w:szCs w:val="20"/>
              </w:rPr>
            </w:pPr>
            <w:r w:rsidRPr="00D91062">
              <w:rPr>
                <w:noProof/>
                <w:color w:val="000000"/>
                <w:sz w:val="20"/>
              </w:rPr>
              <w:t xml:space="preserve">Supravegherea și asigurarea respectării condițiilor aplicabile autorizației Uniunii pentru utilizarea benzii MSS de 2 GHz </w:t>
            </w:r>
          </w:p>
          <w:p w14:paraId="73873C72" w14:textId="77777777" w:rsidR="00D664CB" w:rsidRPr="00D91062" w:rsidRDefault="00D664CB" w:rsidP="007A5721">
            <w:pPr>
              <w:numPr>
                <w:ilvl w:val="0"/>
                <w:numId w:val="5"/>
              </w:numPr>
              <w:autoSpaceDE w:val="0"/>
              <w:autoSpaceDN w:val="0"/>
              <w:adjustRightInd w:val="0"/>
              <w:spacing w:before="0" w:after="0"/>
              <w:ind w:left="0" w:firstLine="0"/>
              <w:rPr>
                <w:noProof/>
                <w:color w:val="000000"/>
                <w:sz w:val="20"/>
                <w:szCs w:val="20"/>
              </w:rPr>
            </w:pPr>
            <w:r w:rsidRPr="00D91062">
              <w:rPr>
                <w:noProof/>
                <w:color w:val="000000"/>
                <w:sz w:val="20"/>
              </w:rPr>
              <w:t xml:space="preserve">Conducerea unei aplicări coordonate a autorizației Uniunii, inclusiv interferențe dăunătoare și încălcări ale reglementărilor radio ale UIT </w:t>
            </w:r>
          </w:p>
          <w:p w14:paraId="2626D0C2" w14:textId="77777777" w:rsidR="00D664CB" w:rsidRPr="00D91062" w:rsidRDefault="00D664CB" w:rsidP="00D664CB">
            <w:pPr>
              <w:contextualSpacing/>
              <w:rPr>
                <w:noProof/>
                <w:sz w:val="20"/>
              </w:rPr>
            </w:pPr>
          </w:p>
        </w:tc>
      </w:tr>
      <w:tr w:rsidR="00D664CB" w:rsidRPr="00D91062" w14:paraId="19326F59" w14:textId="77777777" w:rsidTr="00354501">
        <w:trPr>
          <w:trHeight w:val="300"/>
        </w:trPr>
        <w:tc>
          <w:tcPr>
            <w:tcW w:w="3240" w:type="dxa"/>
          </w:tcPr>
          <w:p w14:paraId="7DF20644" w14:textId="77777777" w:rsidR="00D664CB" w:rsidRPr="00D91062" w:rsidRDefault="00D664CB" w:rsidP="00D664CB">
            <w:pPr>
              <w:spacing w:before="60" w:after="60"/>
              <w:rPr>
                <w:rFonts w:eastAsia="Calibri"/>
                <w:noProof/>
                <w:sz w:val="20"/>
                <w:szCs w:val="20"/>
              </w:rPr>
            </w:pPr>
            <w:r w:rsidRPr="00D91062">
              <w:rPr>
                <w:noProof/>
                <w:sz w:val="20"/>
              </w:rPr>
              <w:t>Personal extern</w:t>
            </w:r>
          </w:p>
        </w:tc>
        <w:tc>
          <w:tcPr>
            <w:tcW w:w="7200" w:type="dxa"/>
          </w:tcPr>
          <w:p w14:paraId="48E769D8" w14:textId="77777777" w:rsidR="00D664CB" w:rsidRPr="00D91062" w:rsidRDefault="00D664CB" w:rsidP="00D664CB">
            <w:pPr>
              <w:rPr>
                <w:noProof/>
                <w:sz w:val="20"/>
              </w:rPr>
            </w:pPr>
            <w:r w:rsidRPr="00D91062">
              <w:rPr>
                <w:noProof/>
                <w:sz w:val="20"/>
              </w:rPr>
              <w:t>Sarcini noi:</w:t>
            </w:r>
          </w:p>
          <w:p w14:paraId="70D46925" w14:textId="77777777" w:rsidR="00D664CB" w:rsidRPr="00D91062" w:rsidRDefault="00D664CB" w:rsidP="00D664CB">
            <w:pPr>
              <w:contextualSpacing/>
              <w:rPr>
                <w:noProof/>
                <w:sz w:val="20"/>
                <w:szCs w:val="20"/>
              </w:rPr>
            </w:pPr>
          </w:p>
          <w:p w14:paraId="1FD29CF1" w14:textId="77777777" w:rsidR="00D664CB" w:rsidRPr="00D91062" w:rsidRDefault="00D664CB" w:rsidP="00D664CB">
            <w:pPr>
              <w:contextualSpacing/>
              <w:rPr>
                <w:noProof/>
                <w:sz w:val="20"/>
                <w:szCs w:val="20"/>
              </w:rPr>
            </w:pPr>
            <w:r w:rsidRPr="00D91062">
              <w:rPr>
                <w:noProof/>
                <w:sz w:val="20"/>
              </w:rPr>
              <w:t>Organizarea și punerea în aplicare a procedurii de selecție pentru banda MSS de 2 GHz, cu stabilirea cererii de candidaturi și definirea actelor delegate și de punere în aplicare (și anume cererea de candidaturi, stabilirea metodologiei de calculare a costurilor pentru taxele anuale în banda MSS de 2 GHz, punerea în aplicare a mecanismului de contribuție unică).</w:t>
            </w:r>
          </w:p>
          <w:p w14:paraId="6DDB7DA0" w14:textId="77777777" w:rsidR="00D664CB" w:rsidRPr="00D91062" w:rsidRDefault="00D664CB" w:rsidP="007A5721">
            <w:pPr>
              <w:numPr>
                <w:ilvl w:val="0"/>
                <w:numId w:val="5"/>
              </w:numPr>
              <w:autoSpaceDE w:val="0"/>
              <w:autoSpaceDN w:val="0"/>
              <w:adjustRightInd w:val="0"/>
              <w:spacing w:before="0" w:after="0"/>
              <w:ind w:left="0" w:firstLine="0"/>
              <w:rPr>
                <w:noProof/>
                <w:color w:val="000000"/>
                <w:sz w:val="20"/>
                <w:szCs w:val="20"/>
              </w:rPr>
            </w:pPr>
            <w:r w:rsidRPr="00D91062">
              <w:rPr>
                <w:noProof/>
                <w:color w:val="000000"/>
                <w:sz w:val="20"/>
              </w:rPr>
              <w:t>Gestionarea și organizarea mai multor reuniuni suplimentare ale subgrupului COCOM și MSS COCOM pentru a discuta și a aproba actele de punere în aplicare prevăzute în Regulamentul MSS.</w:t>
            </w:r>
          </w:p>
          <w:p w14:paraId="186F462F" w14:textId="77777777" w:rsidR="00D664CB" w:rsidRPr="00D91062" w:rsidRDefault="00D664CB" w:rsidP="007A5721">
            <w:pPr>
              <w:numPr>
                <w:ilvl w:val="0"/>
                <w:numId w:val="5"/>
              </w:numPr>
              <w:autoSpaceDE w:val="0"/>
              <w:autoSpaceDN w:val="0"/>
              <w:adjustRightInd w:val="0"/>
              <w:spacing w:before="0" w:after="0"/>
              <w:ind w:left="0" w:firstLine="0"/>
              <w:rPr>
                <w:noProof/>
                <w:color w:val="000000"/>
                <w:sz w:val="20"/>
                <w:szCs w:val="20"/>
              </w:rPr>
            </w:pPr>
            <w:r w:rsidRPr="00D91062">
              <w:rPr>
                <w:noProof/>
                <w:color w:val="000000"/>
                <w:sz w:val="20"/>
              </w:rPr>
              <w:t>Acordarea autorizației Uniunii pentru banda MSS de 2 GHz, inclusiv pentru componentele spațiale și terestre.</w:t>
            </w:r>
          </w:p>
          <w:p w14:paraId="7FE431A4" w14:textId="77777777" w:rsidR="00D664CB" w:rsidRPr="00D91062" w:rsidRDefault="00D664CB" w:rsidP="007A5721">
            <w:pPr>
              <w:numPr>
                <w:ilvl w:val="0"/>
                <w:numId w:val="5"/>
              </w:numPr>
              <w:autoSpaceDE w:val="0"/>
              <w:autoSpaceDN w:val="0"/>
              <w:adjustRightInd w:val="0"/>
              <w:spacing w:before="0" w:after="0"/>
              <w:ind w:left="0" w:firstLine="0"/>
              <w:rPr>
                <w:noProof/>
                <w:color w:val="000000"/>
                <w:sz w:val="20"/>
                <w:szCs w:val="20"/>
              </w:rPr>
            </w:pPr>
            <w:r w:rsidRPr="00D91062">
              <w:rPr>
                <w:noProof/>
                <w:color w:val="000000"/>
                <w:sz w:val="20"/>
              </w:rPr>
              <w:t>Colectarea taxelor în banda MSS de 2 GHz</w:t>
            </w:r>
          </w:p>
          <w:p w14:paraId="70516619" w14:textId="77777777" w:rsidR="00D664CB" w:rsidRPr="00D91062" w:rsidRDefault="00D664CB" w:rsidP="007A5721">
            <w:pPr>
              <w:numPr>
                <w:ilvl w:val="0"/>
                <w:numId w:val="5"/>
              </w:numPr>
              <w:autoSpaceDE w:val="0"/>
              <w:autoSpaceDN w:val="0"/>
              <w:adjustRightInd w:val="0"/>
              <w:spacing w:before="0" w:after="0"/>
              <w:ind w:left="0" w:firstLine="0"/>
              <w:rPr>
                <w:noProof/>
                <w:color w:val="000000"/>
                <w:sz w:val="20"/>
                <w:szCs w:val="20"/>
              </w:rPr>
            </w:pPr>
            <w:r w:rsidRPr="00D91062">
              <w:rPr>
                <w:noProof/>
                <w:color w:val="000000"/>
                <w:sz w:val="20"/>
              </w:rPr>
              <w:t xml:space="preserve">Supravegherea și asigurarea respectării condițiilor aplicabile autorizației Uniunii pentru utilizarea benzii MSS de 2 GHz. </w:t>
            </w:r>
          </w:p>
          <w:p w14:paraId="7DC6C14B" w14:textId="77777777" w:rsidR="00D664CB" w:rsidRPr="00D91062" w:rsidRDefault="00D664CB" w:rsidP="00D664CB">
            <w:pPr>
              <w:contextualSpacing/>
              <w:rPr>
                <w:noProof/>
                <w:sz w:val="20"/>
                <w:szCs w:val="20"/>
              </w:rPr>
            </w:pPr>
            <w:r w:rsidRPr="00D91062">
              <w:rPr>
                <w:noProof/>
                <w:sz w:val="20"/>
              </w:rPr>
              <w:t>Conducerea unei aplicări coordonate a autorizației Uniunii, inclusiv interferențe dăunătoare și încălcări ale reglementărilor radio ale UIT.</w:t>
            </w:r>
          </w:p>
          <w:p w14:paraId="4CF24FF5" w14:textId="77777777" w:rsidR="00D664CB" w:rsidRPr="00D91062" w:rsidRDefault="00D664CB" w:rsidP="00D664CB">
            <w:pPr>
              <w:contextualSpacing/>
              <w:rPr>
                <w:noProof/>
                <w:sz w:val="20"/>
                <w:szCs w:val="20"/>
              </w:rPr>
            </w:pPr>
          </w:p>
          <w:p w14:paraId="06F251A2" w14:textId="77777777" w:rsidR="00D664CB" w:rsidRPr="00D91062" w:rsidRDefault="00D664CB" w:rsidP="00D664CB">
            <w:pPr>
              <w:contextualSpacing/>
              <w:rPr>
                <w:noProof/>
                <w:sz w:val="20"/>
              </w:rPr>
            </w:pPr>
          </w:p>
        </w:tc>
      </w:tr>
    </w:tbl>
    <w:p w14:paraId="3EE6655A" w14:textId="77777777" w:rsidR="00D664CB" w:rsidRPr="00D91062" w:rsidRDefault="00D664CB" w:rsidP="00C617FD">
      <w:pPr>
        <w:pStyle w:val="ManualHeading3"/>
        <w:rPr>
          <w:noProof/>
        </w:rPr>
      </w:pPr>
      <w:r w:rsidRPr="00D91062">
        <w:rPr>
          <w:noProof/>
        </w:rPr>
        <w:t>3.2.5.</w:t>
      </w:r>
      <w:r w:rsidRPr="00D91062">
        <w:rPr>
          <w:noProof/>
        </w:rPr>
        <w:tab/>
        <w:t>Prezentare generală a impactului estimat asupra investițiilor legate de tehnologia digitală</w:t>
      </w:r>
    </w:p>
    <w:tbl>
      <w:tblPr>
        <w:tblW w:w="5000" w:type="pct"/>
        <w:tblLook w:val="04A0" w:firstRow="1" w:lastRow="0" w:firstColumn="1" w:lastColumn="0" w:noHBand="0" w:noVBand="1"/>
      </w:tblPr>
      <w:tblGrid>
        <w:gridCol w:w="1472"/>
        <w:gridCol w:w="974"/>
        <w:gridCol w:w="974"/>
        <w:gridCol w:w="972"/>
        <w:gridCol w:w="973"/>
        <w:gridCol w:w="973"/>
        <w:gridCol w:w="973"/>
        <w:gridCol w:w="973"/>
        <w:gridCol w:w="1005"/>
      </w:tblGrid>
      <w:tr w:rsidR="00D664CB" w:rsidRPr="00D91062" w14:paraId="388A4F39" w14:textId="77777777" w:rsidTr="00A2361B">
        <w:trPr>
          <w:trHeight w:val="650"/>
        </w:trPr>
        <w:tc>
          <w:tcPr>
            <w:tcW w:w="792" w:type="pct"/>
            <w:vMerge w:val="restart"/>
            <w:tcBorders>
              <w:top w:val="single" w:sz="8" w:space="0" w:color="auto"/>
              <w:left w:val="single" w:sz="8" w:space="0" w:color="auto"/>
              <w:bottom w:val="nil"/>
              <w:right w:val="single" w:sz="8" w:space="0" w:color="auto"/>
            </w:tcBorders>
            <w:vAlign w:val="center"/>
            <w:hideMark/>
          </w:tcPr>
          <w:p w14:paraId="27CAF421" w14:textId="77777777" w:rsidR="00D664CB" w:rsidRPr="00D91062" w:rsidRDefault="00D664CB" w:rsidP="00C617FD">
            <w:pPr>
              <w:keepNext/>
              <w:spacing w:before="0" w:after="0"/>
              <w:jc w:val="center"/>
              <w:rPr>
                <w:b/>
                <w:noProof/>
                <w:color w:val="000000"/>
                <w:sz w:val="18"/>
              </w:rPr>
            </w:pPr>
            <w:r w:rsidRPr="00D91062">
              <w:rPr>
                <w:b/>
                <w:noProof/>
                <w:color w:val="000000"/>
                <w:sz w:val="18"/>
              </w:rPr>
              <w:t>TOTAL credite pentru componenta digitală și IT</w:t>
            </w:r>
          </w:p>
        </w:tc>
        <w:tc>
          <w:tcPr>
            <w:tcW w:w="524" w:type="pct"/>
            <w:tcBorders>
              <w:top w:val="single" w:sz="8" w:space="0" w:color="auto"/>
              <w:left w:val="nil"/>
              <w:bottom w:val="nil"/>
              <w:right w:val="single" w:sz="8" w:space="0" w:color="auto"/>
            </w:tcBorders>
            <w:vAlign w:val="center"/>
            <w:hideMark/>
          </w:tcPr>
          <w:p w14:paraId="300465F0" w14:textId="77777777" w:rsidR="00D664CB" w:rsidRPr="00D91062" w:rsidRDefault="00D664CB" w:rsidP="00C617FD">
            <w:pPr>
              <w:keepNext/>
              <w:spacing w:before="0" w:after="0"/>
              <w:jc w:val="center"/>
              <w:rPr>
                <w:noProof/>
                <w:color w:val="000000"/>
                <w:sz w:val="18"/>
              </w:rPr>
            </w:pPr>
            <w:r w:rsidRPr="00D91062">
              <w:rPr>
                <w:noProof/>
                <w:color w:val="000000"/>
                <w:sz w:val="18"/>
              </w:rPr>
              <w:t>Anul</w:t>
            </w:r>
          </w:p>
        </w:tc>
        <w:tc>
          <w:tcPr>
            <w:tcW w:w="524" w:type="pct"/>
            <w:tcBorders>
              <w:top w:val="single" w:sz="8" w:space="0" w:color="auto"/>
              <w:left w:val="nil"/>
              <w:bottom w:val="nil"/>
              <w:right w:val="single" w:sz="8" w:space="0" w:color="auto"/>
            </w:tcBorders>
            <w:vAlign w:val="center"/>
            <w:hideMark/>
          </w:tcPr>
          <w:p w14:paraId="33C77AC2" w14:textId="77777777" w:rsidR="00D664CB" w:rsidRPr="00D91062" w:rsidRDefault="00D664CB" w:rsidP="00C617FD">
            <w:pPr>
              <w:keepNext/>
              <w:spacing w:before="0" w:after="0"/>
              <w:jc w:val="center"/>
              <w:rPr>
                <w:noProof/>
                <w:color w:val="000000"/>
                <w:sz w:val="18"/>
              </w:rPr>
            </w:pPr>
            <w:r w:rsidRPr="00D91062">
              <w:rPr>
                <w:noProof/>
                <w:color w:val="000000"/>
                <w:sz w:val="18"/>
              </w:rPr>
              <w:t>Anul</w:t>
            </w:r>
          </w:p>
        </w:tc>
        <w:tc>
          <w:tcPr>
            <w:tcW w:w="523" w:type="pct"/>
            <w:tcBorders>
              <w:top w:val="single" w:sz="8" w:space="0" w:color="auto"/>
              <w:left w:val="nil"/>
              <w:bottom w:val="nil"/>
              <w:right w:val="single" w:sz="8" w:space="0" w:color="auto"/>
            </w:tcBorders>
            <w:vAlign w:val="center"/>
            <w:hideMark/>
          </w:tcPr>
          <w:p w14:paraId="06BD44C3" w14:textId="77777777" w:rsidR="00D664CB" w:rsidRPr="00D91062" w:rsidRDefault="00D664CB" w:rsidP="00C617FD">
            <w:pPr>
              <w:keepNext/>
              <w:spacing w:before="0" w:after="0"/>
              <w:jc w:val="center"/>
              <w:rPr>
                <w:noProof/>
                <w:color w:val="000000"/>
                <w:sz w:val="18"/>
              </w:rPr>
            </w:pPr>
            <w:r w:rsidRPr="00D91062">
              <w:rPr>
                <w:noProof/>
                <w:color w:val="000000"/>
                <w:sz w:val="18"/>
              </w:rPr>
              <w:t>Anul</w:t>
            </w:r>
          </w:p>
        </w:tc>
        <w:tc>
          <w:tcPr>
            <w:tcW w:w="524" w:type="pct"/>
            <w:tcBorders>
              <w:top w:val="single" w:sz="8" w:space="0" w:color="auto"/>
              <w:left w:val="nil"/>
              <w:bottom w:val="nil"/>
              <w:right w:val="single" w:sz="8" w:space="0" w:color="auto"/>
            </w:tcBorders>
            <w:vAlign w:val="center"/>
            <w:hideMark/>
          </w:tcPr>
          <w:p w14:paraId="2603AFFA" w14:textId="77777777" w:rsidR="00D664CB" w:rsidRPr="00D91062" w:rsidRDefault="00D664CB" w:rsidP="00C617FD">
            <w:pPr>
              <w:keepNext/>
              <w:spacing w:before="0" w:after="0"/>
              <w:jc w:val="center"/>
              <w:rPr>
                <w:noProof/>
                <w:color w:val="000000"/>
                <w:sz w:val="18"/>
              </w:rPr>
            </w:pPr>
            <w:r w:rsidRPr="00D91062">
              <w:rPr>
                <w:noProof/>
                <w:color w:val="000000"/>
                <w:sz w:val="18"/>
              </w:rPr>
              <w:t>Anul</w:t>
            </w:r>
          </w:p>
        </w:tc>
        <w:tc>
          <w:tcPr>
            <w:tcW w:w="524" w:type="pct"/>
            <w:tcBorders>
              <w:top w:val="single" w:sz="8" w:space="0" w:color="auto"/>
              <w:left w:val="nil"/>
              <w:bottom w:val="nil"/>
              <w:right w:val="single" w:sz="8" w:space="0" w:color="auto"/>
            </w:tcBorders>
            <w:vAlign w:val="center"/>
            <w:hideMark/>
          </w:tcPr>
          <w:p w14:paraId="7682DA11" w14:textId="77777777" w:rsidR="00D664CB" w:rsidRPr="00D91062" w:rsidRDefault="00D664CB" w:rsidP="00C617FD">
            <w:pPr>
              <w:keepNext/>
              <w:spacing w:before="0" w:after="0"/>
              <w:jc w:val="center"/>
              <w:rPr>
                <w:noProof/>
                <w:color w:val="000000"/>
                <w:sz w:val="18"/>
              </w:rPr>
            </w:pPr>
            <w:r w:rsidRPr="00D91062">
              <w:rPr>
                <w:noProof/>
                <w:color w:val="000000"/>
                <w:sz w:val="18"/>
              </w:rPr>
              <w:t>Anul</w:t>
            </w:r>
          </w:p>
        </w:tc>
        <w:tc>
          <w:tcPr>
            <w:tcW w:w="524" w:type="pct"/>
            <w:tcBorders>
              <w:top w:val="single" w:sz="8" w:space="0" w:color="auto"/>
              <w:left w:val="nil"/>
              <w:bottom w:val="nil"/>
              <w:right w:val="single" w:sz="8" w:space="0" w:color="auto"/>
            </w:tcBorders>
            <w:vAlign w:val="center"/>
            <w:hideMark/>
          </w:tcPr>
          <w:p w14:paraId="14F4ACA0" w14:textId="77777777" w:rsidR="00D664CB" w:rsidRPr="00D91062" w:rsidRDefault="00D664CB" w:rsidP="00C617FD">
            <w:pPr>
              <w:keepNext/>
              <w:spacing w:before="0" w:after="0"/>
              <w:jc w:val="center"/>
              <w:rPr>
                <w:noProof/>
                <w:color w:val="000000"/>
                <w:sz w:val="18"/>
              </w:rPr>
            </w:pPr>
            <w:r w:rsidRPr="00D91062">
              <w:rPr>
                <w:noProof/>
                <w:color w:val="000000"/>
                <w:sz w:val="18"/>
              </w:rPr>
              <w:t>Anul</w:t>
            </w:r>
          </w:p>
        </w:tc>
        <w:tc>
          <w:tcPr>
            <w:tcW w:w="524" w:type="pct"/>
            <w:tcBorders>
              <w:top w:val="single" w:sz="8" w:space="0" w:color="auto"/>
              <w:left w:val="nil"/>
              <w:bottom w:val="nil"/>
              <w:right w:val="single" w:sz="8" w:space="0" w:color="auto"/>
            </w:tcBorders>
            <w:vAlign w:val="center"/>
            <w:hideMark/>
          </w:tcPr>
          <w:p w14:paraId="098F1FB7" w14:textId="77777777" w:rsidR="00D664CB" w:rsidRPr="00D91062" w:rsidRDefault="00D664CB" w:rsidP="00C617FD">
            <w:pPr>
              <w:keepNext/>
              <w:spacing w:before="0" w:after="0"/>
              <w:jc w:val="center"/>
              <w:rPr>
                <w:noProof/>
                <w:color w:val="000000"/>
                <w:sz w:val="18"/>
              </w:rPr>
            </w:pPr>
            <w:r w:rsidRPr="00D91062">
              <w:rPr>
                <w:noProof/>
                <w:color w:val="000000"/>
                <w:sz w:val="18"/>
              </w:rPr>
              <w:t>Anul</w:t>
            </w:r>
          </w:p>
        </w:tc>
        <w:tc>
          <w:tcPr>
            <w:tcW w:w="541" w:type="pct"/>
            <w:vMerge w:val="restart"/>
            <w:tcBorders>
              <w:top w:val="single" w:sz="8" w:space="0" w:color="auto"/>
              <w:left w:val="single" w:sz="8" w:space="0" w:color="auto"/>
              <w:bottom w:val="single" w:sz="8" w:space="0" w:color="000000"/>
              <w:right w:val="single" w:sz="8" w:space="0" w:color="auto"/>
            </w:tcBorders>
            <w:vAlign w:val="center"/>
            <w:hideMark/>
          </w:tcPr>
          <w:p w14:paraId="52C05BB0" w14:textId="77777777" w:rsidR="00D664CB" w:rsidRPr="00D91062" w:rsidRDefault="00D664CB" w:rsidP="00C617FD">
            <w:pPr>
              <w:keepNext/>
              <w:spacing w:before="0" w:after="0"/>
              <w:jc w:val="center"/>
              <w:rPr>
                <w:b/>
                <w:noProof/>
                <w:color w:val="000000"/>
                <w:sz w:val="18"/>
              </w:rPr>
            </w:pPr>
            <w:r w:rsidRPr="00D91062">
              <w:rPr>
                <w:b/>
                <w:noProof/>
                <w:color w:val="000000"/>
                <w:sz w:val="18"/>
              </w:rPr>
              <w:t>TOTAL CFM 2028-2034</w:t>
            </w:r>
          </w:p>
        </w:tc>
      </w:tr>
      <w:tr w:rsidR="00D664CB" w:rsidRPr="00D91062" w14:paraId="72D7EFFC" w14:textId="77777777" w:rsidTr="00A2361B">
        <w:trPr>
          <w:trHeight w:val="300"/>
        </w:trPr>
        <w:tc>
          <w:tcPr>
            <w:tcW w:w="792" w:type="pct"/>
            <w:vMerge/>
            <w:tcBorders>
              <w:top w:val="single" w:sz="8" w:space="0" w:color="auto"/>
              <w:left w:val="single" w:sz="8" w:space="0" w:color="auto"/>
              <w:bottom w:val="nil"/>
              <w:right w:val="single" w:sz="8" w:space="0" w:color="auto"/>
            </w:tcBorders>
            <w:vAlign w:val="center"/>
            <w:hideMark/>
          </w:tcPr>
          <w:p w14:paraId="2D0E00D8" w14:textId="77777777" w:rsidR="00D664CB" w:rsidRPr="00D91062" w:rsidRDefault="00D664CB" w:rsidP="00D664CB">
            <w:pPr>
              <w:spacing w:before="0" w:after="0"/>
              <w:jc w:val="left"/>
              <w:rPr>
                <w:b/>
                <w:noProof/>
                <w:color w:val="000000"/>
                <w:sz w:val="18"/>
              </w:rPr>
            </w:pPr>
          </w:p>
        </w:tc>
        <w:tc>
          <w:tcPr>
            <w:tcW w:w="524" w:type="pct"/>
            <w:tcBorders>
              <w:top w:val="nil"/>
              <w:left w:val="nil"/>
              <w:bottom w:val="single" w:sz="8" w:space="0" w:color="auto"/>
              <w:right w:val="single" w:sz="8" w:space="0" w:color="auto"/>
            </w:tcBorders>
            <w:vAlign w:val="center"/>
            <w:hideMark/>
          </w:tcPr>
          <w:p w14:paraId="0D432EB8" w14:textId="77777777" w:rsidR="00D664CB" w:rsidRPr="00D91062" w:rsidRDefault="00D664CB" w:rsidP="00D664CB">
            <w:pPr>
              <w:spacing w:before="0" w:after="0"/>
              <w:jc w:val="center"/>
              <w:rPr>
                <w:b/>
                <w:noProof/>
                <w:color w:val="000000"/>
                <w:sz w:val="18"/>
              </w:rPr>
            </w:pPr>
            <w:r w:rsidRPr="00D91062">
              <w:rPr>
                <w:b/>
                <w:noProof/>
                <w:color w:val="000000"/>
                <w:sz w:val="18"/>
              </w:rPr>
              <w:t>2028</w:t>
            </w:r>
          </w:p>
        </w:tc>
        <w:tc>
          <w:tcPr>
            <w:tcW w:w="524" w:type="pct"/>
            <w:tcBorders>
              <w:top w:val="nil"/>
              <w:left w:val="nil"/>
              <w:bottom w:val="single" w:sz="8" w:space="0" w:color="auto"/>
              <w:right w:val="single" w:sz="8" w:space="0" w:color="auto"/>
            </w:tcBorders>
            <w:vAlign w:val="center"/>
            <w:hideMark/>
          </w:tcPr>
          <w:p w14:paraId="656410EC" w14:textId="77777777" w:rsidR="00D664CB" w:rsidRPr="00D91062" w:rsidRDefault="00D664CB" w:rsidP="00D664CB">
            <w:pPr>
              <w:spacing w:before="0" w:after="0"/>
              <w:jc w:val="center"/>
              <w:rPr>
                <w:b/>
                <w:noProof/>
                <w:color w:val="000000"/>
                <w:sz w:val="18"/>
              </w:rPr>
            </w:pPr>
            <w:r w:rsidRPr="00D91062">
              <w:rPr>
                <w:b/>
                <w:noProof/>
                <w:color w:val="000000"/>
                <w:sz w:val="18"/>
              </w:rPr>
              <w:t>2029</w:t>
            </w:r>
          </w:p>
        </w:tc>
        <w:tc>
          <w:tcPr>
            <w:tcW w:w="523" w:type="pct"/>
            <w:tcBorders>
              <w:top w:val="nil"/>
              <w:left w:val="nil"/>
              <w:bottom w:val="single" w:sz="8" w:space="0" w:color="auto"/>
              <w:right w:val="single" w:sz="8" w:space="0" w:color="auto"/>
            </w:tcBorders>
            <w:vAlign w:val="center"/>
            <w:hideMark/>
          </w:tcPr>
          <w:p w14:paraId="4AEA23E5" w14:textId="77777777" w:rsidR="00D664CB" w:rsidRPr="00D91062" w:rsidRDefault="00D664CB" w:rsidP="00D664CB">
            <w:pPr>
              <w:spacing w:before="0" w:after="0"/>
              <w:jc w:val="center"/>
              <w:rPr>
                <w:b/>
                <w:noProof/>
                <w:color w:val="000000"/>
                <w:sz w:val="18"/>
              </w:rPr>
            </w:pPr>
            <w:r w:rsidRPr="00D91062">
              <w:rPr>
                <w:b/>
                <w:noProof/>
                <w:color w:val="000000"/>
                <w:sz w:val="18"/>
              </w:rPr>
              <w:t>2030</w:t>
            </w:r>
          </w:p>
        </w:tc>
        <w:tc>
          <w:tcPr>
            <w:tcW w:w="524" w:type="pct"/>
            <w:tcBorders>
              <w:top w:val="nil"/>
              <w:left w:val="nil"/>
              <w:bottom w:val="single" w:sz="8" w:space="0" w:color="auto"/>
              <w:right w:val="single" w:sz="8" w:space="0" w:color="auto"/>
            </w:tcBorders>
            <w:vAlign w:val="center"/>
            <w:hideMark/>
          </w:tcPr>
          <w:p w14:paraId="136FF331" w14:textId="77777777" w:rsidR="00D664CB" w:rsidRPr="00D91062" w:rsidRDefault="00D664CB" w:rsidP="00D664CB">
            <w:pPr>
              <w:spacing w:before="0" w:after="0"/>
              <w:jc w:val="center"/>
              <w:rPr>
                <w:b/>
                <w:noProof/>
                <w:color w:val="000000"/>
                <w:sz w:val="18"/>
              </w:rPr>
            </w:pPr>
            <w:r w:rsidRPr="00D91062">
              <w:rPr>
                <w:b/>
                <w:noProof/>
                <w:color w:val="000000"/>
                <w:sz w:val="18"/>
              </w:rPr>
              <w:t>2031</w:t>
            </w:r>
          </w:p>
        </w:tc>
        <w:tc>
          <w:tcPr>
            <w:tcW w:w="524" w:type="pct"/>
            <w:tcBorders>
              <w:top w:val="nil"/>
              <w:left w:val="nil"/>
              <w:bottom w:val="single" w:sz="8" w:space="0" w:color="auto"/>
              <w:right w:val="single" w:sz="8" w:space="0" w:color="auto"/>
            </w:tcBorders>
            <w:vAlign w:val="center"/>
            <w:hideMark/>
          </w:tcPr>
          <w:p w14:paraId="48D160F6" w14:textId="77777777" w:rsidR="00D664CB" w:rsidRPr="00D91062" w:rsidRDefault="00D664CB" w:rsidP="00D664CB">
            <w:pPr>
              <w:spacing w:before="0" w:after="0"/>
              <w:jc w:val="center"/>
              <w:rPr>
                <w:b/>
                <w:noProof/>
                <w:color w:val="000000"/>
                <w:sz w:val="18"/>
              </w:rPr>
            </w:pPr>
            <w:r w:rsidRPr="00D91062">
              <w:rPr>
                <w:b/>
                <w:noProof/>
                <w:color w:val="000000"/>
                <w:sz w:val="18"/>
              </w:rPr>
              <w:t>2032</w:t>
            </w:r>
          </w:p>
        </w:tc>
        <w:tc>
          <w:tcPr>
            <w:tcW w:w="524" w:type="pct"/>
            <w:tcBorders>
              <w:top w:val="nil"/>
              <w:left w:val="nil"/>
              <w:bottom w:val="single" w:sz="8" w:space="0" w:color="auto"/>
              <w:right w:val="single" w:sz="8" w:space="0" w:color="auto"/>
            </w:tcBorders>
            <w:vAlign w:val="center"/>
            <w:hideMark/>
          </w:tcPr>
          <w:p w14:paraId="2381A61E" w14:textId="77777777" w:rsidR="00D664CB" w:rsidRPr="00D91062" w:rsidRDefault="00D664CB" w:rsidP="00D664CB">
            <w:pPr>
              <w:spacing w:before="0" w:after="0"/>
              <w:jc w:val="center"/>
              <w:rPr>
                <w:b/>
                <w:noProof/>
                <w:color w:val="000000"/>
                <w:sz w:val="18"/>
              </w:rPr>
            </w:pPr>
            <w:r w:rsidRPr="00D91062">
              <w:rPr>
                <w:b/>
                <w:noProof/>
                <w:color w:val="000000"/>
                <w:sz w:val="18"/>
              </w:rPr>
              <w:t>2033</w:t>
            </w:r>
          </w:p>
        </w:tc>
        <w:tc>
          <w:tcPr>
            <w:tcW w:w="524" w:type="pct"/>
            <w:tcBorders>
              <w:top w:val="nil"/>
              <w:left w:val="nil"/>
              <w:bottom w:val="single" w:sz="8" w:space="0" w:color="auto"/>
              <w:right w:val="single" w:sz="8" w:space="0" w:color="auto"/>
            </w:tcBorders>
            <w:vAlign w:val="center"/>
            <w:hideMark/>
          </w:tcPr>
          <w:p w14:paraId="3FCEA431" w14:textId="77777777" w:rsidR="00D664CB" w:rsidRPr="00D91062" w:rsidRDefault="00D664CB" w:rsidP="00D664CB">
            <w:pPr>
              <w:spacing w:before="0" w:after="0"/>
              <w:jc w:val="center"/>
              <w:rPr>
                <w:b/>
                <w:noProof/>
                <w:color w:val="000000"/>
                <w:sz w:val="18"/>
              </w:rPr>
            </w:pPr>
            <w:r w:rsidRPr="00D91062">
              <w:rPr>
                <w:b/>
                <w:noProof/>
                <w:color w:val="000000"/>
                <w:sz w:val="18"/>
              </w:rPr>
              <w:t>2034</w:t>
            </w:r>
          </w:p>
        </w:tc>
        <w:tc>
          <w:tcPr>
            <w:tcW w:w="541" w:type="pct"/>
            <w:vMerge/>
            <w:tcBorders>
              <w:top w:val="single" w:sz="8" w:space="0" w:color="auto"/>
              <w:left w:val="single" w:sz="8" w:space="0" w:color="auto"/>
              <w:bottom w:val="single" w:sz="8" w:space="0" w:color="000000"/>
              <w:right w:val="single" w:sz="8" w:space="0" w:color="auto"/>
            </w:tcBorders>
            <w:vAlign w:val="center"/>
            <w:hideMark/>
          </w:tcPr>
          <w:p w14:paraId="757DB6BA" w14:textId="77777777" w:rsidR="00D664CB" w:rsidRPr="00D91062" w:rsidRDefault="00D664CB" w:rsidP="00D664CB">
            <w:pPr>
              <w:spacing w:before="0" w:after="0"/>
              <w:jc w:val="left"/>
              <w:rPr>
                <w:b/>
                <w:noProof/>
                <w:color w:val="000000"/>
                <w:sz w:val="18"/>
              </w:rPr>
            </w:pPr>
          </w:p>
        </w:tc>
      </w:tr>
      <w:tr w:rsidR="00D664CB" w:rsidRPr="00D91062" w14:paraId="69E6BF65" w14:textId="77777777" w:rsidTr="00A2361B">
        <w:trPr>
          <w:trHeight w:val="300"/>
        </w:trPr>
        <w:tc>
          <w:tcPr>
            <w:tcW w:w="5000" w:type="pct"/>
            <w:gridSpan w:val="9"/>
            <w:tcBorders>
              <w:top w:val="nil"/>
              <w:left w:val="single" w:sz="8" w:space="0" w:color="auto"/>
              <w:bottom w:val="single" w:sz="8" w:space="0" w:color="auto"/>
              <w:right w:val="single" w:sz="8" w:space="0" w:color="000000"/>
            </w:tcBorders>
            <w:vAlign w:val="center"/>
            <w:hideMark/>
          </w:tcPr>
          <w:p w14:paraId="611E7E79" w14:textId="77777777" w:rsidR="00D664CB" w:rsidRPr="00D91062" w:rsidRDefault="00D664CB" w:rsidP="00D664CB">
            <w:pPr>
              <w:spacing w:before="0" w:after="0"/>
              <w:jc w:val="left"/>
              <w:rPr>
                <w:b/>
                <w:noProof/>
                <w:color w:val="000000"/>
                <w:sz w:val="16"/>
              </w:rPr>
            </w:pPr>
            <w:r w:rsidRPr="00D91062">
              <w:rPr>
                <w:b/>
                <w:noProof/>
                <w:color w:val="000000"/>
                <w:sz w:val="16"/>
              </w:rPr>
              <w:t>RUBRICA 4</w:t>
            </w:r>
          </w:p>
        </w:tc>
      </w:tr>
      <w:tr w:rsidR="00D664CB" w:rsidRPr="00D91062" w14:paraId="54F52B2E" w14:textId="77777777" w:rsidTr="00A2361B">
        <w:trPr>
          <w:trHeight w:val="790"/>
        </w:trPr>
        <w:tc>
          <w:tcPr>
            <w:tcW w:w="792" w:type="pct"/>
            <w:tcBorders>
              <w:top w:val="nil"/>
              <w:left w:val="single" w:sz="8" w:space="0" w:color="auto"/>
              <w:bottom w:val="single" w:sz="8" w:space="0" w:color="auto"/>
              <w:right w:val="single" w:sz="8" w:space="0" w:color="auto"/>
            </w:tcBorders>
            <w:vAlign w:val="center"/>
            <w:hideMark/>
          </w:tcPr>
          <w:p w14:paraId="544984EB" w14:textId="77777777" w:rsidR="00D664CB" w:rsidRPr="00D91062" w:rsidRDefault="00D664CB" w:rsidP="00D664CB">
            <w:pPr>
              <w:spacing w:before="0" w:after="0"/>
              <w:jc w:val="left"/>
              <w:rPr>
                <w:rFonts w:ascii="Arial Narrow" w:hAnsi="Arial Narrow"/>
                <w:noProof/>
                <w:color w:val="000000"/>
                <w:sz w:val="20"/>
              </w:rPr>
            </w:pPr>
            <w:r w:rsidRPr="00D91062">
              <w:rPr>
                <w:rFonts w:ascii="Arial Narrow" w:hAnsi="Arial Narrow"/>
                <w:noProof/>
                <w:color w:val="000000"/>
                <w:sz w:val="20"/>
              </w:rPr>
              <w:t>Cheltuieli IT (corporative)</w:t>
            </w:r>
            <w:r w:rsidRPr="00D91062">
              <w:rPr>
                <w:noProof/>
                <w:color w:val="000000"/>
                <w:sz w:val="16"/>
              </w:rPr>
              <w:t xml:space="preserve"> </w:t>
            </w:r>
          </w:p>
        </w:tc>
        <w:tc>
          <w:tcPr>
            <w:tcW w:w="524" w:type="pct"/>
            <w:tcBorders>
              <w:top w:val="nil"/>
              <w:left w:val="nil"/>
              <w:bottom w:val="single" w:sz="8" w:space="0" w:color="auto"/>
              <w:right w:val="single" w:sz="8" w:space="0" w:color="auto"/>
            </w:tcBorders>
            <w:shd w:val="clear" w:color="000000" w:fill="D9D9D9"/>
            <w:vAlign w:val="center"/>
            <w:hideMark/>
          </w:tcPr>
          <w:p w14:paraId="237D158C" w14:textId="77777777" w:rsidR="00D664CB" w:rsidRPr="00D91062" w:rsidRDefault="00D664CB" w:rsidP="00D664CB">
            <w:pPr>
              <w:spacing w:before="0" w:after="0"/>
              <w:jc w:val="right"/>
              <w:rPr>
                <w:noProof/>
                <w:color w:val="000000"/>
                <w:sz w:val="16"/>
              </w:rPr>
            </w:pPr>
            <w:r w:rsidRPr="00D91062">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10B05E19" w14:textId="77777777" w:rsidR="00D664CB" w:rsidRPr="00D91062" w:rsidRDefault="00D664CB" w:rsidP="00D664CB">
            <w:pPr>
              <w:spacing w:before="0" w:after="0"/>
              <w:jc w:val="right"/>
              <w:rPr>
                <w:noProof/>
                <w:color w:val="000000"/>
                <w:sz w:val="16"/>
              </w:rPr>
            </w:pPr>
            <w:r w:rsidRPr="00D91062">
              <w:rPr>
                <w:noProof/>
                <w:color w:val="000000"/>
                <w:sz w:val="16"/>
              </w:rPr>
              <w:t>0</w:t>
            </w:r>
          </w:p>
        </w:tc>
        <w:tc>
          <w:tcPr>
            <w:tcW w:w="523" w:type="pct"/>
            <w:tcBorders>
              <w:top w:val="nil"/>
              <w:left w:val="nil"/>
              <w:bottom w:val="single" w:sz="8" w:space="0" w:color="auto"/>
              <w:right w:val="single" w:sz="8" w:space="0" w:color="auto"/>
            </w:tcBorders>
            <w:shd w:val="clear" w:color="000000" w:fill="D9D9D9"/>
            <w:vAlign w:val="center"/>
            <w:hideMark/>
          </w:tcPr>
          <w:p w14:paraId="5916AE70" w14:textId="77777777" w:rsidR="00D664CB" w:rsidRPr="00D91062" w:rsidRDefault="00D664CB" w:rsidP="00D664CB">
            <w:pPr>
              <w:spacing w:before="0" w:after="0"/>
              <w:jc w:val="right"/>
              <w:rPr>
                <w:noProof/>
                <w:color w:val="000000"/>
                <w:sz w:val="16"/>
              </w:rPr>
            </w:pPr>
            <w:r w:rsidRPr="00D91062">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562ED1DB" w14:textId="77777777" w:rsidR="00D664CB" w:rsidRPr="00D91062" w:rsidRDefault="00D664CB" w:rsidP="00D664CB">
            <w:pPr>
              <w:spacing w:before="0" w:after="0"/>
              <w:jc w:val="right"/>
              <w:rPr>
                <w:noProof/>
                <w:color w:val="000000"/>
                <w:sz w:val="16"/>
              </w:rPr>
            </w:pPr>
            <w:r w:rsidRPr="00D91062">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5D35B039" w14:textId="77777777" w:rsidR="00D664CB" w:rsidRPr="00D91062" w:rsidRDefault="00D664CB" w:rsidP="00D664CB">
            <w:pPr>
              <w:spacing w:before="0" w:after="0"/>
              <w:jc w:val="right"/>
              <w:rPr>
                <w:noProof/>
                <w:color w:val="000000"/>
                <w:sz w:val="16"/>
              </w:rPr>
            </w:pPr>
            <w:r w:rsidRPr="00D91062">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6FB66999" w14:textId="77777777" w:rsidR="00D664CB" w:rsidRPr="00D91062" w:rsidRDefault="00D664CB" w:rsidP="00D664CB">
            <w:pPr>
              <w:spacing w:before="0" w:after="0"/>
              <w:jc w:val="right"/>
              <w:rPr>
                <w:noProof/>
                <w:color w:val="000000"/>
                <w:sz w:val="16"/>
              </w:rPr>
            </w:pPr>
            <w:r w:rsidRPr="00D91062">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43FE0C31" w14:textId="77777777" w:rsidR="00D664CB" w:rsidRPr="00D91062" w:rsidRDefault="00D664CB" w:rsidP="00D664CB">
            <w:pPr>
              <w:spacing w:before="0" w:after="0"/>
              <w:jc w:val="right"/>
              <w:rPr>
                <w:noProof/>
                <w:color w:val="000000"/>
                <w:sz w:val="16"/>
              </w:rPr>
            </w:pPr>
            <w:r w:rsidRPr="00D91062">
              <w:rPr>
                <w:noProof/>
                <w:color w:val="000000"/>
                <w:sz w:val="16"/>
              </w:rPr>
              <w:t>0</w:t>
            </w:r>
          </w:p>
        </w:tc>
        <w:tc>
          <w:tcPr>
            <w:tcW w:w="541" w:type="pct"/>
            <w:tcBorders>
              <w:top w:val="nil"/>
              <w:left w:val="nil"/>
              <w:bottom w:val="single" w:sz="8" w:space="0" w:color="auto"/>
              <w:right w:val="single" w:sz="8" w:space="0" w:color="auto"/>
            </w:tcBorders>
            <w:shd w:val="clear" w:color="000000" w:fill="D9D9D9"/>
            <w:vAlign w:val="center"/>
            <w:hideMark/>
          </w:tcPr>
          <w:p w14:paraId="04268627" w14:textId="77777777" w:rsidR="00D664CB" w:rsidRPr="00D91062" w:rsidRDefault="00D664CB" w:rsidP="00D664CB">
            <w:pPr>
              <w:spacing w:before="0" w:after="0"/>
              <w:jc w:val="right"/>
              <w:rPr>
                <w:b/>
                <w:noProof/>
                <w:color w:val="000000"/>
                <w:sz w:val="16"/>
              </w:rPr>
            </w:pPr>
            <w:r w:rsidRPr="00D91062">
              <w:rPr>
                <w:b/>
                <w:noProof/>
                <w:color w:val="000000"/>
                <w:sz w:val="16"/>
              </w:rPr>
              <w:t>0</w:t>
            </w:r>
          </w:p>
        </w:tc>
      </w:tr>
      <w:tr w:rsidR="00D664CB" w:rsidRPr="00D91062" w14:paraId="1A317468" w14:textId="77777777" w:rsidTr="00A2361B">
        <w:trPr>
          <w:trHeight w:val="430"/>
        </w:trPr>
        <w:tc>
          <w:tcPr>
            <w:tcW w:w="792" w:type="pct"/>
            <w:tcBorders>
              <w:top w:val="nil"/>
              <w:left w:val="single" w:sz="8" w:space="0" w:color="auto"/>
              <w:bottom w:val="single" w:sz="8" w:space="0" w:color="auto"/>
              <w:right w:val="single" w:sz="8" w:space="0" w:color="auto"/>
            </w:tcBorders>
            <w:shd w:val="clear" w:color="000000" w:fill="CCCCCC"/>
            <w:vAlign w:val="center"/>
            <w:hideMark/>
          </w:tcPr>
          <w:p w14:paraId="5C867992" w14:textId="77777777" w:rsidR="00D664CB" w:rsidRPr="00D91062" w:rsidRDefault="00D664CB" w:rsidP="00D664CB">
            <w:pPr>
              <w:spacing w:before="0" w:after="0"/>
              <w:jc w:val="center"/>
              <w:rPr>
                <w:b/>
                <w:noProof/>
                <w:color w:val="000000"/>
                <w:sz w:val="16"/>
              </w:rPr>
            </w:pPr>
            <w:r w:rsidRPr="00D91062">
              <w:rPr>
                <w:b/>
                <w:noProof/>
                <w:color w:val="000000"/>
                <w:sz w:val="16"/>
              </w:rPr>
              <w:t>Subtotal de la RUBRICA 4</w:t>
            </w:r>
          </w:p>
        </w:tc>
        <w:tc>
          <w:tcPr>
            <w:tcW w:w="524" w:type="pct"/>
            <w:tcBorders>
              <w:top w:val="nil"/>
              <w:left w:val="nil"/>
              <w:bottom w:val="single" w:sz="8" w:space="0" w:color="auto"/>
              <w:right w:val="single" w:sz="8" w:space="0" w:color="auto"/>
            </w:tcBorders>
            <w:shd w:val="clear" w:color="000000" w:fill="D9D9D9"/>
            <w:vAlign w:val="center"/>
            <w:hideMark/>
          </w:tcPr>
          <w:p w14:paraId="2DF2CB87" w14:textId="77777777" w:rsidR="00D664CB" w:rsidRPr="00D91062" w:rsidRDefault="00D664CB" w:rsidP="00D664CB">
            <w:pPr>
              <w:spacing w:before="0" w:after="0"/>
              <w:jc w:val="right"/>
              <w:rPr>
                <w:b/>
                <w:noProof/>
                <w:color w:val="000000"/>
                <w:sz w:val="16"/>
              </w:rPr>
            </w:pPr>
            <w:r w:rsidRPr="00D91062">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5676CCB0" w14:textId="77777777" w:rsidR="00D664CB" w:rsidRPr="00D91062" w:rsidRDefault="00D664CB" w:rsidP="00D664CB">
            <w:pPr>
              <w:spacing w:before="0" w:after="0"/>
              <w:jc w:val="right"/>
              <w:rPr>
                <w:b/>
                <w:noProof/>
                <w:color w:val="000000"/>
                <w:sz w:val="16"/>
              </w:rPr>
            </w:pPr>
            <w:r w:rsidRPr="00D91062">
              <w:rPr>
                <w:b/>
                <w:noProof/>
                <w:color w:val="000000"/>
                <w:sz w:val="16"/>
              </w:rPr>
              <w:t>0</w:t>
            </w:r>
          </w:p>
        </w:tc>
        <w:tc>
          <w:tcPr>
            <w:tcW w:w="523" w:type="pct"/>
            <w:tcBorders>
              <w:top w:val="nil"/>
              <w:left w:val="nil"/>
              <w:bottom w:val="single" w:sz="8" w:space="0" w:color="auto"/>
              <w:right w:val="single" w:sz="8" w:space="0" w:color="auto"/>
            </w:tcBorders>
            <w:shd w:val="clear" w:color="000000" w:fill="D9D9D9"/>
            <w:vAlign w:val="center"/>
            <w:hideMark/>
          </w:tcPr>
          <w:p w14:paraId="26976331" w14:textId="77777777" w:rsidR="00D664CB" w:rsidRPr="00D91062" w:rsidRDefault="00D664CB" w:rsidP="00D664CB">
            <w:pPr>
              <w:spacing w:before="0" w:after="0"/>
              <w:jc w:val="right"/>
              <w:rPr>
                <w:b/>
                <w:noProof/>
                <w:color w:val="000000"/>
                <w:sz w:val="16"/>
              </w:rPr>
            </w:pPr>
            <w:r w:rsidRPr="00D91062">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18C50DD1" w14:textId="77777777" w:rsidR="00D664CB" w:rsidRPr="00D91062" w:rsidRDefault="00D664CB" w:rsidP="00D664CB">
            <w:pPr>
              <w:spacing w:before="0" w:after="0"/>
              <w:jc w:val="right"/>
              <w:rPr>
                <w:b/>
                <w:noProof/>
                <w:color w:val="000000"/>
                <w:sz w:val="16"/>
              </w:rPr>
            </w:pPr>
            <w:r w:rsidRPr="00D91062">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5AAFDB8C" w14:textId="77777777" w:rsidR="00D664CB" w:rsidRPr="00D91062" w:rsidRDefault="00D664CB" w:rsidP="00D664CB">
            <w:pPr>
              <w:spacing w:before="0" w:after="0"/>
              <w:jc w:val="right"/>
              <w:rPr>
                <w:b/>
                <w:noProof/>
                <w:color w:val="000000"/>
                <w:sz w:val="16"/>
              </w:rPr>
            </w:pPr>
            <w:r w:rsidRPr="00D91062">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278674C9" w14:textId="77777777" w:rsidR="00D664CB" w:rsidRPr="00D91062" w:rsidRDefault="00D664CB" w:rsidP="00D664CB">
            <w:pPr>
              <w:spacing w:before="0" w:after="0"/>
              <w:jc w:val="right"/>
              <w:rPr>
                <w:b/>
                <w:noProof/>
                <w:color w:val="000000"/>
                <w:sz w:val="16"/>
              </w:rPr>
            </w:pPr>
            <w:r w:rsidRPr="00D91062">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6C3AFE36" w14:textId="77777777" w:rsidR="00D664CB" w:rsidRPr="00D91062" w:rsidRDefault="00D664CB" w:rsidP="00D664CB">
            <w:pPr>
              <w:spacing w:before="0" w:after="0"/>
              <w:jc w:val="right"/>
              <w:rPr>
                <w:b/>
                <w:noProof/>
                <w:color w:val="000000"/>
                <w:sz w:val="16"/>
              </w:rPr>
            </w:pPr>
            <w:r w:rsidRPr="00D91062">
              <w:rPr>
                <w:b/>
                <w:noProof/>
                <w:color w:val="000000"/>
                <w:sz w:val="16"/>
              </w:rPr>
              <w:t>0</w:t>
            </w:r>
          </w:p>
        </w:tc>
        <w:tc>
          <w:tcPr>
            <w:tcW w:w="541" w:type="pct"/>
            <w:tcBorders>
              <w:top w:val="nil"/>
              <w:left w:val="nil"/>
              <w:bottom w:val="single" w:sz="8" w:space="0" w:color="auto"/>
              <w:right w:val="single" w:sz="8" w:space="0" w:color="auto"/>
            </w:tcBorders>
            <w:shd w:val="clear" w:color="000000" w:fill="D9D9D9"/>
            <w:vAlign w:val="center"/>
            <w:hideMark/>
          </w:tcPr>
          <w:p w14:paraId="2E374A7D" w14:textId="77777777" w:rsidR="00D664CB" w:rsidRPr="00D91062" w:rsidRDefault="00D664CB" w:rsidP="00D664CB">
            <w:pPr>
              <w:spacing w:before="0" w:after="0"/>
              <w:jc w:val="right"/>
              <w:rPr>
                <w:b/>
                <w:noProof/>
                <w:color w:val="000000"/>
                <w:sz w:val="16"/>
              </w:rPr>
            </w:pPr>
            <w:r w:rsidRPr="00D91062">
              <w:rPr>
                <w:b/>
                <w:noProof/>
                <w:color w:val="000000"/>
                <w:sz w:val="16"/>
              </w:rPr>
              <w:t>0</w:t>
            </w:r>
          </w:p>
        </w:tc>
      </w:tr>
      <w:tr w:rsidR="00D664CB" w:rsidRPr="00D91062" w14:paraId="4601B647" w14:textId="77777777" w:rsidTr="00A2361B">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764B68D5" w14:textId="77777777" w:rsidR="00D664CB" w:rsidRPr="00D91062" w:rsidRDefault="00D664CB" w:rsidP="00D664CB">
            <w:pPr>
              <w:spacing w:before="0" w:after="0"/>
              <w:jc w:val="left"/>
              <w:rPr>
                <w:b/>
                <w:noProof/>
                <w:color w:val="000000"/>
                <w:sz w:val="16"/>
              </w:rPr>
            </w:pPr>
            <w:r w:rsidRPr="00D91062">
              <w:rPr>
                <w:b/>
                <w:noProof/>
                <w:color w:val="000000"/>
                <w:sz w:val="16"/>
              </w:rPr>
              <w:t>În afara RUBRICII 4</w:t>
            </w:r>
          </w:p>
        </w:tc>
      </w:tr>
      <w:tr w:rsidR="00D664CB" w:rsidRPr="00D91062" w14:paraId="2D1A1F99" w14:textId="77777777" w:rsidTr="00A2361B">
        <w:trPr>
          <w:trHeight w:val="1570"/>
        </w:trPr>
        <w:tc>
          <w:tcPr>
            <w:tcW w:w="792" w:type="pct"/>
            <w:tcBorders>
              <w:top w:val="nil"/>
              <w:left w:val="single" w:sz="8" w:space="0" w:color="auto"/>
              <w:bottom w:val="single" w:sz="8" w:space="0" w:color="auto"/>
              <w:right w:val="single" w:sz="8" w:space="0" w:color="auto"/>
            </w:tcBorders>
            <w:vAlign w:val="center"/>
            <w:hideMark/>
          </w:tcPr>
          <w:p w14:paraId="4ABAA838" w14:textId="77777777" w:rsidR="00D664CB" w:rsidRPr="00D91062" w:rsidRDefault="00D664CB" w:rsidP="00D664CB">
            <w:pPr>
              <w:spacing w:before="0" w:after="0"/>
              <w:jc w:val="left"/>
              <w:rPr>
                <w:rFonts w:ascii="Arial Narrow" w:hAnsi="Arial Narrow"/>
                <w:noProof/>
                <w:color w:val="000000"/>
                <w:sz w:val="20"/>
              </w:rPr>
            </w:pPr>
            <w:r w:rsidRPr="00D91062">
              <w:rPr>
                <w:rFonts w:ascii="Arial Narrow" w:hAnsi="Arial Narrow"/>
                <w:noProof/>
                <w:color w:val="000000"/>
                <w:sz w:val="20"/>
              </w:rPr>
              <w:t>Cheltuieli de politică IT pentru programele operaționale</w:t>
            </w:r>
          </w:p>
        </w:tc>
        <w:tc>
          <w:tcPr>
            <w:tcW w:w="524" w:type="pct"/>
            <w:tcBorders>
              <w:top w:val="nil"/>
              <w:left w:val="nil"/>
              <w:bottom w:val="single" w:sz="8" w:space="0" w:color="auto"/>
              <w:right w:val="single" w:sz="8" w:space="0" w:color="auto"/>
            </w:tcBorders>
            <w:shd w:val="clear" w:color="000000" w:fill="D9D9D9"/>
            <w:vAlign w:val="center"/>
            <w:hideMark/>
          </w:tcPr>
          <w:p w14:paraId="75D451CB" w14:textId="77777777" w:rsidR="00D664CB" w:rsidRPr="00D91062" w:rsidRDefault="00D664CB" w:rsidP="00D664CB">
            <w:pPr>
              <w:spacing w:before="0" w:after="0"/>
              <w:jc w:val="right"/>
              <w:rPr>
                <w:noProof/>
                <w:color w:val="000000"/>
                <w:sz w:val="16"/>
              </w:rPr>
            </w:pPr>
            <w:r w:rsidRPr="00D91062">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6D52D6B3" w14:textId="77777777" w:rsidR="00D664CB" w:rsidRPr="00D91062" w:rsidRDefault="00D664CB" w:rsidP="00D664CB">
            <w:pPr>
              <w:spacing w:before="0" w:after="0"/>
              <w:jc w:val="right"/>
              <w:rPr>
                <w:noProof/>
                <w:color w:val="000000"/>
                <w:sz w:val="16"/>
              </w:rPr>
            </w:pPr>
            <w:r w:rsidRPr="00D91062">
              <w:rPr>
                <w:noProof/>
                <w:color w:val="000000"/>
                <w:sz w:val="16"/>
              </w:rPr>
              <w:t>0</w:t>
            </w:r>
          </w:p>
        </w:tc>
        <w:tc>
          <w:tcPr>
            <w:tcW w:w="523" w:type="pct"/>
            <w:tcBorders>
              <w:top w:val="nil"/>
              <w:left w:val="nil"/>
              <w:bottom w:val="single" w:sz="8" w:space="0" w:color="auto"/>
              <w:right w:val="single" w:sz="8" w:space="0" w:color="auto"/>
            </w:tcBorders>
            <w:shd w:val="clear" w:color="000000" w:fill="D9D9D9"/>
            <w:vAlign w:val="center"/>
            <w:hideMark/>
          </w:tcPr>
          <w:p w14:paraId="1E0377E8" w14:textId="77777777" w:rsidR="00D664CB" w:rsidRPr="00D91062" w:rsidRDefault="00D664CB" w:rsidP="00D664CB">
            <w:pPr>
              <w:spacing w:before="0" w:after="0"/>
              <w:jc w:val="right"/>
              <w:rPr>
                <w:noProof/>
                <w:color w:val="000000"/>
                <w:sz w:val="16"/>
              </w:rPr>
            </w:pPr>
            <w:r w:rsidRPr="00D91062">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061BC1E5" w14:textId="77777777" w:rsidR="00D664CB" w:rsidRPr="00D91062" w:rsidRDefault="00D664CB" w:rsidP="00D664CB">
            <w:pPr>
              <w:spacing w:before="0" w:after="0"/>
              <w:jc w:val="right"/>
              <w:rPr>
                <w:noProof/>
                <w:color w:val="000000"/>
                <w:sz w:val="16"/>
              </w:rPr>
            </w:pPr>
            <w:r w:rsidRPr="00D91062">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71EA3406" w14:textId="77777777" w:rsidR="00D664CB" w:rsidRPr="00D91062" w:rsidRDefault="00D664CB" w:rsidP="00D664CB">
            <w:pPr>
              <w:spacing w:before="0" w:after="0"/>
              <w:jc w:val="right"/>
              <w:rPr>
                <w:noProof/>
                <w:color w:val="000000"/>
                <w:sz w:val="16"/>
              </w:rPr>
            </w:pPr>
            <w:r w:rsidRPr="00D91062">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40DAAF1C" w14:textId="77777777" w:rsidR="00D664CB" w:rsidRPr="00D91062" w:rsidRDefault="00D664CB" w:rsidP="00D664CB">
            <w:pPr>
              <w:spacing w:before="0" w:after="0"/>
              <w:jc w:val="right"/>
              <w:rPr>
                <w:noProof/>
                <w:color w:val="000000"/>
                <w:sz w:val="16"/>
              </w:rPr>
            </w:pPr>
            <w:r w:rsidRPr="00D91062">
              <w:rPr>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207C926D" w14:textId="77777777" w:rsidR="00D664CB" w:rsidRPr="00D91062" w:rsidRDefault="00D664CB" w:rsidP="00D664CB">
            <w:pPr>
              <w:spacing w:before="0" w:after="0"/>
              <w:jc w:val="right"/>
              <w:rPr>
                <w:noProof/>
                <w:color w:val="000000"/>
                <w:sz w:val="16"/>
              </w:rPr>
            </w:pPr>
            <w:r w:rsidRPr="00D91062">
              <w:rPr>
                <w:noProof/>
                <w:color w:val="000000"/>
                <w:sz w:val="16"/>
              </w:rPr>
              <w:t>0</w:t>
            </w:r>
          </w:p>
        </w:tc>
        <w:tc>
          <w:tcPr>
            <w:tcW w:w="541" w:type="pct"/>
            <w:tcBorders>
              <w:top w:val="nil"/>
              <w:left w:val="nil"/>
              <w:bottom w:val="single" w:sz="8" w:space="0" w:color="auto"/>
              <w:right w:val="single" w:sz="8" w:space="0" w:color="auto"/>
            </w:tcBorders>
            <w:shd w:val="clear" w:color="000000" w:fill="D9D9D9"/>
            <w:vAlign w:val="center"/>
            <w:hideMark/>
          </w:tcPr>
          <w:p w14:paraId="660A1D7D" w14:textId="77777777" w:rsidR="00D664CB" w:rsidRPr="00D91062" w:rsidRDefault="00D664CB" w:rsidP="00D664CB">
            <w:pPr>
              <w:spacing w:before="0" w:after="0"/>
              <w:jc w:val="right"/>
              <w:rPr>
                <w:b/>
                <w:noProof/>
                <w:color w:val="000000"/>
                <w:sz w:val="16"/>
              </w:rPr>
            </w:pPr>
            <w:r w:rsidRPr="00D91062">
              <w:rPr>
                <w:b/>
                <w:noProof/>
                <w:color w:val="000000"/>
                <w:sz w:val="16"/>
              </w:rPr>
              <w:t>0</w:t>
            </w:r>
          </w:p>
        </w:tc>
      </w:tr>
      <w:tr w:rsidR="00D664CB" w:rsidRPr="00D91062" w14:paraId="1EACB533" w14:textId="77777777" w:rsidTr="00A2361B">
        <w:trPr>
          <w:trHeight w:val="640"/>
        </w:trPr>
        <w:tc>
          <w:tcPr>
            <w:tcW w:w="792" w:type="pct"/>
            <w:tcBorders>
              <w:top w:val="nil"/>
              <w:left w:val="single" w:sz="8" w:space="0" w:color="auto"/>
              <w:bottom w:val="single" w:sz="8" w:space="0" w:color="auto"/>
              <w:right w:val="single" w:sz="8" w:space="0" w:color="auto"/>
            </w:tcBorders>
            <w:shd w:val="clear" w:color="000000" w:fill="CCCCCC"/>
            <w:vAlign w:val="center"/>
            <w:hideMark/>
          </w:tcPr>
          <w:p w14:paraId="5E3B0C98" w14:textId="77777777" w:rsidR="00D664CB" w:rsidRPr="00D91062" w:rsidRDefault="00D664CB" w:rsidP="00D664CB">
            <w:pPr>
              <w:spacing w:before="0" w:after="0"/>
              <w:jc w:val="center"/>
              <w:rPr>
                <w:b/>
                <w:noProof/>
                <w:color w:val="000000"/>
                <w:sz w:val="16"/>
              </w:rPr>
            </w:pPr>
            <w:r w:rsidRPr="00D91062">
              <w:rPr>
                <w:b/>
                <w:noProof/>
                <w:color w:val="000000"/>
                <w:sz w:val="16"/>
              </w:rPr>
              <w:t>Subtotal în afara RUBRICII 4</w:t>
            </w:r>
          </w:p>
        </w:tc>
        <w:tc>
          <w:tcPr>
            <w:tcW w:w="524" w:type="pct"/>
            <w:tcBorders>
              <w:top w:val="nil"/>
              <w:left w:val="nil"/>
              <w:bottom w:val="single" w:sz="8" w:space="0" w:color="auto"/>
              <w:right w:val="single" w:sz="8" w:space="0" w:color="auto"/>
            </w:tcBorders>
            <w:shd w:val="clear" w:color="000000" w:fill="D9D9D9"/>
            <w:vAlign w:val="center"/>
            <w:hideMark/>
          </w:tcPr>
          <w:p w14:paraId="1A5EFF29" w14:textId="77777777" w:rsidR="00D664CB" w:rsidRPr="00D91062" w:rsidRDefault="00D664CB" w:rsidP="00D664CB">
            <w:pPr>
              <w:spacing w:before="0" w:after="0"/>
              <w:jc w:val="right"/>
              <w:rPr>
                <w:b/>
                <w:noProof/>
                <w:color w:val="000000"/>
                <w:sz w:val="16"/>
              </w:rPr>
            </w:pPr>
            <w:r w:rsidRPr="00D91062">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496F7680" w14:textId="77777777" w:rsidR="00D664CB" w:rsidRPr="00D91062" w:rsidRDefault="00D664CB" w:rsidP="00D664CB">
            <w:pPr>
              <w:spacing w:before="0" w:after="0"/>
              <w:jc w:val="right"/>
              <w:rPr>
                <w:b/>
                <w:noProof/>
                <w:color w:val="000000"/>
                <w:sz w:val="16"/>
              </w:rPr>
            </w:pPr>
            <w:r w:rsidRPr="00D91062">
              <w:rPr>
                <w:b/>
                <w:noProof/>
                <w:color w:val="000000"/>
                <w:sz w:val="16"/>
              </w:rPr>
              <w:t>0</w:t>
            </w:r>
          </w:p>
        </w:tc>
        <w:tc>
          <w:tcPr>
            <w:tcW w:w="523" w:type="pct"/>
            <w:tcBorders>
              <w:top w:val="nil"/>
              <w:left w:val="nil"/>
              <w:bottom w:val="single" w:sz="8" w:space="0" w:color="auto"/>
              <w:right w:val="single" w:sz="8" w:space="0" w:color="auto"/>
            </w:tcBorders>
            <w:shd w:val="clear" w:color="000000" w:fill="D9D9D9"/>
            <w:vAlign w:val="center"/>
            <w:hideMark/>
          </w:tcPr>
          <w:p w14:paraId="5421E597" w14:textId="77777777" w:rsidR="00D664CB" w:rsidRPr="00D91062" w:rsidRDefault="00D664CB" w:rsidP="00D664CB">
            <w:pPr>
              <w:spacing w:before="0" w:after="0"/>
              <w:jc w:val="right"/>
              <w:rPr>
                <w:b/>
                <w:noProof/>
                <w:color w:val="000000"/>
                <w:sz w:val="16"/>
              </w:rPr>
            </w:pPr>
            <w:r w:rsidRPr="00D91062">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3371AA92" w14:textId="77777777" w:rsidR="00D664CB" w:rsidRPr="00D91062" w:rsidRDefault="00D664CB" w:rsidP="00D664CB">
            <w:pPr>
              <w:spacing w:before="0" w:after="0"/>
              <w:jc w:val="right"/>
              <w:rPr>
                <w:b/>
                <w:noProof/>
                <w:color w:val="000000"/>
                <w:sz w:val="16"/>
              </w:rPr>
            </w:pPr>
            <w:r w:rsidRPr="00D91062">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2AA97F47" w14:textId="77777777" w:rsidR="00D664CB" w:rsidRPr="00D91062" w:rsidRDefault="00D664CB" w:rsidP="00D664CB">
            <w:pPr>
              <w:spacing w:before="0" w:after="0"/>
              <w:jc w:val="right"/>
              <w:rPr>
                <w:b/>
                <w:noProof/>
                <w:color w:val="000000"/>
                <w:sz w:val="16"/>
              </w:rPr>
            </w:pPr>
            <w:r w:rsidRPr="00D91062">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43849146" w14:textId="77777777" w:rsidR="00D664CB" w:rsidRPr="00D91062" w:rsidRDefault="00D664CB" w:rsidP="00D664CB">
            <w:pPr>
              <w:spacing w:before="0" w:after="0"/>
              <w:jc w:val="right"/>
              <w:rPr>
                <w:b/>
                <w:noProof/>
                <w:color w:val="000000"/>
                <w:sz w:val="16"/>
              </w:rPr>
            </w:pPr>
            <w:r w:rsidRPr="00D91062">
              <w:rPr>
                <w:b/>
                <w:noProof/>
                <w:color w:val="000000"/>
                <w:sz w:val="16"/>
              </w:rPr>
              <w:t>0</w:t>
            </w:r>
          </w:p>
        </w:tc>
        <w:tc>
          <w:tcPr>
            <w:tcW w:w="524" w:type="pct"/>
            <w:tcBorders>
              <w:top w:val="nil"/>
              <w:left w:val="nil"/>
              <w:bottom w:val="single" w:sz="8" w:space="0" w:color="auto"/>
              <w:right w:val="single" w:sz="8" w:space="0" w:color="auto"/>
            </w:tcBorders>
            <w:shd w:val="clear" w:color="000000" w:fill="D9D9D9"/>
            <w:vAlign w:val="center"/>
            <w:hideMark/>
          </w:tcPr>
          <w:p w14:paraId="4FC5F309" w14:textId="77777777" w:rsidR="00D664CB" w:rsidRPr="00D91062" w:rsidRDefault="00D664CB" w:rsidP="00D664CB">
            <w:pPr>
              <w:spacing w:before="0" w:after="0"/>
              <w:jc w:val="right"/>
              <w:rPr>
                <w:b/>
                <w:noProof/>
                <w:color w:val="000000"/>
                <w:sz w:val="16"/>
              </w:rPr>
            </w:pPr>
            <w:r w:rsidRPr="00D91062">
              <w:rPr>
                <w:b/>
                <w:noProof/>
                <w:color w:val="000000"/>
                <w:sz w:val="16"/>
              </w:rPr>
              <w:t>0</w:t>
            </w:r>
          </w:p>
        </w:tc>
        <w:tc>
          <w:tcPr>
            <w:tcW w:w="541" w:type="pct"/>
            <w:tcBorders>
              <w:top w:val="nil"/>
              <w:left w:val="nil"/>
              <w:bottom w:val="single" w:sz="8" w:space="0" w:color="auto"/>
              <w:right w:val="single" w:sz="8" w:space="0" w:color="auto"/>
            </w:tcBorders>
            <w:shd w:val="clear" w:color="000000" w:fill="D9D9D9"/>
            <w:vAlign w:val="center"/>
            <w:hideMark/>
          </w:tcPr>
          <w:p w14:paraId="78097A7B" w14:textId="77777777" w:rsidR="00D664CB" w:rsidRPr="00D91062" w:rsidRDefault="00D664CB" w:rsidP="00D664CB">
            <w:pPr>
              <w:spacing w:before="0" w:after="0"/>
              <w:jc w:val="right"/>
              <w:rPr>
                <w:b/>
                <w:noProof/>
                <w:color w:val="000000"/>
                <w:sz w:val="16"/>
              </w:rPr>
            </w:pPr>
            <w:r w:rsidRPr="00D91062">
              <w:rPr>
                <w:b/>
                <w:noProof/>
                <w:color w:val="000000"/>
                <w:sz w:val="16"/>
              </w:rPr>
              <w:t>0</w:t>
            </w:r>
          </w:p>
        </w:tc>
      </w:tr>
      <w:tr w:rsidR="00D664CB" w:rsidRPr="00D91062" w14:paraId="1B56EF09" w14:textId="77777777" w:rsidTr="00A2361B">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14:paraId="62B02A62" w14:textId="77777777" w:rsidR="00D664CB" w:rsidRPr="00D91062" w:rsidRDefault="00D664CB" w:rsidP="00D664CB">
            <w:pPr>
              <w:spacing w:before="0" w:after="0"/>
              <w:jc w:val="center"/>
              <w:rPr>
                <w:noProof/>
                <w:color w:val="000000"/>
                <w:sz w:val="16"/>
              </w:rPr>
            </w:pPr>
          </w:p>
        </w:tc>
      </w:tr>
      <w:tr w:rsidR="00D664CB" w:rsidRPr="00D91062" w14:paraId="3FCEC534" w14:textId="77777777" w:rsidTr="00A2361B">
        <w:trPr>
          <w:trHeight w:val="300"/>
        </w:trPr>
        <w:tc>
          <w:tcPr>
            <w:tcW w:w="792" w:type="pct"/>
            <w:tcBorders>
              <w:top w:val="nil"/>
              <w:left w:val="single" w:sz="12" w:space="0" w:color="auto"/>
              <w:bottom w:val="single" w:sz="12" w:space="0" w:color="auto"/>
              <w:right w:val="single" w:sz="8" w:space="0" w:color="auto"/>
            </w:tcBorders>
            <w:vAlign w:val="center"/>
            <w:hideMark/>
          </w:tcPr>
          <w:p w14:paraId="711CE24A" w14:textId="77777777" w:rsidR="00D664CB" w:rsidRPr="00D91062" w:rsidRDefault="00D664CB" w:rsidP="00D664CB">
            <w:pPr>
              <w:spacing w:before="0" w:after="0"/>
              <w:jc w:val="center"/>
              <w:rPr>
                <w:b/>
                <w:noProof/>
                <w:color w:val="000000"/>
                <w:sz w:val="16"/>
              </w:rPr>
            </w:pPr>
            <w:r w:rsidRPr="00D91062">
              <w:rPr>
                <w:b/>
                <w:noProof/>
                <w:color w:val="000000"/>
                <w:sz w:val="16"/>
              </w:rPr>
              <w:t>TOTAL</w:t>
            </w:r>
          </w:p>
        </w:tc>
        <w:tc>
          <w:tcPr>
            <w:tcW w:w="524" w:type="pct"/>
            <w:tcBorders>
              <w:top w:val="nil"/>
              <w:left w:val="nil"/>
              <w:bottom w:val="single" w:sz="12" w:space="0" w:color="auto"/>
              <w:right w:val="single" w:sz="8" w:space="0" w:color="auto"/>
            </w:tcBorders>
            <w:shd w:val="clear" w:color="000000" w:fill="D9D9D9"/>
            <w:vAlign w:val="center"/>
            <w:hideMark/>
          </w:tcPr>
          <w:p w14:paraId="7C222FA8" w14:textId="77777777" w:rsidR="00D664CB" w:rsidRPr="00D91062" w:rsidRDefault="00D664CB" w:rsidP="00D664CB">
            <w:pPr>
              <w:spacing w:before="0" w:after="0"/>
              <w:jc w:val="right"/>
              <w:rPr>
                <w:b/>
                <w:noProof/>
                <w:color w:val="000000"/>
                <w:sz w:val="16"/>
              </w:rPr>
            </w:pPr>
            <w:r w:rsidRPr="00D91062">
              <w:rPr>
                <w:b/>
                <w:noProof/>
                <w:color w:val="000000"/>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468B4D1F" w14:textId="77777777" w:rsidR="00D664CB" w:rsidRPr="00D91062" w:rsidRDefault="00D664CB" w:rsidP="00D664CB">
            <w:pPr>
              <w:spacing w:before="0" w:after="0"/>
              <w:jc w:val="right"/>
              <w:rPr>
                <w:b/>
                <w:noProof/>
                <w:color w:val="000000"/>
                <w:sz w:val="16"/>
              </w:rPr>
            </w:pPr>
            <w:r w:rsidRPr="00D91062">
              <w:rPr>
                <w:b/>
                <w:noProof/>
                <w:color w:val="000000"/>
                <w:sz w:val="16"/>
              </w:rPr>
              <w:t>0</w:t>
            </w:r>
          </w:p>
        </w:tc>
        <w:tc>
          <w:tcPr>
            <w:tcW w:w="523" w:type="pct"/>
            <w:tcBorders>
              <w:top w:val="nil"/>
              <w:left w:val="nil"/>
              <w:bottom w:val="single" w:sz="12" w:space="0" w:color="auto"/>
              <w:right w:val="single" w:sz="8" w:space="0" w:color="auto"/>
            </w:tcBorders>
            <w:shd w:val="clear" w:color="000000" w:fill="D9D9D9"/>
            <w:vAlign w:val="center"/>
            <w:hideMark/>
          </w:tcPr>
          <w:p w14:paraId="691A794C" w14:textId="77777777" w:rsidR="00D664CB" w:rsidRPr="00D91062" w:rsidRDefault="00D664CB" w:rsidP="00D664CB">
            <w:pPr>
              <w:spacing w:before="0" w:after="0"/>
              <w:jc w:val="right"/>
              <w:rPr>
                <w:b/>
                <w:noProof/>
                <w:color w:val="000000"/>
                <w:sz w:val="16"/>
              </w:rPr>
            </w:pPr>
            <w:r w:rsidRPr="00D91062">
              <w:rPr>
                <w:b/>
                <w:noProof/>
                <w:color w:val="000000"/>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37AC4D0C" w14:textId="77777777" w:rsidR="00D664CB" w:rsidRPr="00D91062" w:rsidRDefault="00D664CB" w:rsidP="00D664CB">
            <w:pPr>
              <w:spacing w:before="0" w:after="0"/>
              <w:jc w:val="right"/>
              <w:rPr>
                <w:b/>
                <w:noProof/>
                <w:color w:val="000000"/>
                <w:sz w:val="16"/>
              </w:rPr>
            </w:pPr>
            <w:r w:rsidRPr="00D91062">
              <w:rPr>
                <w:b/>
                <w:noProof/>
                <w:color w:val="000000"/>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6814A989" w14:textId="77777777" w:rsidR="00D664CB" w:rsidRPr="00D91062" w:rsidRDefault="00D664CB" w:rsidP="00D664CB">
            <w:pPr>
              <w:spacing w:before="0" w:after="0"/>
              <w:jc w:val="right"/>
              <w:rPr>
                <w:b/>
                <w:noProof/>
                <w:color w:val="000000"/>
                <w:sz w:val="16"/>
              </w:rPr>
            </w:pPr>
            <w:r w:rsidRPr="00D91062">
              <w:rPr>
                <w:b/>
                <w:noProof/>
                <w:color w:val="000000"/>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7BB8E759" w14:textId="77777777" w:rsidR="00D664CB" w:rsidRPr="00D91062" w:rsidRDefault="00D664CB" w:rsidP="00D664CB">
            <w:pPr>
              <w:spacing w:before="0" w:after="0"/>
              <w:jc w:val="right"/>
              <w:rPr>
                <w:b/>
                <w:noProof/>
                <w:color w:val="000000"/>
                <w:sz w:val="16"/>
              </w:rPr>
            </w:pPr>
            <w:r w:rsidRPr="00D91062">
              <w:rPr>
                <w:b/>
                <w:noProof/>
                <w:color w:val="000000"/>
                <w:sz w:val="16"/>
              </w:rPr>
              <w:t>0</w:t>
            </w:r>
          </w:p>
        </w:tc>
        <w:tc>
          <w:tcPr>
            <w:tcW w:w="524" w:type="pct"/>
            <w:tcBorders>
              <w:top w:val="nil"/>
              <w:left w:val="nil"/>
              <w:bottom w:val="single" w:sz="12" w:space="0" w:color="auto"/>
              <w:right w:val="single" w:sz="8" w:space="0" w:color="auto"/>
            </w:tcBorders>
            <w:shd w:val="clear" w:color="000000" w:fill="D9D9D9"/>
            <w:vAlign w:val="center"/>
            <w:hideMark/>
          </w:tcPr>
          <w:p w14:paraId="7F9047D3" w14:textId="77777777" w:rsidR="00D664CB" w:rsidRPr="00D91062" w:rsidRDefault="00D664CB" w:rsidP="00D664CB">
            <w:pPr>
              <w:spacing w:before="0" w:after="0"/>
              <w:jc w:val="right"/>
              <w:rPr>
                <w:b/>
                <w:noProof/>
                <w:color w:val="000000"/>
                <w:sz w:val="16"/>
              </w:rPr>
            </w:pPr>
            <w:r w:rsidRPr="00D91062">
              <w:rPr>
                <w:b/>
                <w:noProof/>
                <w:color w:val="000000"/>
                <w:sz w:val="16"/>
              </w:rPr>
              <w:t>0</w:t>
            </w:r>
          </w:p>
        </w:tc>
        <w:tc>
          <w:tcPr>
            <w:tcW w:w="541" w:type="pct"/>
            <w:tcBorders>
              <w:top w:val="nil"/>
              <w:left w:val="nil"/>
              <w:bottom w:val="single" w:sz="12" w:space="0" w:color="auto"/>
              <w:right w:val="single" w:sz="8" w:space="0" w:color="auto"/>
            </w:tcBorders>
            <w:shd w:val="clear" w:color="000000" w:fill="D9D9D9"/>
            <w:vAlign w:val="center"/>
            <w:hideMark/>
          </w:tcPr>
          <w:p w14:paraId="5D206BA7" w14:textId="77777777" w:rsidR="00D664CB" w:rsidRPr="00D91062" w:rsidRDefault="00D664CB" w:rsidP="00D664CB">
            <w:pPr>
              <w:spacing w:before="0" w:after="0"/>
              <w:jc w:val="right"/>
              <w:rPr>
                <w:b/>
                <w:noProof/>
                <w:color w:val="000000"/>
                <w:sz w:val="16"/>
              </w:rPr>
            </w:pPr>
            <w:r w:rsidRPr="00D91062">
              <w:rPr>
                <w:b/>
                <w:noProof/>
                <w:color w:val="000000"/>
                <w:sz w:val="16"/>
              </w:rPr>
              <w:t>0</w:t>
            </w:r>
          </w:p>
        </w:tc>
      </w:tr>
    </w:tbl>
    <w:p w14:paraId="7A702611" w14:textId="77777777" w:rsidR="00D664CB" w:rsidRPr="00D91062" w:rsidRDefault="00D664CB" w:rsidP="007A5721">
      <w:pPr>
        <w:pStyle w:val="ManualHeading3"/>
        <w:rPr>
          <w:noProof/>
        </w:rPr>
      </w:pPr>
      <w:r w:rsidRPr="00D91062">
        <w:rPr>
          <w:noProof/>
        </w:rPr>
        <w:t>3.2.6.</w:t>
      </w:r>
      <w:r w:rsidRPr="00D91062">
        <w:rPr>
          <w:noProof/>
        </w:rPr>
        <w:tab/>
        <w:t>Compatibilitatea cu cadrul financiar multianual actual</w:t>
      </w:r>
    </w:p>
    <w:p w14:paraId="3B7153A3" w14:textId="77777777" w:rsidR="00D664CB" w:rsidRPr="00D91062" w:rsidRDefault="00D664CB" w:rsidP="007A5721">
      <w:pPr>
        <w:pStyle w:val="Text1"/>
        <w:rPr>
          <w:noProof/>
        </w:rPr>
      </w:pPr>
      <w:r w:rsidRPr="00D91062">
        <w:rPr>
          <w:noProof/>
        </w:rPr>
        <w:t>Propunerea/inițiativa:</w:t>
      </w:r>
    </w:p>
    <w:p w14:paraId="05A258A1" w14:textId="77777777" w:rsidR="00D664CB" w:rsidRPr="00D91062" w:rsidRDefault="00D664CB" w:rsidP="007A5721">
      <w:pPr>
        <w:pStyle w:val="ListDash"/>
        <w:rPr>
          <w:noProof/>
        </w:rPr>
      </w:pPr>
      <w:r w:rsidRPr="00D91062">
        <w:rPr>
          <w:rFonts w:ascii="Wingdings" w:hAnsi="Wingdings"/>
          <w:noProof/>
        </w:rPr>
        <w:t></w:t>
      </w:r>
      <w:r w:rsidRPr="00D91062">
        <w:rPr>
          <w:noProof/>
        </w:rPr>
        <w:tab/>
        <w:t>poate fi finanțată integral prin realocarea creditelor în cadrul rubricii relevante din cadrul financiar multianual (CFM)</w:t>
      </w:r>
    </w:p>
    <w:p w14:paraId="402EC5BF" w14:textId="77777777" w:rsidR="00D664CB" w:rsidRPr="00D91062" w:rsidRDefault="00D664CB" w:rsidP="007A5721">
      <w:pPr>
        <w:pStyle w:val="ListDash"/>
        <w:rPr>
          <w:noProof/>
        </w:rPr>
      </w:pPr>
      <w:r w:rsidRPr="00D91062">
        <w:rPr>
          <w:rFonts w:ascii="Wingdings" w:hAnsi="Wingdings"/>
          <w:noProof/>
        </w:rPr>
        <w:t></w:t>
      </w:r>
      <w:r w:rsidRPr="00D91062">
        <w:rPr>
          <w:noProof/>
        </w:rPr>
        <w:tab/>
        <w:t>necesită utilizarea marjei nealocate din cadrul rubricii corespunzătoare din CFM și/sau utilizarea instrumentelor speciale, astfel cum sunt definite în Regulamentul privind CFM</w:t>
      </w:r>
    </w:p>
    <w:p w14:paraId="5D64FF23" w14:textId="77777777" w:rsidR="00D664CB" w:rsidRPr="00D91062" w:rsidRDefault="00D664CB" w:rsidP="007A5721">
      <w:pPr>
        <w:pStyle w:val="Text1"/>
        <w:pBdr>
          <w:top w:val="single" w:sz="4" w:space="1" w:color="auto"/>
          <w:left w:val="single" w:sz="4" w:space="4" w:color="auto"/>
          <w:bottom w:val="single" w:sz="4" w:space="1" w:color="auto"/>
          <w:right w:val="single" w:sz="4" w:space="4" w:color="auto"/>
        </w:pBdr>
        <w:rPr>
          <w:noProof/>
        </w:rPr>
      </w:pPr>
      <w:r w:rsidRPr="00D91062">
        <w:rPr>
          <w:noProof/>
        </w:rPr>
        <w:t>Pe lângă resursele existente în cadrul Comisiei/DG CNECT, inițiativa necesită 5 ENI de personal suplimentar excepțional (3 funcționari și 2 personal extern – AC sau END), care sunt necesare pentru a asigura punerea în aplicare deplină și eficace a inițiativei.</w:t>
      </w:r>
    </w:p>
    <w:p w14:paraId="069CB7E3" w14:textId="77777777" w:rsidR="00D664CB" w:rsidRPr="00D91062" w:rsidRDefault="00D664CB" w:rsidP="007A5721">
      <w:pPr>
        <w:pStyle w:val="ListDash"/>
        <w:rPr>
          <w:noProof/>
        </w:rPr>
      </w:pPr>
      <w:r w:rsidRPr="00D91062">
        <w:rPr>
          <w:rFonts w:ascii="Wingdings" w:hAnsi="Wingdings"/>
          <w:noProof/>
        </w:rPr>
        <w:t></w:t>
      </w:r>
      <w:r w:rsidRPr="00D91062">
        <w:rPr>
          <w:noProof/>
        </w:rPr>
        <w:tab/>
        <w:t>necesită revizuirea CFM</w:t>
      </w:r>
    </w:p>
    <w:p w14:paraId="45472E98" w14:textId="77777777" w:rsidR="00D664CB" w:rsidRPr="00D91062" w:rsidRDefault="00D664CB" w:rsidP="007A5721">
      <w:pPr>
        <w:pStyle w:val="ManualHeading3"/>
        <w:rPr>
          <w:noProof/>
        </w:rPr>
      </w:pPr>
      <w:r w:rsidRPr="00D91062">
        <w:rPr>
          <w:noProof/>
        </w:rPr>
        <w:t>3.2.7.</w:t>
      </w:r>
      <w:r w:rsidRPr="00D91062">
        <w:rPr>
          <w:noProof/>
        </w:rPr>
        <w:tab/>
        <w:t>Contribuțiile terților</w:t>
      </w:r>
    </w:p>
    <w:p w14:paraId="56D360B9" w14:textId="77777777" w:rsidR="00D664CB" w:rsidRPr="00D91062" w:rsidRDefault="00D664CB" w:rsidP="007A5721">
      <w:pPr>
        <w:pStyle w:val="Text1"/>
        <w:rPr>
          <w:noProof/>
        </w:rPr>
      </w:pPr>
      <w:r w:rsidRPr="00D91062">
        <w:rPr>
          <w:noProof/>
        </w:rPr>
        <w:t>Propunerea/inițiativa:</w:t>
      </w:r>
    </w:p>
    <w:p w14:paraId="06327B71" w14:textId="77777777" w:rsidR="00D664CB" w:rsidRPr="00D91062" w:rsidRDefault="00D664CB" w:rsidP="007A5721">
      <w:pPr>
        <w:pStyle w:val="ListDash1"/>
        <w:rPr>
          <w:noProof/>
        </w:rPr>
      </w:pPr>
      <w:r w:rsidRPr="00D91062">
        <w:rPr>
          <w:rFonts w:ascii="Wingdings" w:hAnsi="Wingdings"/>
          <w:noProof/>
        </w:rPr>
        <w:t></w:t>
      </w:r>
      <w:r w:rsidRPr="00D91062">
        <w:rPr>
          <w:noProof/>
        </w:rPr>
        <w:tab/>
        <w:t>nu prevede cofinanțare din partea terților</w:t>
      </w:r>
    </w:p>
    <w:p w14:paraId="59B6568C" w14:textId="77777777" w:rsidR="00D664CB" w:rsidRPr="00D91062" w:rsidRDefault="00D664CB" w:rsidP="007A5721">
      <w:pPr>
        <w:pStyle w:val="ListDash1"/>
        <w:rPr>
          <w:noProof/>
        </w:rPr>
      </w:pPr>
      <w:r w:rsidRPr="00D91062">
        <w:rPr>
          <w:rFonts w:ascii="Wingdings" w:hAnsi="Wingdings"/>
          <w:noProof/>
        </w:rPr>
        <w:t></w:t>
      </w:r>
      <w:r w:rsidRPr="00D91062">
        <w:rPr>
          <w:noProof/>
        </w:rPr>
        <w:tab/>
        <w:t>prevede cofinanțare din partea terților, estimată mai jos:</w:t>
      </w:r>
    </w:p>
    <w:p w14:paraId="4323110D" w14:textId="77777777" w:rsidR="00D664CB" w:rsidRPr="00D91062" w:rsidRDefault="00D664CB" w:rsidP="00C617FD">
      <w:pPr>
        <w:keepNext/>
        <w:jc w:val="right"/>
        <w:rPr>
          <w:noProof/>
          <w:sz w:val="20"/>
        </w:rPr>
      </w:pPr>
      <w:r w:rsidRPr="00D91062">
        <w:rPr>
          <w:noProof/>
          <w:sz w:val="20"/>
        </w:rPr>
        <w:t>Credite în milioane EUR (cu trei zecimale)</w:t>
      </w:r>
    </w:p>
    <w:tbl>
      <w:tblPr>
        <w:tblW w:w="5000" w:type="pct"/>
        <w:tblLook w:val="04A0" w:firstRow="1" w:lastRow="0" w:firstColumn="1" w:lastColumn="0" w:noHBand="0" w:noVBand="1"/>
      </w:tblPr>
      <w:tblGrid>
        <w:gridCol w:w="1476"/>
        <w:gridCol w:w="976"/>
        <w:gridCol w:w="975"/>
        <w:gridCol w:w="975"/>
        <w:gridCol w:w="977"/>
        <w:gridCol w:w="977"/>
        <w:gridCol w:w="977"/>
        <w:gridCol w:w="977"/>
        <w:gridCol w:w="979"/>
      </w:tblGrid>
      <w:tr w:rsidR="00D664CB" w:rsidRPr="00D91062" w14:paraId="635C0555" w14:textId="77777777" w:rsidTr="00A2361B">
        <w:trPr>
          <w:cantSplit/>
          <w:trHeight w:val="290"/>
        </w:trPr>
        <w:tc>
          <w:tcPr>
            <w:tcW w:w="794"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3351F18C" w14:textId="77777777" w:rsidR="00D664CB" w:rsidRPr="00D91062" w:rsidRDefault="00D664CB" w:rsidP="00C617FD">
            <w:pPr>
              <w:keepNext/>
              <w:spacing w:before="0" w:after="0"/>
              <w:rPr>
                <w:noProof/>
                <w:color w:val="000000"/>
                <w:sz w:val="20"/>
              </w:rPr>
            </w:pPr>
          </w:p>
        </w:tc>
        <w:tc>
          <w:tcPr>
            <w:tcW w:w="525" w:type="pct"/>
            <w:tcBorders>
              <w:top w:val="single" w:sz="8" w:space="0" w:color="auto"/>
              <w:left w:val="nil"/>
              <w:bottom w:val="nil"/>
              <w:right w:val="single" w:sz="8" w:space="0" w:color="auto"/>
            </w:tcBorders>
            <w:vAlign w:val="center"/>
            <w:hideMark/>
          </w:tcPr>
          <w:p w14:paraId="69AC48D2" w14:textId="77777777" w:rsidR="00D664CB" w:rsidRPr="00D91062" w:rsidRDefault="00D664CB" w:rsidP="00C617FD">
            <w:pPr>
              <w:keepNext/>
              <w:spacing w:before="0" w:after="0"/>
              <w:jc w:val="center"/>
              <w:rPr>
                <w:noProof/>
                <w:color w:val="000000"/>
                <w:sz w:val="20"/>
              </w:rPr>
            </w:pPr>
            <w:r w:rsidRPr="00D91062">
              <w:rPr>
                <w:noProof/>
                <w:color w:val="000000"/>
                <w:sz w:val="20"/>
              </w:rPr>
              <w:t xml:space="preserve">Anul </w:t>
            </w:r>
          </w:p>
        </w:tc>
        <w:tc>
          <w:tcPr>
            <w:tcW w:w="525" w:type="pct"/>
            <w:tcBorders>
              <w:top w:val="single" w:sz="8" w:space="0" w:color="auto"/>
              <w:left w:val="nil"/>
              <w:bottom w:val="nil"/>
              <w:right w:val="single" w:sz="8" w:space="0" w:color="auto"/>
            </w:tcBorders>
            <w:vAlign w:val="center"/>
            <w:hideMark/>
          </w:tcPr>
          <w:p w14:paraId="11728CA3" w14:textId="77777777" w:rsidR="00D664CB" w:rsidRPr="00D91062" w:rsidRDefault="00D664CB" w:rsidP="00C617FD">
            <w:pPr>
              <w:keepNext/>
              <w:spacing w:before="0" w:after="0"/>
              <w:jc w:val="center"/>
              <w:rPr>
                <w:noProof/>
                <w:color w:val="000000"/>
                <w:sz w:val="20"/>
              </w:rPr>
            </w:pPr>
            <w:r w:rsidRPr="00D91062">
              <w:rPr>
                <w:noProof/>
                <w:color w:val="000000"/>
                <w:sz w:val="20"/>
              </w:rPr>
              <w:t xml:space="preserve">Anul </w:t>
            </w:r>
          </w:p>
        </w:tc>
        <w:tc>
          <w:tcPr>
            <w:tcW w:w="525" w:type="pct"/>
            <w:tcBorders>
              <w:top w:val="single" w:sz="8" w:space="0" w:color="auto"/>
              <w:left w:val="nil"/>
              <w:bottom w:val="nil"/>
              <w:right w:val="single" w:sz="8" w:space="0" w:color="auto"/>
            </w:tcBorders>
            <w:vAlign w:val="center"/>
            <w:hideMark/>
          </w:tcPr>
          <w:p w14:paraId="728A15B7" w14:textId="77777777" w:rsidR="00D664CB" w:rsidRPr="00D91062" w:rsidRDefault="00D664CB" w:rsidP="00C617FD">
            <w:pPr>
              <w:keepNext/>
              <w:spacing w:before="0" w:after="0"/>
              <w:jc w:val="center"/>
              <w:rPr>
                <w:noProof/>
                <w:color w:val="000000"/>
                <w:sz w:val="20"/>
              </w:rPr>
            </w:pPr>
            <w:r w:rsidRPr="00D91062">
              <w:rPr>
                <w:noProof/>
                <w:color w:val="000000"/>
                <w:sz w:val="20"/>
              </w:rPr>
              <w:t xml:space="preserve">Anul </w:t>
            </w:r>
          </w:p>
        </w:tc>
        <w:tc>
          <w:tcPr>
            <w:tcW w:w="526" w:type="pct"/>
            <w:tcBorders>
              <w:top w:val="single" w:sz="8" w:space="0" w:color="auto"/>
              <w:left w:val="nil"/>
              <w:bottom w:val="nil"/>
              <w:right w:val="single" w:sz="8" w:space="0" w:color="auto"/>
            </w:tcBorders>
            <w:vAlign w:val="center"/>
            <w:hideMark/>
          </w:tcPr>
          <w:p w14:paraId="366FF8C7" w14:textId="77777777" w:rsidR="00D664CB" w:rsidRPr="00D91062" w:rsidRDefault="00D664CB" w:rsidP="00C617FD">
            <w:pPr>
              <w:keepNext/>
              <w:spacing w:before="0" w:after="0"/>
              <w:jc w:val="center"/>
              <w:rPr>
                <w:noProof/>
                <w:color w:val="000000"/>
                <w:sz w:val="20"/>
              </w:rPr>
            </w:pPr>
            <w:r w:rsidRPr="00D91062">
              <w:rPr>
                <w:noProof/>
                <w:color w:val="000000"/>
                <w:sz w:val="20"/>
              </w:rPr>
              <w:t xml:space="preserve">Anul </w:t>
            </w:r>
          </w:p>
        </w:tc>
        <w:tc>
          <w:tcPr>
            <w:tcW w:w="526" w:type="pct"/>
            <w:tcBorders>
              <w:top w:val="single" w:sz="8" w:space="0" w:color="auto"/>
              <w:left w:val="nil"/>
              <w:bottom w:val="nil"/>
              <w:right w:val="single" w:sz="8" w:space="0" w:color="auto"/>
            </w:tcBorders>
            <w:vAlign w:val="center"/>
            <w:hideMark/>
          </w:tcPr>
          <w:p w14:paraId="00A7C855" w14:textId="77777777" w:rsidR="00D664CB" w:rsidRPr="00D91062" w:rsidRDefault="00D664CB" w:rsidP="00C617FD">
            <w:pPr>
              <w:keepNext/>
              <w:spacing w:before="0" w:after="0"/>
              <w:jc w:val="center"/>
              <w:rPr>
                <w:noProof/>
                <w:color w:val="000000"/>
                <w:sz w:val="20"/>
              </w:rPr>
            </w:pPr>
            <w:r w:rsidRPr="00D91062">
              <w:rPr>
                <w:noProof/>
                <w:color w:val="000000"/>
                <w:sz w:val="20"/>
              </w:rPr>
              <w:t xml:space="preserve">Anul </w:t>
            </w:r>
          </w:p>
        </w:tc>
        <w:tc>
          <w:tcPr>
            <w:tcW w:w="526" w:type="pct"/>
            <w:tcBorders>
              <w:top w:val="single" w:sz="8" w:space="0" w:color="auto"/>
              <w:left w:val="nil"/>
              <w:bottom w:val="nil"/>
              <w:right w:val="single" w:sz="8" w:space="0" w:color="auto"/>
            </w:tcBorders>
            <w:vAlign w:val="center"/>
            <w:hideMark/>
          </w:tcPr>
          <w:p w14:paraId="3FBD16C8" w14:textId="77777777" w:rsidR="00D664CB" w:rsidRPr="00D91062" w:rsidRDefault="00D664CB" w:rsidP="00C617FD">
            <w:pPr>
              <w:keepNext/>
              <w:spacing w:before="0" w:after="0"/>
              <w:jc w:val="center"/>
              <w:rPr>
                <w:noProof/>
                <w:color w:val="000000"/>
                <w:sz w:val="20"/>
              </w:rPr>
            </w:pPr>
            <w:r w:rsidRPr="00D91062">
              <w:rPr>
                <w:noProof/>
                <w:color w:val="000000"/>
                <w:sz w:val="20"/>
              </w:rPr>
              <w:t xml:space="preserve">Anul </w:t>
            </w:r>
          </w:p>
        </w:tc>
        <w:tc>
          <w:tcPr>
            <w:tcW w:w="526" w:type="pct"/>
            <w:tcBorders>
              <w:top w:val="single" w:sz="8" w:space="0" w:color="auto"/>
              <w:left w:val="nil"/>
              <w:bottom w:val="nil"/>
              <w:right w:val="single" w:sz="8" w:space="0" w:color="auto"/>
            </w:tcBorders>
            <w:vAlign w:val="center"/>
            <w:hideMark/>
          </w:tcPr>
          <w:p w14:paraId="541FCF72" w14:textId="77777777" w:rsidR="00D664CB" w:rsidRPr="00D91062" w:rsidRDefault="00D664CB" w:rsidP="00C617FD">
            <w:pPr>
              <w:keepNext/>
              <w:spacing w:before="0" w:after="0"/>
              <w:jc w:val="center"/>
              <w:rPr>
                <w:noProof/>
                <w:color w:val="000000"/>
                <w:sz w:val="20"/>
              </w:rPr>
            </w:pPr>
            <w:r w:rsidRPr="00D91062">
              <w:rPr>
                <w:noProof/>
                <w:color w:val="000000"/>
                <w:sz w:val="20"/>
              </w:rPr>
              <w:t xml:space="preserve">Anul </w:t>
            </w:r>
          </w:p>
        </w:tc>
        <w:tc>
          <w:tcPr>
            <w:tcW w:w="527" w:type="pct"/>
            <w:vMerge w:val="restart"/>
            <w:tcBorders>
              <w:top w:val="single" w:sz="8" w:space="0" w:color="auto"/>
              <w:left w:val="single" w:sz="8" w:space="0" w:color="auto"/>
              <w:bottom w:val="single" w:sz="8" w:space="0" w:color="000000" w:themeColor="text1"/>
              <w:right w:val="single" w:sz="8" w:space="0" w:color="auto"/>
            </w:tcBorders>
            <w:vAlign w:val="center"/>
            <w:hideMark/>
          </w:tcPr>
          <w:p w14:paraId="63663715" w14:textId="77777777" w:rsidR="00D664CB" w:rsidRPr="00D91062" w:rsidRDefault="00D664CB" w:rsidP="00C617FD">
            <w:pPr>
              <w:keepNext/>
              <w:spacing w:before="0" w:after="0"/>
              <w:jc w:val="center"/>
              <w:rPr>
                <w:noProof/>
                <w:color w:val="000000"/>
                <w:sz w:val="20"/>
              </w:rPr>
            </w:pPr>
            <w:r w:rsidRPr="00D91062">
              <w:rPr>
                <w:noProof/>
                <w:color w:val="000000"/>
                <w:sz w:val="20"/>
              </w:rPr>
              <w:t>Total</w:t>
            </w:r>
          </w:p>
        </w:tc>
      </w:tr>
      <w:tr w:rsidR="00D664CB" w:rsidRPr="00D91062" w14:paraId="1C3EE464" w14:textId="77777777" w:rsidTr="00A2361B">
        <w:trPr>
          <w:trHeight w:val="300"/>
        </w:trPr>
        <w:tc>
          <w:tcPr>
            <w:tcW w:w="794" w:type="pct"/>
            <w:vMerge/>
            <w:vAlign w:val="center"/>
            <w:hideMark/>
          </w:tcPr>
          <w:p w14:paraId="5C456C83" w14:textId="77777777" w:rsidR="00D664CB" w:rsidRPr="00D91062" w:rsidRDefault="00D664CB" w:rsidP="00C617FD">
            <w:pPr>
              <w:keepNext/>
              <w:spacing w:before="0" w:after="0"/>
              <w:jc w:val="left"/>
              <w:rPr>
                <w:noProof/>
                <w:color w:val="000000"/>
                <w:sz w:val="20"/>
              </w:rPr>
            </w:pPr>
          </w:p>
        </w:tc>
        <w:tc>
          <w:tcPr>
            <w:tcW w:w="525" w:type="pct"/>
            <w:tcBorders>
              <w:top w:val="nil"/>
              <w:left w:val="nil"/>
              <w:bottom w:val="single" w:sz="8" w:space="0" w:color="auto"/>
              <w:right w:val="single" w:sz="8" w:space="0" w:color="auto"/>
            </w:tcBorders>
            <w:vAlign w:val="center"/>
            <w:hideMark/>
          </w:tcPr>
          <w:p w14:paraId="6E60C73C" w14:textId="77777777" w:rsidR="00D664CB" w:rsidRPr="00D91062" w:rsidRDefault="00D664CB" w:rsidP="00C617FD">
            <w:pPr>
              <w:keepNext/>
              <w:spacing w:before="0" w:after="0"/>
              <w:jc w:val="center"/>
              <w:rPr>
                <w:b/>
                <w:noProof/>
                <w:color w:val="000000"/>
                <w:sz w:val="20"/>
              </w:rPr>
            </w:pPr>
            <w:r w:rsidRPr="00D91062">
              <w:rPr>
                <w:b/>
                <w:noProof/>
                <w:color w:val="000000"/>
                <w:sz w:val="20"/>
              </w:rPr>
              <w:t>2028</w:t>
            </w:r>
          </w:p>
        </w:tc>
        <w:tc>
          <w:tcPr>
            <w:tcW w:w="525" w:type="pct"/>
            <w:tcBorders>
              <w:top w:val="nil"/>
              <w:left w:val="nil"/>
              <w:bottom w:val="single" w:sz="8" w:space="0" w:color="auto"/>
              <w:right w:val="single" w:sz="8" w:space="0" w:color="auto"/>
            </w:tcBorders>
            <w:vAlign w:val="center"/>
            <w:hideMark/>
          </w:tcPr>
          <w:p w14:paraId="11C84D59" w14:textId="77777777" w:rsidR="00D664CB" w:rsidRPr="00D91062" w:rsidRDefault="00D664CB" w:rsidP="00C617FD">
            <w:pPr>
              <w:keepNext/>
              <w:spacing w:before="0" w:after="0"/>
              <w:jc w:val="center"/>
              <w:rPr>
                <w:b/>
                <w:noProof/>
                <w:color w:val="000000"/>
                <w:sz w:val="20"/>
              </w:rPr>
            </w:pPr>
            <w:r w:rsidRPr="00D91062">
              <w:rPr>
                <w:b/>
                <w:noProof/>
                <w:color w:val="000000"/>
                <w:sz w:val="20"/>
              </w:rPr>
              <w:t>2029</w:t>
            </w:r>
          </w:p>
        </w:tc>
        <w:tc>
          <w:tcPr>
            <w:tcW w:w="525" w:type="pct"/>
            <w:tcBorders>
              <w:top w:val="nil"/>
              <w:left w:val="nil"/>
              <w:bottom w:val="single" w:sz="8" w:space="0" w:color="auto"/>
              <w:right w:val="single" w:sz="8" w:space="0" w:color="auto"/>
            </w:tcBorders>
            <w:vAlign w:val="center"/>
            <w:hideMark/>
          </w:tcPr>
          <w:p w14:paraId="4C4C0F3F" w14:textId="77777777" w:rsidR="00D664CB" w:rsidRPr="00D91062" w:rsidRDefault="00D664CB" w:rsidP="00C617FD">
            <w:pPr>
              <w:keepNext/>
              <w:spacing w:before="0" w:after="0"/>
              <w:jc w:val="center"/>
              <w:rPr>
                <w:b/>
                <w:noProof/>
                <w:color w:val="000000"/>
                <w:sz w:val="20"/>
              </w:rPr>
            </w:pPr>
            <w:r w:rsidRPr="00D91062">
              <w:rPr>
                <w:b/>
                <w:noProof/>
                <w:color w:val="000000"/>
                <w:sz w:val="20"/>
              </w:rPr>
              <w:t>2030</w:t>
            </w:r>
          </w:p>
        </w:tc>
        <w:tc>
          <w:tcPr>
            <w:tcW w:w="526" w:type="pct"/>
            <w:tcBorders>
              <w:top w:val="nil"/>
              <w:left w:val="nil"/>
              <w:bottom w:val="single" w:sz="8" w:space="0" w:color="auto"/>
              <w:right w:val="single" w:sz="8" w:space="0" w:color="auto"/>
            </w:tcBorders>
            <w:vAlign w:val="center"/>
            <w:hideMark/>
          </w:tcPr>
          <w:p w14:paraId="1CF1BB68" w14:textId="77777777" w:rsidR="00D664CB" w:rsidRPr="00D91062" w:rsidRDefault="00D664CB" w:rsidP="00C617FD">
            <w:pPr>
              <w:keepNext/>
              <w:spacing w:before="0" w:after="0"/>
              <w:jc w:val="center"/>
              <w:rPr>
                <w:b/>
                <w:noProof/>
                <w:color w:val="000000"/>
                <w:sz w:val="20"/>
              </w:rPr>
            </w:pPr>
            <w:r w:rsidRPr="00D91062">
              <w:rPr>
                <w:b/>
                <w:noProof/>
                <w:color w:val="000000"/>
                <w:sz w:val="20"/>
              </w:rPr>
              <w:t>2031</w:t>
            </w:r>
          </w:p>
        </w:tc>
        <w:tc>
          <w:tcPr>
            <w:tcW w:w="526" w:type="pct"/>
            <w:tcBorders>
              <w:top w:val="nil"/>
              <w:left w:val="nil"/>
              <w:bottom w:val="single" w:sz="8" w:space="0" w:color="auto"/>
              <w:right w:val="single" w:sz="8" w:space="0" w:color="auto"/>
            </w:tcBorders>
            <w:vAlign w:val="center"/>
            <w:hideMark/>
          </w:tcPr>
          <w:p w14:paraId="00AF3E41" w14:textId="77777777" w:rsidR="00D664CB" w:rsidRPr="00D91062" w:rsidRDefault="00D664CB" w:rsidP="00C617FD">
            <w:pPr>
              <w:keepNext/>
              <w:spacing w:before="0" w:after="0"/>
              <w:jc w:val="center"/>
              <w:rPr>
                <w:b/>
                <w:noProof/>
                <w:color w:val="000000"/>
                <w:sz w:val="20"/>
              </w:rPr>
            </w:pPr>
            <w:r w:rsidRPr="00D91062">
              <w:rPr>
                <w:b/>
                <w:noProof/>
                <w:color w:val="000000"/>
                <w:sz w:val="20"/>
              </w:rPr>
              <w:t>2032</w:t>
            </w:r>
          </w:p>
        </w:tc>
        <w:tc>
          <w:tcPr>
            <w:tcW w:w="526" w:type="pct"/>
            <w:tcBorders>
              <w:top w:val="nil"/>
              <w:left w:val="nil"/>
              <w:bottom w:val="single" w:sz="8" w:space="0" w:color="auto"/>
              <w:right w:val="single" w:sz="8" w:space="0" w:color="auto"/>
            </w:tcBorders>
            <w:vAlign w:val="center"/>
            <w:hideMark/>
          </w:tcPr>
          <w:p w14:paraId="5DF4034D" w14:textId="77777777" w:rsidR="00D664CB" w:rsidRPr="00D91062" w:rsidRDefault="00D664CB" w:rsidP="00C617FD">
            <w:pPr>
              <w:keepNext/>
              <w:spacing w:before="0" w:after="0"/>
              <w:jc w:val="center"/>
              <w:rPr>
                <w:b/>
                <w:noProof/>
                <w:color w:val="000000"/>
                <w:sz w:val="20"/>
              </w:rPr>
            </w:pPr>
            <w:r w:rsidRPr="00D91062">
              <w:rPr>
                <w:b/>
                <w:noProof/>
                <w:color w:val="000000"/>
                <w:sz w:val="20"/>
              </w:rPr>
              <w:t>2033</w:t>
            </w:r>
          </w:p>
        </w:tc>
        <w:tc>
          <w:tcPr>
            <w:tcW w:w="526" w:type="pct"/>
            <w:tcBorders>
              <w:top w:val="nil"/>
              <w:left w:val="nil"/>
              <w:bottom w:val="single" w:sz="8" w:space="0" w:color="auto"/>
              <w:right w:val="single" w:sz="8" w:space="0" w:color="auto"/>
            </w:tcBorders>
            <w:vAlign w:val="center"/>
            <w:hideMark/>
          </w:tcPr>
          <w:p w14:paraId="752F89F2" w14:textId="77777777" w:rsidR="00D664CB" w:rsidRPr="00D91062" w:rsidRDefault="00D664CB" w:rsidP="00C617FD">
            <w:pPr>
              <w:keepNext/>
              <w:spacing w:before="0" w:after="0"/>
              <w:jc w:val="center"/>
              <w:rPr>
                <w:b/>
                <w:noProof/>
                <w:color w:val="000000"/>
                <w:sz w:val="20"/>
              </w:rPr>
            </w:pPr>
            <w:r w:rsidRPr="00D91062">
              <w:rPr>
                <w:b/>
                <w:noProof/>
                <w:color w:val="000000"/>
                <w:sz w:val="20"/>
              </w:rPr>
              <w:t>2034</w:t>
            </w:r>
          </w:p>
        </w:tc>
        <w:tc>
          <w:tcPr>
            <w:tcW w:w="527" w:type="pct"/>
            <w:vMerge/>
            <w:vAlign w:val="center"/>
            <w:hideMark/>
          </w:tcPr>
          <w:p w14:paraId="3BCC0093" w14:textId="77777777" w:rsidR="00D664CB" w:rsidRPr="00D91062" w:rsidRDefault="00D664CB" w:rsidP="00C617FD">
            <w:pPr>
              <w:keepNext/>
              <w:spacing w:before="0" w:after="0"/>
              <w:jc w:val="left"/>
              <w:rPr>
                <w:noProof/>
                <w:color w:val="000000"/>
                <w:sz w:val="20"/>
              </w:rPr>
            </w:pPr>
          </w:p>
        </w:tc>
      </w:tr>
      <w:tr w:rsidR="00D664CB" w:rsidRPr="00D91062" w14:paraId="4CF15C87" w14:textId="77777777" w:rsidTr="00A2361B">
        <w:trPr>
          <w:cantSplit/>
          <w:trHeight w:val="1050"/>
        </w:trPr>
        <w:tc>
          <w:tcPr>
            <w:tcW w:w="794" w:type="pct"/>
            <w:tcBorders>
              <w:top w:val="nil"/>
              <w:left w:val="single" w:sz="8" w:space="0" w:color="auto"/>
              <w:bottom w:val="single" w:sz="8" w:space="0" w:color="auto"/>
              <w:right w:val="single" w:sz="8" w:space="0" w:color="auto"/>
            </w:tcBorders>
            <w:vAlign w:val="center"/>
            <w:hideMark/>
          </w:tcPr>
          <w:p w14:paraId="33CC93C4" w14:textId="77777777" w:rsidR="00D664CB" w:rsidRPr="00D91062" w:rsidRDefault="00D664CB" w:rsidP="00D664CB">
            <w:pPr>
              <w:spacing w:before="0" w:after="0"/>
              <w:rPr>
                <w:noProof/>
                <w:color w:val="000000" w:themeColor="text1"/>
                <w:sz w:val="20"/>
                <w:szCs w:val="20"/>
              </w:rPr>
            </w:pPr>
            <w:r w:rsidRPr="00D91062">
              <w:rPr>
                <w:noProof/>
                <w:color w:val="000000" w:themeColor="text1"/>
                <w:sz w:val="20"/>
              </w:rPr>
              <w:t>Contribuțiile voluntare ale țărilor terțe</w:t>
            </w:r>
          </w:p>
          <w:p w14:paraId="4A4D8BF6" w14:textId="77777777" w:rsidR="00D664CB" w:rsidRPr="00D91062" w:rsidRDefault="00D664CB" w:rsidP="00D664CB">
            <w:pPr>
              <w:spacing w:before="0" w:after="0"/>
              <w:rPr>
                <w:noProof/>
                <w:color w:val="000000"/>
                <w:sz w:val="20"/>
                <w:szCs w:val="20"/>
              </w:rPr>
            </w:pPr>
          </w:p>
        </w:tc>
        <w:tc>
          <w:tcPr>
            <w:tcW w:w="525" w:type="pct"/>
            <w:tcBorders>
              <w:top w:val="nil"/>
              <w:left w:val="nil"/>
              <w:bottom w:val="single" w:sz="8" w:space="0" w:color="auto"/>
              <w:right w:val="single" w:sz="8" w:space="0" w:color="auto"/>
            </w:tcBorders>
            <w:vAlign w:val="center"/>
            <w:hideMark/>
          </w:tcPr>
          <w:p w14:paraId="1BFF3A54" w14:textId="77777777" w:rsidR="00D664CB" w:rsidRPr="00D91062" w:rsidRDefault="00D664CB" w:rsidP="00D664CB">
            <w:pPr>
              <w:rPr>
                <w:noProof/>
                <w:color w:val="000000"/>
                <w:sz w:val="20"/>
              </w:rPr>
            </w:pPr>
            <w:r w:rsidRPr="00D91062">
              <w:rPr>
                <w:noProof/>
                <w:color w:val="000000" w:themeColor="text1"/>
                <w:sz w:val="20"/>
              </w:rPr>
              <w:t>0</w:t>
            </w:r>
          </w:p>
        </w:tc>
        <w:tc>
          <w:tcPr>
            <w:tcW w:w="525" w:type="pct"/>
            <w:tcBorders>
              <w:top w:val="nil"/>
              <w:left w:val="nil"/>
              <w:bottom w:val="single" w:sz="8" w:space="0" w:color="auto"/>
              <w:right w:val="single" w:sz="8" w:space="0" w:color="auto"/>
            </w:tcBorders>
            <w:vAlign w:val="center"/>
            <w:hideMark/>
          </w:tcPr>
          <w:p w14:paraId="296D79D1" w14:textId="77777777" w:rsidR="00D664CB" w:rsidRPr="00D91062" w:rsidRDefault="00D664CB" w:rsidP="00D664CB">
            <w:pPr>
              <w:spacing w:before="0" w:after="0"/>
              <w:jc w:val="center"/>
              <w:rPr>
                <w:noProof/>
                <w:color w:val="000000"/>
                <w:sz w:val="20"/>
                <w:szCs w:val="20"/>
              </w:rPr>
            </w:pPr>
            <w:r w:rsidRPr="00D91062">
              <w:rPr>
                <w:noProof/>
                <w:color w:val="000000" w:themeColor="text1"/>
                <w:sz w:val="20"/>
              </w:rPr>
              <w:t>0</w:t>
            </w:r>
          </w:p>
        </w:tc>
        <w:tc>
          <w:tcPr>
            <w:tcW w:w="525" w:type="pct"/>
            <w:tcBorders>
              <w:top w:val="nil"/>
              <w:left w:val="nil"/>
              <w:bottom w:val="single" w:sz="8" w:space="0" w:color="auto"/>
              <w:right w:val="single" w:sz="8" w:space="0" w:color="auto"/>
            </w:tcBorders>
            <w:vAlign w:val="center"/>
            <w:hideMark/>
          </w:tcPr>
          <w:p w14:paraId="67E6FD79" w14:textId="77777777" w:rsidR="00D664CB" w:rsidRPr="00D91062" w:rsidRDefault="00D664CB" w:rsidP="00D664CB">
            <w:pPr>
              <w:spacing w:before="0" w:after="0"/>
              <w:jc w:val="center"/>
              <w:rPr>
                <w:noProof/>
                <w:color w:val="000000"/>
                <w:sz w:val="20"/>
                <w:szCs w:val="20"/>
              </w:rPr>
            </w:pPr>
            <w:r w:rsidRPr="00D91062">
              <w:rPr>
                <w:noProof/>
                <w:color w:val="000000" w:themeColor="text1"/>
                <w:sz w:val="20"/>
              </w:rPr>
              <w:t>0</w:t>
            </w:r>
          </w:p>
        </w:tc>
        <w:tc>
          <w:tcPr>
            <w:tcW w:w="526" w:type="pct"/>
            <w:tcBorders>
              <w:top w:val="nil"/>
              <w:left w:val="nil"/>
              <w:bottom w:val="single" w:sz="8" w:space="0" w:color="auto"/>
              <w:right w:val="single" w:sz="8" w:space="0" w:color="auto"/>
            </w:tcBorders>
            <w:vAlign w:val="center"/>
            <w:hideMark/>
          </w:tcPr>
          <w:p w14:paraId="2396EDCA" w14:textId="77777777" w:rsidR="00D664CB" w:rsidRPr="00D91062" w:rsidRDefault="00D664CB" w:rsidP="00D664CB">
            <w:pPr>
              <w:spacing w:before="0" w:after="0"/>
              <w:jc w:val="center"/>
              <w:rPr>
                <w:noProof/>
                <w:color w:val="000000"/>
                <w:sz w:val="20"/>
                <w:szCs w:val="20"/>
              </w:rPr>
            </w:pPr>
            <w:r w:rsidRPr="00D91062">
              <w:rPr>
                <w:noProof/>
                <w:color w:val="000000" w:themeColor="text1"/>
                <w:sz w:val="20"/>
              </w:rPr>
              <w:t>0</w:t>
            </w:r>
          </w:p>
        </w:tc>
        <w:tc>
          <w:tcPr>
            <w:tcW w:w="526" w:type="pct"/>
            <w:tcBorders>
              <w:top w:val="nil"/>
              <w:left w:val="nil"/>
              <w:bottom w:val="single" w:sz="8" w:space="0" w:color="auto"/>
              <w:right w:val="single" w:sz="8" w:space="0" w:color="auto"/>
            </w:tcBorders>
            <w:vAlign w:val="center"/>
            <w:hideMark/>
          </w:tcPr>
          <w:p w14:paraId="702D2842" w14:textId="77777777" w:rsidR="00D664CB" w:rsidRPr="00D91062" w:rsidRDefault="00D664CB" w:rsidP="00D664CB">
            <w:pPr>
              <w:spacing w:before="0" w:after="0"/>
              <w:jc w:val="center"/>
              <w:rPr>
                <w:noProof/>
                <w:color w:val="000000"/>
                <w:sz w:val="20"/>
                <w:szCs w:val="20"/>
              </w:rPr>
            </w:pPr>
            <w:r w:rsidRPr="00D91062">
              <w:rPr>
                <w:noProof/>
                <w:color w:val="000000" w:themeColor="text1"/>
                <w:sz w:val="20"/>
              </w:rPr>
              <w:t>0</w:t>
            </w:r>
          </w:p>
        </w:tc>
        <w:tc>
          <w:tcPr>
            <w:tcW w:w="526" w:type="pct"/>
            <w:tcBorders>
              <w:top w:val="nil"/>
              <w:left w:val="nil"/>
              <w:bottom w:val="single" w:sz="8" w:space="0" w:color="auto"/>
              <w:right w:val="single" w:sz="8" w:space="0" w:color="auto"/>
            </w:tcBorders>
            <w:vAlign w:val="center"/>
            <w:hideMark/>
          </w:tcPr>
          <w:p w14:paraId="0F6E6FEE" w14:textId="77777777" w:rsidR="00D664CB" w:rsidRPr="00D91062" w:rsidRDefault="00D664CB" w:rsidP="00D664CB">
            <w:pPr>
              <w:spacing w:before="0" w:after="0"/>
              <w:jc w:val="center"/>
              <w:rPr>
                <w:noProof/>
                <w:color w:val="000000"/>
                <w:sz w:val="20"/>
                <w:szCs w:val="20"/>
              </w:rPr>
            </w:pPr>
            <w:r w:rsidRPr="00D91062">
              <w:rPr>
                <w:noProof/>
                <w:color w:val="000000" w:themeColor="text1"/>
                <w:sz w:val="20"/>
              </w:rPr>
              <w:t>0</w:t>
            </w:r>
          </w:p>
        </w:tc>
        <w:tc>
          <w:tcPr>
            <w:tcW w:w="526" w:type="pct"/>
            <w:tcBorders>
              <w:top w:val="nil"/>
              <w:left w:val="nil"/>
              <w:bottom w:val="single" w:sz="8" w:space="0" w:color="auto"/>
              <w:right w:val="single" w:sz="8" w:space="0" w:color="auto"/>
            </w:tcBorders>
            <w:vAlign w:val="center"/>
            <w:hideMark/>
          </w:tcPr>
          <w:p w14:paraId="1AC8ABFE" w14:textId="77777777" w:rsidR="00D664CB" w:rsidRPr="00D91062" w:rsidRDefault="00D664CB" w:rsidP="00D664CB">
            <w:pPr>
              <w:spacing w:before="0" w:after="0"/>
              <w:jc w:val="center"/>
              <w:rPr>
                <w:noProof/>
                <w:color w:val="000000"/>
                <w:sz w:val="20"/>
                <w:szCs w:val="20"/>
              </w:rPr>
            </w:pPr>
            <w:r w:rsidRPr="00D91062">
              <w:rPr>
                <w:noProof/>
                <w:color w:val="000000" w:themeColor="text1"/>
                <w:sz w:val="20"/>
              </w:rPr>
              <w:t>0</w:t>
            </w:r>
          </w:p>
        </w:tc>
        <w:tc>
          <w:tcPr>
            <w:tcW w:w="527" w:type="pct"/>
            <w:tcBorders>
              <w:top w:val="nil"/>
              <w:left w:val="nil"/>
              <w:bottom w:val="single" w:sz="8" w:space="0" w:color="auto"/>
              <w:right w:val="single" w:sz="8" w:space="0" w:color="auto"/>
            </w:tcBorders>
            <w:vAlign w:val="center"/>
            <w:hideMark/>
          </w:tcPr>
          <w:p w14:paraId="1F7B0166" w14:textId="77777777" w:rsidR="00D664CB" w:rsidRPr="00D91062" w:rsidRDefault="00D664CB" w:rsidP="00D664CB">
            <w:pPr>
              <w:spacing w:before="0" w:after="0"/>
              <w:jc w:val="center"/>
              <w:rPr>
                <w:noProof/>
                <w:color w:val="000000"/>
                <w:sz w:val="20"/>
                <w:szCs w:val="20"/>
              </w:rPr>
            </w:pPr>
            <w:r w:rsidRPr="00D91062">
              <w:rPr>
                <w:noProof/>
                <w:color w:val="000000" w:themeColor="text1"/>
                <w:sz w:val="20"/>
              </w:rPr>
              <w:t>0</w:t>
            </w:r>
          </w:p>
        </w:tc>
      </w:tr>
      <w:tr w:rsidR="00D664CB" w:rsidRPr="00D91062" w14:paraId="0465E3BD" w14:textId="77777777" w:rsidTr="00A2361B">
        <w:trPr>
          <w:cantSplit/>
          <w:trHeight w:val="1050"/>
        </w:trPr>
        <w:tc>
          <w:tcPr>
            <w:tcW w:w="794" w:type="pct"/>
            <w:tcBorders>
              <w:top w:val="nil"/>
              <w:left w:val="single" w:sz="8" w:space="0" w:color="auto"/>
              <w:bottom w:val="single" w:sz="8" w:space="0" w:color="auto"/>
              <w:right w:val="single" w:sz="8" w:space="0" w:color="auto"/>
            </w:tcBorders>
            <w:vAlign w:val="center"/>
            <w:hideMark/>
          </w:tcPr>
          <w:p w14:paraId="627782E7" w14:textId="77777777" w:rsidR="00D664CB" w:rsidRPr="00D91062" w:rsidRDefault="00D664CB" w:rsidP="00D664CB">
            <w:pPr>
              <w:spacing w:before="0" w:after="0"/>
              <w:jc w:val="left"/>
              <w:rPr>
                <w:noProof/>
                <w:color w:val="000000"/>
                <w:sz w:val="20"/>
              </w:rPr>
            </w:pPr>
            <w:r w:rsidRPr="00D91062">
              <w:rPr>
                <w:noProof/>
                <w:color w:val="000000"/>
                <w:sz w:val="20"/>
              </w:rPr>
              <w:t xml:space="preserve">TOTAL credite cofinanțate </w:t>
            </w:r>
          </w:p>
        </w:tc>
        <w:tc>
          <w:tcPr>
            <w:tcW w:w="525" w:type="pct"/>
            <w:tcBorders>
              <w:top w:val="nil"/>
              <w:left w:val="nil"/>
              <w:bottom w:val="single" w:sz="8" w:space="0" w:color="auto"/>
              <w:right w:val="single" w:sz="8" w:space="0" w:color="auto"/>
            </w:tcBorders>
            <w:vAlign w:val="center"/>
            <w:hideMark/>
          </w:tcPr>
          <w:p w14:paraId="1DE5CC49" w14:textId="77777777" w:rsidR="00D664CB" w:rsidRPr="00D91062" w:rsidRDefault="00D664CB" w:rsidP="00D664CB">
            <w:pPr>
              <w:spacing w:before="0" w:after="0"/>
              <w:jc w:val="center"/>
              <w:rPr>
                <w:noProof/>
                <w:color w:val="000000"/>
                <w:sz w:val="20"/>
              </w:rPr>
            </w:pPr>
            <w:r w:rsidRPr="00D91062">
              <w:rPr>
                <w:noProof/>
                <w:color w:val="000000"/>
                <w:sz w:val="20"/>
              </w:rPr>
              <w:t xml:space="preserve">0 </w:t>
            </w:r>
          </w:p>
        </w:tc>
        <w:tc>
          <w:tcPr>
            <w:tcW w:w="525" w:type="pct"/>
            <w:tcBorders>
              <w:top w:val="nil"/>
              <w:left w:val="nil"/>
              <w:bottom w:val="single" w:sz="8" w:space="0" w:color="auto"/>
              <w:right w:val="single" w:sz="8" w:space="0" w:color="auto"/>
            </w:tcBorders>
            <w:vAlign w:val="center"/>
            <w:hideMark/>
          </w:tcPr>
          <w:p w14:paraId="13DAC35F" w14:textId="77777777" w:rsidR="00D664CB" w:rsidRPr="00D91062" w:rsidRDefault="00D664CB" w:rsidP="00D664CB">
            <w:pPr>
              <w:spacing w:before="0" w:after="0"/>
              <w:jc w:val="center"/>
              <w:rPr>
                <w:noProof/>
                <w:color w:val="000000"/>
                <w:sz w:val="20"/>
                <w:szCs w:val="20"/>
              </w:rPr>
            </w:pPr>
            <w:r w:rsidRPr="00D91062">
              <w:rPr>
                <w:noProof/>
                <w:color w:val="000000" w:themeColor="text1"/>
                <w:sz w:val="20"/>
              </w:rPr>
              <w:t>0</w:t>
            </w:r>
          </w:p>
        </w:tc>
        <w:tc>
          <w:tcPr>
            <w:tcW w:w="525" w:type="pct"/>
            <w:tcBorders>
              <w:top w:val="nil"/>
              <w:left w:val="nil"/>
              <w:bottom w:val="single" w:sz="8" w:space="0" w:color="auto"/>
              <w:right w:val="single" w:sz="8" w:space="0" w:color="auto"/>
            </w:tcBorders>
            <w:vAlign w:val="center"/>
            <w:hideMark/>
          </w:tcPr>
          <w:p w14:paraId="4A85C57D" w14:textId="77777777" w:rsidR="00D664CB" w:rsidRPr="00D91062" w:rsidRDefault="00D664CB" w:rsidP="00D664CB">
            <w:pPr>
              <w:spacing w:before="0" w:after="0"/>
              <w:jc w:val="center"/>
              <w:rPr>
                <w:noProof/>
                <w:color w:val="000000"/>
                <w:sz w:val="20"/>
                <w:szCs w:val="20"/>
              </w:rPr>
            </w:pPr>
            <w:r w:rsidRPr="00D91062">
              <w:rPr>
                <w:noProof/>
                <w:color w:val="000000" w:themeColor="text1"/>
                <w:sz w:val="20"/>
              </w:rPr>
              <w:t>0</w:t>
            </w:r>
          </w:p>
        </w:tc>
        <w:tc>
          <w:tcPr>
            <w:tcW w:w="526" w:type="pct"/>
            <w:tcBorders>
              <w:top w:val="nil"/>
              <w:left w:val="nil"/>
              <w:bottom w:val="single" w:sz="8" w:space="0" w:color="auto"/>
              <w:right w:val="single" w:sz="8" w:space="0" w:color="auto"/>
            </w:tcBorders>
            <w:vAlign w:val="center"/>
            <w:hideMark/>
          </w:tcPr>
          <w:p w14:paraId="08F62C2C" w14:textId="77777777" w:rsidR="00D664CB" w:rsidRPr="00D91062" w:rsidRDefault="00D664CB" w:rsidP="00D664CB">
            <w:pPr>
              <w:spacing w:before="0" w:after="0"/>
              <w:jc w:val="center"/>
              <w:rPr>
                <w:noProof/>
                <w:color w:val="000000"/>
                <w:sz w:val="20"/>
                <w:szCs w:val="20"/>
              </w:rPr>
            </w:pPr>
            <w:r w:rsidRPr="00D91062">
              <w:rPr>
                <w:noProof/>
                <w:color w:val="000000" w:themeColor="text1"/>
                <w:sz w:val="20"/>
              </w:rPr>
              <w:t>0</w:t>
            </w:r>
          </w:p>
        </w:tc>
        <w:tc>
          <w:tcPr>
            <w:tcW w:w="526" w:type="pct"/>
            <w:tcBorders>
              <w:top w:val="nil"/>
              <w:left w:val="nil"/>
              <w:bottom w:val="single" w:sz="8" w:space="0" w:color="auto"/>
              <w:right w:val="single" w:sz="8" w:space="0" w:color="auto"/>
            </w:tcBorders>
            <w:vAlign w:val="center"/>
            <w:hideMark/>
          </w:tcPr>
          <w:p w14:paraId="67094CB4" w14:textId="77777777" w:rsidR="00D664CB" w:rsidRPr="00D91062" w:rsidRDefault="00D664CB" w:rsidP="00D664CB">
            <w:pPr>
              <w:spacing w:before="0" w:after="0"/>
              <w:jc w:val="center"/>
              <w:rPr>
                <w:noProof/>
                <w:color w:val="000000"/>
                <w:sz w:val="20"/>
                <w:szCs w:val="20"/>
              </w:rPr>
            </w:pPr>
            <w:r w:rsidRPr="00D91062">
              <w:rPr>
                <w:noProof/>
                <w:color w:val="000000" w:themeColor="text1"/>
                <w:sz w:val="20"/>
              </w:rPr>
              <w:t>0</w:t>
            </w:r>
          </w:p>
        </w:tc>
        <w:tc>
          <w:tcPr>
            <w:tcW w:w="526" w:type="pct"/>
            <w:tcBorders>
              <w:top w:val="nil"/>
              <w:left w:val="nil"/>
              <w:bottom w:val="single" w:sz="8" w:space="0" w:color="auto"/>
              <w:right w:val="single" w:sz="8" w:space="0" w:color="auto"/>
            </w:tcBorders>
            <w:vAlign w:val="center"/>
            <w:hideMark/>
          </w:tcPr>
          <w:p w14:paraId="6AD0827C" w14:textId="77777777" w:rsidR="00D664CB" w:rsidRPr="00D91062" w:rsidRDefault="00D664CB" w:rsidP="00D664CB">
            <w:pPr>
              <w:spacing w:before="0" w:after="0"/>
              <w:jc w:val="center"/>
              <w:rPr>
                <w:noProof/>
                <w:color w:val="000000"/>
                <w:sz w:val="20"/>
                <w:szCs w:val="20"/>
              </w:rPr>
            </w:pPr>
            <w:r w:rsidRPr="00D91062">
              <w:rPr>
                <w:noProof/>
                <w:color w:val="000000" w:themeColor="text1"/>
                <w:sz w:val="20"/>
              </w:rPr>
              <w:t>0</w:t>
            </w:r>
          </w:p>
        </w:tc>
        <w:tc>
          <w:tcPr>
            <w:tcW w:w="526" w:type="pct"/>
            <w:tcBorders>
              <w:top w:val="nil"/>
              <w:left w:val="nil"/>
              <w:bottom w:val="single" w:sz="8" w:space="0" w:color="auto"/>
              <w:right w:val="single" w:sz="8" w:space="0" w:color="auto"/>
            </w:tcBorders>
            <w:vAlign w:val="center"/>
            <w:hideMark/>
          </w:tcPr>
          <w:p w14:paraId="5C2ABADE" w14:textId="77777777" w:rsidR="00D664CB" w:rsidRPr="00D91062" w:rsidRDefault="00D664CB" w:rsidP="00D664CB">
            <w:pPr>
              <w:spacing w:before="0" w:after="0"/>
              <w:jc w:val="center"/>
              <w:rPr>
                <w:noProof/>
                <w:color w:val="000000"/>
                <w:sz w:val="20"/>
                <w:szCs w:val="20"/>
              </w:rPr>
            </w:pPr>
            <w:r w:rsidRPr="00D91062">
              <w:rPr>
                <w:noProof/>
                <w:color w:val="000000" w:themeColor="text1"/>
                <w:sz w:val="20"/>
              </w:rPr>
              <w:t>0</w:t>
            </w:r>
          </w:p>
        </w:tc>
        <w:tc>
          <w:tcPr>
            <w:tcW w:w="527" w:type="pct"/>
            <w:tcBorders>
              <w:top w:val="nil"/>
              <w:left w:val="nil"/>
              <w:bottom w:val="single" w:sz="8" w:space="0" w:color="auto"/>
              <w:right w:val="single" w:sz="8" w:space="0" w:color="auto"/>
            </w:tcBorders>
            <w:vAlign w:val="center"/>
            <w:hideMark/>
          </w:tcPr>
          <w:p w14:paraId="6E4FBF2C" w14:textId="77777777" w:rsidR="00D664CB" w:rsidRPr="00D91062" w:rsidRDefault="00D664CB" w:rsidP="00D664CB">
            <w:pPr>
              <w:spacing w:before="0" w:after="0"/>
              <w:jc w:val="center"/>
              <w:rPr>
                <w:noProof/>
                <w:color w:val="000000"/>
                <w:sz w:val="20"/>
                <w:szCs w:val="20"/>
              </w:rPr>
            </w:pPr>
            <w:r w:rsidRPr="00D91062">
              <w:rPr>
                <w:noProof/>
                <w:color w:val="000000" w:themeColor="text1"/>
                <w:sz w:val="20"/>
              </w:rPr>
              <w:t>0</w:t>
            </w:r>
          </w:p>
        </w:tc>
      </w:tr>
    </w:tbl>
    <w:p w14:paraId="53DE7ABD" w14:textId="77777777" w:rsidR="00D664CB" w:rsidRPr="00D91062" w:rsidRDefault="00D664CB" w:rsidP="007A5721">
      <w:pPr>
        <w:pStyle w:val="ManualHeading3"/>
        <w:rPr>
          <w:noProof/>
        </w:rPr>
      </w:pPr>
      <w:r w:rsidRPr="00D91062">
        <w:rPr>
          <w:noProof/>
        </w:rPr>
        <w:t>3.2.8.</w:t>
      </w:r>
      <w:r w:rsidRPr="00D91062">
        <w:rPr>
          <w:noProof/>
        </w:rPr>
        <w:tab/>
        <w:t>Estimarea resurselor umane și utilizarea creditelor necesare în cadrul unei agenții descentralizate</w:t>
      </w:r>
    </w:p>
    <w:p w14:paraId="19177D87" w14:textId="77777777" w:rsidR="00D664CB" w:rsidRPr="00D91062" w:rsidRDefault="00D664CB" w:rsidP="007A5721">
      <w:pPr>
        <w:pStyle w:val="Text1"/>
        <w:rPr>
          <w:rFonts w:eastAsia="Calibri"/>
          <w:noProof/>
          <w:sz w:val="22"/>
          <w:u w:val="single"/>
        </w:rPr>
      </w:pPr>
      <w:r w:rsidRPr="00D91062">
        <w:rPr>
          <w:noProof/>
        </w:rPr>
        <w:t>În cadrul acestei inițiative nu este necesar personal suplimentar în agențiile descentralizate.</w:t>
      </w:r>
    </w:p>
    <w:tbl>
      <w:tblPr>
        <w:tblW w:w="0" w:type="auto"/>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018"/>
        <w:gridCol w:w="6703"/>
      </w:tblGrid>
      <w:tr w:rsidR="00D664CB" w:rsidRPr="00D91062" w14:paraId="4716A177" w14:textId="77777777" w:rsidTr="00354501">
        <w:trPr>
          <w:trHeight w:val="300"/>
        </w:trPr>
        <w:tc>
          <w:tcPr>
            <w:tcW w:w="3240" w:type="dxa"/>
          </w:tcPr>
          <w:p w14:paraId="353767DB" w14:textId="77777777" w:rsidR="00D664CB" w:rsidRPr="00D91062" w:rsidRDefault="00D664CB" w:rsidP="00D664CB">
            <w:pPr>
              <w:rPr>
                <w:rFonts w:eastAsia="Calibri"/>
                <w:noProof/>
                <w:sz w:val="20"/>
                <w:szCs w:val="20"/>
              </w:rPr>
            </w:pPr>
          </w:p>
        </w:tc>
        <w:tc>
          <w:tcPr>
            <w:tcW w:w="7200" w:type="dxa"/>
          </w:tcPr>
          <w:p w14:paraId="2997FECC" w14:textId="77777777" w:rsidR="00D664CB" w:rsidRPr="00D91062" w:rsidRDefault="00D664CB" w:rsidP="00D664CB">
            <w:pPr>
              <w:contextualSpacing/>
              <w:rPr>
                <w:rFonts w:eastAsia="Times New Roman"/>
                <w:noProof/>
                <w:sz w:val="20"/>
                <w:szCs w:val="20"/>
              </w:rPr>
            </w:pPr>
            <w:r w:rsidRPr="00D91062">
              <w:rPr>
                <w:noProof/>
                <w:sz w:val="20"/>
              </w:rPr>
              <w:t xml:space="preserve">(1) . </w:t>
            </w:r>
          </w:p>
        </w:tc>
      </w:tr>
      <w:tr w:rsidR="00D664CB" w:rsidRPr="00D91062" w14:paraId="2E58A0BD" w14:textId="77777777" w:rsidTr="00354501">
        <w:trPr>
          <w:trHeight w:val="300"/>
        </w:trPr>
        <w:tc>
          <w:tcPr>
            <w:tcW w:w="3240" w:type="dxa"/>
          </w:tcPr>
          <w:p w14:paraId="4A3D2567" w14:textId="77777777" w:rsidR="00D664CB" w:rsidRPr="00D91062" w:rsidRDefault="00D664CB" w:rsidP="00D664CB">
            <w:pPr>
              <w:spacing w:before="60" w:after="60"/>
              <w:rPr>
                <w:rFonts w:eastAsia="Calibri"/>
                <w:noProof/>
                <w:sz w:val="20"/>
                <w:szCs w:val="20"/>
              </w:rPr>
            </w:pPr>
          </w:p>
        </w:tc>
        <w:tc>
          <w:tcPr>
            <w:tcW w:w="7200" w:type="dxa"/>
          </w:tcPr>
          <w:p w14:paraId="26D0ABB9" w14:textId="77777777" w:rsidR="00D664CB" w:rsidRPr="00D91062" w:rsidRDefault="00D664CB" w:rsidP="00D664CB">
            <w:pPr>
              <w:rPr>
                <w:rFonts w:eastAsia="Calibri"/>
                <w:noProof/>
              </w:rPr>
            </w:pPr>
            <w:r w:rsidRPr="00D91062">
              <w:rPr>
                <w:noProof/>
                <w:sz w:val="20"/>
              </w:rPr>
              <w:t>.</w:t>
            </w:r>
          </w:p>
        </w:tc>
      </w:tr>
    </w:tbl>
    <w:p w14:paraId="191B45E8" w14:textId="77777777" w:rsidR="00D664CB" w:rsidRPr="00D91062" w:rsidRDefault="00D664CB" w:rsidP="007A5721">
      <w:pPr>
        <w:pStyle w:val="ManualHeading3"/>
        <w:rPr>
          <w:noProof/>
          <w:szCs w:val="24"/>
        </w:rPr>
      </w:pPr>
      <w:r w:rsidRPr="00D91062">
        <w:rPr>
          <w:noProof/>
        </w:rPr>
        <w:t>3.3.</w:t>
      </w:r>
      <w:r w:rsidRPr="00D91062">
        <w:rPr>
          <w:noProof/>
        </w:rPr>
        <w:tab/>
        <w:t>Impactul estimat asupra veniturilor</w:t>
      </w:r>
    </w:p>
    <w:p w14:paraId="4655A78D" w14:textId="77777777" w:rsidR="00D664CB" w:rsidRPr="00D91062" w:rsidRDefault="00D664CB" w:rsidP="007A5721">
      <w:pPr>
        <w:pStyle w:val="ListDash1"/>
        <w:rPr>
          <w:noProof/>
        </w:rPr>
      </w:pPr>
      <w:r w:rsidRPr="00D91062">
        <w:rPr>
          <w:rFonts w:ascii="Wingdings" w:hAnsi="Wingdings"/>
          <w:noProof/>
        </w:rPr>
        <w:t></w:t>
      </w:r>
      <w:r w:rsidRPr="00D91062">
        <w:rPr>
          <w:noProof/>
        </w:rPr>
        <w:tab/>
        <w:t>Propunerea/inițiativa nu are impact financiar asupra veniturilor.</w:t>
      </w:r>
    </w:p>
    <w:p w14:paraId="5F09B6FE" w14:textId="77777777" w:rsidR="00D664CB" w:rsidRPr="00D91062" w:rsidRDefault="00D664CB" w:rsidP="007A5721">
      <w:pPr>
        <w:pStyle w:val="ListDash1"/>
        <w:rPr>
          <w:noProof/>
        </w:rPr>
      </w:pPr>
      <w:r w:rsidRPr="00D91062">
        <w:rPr>
          <w:rFonts w:ascii="Wingdings" w:hAnsi="Wingdings"/>
          <w:noProof/>
        </w:rPr>
        <w:t></w:t>
      </w:r>
      <w:r w:rsidRPr="00D91062">
        <w:rPr>
          <w:noProof/>
        </w:rPr>
        <w:tab/>
        <w:t>Propunerea/inițiativa are următorul impact financiar:</w:t>
      </w:r>
    </w:p>
    <w:p w14:paraId="12BE2843" w14:textId="77777777" w:rsidR="00D664CB" w:rsidRPr="00D91062" w:rsidRDefault="00D664CB" w:rsidP="007A5721">
      <w:pPr>
        <w:pStyle w:val="ListNumber1Level3"/>
        <w:rPr>
          <w:noProof/>
        </w:rPr>
      </w:pPr>
      <w:r w:rsidRPr="00D91062">
        <w:rPr>
          <w:rFonts w:ascii="Wingdings" w:hAnsi="Wingdings"/>
          <w:noProof/>
        </w:rPr>
        <w:t></w:t>
      </w:r>
      <w:r w:rsidRPr="00D91062">
        <w:rPr>
          <w:noProof/>
        </w:rPr>
        <w:tab/>
        <w:t>asupra resurselor proprii</w:t>
      </w:r>
    </w:p>
    <w:p w14:paraId="241B3ABA" w14:textId="77777777" w:rsidR="00D664CB" w:rsidRPr="00D91062" w:rsidRDefault="00D664CB" w:rsidP="007A5721">
      <w:pPr>
        <w:pStyle w:val="ListNumber1Level3"/>
        <w:rPr>
          <w:noProof/>
        </w:rPr>
      </w:pPr>
      <w:r w:rsidRPr="00D91062">
        <w:rPr>
          <w:rFonts w:ascii="Wingdings" w:hAnsi="Wingdings"/>
          <w:noProof/>
        </w:rPr>
        <w:t></w:t>
      </w:r>
      <w:r w:rsidRPr="00D91062">
        <w:rPr>
          <w:noProof/>
        </w:rPr>
        <w:tab/>
        <w:t>asupra altor venituri</w:t>
      </w:r>
    </w:p>
    <w:p w14:paraId="43A8C7BD" w14:textId="77777777" w:rsidR="00D664CB" w:rsidRPr="00D91062" w:rsidRDefault="00D664CB" w:rsidP="007A5721">
      <w:pPr>
        <w:pStyle w:val="ListNumber1Level3"/>
        <w:rPr>
          <w:noProof/>
        </w:rPr>
      </w:pPr>
      <w:r w:rsidRPr="00D91062">
        <w:rPr>
          <w:rFonts w:ascii="Wingdings" w:hAnsi="Wingdings"/>
          <w:noProof/>
        </w:rPr>
        <w:t></w:t>
      </w:r>
      <w:r w:rsidRPr="00D91062">
        <w:rPr>
          <w:noProof/>
        </w:rPr>
        <w:tab/>
        <w:t>vă rugăm să precizați dacă veniturile sunt alocate unor linii de cheltuieli</w:t>
      </w:r>
    </w:p>
    <w:p w14:paraId="3D037327" w14:textId="77777777" w:rsidR="00D664CB" w:rsidRPr="00D91062" w:rsidRDefault="00D664CB" w:rsidP="00D664CB">
      <w:pPr>
        <w:jc w:val="right"/>
        <w:rPr>
          <w:noProof/>
          <w:sz w:val="20"/>
        </w:rPr>
      </w:pPr>
      <w:r w:rsidRPr="00D91062">
        <w:rPr>
          <w:noProof/>
          <w:sz w:val="20"/>
        </w:rPr>
        <w:t>milioane EUR (cu trei zecimale)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6"/>
        <w:gridCol w:w="990"/>
        <w:gridCol w:w="567"/>
        <w:gridCol w:w="994"/>
        <w:gridCol w:w="994"/>
        <w:gridCol w:w="994"/>
        <w:gridCol w:w="1133"/>
        <w:gridCol w:w="1133"/>
        <w:gridCol w:w="1098"/>
      </w:tblGrid>
      <w:tr w:rsidR="00D664CB" w:rsidRPr="00D91062" w14:paraId="04CC92F3" w14:textId="77777777" w:rsidTr="006B082A">
        <w:trPr>
          <w:trHeight w:val="388"/>
        </w:trPr>
        <w:tc>
          <w:tcPr>
            <w:tcW w:w="746" w:type="pct"/>
            <w:vMerge w:val="restart"/>
            <w:vAlign w:val="center"/>
          </w:tcPr>
          <w:p w14:paraId="486582AC" w14:textId="77777777" w:rsidR="00D664CB" w:rsidRPr="00D91062" w:rsidRDefault="00D664CB" w:rsidP="00D664CB">
            <w:pPr>
              <w:spacing w:before="40" w:after="40"/>
              <w:rPr>
                <w:rFonts w:eastAsia="Calibri"/>
                <w:noProof/>
                <w:sz w:val="18"/>
              </w:rPr>
            </w:pPr>
            <w:r w:rsidRPr="00D91062">
              <w:rPr>
                <w:noProof/>
                <w:sz w:val="18"/>
              </w:rPr>
              <w:t>Linia bugetară pentru venituri:</w:t>
            </w:r>
          </w:p>
        </w:tc>
        <w:tc>
          <w:tcPr>
            <w:tcW w:w="533" w:type="pct"/>
            <w:vMerge w:val="restart"/>
            <w:vAlign w:val="center"/>
          </w:tcPr>
          <w:p w14:paraId="7952E2B6" w14:textId="77777777" w:rsidR="00D664CB" w:rsidRPr="00D91062" w:rsidRDefault="00D664CB" w:rsidP="00D664CB">
            <w:pPr>
              <w:jc w:val="center"/>
              <w:rPr>
                <w:noProof/>
                <w:sz w:val="18"/>
              </w:rPr>
            </w:pPr>
            <w:r w:rsidRPr="00D91062">
              <w:rPr>
                <w:noProof/>
                <w:sz w:val="18"/>
              </w:rPr>
              <w:t xml:space="preserve">Credite </w:t>
            </w:r>
            <w:r w:rsidRPr="006B082A">
              <w:rPr>
                <w:noProof/>
                <w:spacing w:val="-4"/>
                <w:sz w:val="18"/>
              </w:rPr>
              <w:t>disponibile</w:t>
            </w:r>
            <w:r w:rsidRPr="00D91062">
              <w:rPr>
                <w:noProof/>
                <w:sz w:val="18"/>
              </w:rPr>
              <w:t xml:space="preserve"> pentru exercițiul financiar în curs</w:t>
            </w:r>
          </w:p>
        </w:tc>
        <w:tc>
          <w:tcPr>
            <w:tcW w:w="3721" w:type="pct"/>
            <w:gridSpan w:val="7"/>
            <w:vAlign w:val="center"/>
          </w:tcPr>
          <w:p w14:paraId="7BD06556" w14:textId="77777777" w:rsidR="00D664CB" w:rsidRPr="00D91062" w:rsidRDefault="00D664CB" w:rsidP="00D664CB">
            <w:pPr>
              <w:jc w:val="center"/>
              <w:rPr>
                <w:noProof/>
                <w:sz w:val="18"/>
              </w:rPr>
            </w:pPr>
            <w:r w:rsidRPr="00D91062">
              <w:rPr>
                <w:noProof/>
                <w:sz w:val="18"/>
              </w:rPr>
              <w:t>Impactul propunerii/inițiativei</w:t>
            </w:r>
          </w:p>
        </w:tc>
      </w:tr>
      <w:tr w:rsidR="006B082A" w:rsidRPr="00D91062" w14:paraId="29C5F4FE" w14:textId="77777777" w:rsidTr="006B082A">
        <w:trPr>
          <w:trHeight w:val="388"/>
        </w:trPr>
        <w:tc>
          <w:tcPr>
            <w:tcW w:w="746" w:type="pct"/>
            <w:vMerge/>
          </w:tcPr>
          <w:p w14:paraId="372E2DC0" w14:textId="77777777" w:rsidR="00D664CB" w:rsidRPr="00D91062" w:rsidRDefault="00D664CB" w:rsidP="00D664CB">
            <w:pPr>
              <w:spacing w:before="40" w:after="40"/>
              <w:rPr>
                <w:noProof/>
                <w:sz w:val="18"/>
              </w:rPr>
            </w:pPr>
          </w:p>
        </w:tc>
        <w:tc>
          <w:tcPr>
            <w:tcW w:w="533" w:type="pct"/>
            <w:vMerge/>
          </w:tcPr>
          <w:p w14:paraId="019DDE71" w14:textId="77777777" w:rsidR="00D664CB" w:rsidRPr="00D91062" w:rsidRDefault="00D664CB" w:rsidP="00D664CB">
            <w:pPr>
              <w:spacing w:beforeLines="40" w:before="96" w:afterLines="40" w:after="96"/>
              <w:rPr>
                <w:i/>
                <w:noProof/>
                <w:sz w:val="18"/>
              </w:rPr>
            </w:pPr>
          </w:p>
        </w:tc>
        <w:tc>
          <w:tcPr>
            <w:tcW w:w="305" w:type="pct"/>
            <w:vAlign w:val="center"/>
          </w:tcPr>
          <w:p w14:paraId="206B57AA" w14:textId="77777777" w:rsidR="00D664CB" w:rsidRPr="006B082A" w:rsidRDefault="00D664CB" w:rsidP="00D664CB">
            <w:pPr>
              <w:jc w:val="center"/>
              <w:rPr>
                <w:rFonts w:eastAsia="Calibri"/>
                <w:noProof/>
                <w:spacing w:val="-8"/>
                <w:sz w:val="18"/>
                <w:szCs w:val="18"/>
              </w:rPr>
            </w:pPr>
            <w:r w:rsidRPr="006B082A">
              <w:rPr>
                <w:noProof/>
                <w:spacing w:val="-8"/>
                <w:sz w:val="18"/>
              </w:rPr>
              <w:t xml:space="preserve">Anul </w:t>
            </w:r>
            <w:r w:rsidRPr="006B082A">
              <w:rPr>
                <w:b/>
                <w:noProof/>
                <w:spacing w:val="-8"/>
                <w:sz w:val="18"/>
              </w:rPr>
              <w:t>2028</w:t>
            </w:r>
          </w:p>
        </w:tc>
        <w:tc>
          <w:tcPr>
            <w:tcW w:w="535" w:type="pct"/>
            <w:vAlign w:val="center"/>
          </w:tcPr>
          <w:p w14:paraId="510EDA97" w14:textId="77777777" w:rsidR="00D664CB" w:rsidRPr="00D91062" w:rsidRDefault="00D664CB" w:rsidP="00D664CB">
            <w:pPr>
              <w:jc w:val="center"/>
              <w:rPr>
                <w:rFonts w:eastAsia="Calibri"/>
                <w:noProof/>
                <w:sz w:val="18"/>
              </w:rPr>
            </w:pPr>
            <w:r w:rsidRPr="00D91062">
              <w:rPr>
                <w:noProof/>
                <w:sz w:val="18"/>
              </w:rPr>
              <w:t xml:space="preserve">Anul </w:t>
            </w:r>
            <w:r w:rsidRPr="00D91062">
              <w:rPr>
                <w:b/>
                <w:noProof/>
                <w:sz w:val="18"/>
              </w:rPr>
              <w:t>2029</w:t>
            </w:r>
          </w:p>
        </w:tc>
        <w:tc>
          <w:tcPr>
            <w:tcW w:w="535" w:type="pct"/>
            <w:vAlign w:val="center"/>
          </w:tcPr>
          <w:p w14:paraId="41E4C349" w14:textId="77777777" w:rsidR="00D664CB" w:rsidRPr="00D91062" w:rsidRDefault="00D664CB" w:rsidP="00D664CB">
            <w:pPr>
              <w:jc w:val="center"/>
              <w:rPr>
                <w:rFonts w:eastAsia="Calibri"/>
                <w:noProof/>
                <w:sz w:val="18"/>
              </w:rPr>
            </w:pPr>
            <w:r w:rsidRPr="00D91062">
              <w:rPr>
                <w:noProof/>
                <w:sz w:val="18"/>
              </w:rPr>
              <w:t xml:space="preserve">Anul </w:t>
            </w:r>
            <w:r w:rsidRPr="00D91062">
              <w:rPr>
                <w:b/>
                <w:noProof/>
                <w:sz w:val="18"/>
              </w:rPr>
              <w:t>2030</w:t>
            </w:r>
          </w:p>
        </w:tc>
        <w:tc>
          <w:tcPr>
            <w:tcW w:w="535" w:type="pct"/>
            <w:vAlign w:val="center"/>
          </w:tcPr>
          <w:p w14:paraId="0024A363" w14:textId="77777777" w:rsidR="00D664CB" w:rsidRPr="00D91062" w:rsidRDefault="00D664CB" w:rsidP="00D664CB">
            <w:pPr>
              <w:jc w:val="center"/>
              <w:rPr>
                <w:rFonts w:eastAsia="Calibri"/>
                <w:noProof/>
                <w:sz w:val="18"/>
              </w:rPr>
            </w:pPr>
            <w:r w:rsidRPr="00D91062">
              <w:rPr>
                <w:noProof/>
                <w:sz w:val="18"/>
              </w:rPr>
              <w:t xml:space="preserve">Anul </w:t>
            </w:r>
            <w:r w:rsidRPr="00D91062">
              <w:rPr>
                <w:b/>
                <w:noProof/>
                <w:sz w:val="18"/>
              </w:rPr>
              <w:t>2031</w:t>
            </w:r>
          </w:p>
        </w:tc>
        <w:tc>
          <w:tcPr>
            <w:tcW w:w="610" w:type="pct"/>
          </w:tcPr>
          <w:p w14:paraId="189CB49B" w14:textId="77777777" w:rsidR="00D664CB" w:rsidRPr="00D91062" w:rsidRDefault="00D664CB" w:rsidP="00D664CB">
            <w:pPr>
              <w:jc w:val="center"/>
              <w:rPr>
                <w:rFonts w:eastAsia="Calibri"/>
                <w:noProof/>
                <w:sz w:val="18"/>
              </w:rPr>
            </w:pPr>
            <w:r w:rsidRPr="00D91062">
              <w:rPr>
                <w:noProof/>
                <w:sz w:val="18"/>
              </w:rPr>
              <w:t xml:space="preserve">Anul </w:t>
            </w:r>
            <w:r w:rsidRPr="00D91062">
              <w:rPr>
                <w:b/>
                <w:noProof/>
                <w:sz w:val="18"/>
              </w:rPr>
              <w:t>2032</w:t>
            </w:r>
          </w:p>
        </w:tc>
        <w:tc>
          <w:tcPr>
            <w:tcW w:w="610" w:type="pct"/>
          </w:tcPr>
          <w:p w14:paraId="4EC95528" w14:textId="77777777" w:rsidR="00D664CB" w:rsidRPr="00D91062" w:rsidRDefault="00D664CB" w:rsidP="00D664CB">
            <w:pPr>
              <w:jc w:val="center"/>
              <w:rPr>
                <w:rFonts w:eastAsia="Calibri"/>
                <w:noProof/>
                <w:sz w:val="18"/>
              </w:rPr>
            </w:pPr>
            <w:r w:rsidRPr="00D91062">
              <w:rPr>
                <w:noProof/>
                <w:sz w:val="18"/>
              </w:rPr>
              <w:t xml:space="preserve">Anul </w:t>
            </w:r>
            <w:r w:rsidRPr="00D91062">
              <w:rPr>
                <w:b/>
                <w:noProof/>
                <w:sz w:val="18"/>
              </w:rPr>
              <w:t>2033</w:t>
            </w:r>
          </w:p>
        </w:tc>
        <w:tc>
          <w:tcPr>
            <w:tcW w:w="591" w:type="pct"/>
          </w:tcPr>
          <w:p w14:paraId="1CD4C63E" w14:textId="77777777" w:rsidR="00D664CB" w:rsidRPr="00D91062" w:rsidRDefault="00D664CB" w:rsidP="00D664CB">
            <w:pPr>
              <w:jc w:val="center"/>
              <w:rPr>
                <w:rFonts w:eastAsia="Calibri"/>
                <w:noProof/>
                <w:sz w:val="18"/>
              </w:rPr>
            </w:pPr>
            <w:r w:rsidRPr="00D91062">
              <w:rPr>
                <w:noProof/>
                <w:sz w:val="18"/>
              </w:rPr>
              <w:t xml:space="preserve">Anul </w:t>
            </w:r>
            <w:r w:rsidRPr="00D91062">
              <w:rPr>
                <w:b/>
                <w:noProof/>
                <w:sz w:val="18"/>
              </w:rPr>
              <w:t>2034</w:t>
            </w:r>
          </w:p>
        </w:tc>
      </w:tr>
      <w:tr w:rsidR="006B082A" w:rsidRPr="00D91062" w14:paraId="6B287E4F" w14:textId="77777777" w:rsidTr="006B082A">
        <w:trPr>
          <w:trHeight w:val="388"/>
        </w:trPr>
        <w:tc>
          <w:tcPr>
            <w:tcW w:w="746" w:type="pct"/>
            <w:vAlign w:val="center"/>
          </w:tcPr>
          <w:p w14:paraId="2A547E28" w14:textId="77777777" w:rsidR="00D664CB" w:rsidRPr="00D91062" w:rsidRDefault="00D664CB" w:rsidP="00D664CB">
            <w:pPr>
              <w:spacing w:before="40" w:after="40"/>
              <w:rPr>
                <w:rFonts w:eastAsia="Calibri"/>
                <w:noProof/>
                <w:sz w:val="18"/>
                <w:szCs w:val="18"/>
              </w:rPr>
            </w:pPr>
            <w:r w:rsidRPr="00D91062">
              <w:rPr>
                <w:b/>
                <w:noProof/>
              </w:rPr>
              <w:t>Taxa europeană anuală pentru spectrul MSS</w:t>
            </w:r>
          </w:p>
        </w:tc>
        <w:tc>
          <w:tcPr>
            <w:tcW w:w="533" w:type="pct"/>
          </w:tcPr>
          <w:p w14:paraId="06787BC2" w14:textId="77777777" w:rsidR="00D664CB" w:rsidRPr="00D91062" w:rsidRDefault="00D664CB" w:rsidP="00D664CB">
            <w:pPr>
              <w:spacing w:beforeLines="40" w:before="96" w:afterLines="40" w:after="96"/>
              <w:jc w:val="center"/>
              <w:rPr>
                <w:rFonts w:eastAsia="Calibri"/>
                <w:i/>
                <w:noProof/>
                <w:sz w:val="18"/>
              </w:rPr>
            </w:pPr>
          </w:p>
        </w:tc>
        <w:tc>
          <w:tcPr>
            <w:tcW w:w="305" w:type="pct"/>
            <w:vAlign w:val="center"/>
          </w:tcPr>
          <w:p w14:paraId="57306FEE" w14:textId="77777777" w:rsidR="00D664CB" w:rsidRPr="00D91062" w:rsidRDefault="00D664CB" w:rsidP="00D664CB">
            <w:pPr>
              <w:spacing w:beforeLines="40" w:before="96" w:afterLines="40" w:after="96"/>
              <w:jc w:val="center"/>
              <w:rPr>
                <w:rFonts w:eastAsia="Calibri"/>
                <w:noProof/>
                <w:sz w:val="18"/>
                <w:szCs w:val="18"/>
              </w:rPr>
            </w:pPr>
            <w:r w:rsidRPr="00D91062">
              <w:rPr>
                <w:b/>
                <w:noProof/>
                <w:sz w:val="20"/>
              </w:rPr>
              <w:t>0</w:t>
            </w:r>
          </w:p>
        </w:tc>
        <w:tc>
          <w:tcPr>
            <w:tcW w:w="535" w:type="pct"/>
            <w:vAlign w:val="center"/>
          </w:tcPr>
          <w:p w14:paraId="7842EEF9" w14:textId="77777777" w:rsidR="00D664CB" w:rsidRPr="006B082A" w:rsidRDefault="00D664CB" w:rsidP="00D664CB">
            <w:pPr>
              <w:spacing w:beforeLines="40" w:before="96" w:afterLines="40" w:after="96"/>
              <w:jc w:val="center"/>
              <w:rPr>
                <w:rFonts w:eastAsia="Calibri"/>
                <w:noProof/>
                <w:spacing w:val="-6"/>
                <w:sz w:val="19"/>
                <w:szCs w:val="19"/>
              </w:rPr>
            </w:pPr>
            <w:r w:rsidRPr="006B082A">
              <w:rPr>
                <w:b/>
                <w:noProof/>
                <w:spacing w:val="-6"/>
                <w:sz w:val="19"/>
                <w:szCs w:val="19"/>
              </w:rPr>
              <w:t xml:space="preserve">Estimări parțiale ale sumelor deja incluse în fișa financiară legislativă și digitală a DNA </w:t>
            </w:r>
          </w:p>
        </w:tc>
        <w:tc>
          <w:tcPr>
            <w:tcW w:w="535" w:type="pct"/>
            <w:vAlign w:val="center"/>
          </w:tcPr>
          <w:p w14:paraId="3AD6CDC7" w14:textId="77777777" w:rsidR="00D664CB" w:rsidRPr="006B082A" w:rsidRDefault="00D664CB" w:rsidP="00D664CB">
            <w:pPr>
              <w:spacing w:beforeLines="40" w:before="96" w:afterLines="40" w:after="96"/>
              <w:jc w:val="center"/>
              <w:rPr>
                <w:rFonts w:eastAsia="Calibri"/>
                <w:noProof/>
                <w:spacing w:val="-6"/>
                <w:sz w:val="19"/>
                <w:szCs w:val="19"/>
              </w:rPr>
            </w:pPr>
            <w:r w:rsidRPr="006B082A">
              <w:rPr>
                <w:b/>
                <w:noProof/>
                <w:spacing w:val="-6"/>
                <w:sz w:val="19"/>
                <w:szCs w:val="19"/>
              </w:rPr>
              <w:t xml:space="preserve">Estimări parțiale ale sumelor deja incluse în fișa financiară legislativă și digitală a DNA </w:t>
            </w:r>
          </w:p>
        </w:tc>
        <w:tc>
          <w:tcPr>
            <w:tcW w:w="535" w:type="pct"/>
            <w:vAlign w:val="center"/>
          </w:tcPr>
          <w:p w14:paraId="5DA126EE" w14:textId="77777777" w:rsidR="00D664CB" w:rsidRPr="006B082A" w:rsidRDefault="00D664CB" w:rsidP="00D664CB">
            <w:pPr>
              <w:spacing w:beforeLines="40" w:before="96" w:afterLines="40" w:after="96"/>
              <w:jc w:val="center"/>
              <w:rPr>
                <w:rFonts w:eastAsia="Calibri"/>
                <w:noProof/>
                <w:spacing w:val="-6"/>
                <w:sz w:val="19"/>
                <w:szCs w:val="19"/>
              </w:rPr>
            </w:pPr>
            <w:r w:rsidRPr="006B082A">
              <w:rPr>
                <w:b/>
                <w:noProof/>
                <w:spacing w:val="-6"/>
                <w:sz w:val="19"/>
                <w:szCs w:val="19"/>
              </w:rPr>
              <w:t xml:space="preserve">Estimări parțiale ale sumelor deja incluse în fișa financiară legislativă și digitală a DNA </w:t>
            </w:r>
          </w:p>
        </w:tc>
        <w:tc>
          <w:tcPr>
            <w:tcW w:w="610" w:type="pct"/>
            <w:vAlign w:val="center"/>
          </w:tcPr>
          <w:p w14:paraId="0A5F57EC" w14:textId="77777777" w:rsidR="00D664CB" w:rsidRPr="00C617FD" w:rsidRDefault="00D664CB" w:rsidP="00D664CB">
            <w:pPr>
              <w:spacing w:beforeLines="40" w:before="96" w:afterLines="40" w:after="96"/>
              <w:jc w:val="center"/>
              <w:rPr>
                <w:rFonts w:eastAsia="Calibri"/>
                <w:noProof/>
                <w:spacing w:val="-4"/>
                <w:sz w:val="18"/>
                <w:szCs w:val="18"/>
              </w:rPr>
            </w:pPr>
            <w:r w:rsidRPr="00C617FD">
              <w:rPr>
                <w:b/>
                <w:noProof/>
                <w:spacing w:val="-4"/>
                <w:sz w:val="20"/>
              </w:rPr>
              <w:t xml:space="preserve">Estimări parțiale ale sumelor deja incluse în fișa financiară legislativă și digitală a DNA </w:t>
            </w:r>
          </w:p>
        </w:tc>
        <w:tc>
          <w:tcPr>
            <w:tcW w:w="610" w:type="pct"/>
            <w:vAlign w:val="center"/>
          </w:tcPr>
          <w:p w14:paraId="06BCBBF3" w14:textId="77777777" w:rsidR="00D664CB" w:rsidRPr="00C617FD" w:rsidRDefault="00D664CB" w:rsidP="00D664CB">
            <w:pPr>
              <w:spacing w:beforeLines="40" w:before="96" w:afterLines="40" w:after="96"/>
              <w:jc w:val="center"/>
              <w:rPr>
                <w:rFonts w:eastAsia="Calibri"/>
                <w:noProof/>
                <w:spacing w:val="-4"/>
                <w:sz w:val="18"/>
                <w:szCs w:val="18"/>
              </w:rPr>
            </w:pPr>
            <w:r w:rsidRPr="00C617FD">
              <w:rPr>
                <w:b/>
                <w:noProof/>
                <w:spacing w:val="-4"/>
                <w:sz w:val="20"/>
              </w:rPr>
              <w:t xml:space="preserve">Estimări parțiale ale sumelor deja incluse în fișa financiară legislativă și digitală a DNA </w:t>
            </w:r>
          </w:p>
        </w:tc>
        <w:tc>
          <w:tcPr>
            <w:tcW w:w="591" w:type="pct"/>
            <w:vAlign w:val="center"/>
          </w:tcPr>
          <w:p w14:paraId="11830A22" w14:textId="77777777" w:rsidR="00D664CB" w:rsidRPr="00C617FD" w:rsidRDefault="00D664CB" w:rsidP="00D664CB">
            <w:pPr>
              <w:spacing w:beforeLines="40" w:before="96" w:afterLines="40" w:after="96"/>
              <w:jc w:val="center"/>
              <w:rPr>
                <w:rFonts w:eastAsia="Calibri"/>
                <w:noProof/>
                <w:spacing w:val="-4"/>
                <w:sz w:val="18"/>
                <w:szCs w:val="18"/>
              </w:rPr>
            </w:pPr>
            <w:r w:rsidRPr="00C617FD">
              <w:rPr>
                <w:b/>
                <w:noProof/>
                <w:spacing w:val="-4"/>
                <w:sz w:val="20"/>
              </w:rPr>
              <w:t xml:space="preserve">Estimări parțiale ale sumelor deja incluse în fișa financiară legislativă și digitală a DNA </w:t>
            </w:r>
          </w:p>
        </w:tc>
      </w:tr>
      <w:tr w:rsidR="006B082A" w:rsidRPr="00D91062" w14:paraId="567F2BF0" w14:textId="77777777" w:rsidTr="006B082A">
        <w:trPr>
          <w:trHeight w:val="388"/>
        </w:trPr>
        <w:tc>
          <w:tcPr>
            <w:tcW w:w="746" w:type="pct"/>
            <w:vAlign w:val="center"/>
          </w:tcPr>
          <w:p w14:paraId="0B82933D" w14:textId="77777777" w:rsidR="00D664CB" w:rsidRPr="006B082A" w:rsidDel="002B7BE2" w:rsidRDefault="00D664CB" w:rsidP="00D664CB">
            <w:pPr>
              <w:spacing w:before="40" w:after="40"/>
              <w:rPr>
                <w:rFonts w:eastAsia="Calibri"/>
                <w:noProof/>
                <w:spacing w:val="-4"/>
                <w:sz w:val="18"/>
                <w:szCs w:val="18"/>
              </w:rPr>
            </w:pPr>
            <w:r w:rsidRPr="006B082A">
              <w:rPr>
                <w:b/>
                <w:noProof/>
                <w:spacing w:val="-4"/>
              </w:rPr>
              <w:t>Contribuția financiară europeană unică pentru MSS (prețul spectrului de frecvențe radio)</w:t>
            </w:r>
          </w:p>
        </w:tc>
        <w:tc>
          <w:tcPr>
            <w:tcW w:w="533" w:type="pct"/>
          </w:tcPr>
          <w:p w14:paraId="2B574C6D" w14:textId="77777777" w:rsidR="00D664CB" w:rsidRPr="00D91062" w:rsidRDefault="00D664CB" w:rsidP="00D664CB">
            <w:pPr>
              <w:spacing w:beforeLines="40" w:before="96" w:afterLines="40" w:after="96"/>
              <w:jc w:val="center"/>
              <w:rPr>
                <w:rFonts w:eastAsia="Calibri"/>
                <w:i/>
                <w:noProof/>
                <w:sz w:val="18"/>
              </w:rPr>
            </w:pPr>
          </w:p>
        </w:tc>
        <w:tc>
          <w:tcPr>
            <w:tcW w:w="305" w:type="pct"/>
            <w:vAlign w:val="center"/>
          </w:tcPr>
          <w:p w14:paraId="4F1BAD17" w14:textId="77777777" w:rsidR="00D664CB" w:rsidRPr="00D91062" w:rsidRDefault="00D664CB" w:rsidP="00D664CB">
            <w:pPr>
              <w:spacing w:beforeLines="40" w:before="96" w:afterLines="40" w:after="96"/>
              <w:jc w:val="center"/>
              <w:rPr>
                <w:rFonts w:eastAsia="Calibri"/>
                <w:b/>
                <w:bCs/>
                <w:noProof/>
                <w:sz w:val="20"/>
                <w:szCs w:val="20"/>
              </w:rPr>
            </w:pPr>
            <w:r w:rsidRPr="00D91062">
              <w:rPr>
                <w:b/>
                <w:noProof/>
                <w:sz w:val="20"/>
              </w:rPr>
              <w:t>0</w:t>
            </w:r>
          </w:p>
        </w:tc>
        <w:tc>
          <w:tcPr>
            <w:tcW w:w="535" w:type="pct"/>
            <w:vAlign w:val="center"/>
          </w:tcPr>
          <w:p w14:paraId="73CC2DBC" w14:textId="77777777" w:rsidR="00D664CB" w:rsidRPr="00D91062" w:rsidRDefault="00D664CB" w:rsidP="00D664CB">
            <w:pPr>
              <w:spacing w:beforeLines="40" w:before="96" w:afterLines="40" w:after="96"/>
              <w:jc w:val="center"/>
              <w:rPr>
                <w:rFonts w:eastAsia="Calibri"/>
                <w:b/>
                <w:bCs/>
                <w:noProof/>
                <w:sz w:val="20"/>
                <w:szCs w:val="20"/>
              </w:rPr>
            </w:pPr>
            <w:r w:rsidRPr="00D91062">
              <w:rPr>
                <w:b/>
                <w:noProof/>
                <w:sz w:val="20"/>
              </w:rPr>
              <w:t>DE CONFIRMAT</w:t>
            </w:r>
          </w:p>
        </w:tc>
        <w:tc>
          <w:tcPr>
            <w:tcW w:w="535" w:type="pct"/>
            <w:vAlign w:val="center"/>
          </w:tcPr>
          <w:p w14:paraId="7B037217" w14:textId="77777777" w:rsidR="00D664CB" w:rsidRPr="00D91062" w:rsidRDefault="00D664CB" w:rsidP="00D664CB">
            <w:pPr>
              <w:spacing w:beforeLines="40" w:before="96" w:afterLines="40" w:after="96"/>
              <w:jc w:val="center"/>
              <w:rPr>
                <w:rFonts w:eastAsia="Calibri"/>
                <w:b/>
                <w:bCs/>
                <w:noProof/>
                <w:sz w:val="20"/>
                <w:szCs w:val="20"/>
              </w:rPr>
            </w:pPr>
            <w:r w:rsidRPr="00D91062">
              <w:rPr>
                <w:b/>
                <w:noProof/>
                <w:sz w:val="20"/>
              </w:rPr>
              <w:t>DE CONFIRMAT</w:t>
            </w:r>
          </w:p>
        </w:tc>
        <w:tc>
          <w:tcPr>
            <w:tcW w:w="535" w:type="pct"/>
            <w:vAlign w:val="center"/>
          </w:tcPr>
          <w:p w14:paraId="4E3CD2AB" w14:textId="77777777" w:rsidR="00D664CB" w:rsidRPr="00D91062" w:rsidRDefault="00D664CB" w:rsidP="00D664CB">
            <w:pPr>
              <w:spacing w:beforeLines="40" w:before="96" w:afterLines="40" w:after="96"/>
              <w:jc w:val="center"/>
              <w:rPr>
                <w:rFonts w:eastAsia="Calibri"/>
                <w:b/>
                <w:bCs/>
                <w:noProof/>
                <w:sz w:val="20"/>
                <w:szCs w:val="20"/>
              </w:rPr>
            </w:pPr>
            <w:r w:rsidRPr="00D91062">
              <w:rPr>
                <w:b/>
                <w:noProof/>
                <w:sz w:val="20"/>
              </w:rPr>
              <w:t>DE CONFIRMAT</w:t>
            </w:r>
          </w:p>
        </w:tc>
        <w:tc>
          <w:tcPr>
            <w:tcW w:w="610" w:type="pct"/>
            <w:vAlign w:val="center"/>
          </w:tcPr>
          <w:p w14:paraId="0E6ABCC5" w14:textId="77777777" w:rsidR="00D664CB" w:rsidRPr="00D91062" w:rsidRDefault="00D664CB" w:rsidP="00D664CB">
            <w:pPr>
              <w:spacing w:beforeLines="40" w:before="96" w:afterLines="40" w:after="96"/>
              <w:jc w:val="center"/>
              <w:rPr>
                <w:rFonts w:eastAsia="Calibri"/>
                <w:b/>
                <w:bCs/>
                <w:noProof/>
                <w:sz w:val="20"/>
                <w:szCs w:val="20"/>
              </w:rPr>
            </w:pPr>
            <w:r w:rsidRPr="00D91062">
              <w:rPr>
                <w:b/>
                <w:noProof/>
                <w:sz w:val="20"/>
              </w:rPr>
              <w:t>DE CONFIRMAT</w:t>
            </w:r>
          </w:p>
        </w:tc>
        <w:tc>
          <w:tcPr>
            <w:tcW w:w="610" w:type="pct"/>
            <w:vAlign w:val="center"/>
          </w:tcPr>
          <w:p w14:paraId="2FD89275" w14:textId="77777777" w:rsidR="00D664CB" w:rsidRPr="00D91062" w:rsidRDefault="00D664CB" w:rsidP="00D664CB">
            <w:pPr>
              <w:spacing w:beforeLines="40" w:before="96" w:afterLines="40" w:after="96"/>
              <w:jc w:val="center"/>
              <w:rPr>
                <w:rFonts w:eastAsia="Calibri"/>
                <w:b/>
                <w:bCs/>
                <w:noProof/>
                <w:sz w:val="20"/>
                <w:szCs w:val="20"/>
              </w:rPr>
            </w:pPr>
            <w:r w:rsidRPr="00D91062">
              <w:rPr>
                <w:b/>
                <w:noProof/>
                <w:sz w:val="20"/>
              </w:rPr>
              <w:t>DE CONFIRMAT</w:t>
            </w:r>
          </w:p>
        </w:tc>
        <w:tc>
          <w:tcPr>
            <w:tcW w:w="591" w:type="pct"/>
            <w:vAlign w:val="center"/>
          </w:tcPr>
          <w:p w14:paraId="22775185" w14:textId="77777777" w:rsidR="00D664CB" w:rsidRPr="00D91062" w:rsidRDefault="00D664CB" w:rsidP="00D664CB">
            <w:pPr>
              <w:spacing w:beforeLines="40" w:before="96" w:afterLines="40" w:after="96"/>
              <w:jc w:val="center"/>
              <w:rPr>
                <w:rFonts w:eastAsia="Calibri"/>
                <w:b/>
                <w:bCs/>
                <w:noProof/>
                <w:sz w:val="20"/>
                <w:szCs w:val="20"/>
              </w:rPr>
            </w:pPr>
            <w:r w:rsidRPr="00D91062">
              <w:rPr>
                <w:b/>
                <w:noProof/>
                <w:sz w:val="20"/>
              </w:rPr>
              <w:t>DE CONFIRMAT</w:t>
            </w:r>
          </w:p>
        </w:tc>
      </w:tr>
    </w:tbl>
    <w:p w14:paraId="67C5811C" w14:textId="77777777" w:rsidR="00D664CB" w:rsidRPr="00D91062" w:rsidRDefault="00D664CB" w:rsidP="00D664CB">
      <w:pPr>
        <w:rPr>
          <w:noProof/>
        </w:rPr>
      </w:pPr>
    </w:p>
    <w:p w14:paraId="1EF6F0BB" w14:textId="77777777" w:rsidR="00D664CB" w:rsidRPr="00D91062" w:rsidRDefault="00D664CB" w:rsidP="007A5721">
      <w:pPr>
        <w:pStyle w:val="Text1"/>
        <w:pBdr>
          <w:top w:val="single" w:sz="4" w:space="1" w:color="auto"/>
          <w:left w:val="single" w:sz="4" w:space="4" w:color="auto"/>
          <w:bottom w:val="single" w:sz="4" w:space="1" w:color="auto"/>
          <w:right w:val="single" w:sz="4" w:space="4" w:color="auto"/>
        </w:pBdr>
        <w:rPr>
          <w:noProof/>
        </w:rPr>
      </w:pPr>
      <w:r w:rsidRPr="00D91062">
        <w:rPr>
          <w:noProof/>
        </w:rPr>
        <w:t xml:space="preserve">Taxa europeană anuală de pentru spectrul MSS este stabilită pentru a contribui la utilizarea eficientă a spectrului, trebuie să reflecte valoarea dreptului continuu de utilizare a spectrului și acoperă cel puțin costurile legate de gestionarea, controlul și aplicarea autorizației generale pentru furnizarea de servicii și rețele MSS și costurile legate de procedurile de utilizare a spectrului și de măsurile de autorizare la nivelul Uniunii, inclusiv costurile de definire a condițiilor de autorizare și de monitorizare a conformității acestuia, inclusiv costurile suportate de orice organism al Uniunii care sprijină Comisia în gestionarea spectrului. </w:t>
      </w:r>
    </w:p>
    <w:p w14:paraId="027DFC72" w14:textId="77777777" w:rsidR="00D664CB" w:rsidRPr="00D91062" w:rsidRDefault="00D664CB" w:rsidP="007A5721">
      <w:pPr>
        <w:pStyle w:val="Text1"/>
        <w:pBdr>
          <w:top w:val="single" w:sz="4" w:space="1" w:color="auto"/>
          <w:left w:val="single" w:sz="4" w:space="4" w:color="auto"/>
          <w:bottom w:val="single" w:sz="4" w:space="1" w:color="auto"/>
          <w:right w:val="single" w:sz="4" w:space="4" w:color="auto"/>
        </w:pBdr>
        <w:rPr>
          <w:noProof/>
        </w:rPr>
      </w:pPr>
      <w:r w:rsidRPr="00D91062">
        <w:rPr>
          <w:noProof/>
        </w:rPr>
        <w:t>Taxa anuală pentru spectrul MSS ar acoperi, de asemenea, cheltuielile suplimentare ale noului oficiu ODN dacă și odată ce acesta va fi înființat astfel cum se indică în fișa financiară legislativă și digitală a DNA, în timp ce actuala linie bugetară de cheltuieli a Oficiului OAREC va fi înlocuită de oficiul ODN, astfel cum se clarifică în fișa financiară legislativă și digitală a DNA.</w:t>
      </w:r>
    </w:p>
    <w:p w14:paraId="364A51F8" w14:textId="77777777" w:rsidR="00D664CB" w:rsidRPr="00D91062" w:rsidRDefault="00D664CB" w:rsidP="007A5721">
      <w:pPr>
        <w:pStyle w:val="Text1"/>
        <w:pBdr>
          <w:top w:val="single" w:sz="4" w:space="1" w:color="auto"/>
          <w:left w:val="single" w:sz="4" w:space="4" w:color="auto"/>
          <w:bottom w:val="single" w:sz="4" w:space="1" w:color="auto"/>
          <w:right w:val="single" w:sz="4" w:space="4" w:color="auto"/>
        </w:pBdr>
        <w:rPr>
          <w:noProof/>
        </w:rPr>
      </w:pPr>
      <w:r w:rsidRPr="00D91062">
        <w:rPr>
          <w:noProof/>
        </w:rPr>
        <w:t>Taxa anuală se aplică operatorilor selectați titulari de drepturi de utilizare a benzii MSS de 2 GHz. Comisia specifică într-un act delegat metodologia de stabilire a nivelurilor minime ale contribuției financiare unice și a cuantumului taxelor anuale, precum și alte detalii referitoare la stabilirea, colectarea, alocarea și, dacă este necesar, gestionarea fondurilor.</w:t>
      </w:r>
    </w:p>
    <w:p w14:paraId="5C37658B" w14:textId="0DFD7888" w:rsidR="00D664CB" w:rsidRPr="00D91062" w:rsidRDefault="00D664CB" w:rsidP="007A5721">
      <w:pPr>
        <w:pStyle w:val="Text1"/>
        <w:pBdr>
          <w:top w:val="single" w:sz="4" w:space="1" w:color="auto"/>
          <w:left w:val="single" w:sz="4" w:space="4" w:color="auto"/>
          <w:bottom w:val="single" w:sz="4" w:space="1" w:color="auto"/>
          <w:right w:val="single" w:sz="4" w:space="4" w:color="auto"/>
        </w:pBdr>
        <w:rPr>
          <w:noProof/>
        </w:rPr>
      </w:pPr>
      <w:r w:rsidRPr="00D91062">
        <w:rPr>
          <w:noProof/>
        </w:rPr>
        <w:t>Comisia sau orice organism al Uniunii care sprijină Comisia în gestionarea spectrului colectează taxele anuale, astfel cum se prevede în una sau mai multe decizii care pot fi adresate titularilor selectați. Veniturile generate de taxele anuale constituie venituri</w:t>
      </w:r>
      <w:r w:rsidR="00C87A60">
        <w:rPr>
          <w:noProof/>
        </w:rPr>
        <w:t> </w:t>
      </w:r>
      <w:r w:rsidRPr="00D91062">
        <w:rPr>
          <w:noProof/>
        </w:rPr>
        <w:t>alocate externe în conformitate cu articolul 21 alineatul (5) din Regulamentul (UE, Euratom) 2024/2509. Veniturile respective se alocă pentru a acoperi costurile administrative legate de procedurile privind spectrul de frecvențe radio și de măsurile de autorizare la nivelul Uniunii, inclusiv monitorizarea și conformitatea. Eventualele venituri rămase după acoperirea acestor costuri se alocă bugetului Uniunii.</w:t>
      </w:r>
    </w:p>
    <w:p w14:paraId="543F7D28" w14:textId="77777777" w:rsidR="00D664CB" w:rsidRPr="00D91062" w:rsidRDefault="00D664CB" w:rsidP="007A5721">
      <w:pPr>
        <w:pStyle w:val="Text1"/>
        <w:pBdr>
          <w:top w:val="single" w:sz="4" w:space="1" w:color="auto"/>
          <w:left w:val="single" w:sz="4" w:space="4" w:color="auto"/>
          <w:bottom w:val="single" w:sz="4" w:space="1" w:color="auto"/>
          <w:right w:val="single" w:sz="4" w:space="4" w:color="auto"/>
        </w:pBdr>
        <w:rPr>
          <w:noProof/>
        </w:rPr>
      </w:pPr>
      <w:r w:rsidRPr="00D91062">
        <w:rPr>
          <w:noProof/>
        </w:rPr>
        <w:t>Contribuția financiară unică pentru MSS (prețul spectrului) este stabilită pentru a contribui la alocarea eficientă a spectrului limitat pentru furnizarea de sisteme MSS și reflectă disponibilitatea solicitantului de a plăti, reflectând, prin urmare, valoarea dreptului pentru solicitantul specific. Contribuția financiară unică va fi plătită de solicitanții selectați pe baza ofertei lor în cursul procedurii de selecție (de exemplu, contribuția ar fi un criteriu de selecție în cadrul unei proceduri de selecție comparative). Contribuția va fi egală cu suma pe care fiecare solicitant selectat s-a angajat să o plătească în cererea sa. Comisia poate permite ca plata contribuției financiare unice să fie efectuată în tranșe periodice.</w:t>
      </w:r>
    </w:p>
    <w:p w14:paraId="22B14472" w14:textId="77777777" w:rsidR="00D664CB" w:rsidRPr="00D91062" w:rsidRDefault="00D664CB" w:rsidP="007A5721">
      <w:pPr>
        <w:pStyle w:val="Text1"/>
        <w:pBdr>
          <w:top w:val="single" w:sz="4" w:space="1" w:color="auto"/>
          <w:left w:val="single" w:sz="4" w:space="4" w:color="auto"/>
          <w:bottom w:val="single" w:sz="4" w:space="1" w:color="auto"/>
          <w:right w:val="single" w:sz="4" w:space="4" w:color="auto"/>
        </w:pBdr>
        <w:rPr>
          <w:noProof/>
        </w:rPr>
      </w:pPr>
      <w:r w:rsidRPr="00D91062">
        <w:rPr>
          <w:noProof/>
        </w:rPr>
        <w:t>Comisia poate stabili printr-un act de punere în aplicare un nivel minim al contribuției financiare unice pentru a asigura alocarea eficientă a benzii MSS de 2 GHz, precum și investițiile și implementarea eficace a sistemelor și serviciilor MSS, de care solicitanții trebuie să țină seama la depunerea cererilor. Nivelul minim al contribuției poate fi diferit pentru spectrul de frecvențe pentru sistemele MSS comerciale și pentru sistemul hibrid MSS securizat și ar putea fi stabilit la zero.</w:t>
      </w:r>
    </w:p>
    <w:p w14:paraId="059B85E3" w14:textId="03B51810" w:rsidR="00D664CB" w:rsidRPr="00D91062" w:rsidRDefault="00D664CB" w:rsidP="007A5721">
      <w:pPr>
        <w:pStyle w:val="Text1"/>
        <w:pBdr>
          <w:top w:val="single" w:sz="4" w:space="1" w:color="auto"/>
          <w:left w:val="single" w:sz="4" w:space="4" w:color="auto"/>
          <w:bottom w:val="single" w:sz="4" w:space="1" w:color="auto"/>
          <w:right w:val="single" w:sz="4" w:space="4" w:color="auto"/>
        </w:pBdr>
        <w:rPr>
          <w:noProof/>
        </w:rPr>
      </w:pPr>
      <w:r w:rsidRPr="00D91062">
        <w:rPr>
          <w:noProof/>
        </w:rPr>
        <w:t>Comisia colectează contribuțiile financiare unice printr-o decizie care poate fi adresată solicitanților selectați. Cuantumul său total se alocă pentru a sprijini obiectivele poziției de lider în domeniul digital în temeiul Regulamentului (UE) [ref] de instituire a Fondului european pentru competitivitate [nota de subsol] sau al regulamentelor care îi vor succeda. Contribuția financiară unică constituie venituri</w:t>
      </w:r>
      <w:r w:rsidR="00C87A60">
        <w:rPr>
          <w:noProof/>
        </w:rPr>
        <w:t> </w:t>
      </w:r>
      <w:r w:rsidRPr="00D91062">
        <w:rPr>
          <w:noProof/>
        </w:rPr>
        <w:t>alocate externe în conformitate cu articolul [5 alineatul (1)] din Regulamentul (UE) [XXX] al Parlamentului European și al Consiliului de instituire a Fondului european pentru competitivitate și cu articolul 21 alineatul (5) din Regulamentul (UE, Euratom) 2024/2509.</w:t>
      </w:r>
    </w:p>
    <w:p w14:paraId="3A6BF8FB" w14:textId="77777777" w:rsidR="00D664CB" w:rsidRPr="00D91062" w:rsidRDefault="00D664CB" w:rsidP="007A5721">
      <w:pPr>
        <w:pStyle w:val="Text1"/>
        <w:rPr>
          <w:noProof/>
        </w:rPr>
      </w:pPr>
      <w:r w:rsidRPr="00D91062">
        <w:rPr>
          <w:noProof/>
        </w:rPr>
        <w:t>Alte observații (de exemplu, metoda/formula utilizată pentru calcularea impactului asupra veniturilor sau orice alte informații).</w:t>
      </w:r>
    </w:p>
    <w:p w14:paraId="5B3B92C5" w14:textId="77777777" w:rsidR="00D664CB" w:rsidRPr="00D91062" w:rsidRDefault="00D664CB" w:rsidP="007A5721">
      <w:pPr>
        <w:pStyle w:val="Text1"/>
        <w:pBdr>
          <w:top w:val="single" w:sz="4" w:space="1" w:color="auto"/>
          <w:left w:val="single" w:sz="4" w:space="4" w:color="auto"/>
          <w:bottom w:val="single" w:sz="4" w:space="1" w:color="auto"/>
          <w:right w:val="single" w:sz="4" w:space="4" w:color="auto"/>
        </w:pBdr>
        <w:rPr>
          <w:noProof/>
        </w:rPr>
      </w:pPr>
      <w:r w:rsidRPr="00D91062">
        <w:rPr>
          <w:noProof/>
        </w:rPr>
        <w:t>În ceea ce privește taxa europeană anuală de spectru MSS, un act delegat va defini metodologia de stabilire a sumei, iar o decizie de punere în aplicare va defini suma specifică pentru fiecare bloc de frecvențe.</w:t>
      </w:r>
    </w:p>
    <w:p w14:paraId="177A6463" w14:textId="77777777" w:rsidR="00D664CB" w:rsidRPr="00D91062" w:rsidRDefault="00D664CB" w:rsidP="007A5721">
      <w:pPr>
        <w:pStyle w:val="Text1"/>
        <w:pBdr>
          <w:top w:val="single" w:sz="4" w:space="1" w:color="auto"/>
          <w:left w:val="single" w:sz="4" w:space="4" w:color="auto"/>
          <w:bottom w:val="single" w:sz="4" w:space="1" w:color="auto"/>
          <w:right w:val="single" w:sz="4" w:space="4" w:color="auto"/>
        </w:pBdr>
        <w:rPr>
          <w:noProof/>
        </w:rPr>
      </w:pPr>
      <w:r w:rsidRPr="00D91062">
        <w:rPr>
          <w:noProof/>
        </w:rPr>
        <w:t>În ceea ce privește contribuția financiară europeană unică pentru MSS (prețul spectrului), cuantumul nu poate fi estimat în avans și depinde de oferta întreprinderilor cu o posibilă sumă minimă (preț de rezervă) definită de Comisie în actul delegat (metodologie) sau în cererea de candidaturi. Cuantumul minim definit de Comisie poate varia în funcție de bandă (rețele securizate/hibride sau comerciale).</w:t>
      </w:r>
    </w:p>
    <w:p w14:paraId="4D69F51E" w14:textId="77777777" w:rsidR="00D664CB" w:rsidRPr="00D91062" w:rsidRDefault="00D664CB" w:rsidP="007A5721">
      <w:pPr>
        <w:pStyle w:val="Text1"/>
        <w:pBdr>
          <w:top w:val="single" w:sz="4" w:space="1" w:color="auto"/>
          <w:left w:val="single" w:sz="4" w:space="4" w:color="auto"/>
          <w:bottom w:val="single" w:sz="4" w:space="1" w:color="auto"/>
          <w:right w:val="single" w:sz="4" w:space="4" w:color="auto"/>
        </w:pBdr>
        <w:rPr>
          <w:noProof/>
        </w:rPr>
      </w:pPr>
      <w:r w:rsidRPr="00D91062">
        <w:rPr>
          <w:noProof/>
        </w:rPr>
        <w:t>Contribuția financiară unică europeană (prețul spectrului) va fi plătită începând cu 2029, când se va desfășura procedura de selecție și se va aloca spectrul. Cu toate acestea, solicitanții selectați vor avea dreptul de a plăti, sub rezerva aprobării de către Comisie, contribuția unică (prețul spectrului) în tranșe.</w:t>
      </w:r>
    </w:p>
    <w:p w14:paraId="74ED60DA" w14:textId="77777777" w:rsidR="00D664CB" w:rsidRPr="00D91062" w:rsidRDefault="00D664CB" w:rsidP="007A5721">
      <w:pPr>
        <w:pStyle w:val="ManualHeading1"/>
        <w:rPr>
          <w:noProof/>
        </w:rPr>
      </w:pPr>
      <w:r w:rsidRPr="00D91062">
        <w:rPr>
          <w:noProof/>
        </w:rPr>
        <w:t>4.</w:t>
      </w:r>
      <w:r w:rsidRPr="00D91062">
        <w:rPr>
          <w:noProof/>
        </w:rPr>
        <w:tab/>
        <w:t>Dimensiunile digitale</w:t>
      </w:r>
    </w:p>
    <w:p w14:paraId="51A98D0C" w14:textId="77777777" w:rsidR="00D664CB" w:rsidRPr="00D91062" w:rsidRDefault="00D664CB" w:rsidP="007A5721">
      <w:pPr>
        <w:pStyle w:val="ManualHeading2"/>
        <w:rPr>
          <w:noProof/>
        </w:rPr>
      </w:pPr>
      <w:r w:rsidRPr="00D91062">
        <w:rPr>
          <w:noProof/>
        </w:rPr>
        <w:t>4.1. Cerințe cu relevanță digitală</w:t>
      </w:r>
    </w:p>
    <w:p w14:paraId="7094D6F4" w14:textId="77777777" w:rsidR="00D664CB" w:rsidRPr="00D91062" w:rsidRDefault="00D664CB" w:rsidP="00D664CB">
      <w:pPr>
        <w:keepNext/>
        <w:rPr>
          <w:rFonts w:eastAsia="Times New Roman"/>
          <w:noProof/>
          <w:color w:val="000000" w:themeColor="text1"/>
        </w:rPr>
      </w:pPr>
      <w:r w:rsidRPr="00D91062">
        <w:rPr>
          <w:i/>
          <w:noProof/>
          <w:color w:val="000000" w:themeColor="text1"/>
        </w:rPr>
        <w:t>Descriere la nivel înalt a cerințelor privind relevanța digitală și a categoriilor conexe (date, digitalizarea și automatizarea proceselor, soluții digitale și/sau servicii publice digitale)</w:t>
      </w:r>
    </w:p>
    <w:tbl>
      <w:tblPr>
        <w:tblW w:w="0" w:type="auto"/>
        <w:tblLook w:val="04A0" w:firstRow="1" w:lastRow="0" w:firstColumn="1" w:lastColumn="0" w:noHBand="0" w:noVBand="1"/>
      </w:tblPr>
      <w:tblGrid>
        <w:gridCol w:w="1531"/>
        <w:gridCol w:w="2121"/>
        <w:gridCol w:w="2396"/>
        <w:gridCol w:w="1930"/>
        <w:gridCol w:w="1311"/>
      </w:tblGrid>
      <w:tr w:rsidR="002C1D44" w:rsidRPr="00D91062" w14:paraId="564AB33C" w14:textId="77777777" w:rsidTr="003D07F0">
        <w:trPr>
          <w:trHeight w:val="300"/>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07476D" w14:textId="77777777" w:rsidR="002C1D44" w:rsidRPr="00D91062" w:rsidRDefault="002C1D44" w:rsidP="00954DD1">
            <w:pPr>
              <w:jc w:val="left"/>
              <w:rPr>
                <w:noProof/>
              </w:rPr>
            </w:pPr>
            <w:r w:rsidRPr="00D91062">
              <w:rPr>
                <w:b/>
                <w:noProof/>
              </w:rPr>
              <w:t>Trimiterea la cerință</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4BF2F2" w14:textId="77777777" w:rsidR="002C1D44" w:rsidRPr="00D91062" w:rsidRDefault="002C1D44" w:rsidP="00954DD1">
            <w:pPr>
              <w:jc w:val="left"/>
              <w:rPr>
                <w:noProof/>
              </w:rPr>
            </w:pPr>
            <w:r w:rsidRPr="00D91062">
              <w:rPr>
                <w:b/>
                <w:noProof/>
              </w:rPr>
              <w:t>Descrierea cerinței</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7B3F94B" w14:textId="77777777" w:rsidR="002C1D44" w:rsidRPr="00D91062" w:rsidRDefault="002C1D44" w:rsidP="00954DD1">
            <w:pPr>
              <w:jc w:val="left"/>
              <w:rPr>
                <w:noProof/>
              </w:rPr>
            </w:pPr>
            <w:r w:rsidRPr="00D91062">
              <w:rPr>
                <w:b/>
                <w:noProof/>
              </w:rPr>
              <w:t>Actori afectați sau vizați de cerință</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6F81BE" w14:textId="77777777" w:rsidR="002C1D44" w:rsidRPr="00D91062" w:rsidRDefault="002C1D44" w:rsidP="00954DD1">
            <w:pPr>
              <w:jc w:val="left"/>
              <w:rPr>
                <w:noProof/>
              </w:rPr>
            </w:pPr>
            <w:r w:rsidRPr="00D91062">
              <w:rPr>
                <w:b/>
                <w:noProof/>
              </w:rPr>
              <w:t>Procese la nivel înalt</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D14B82" w14:textId="77777777" w:rsidR="002C1D44" w:rsidRPr="00D91062" w:rsidRDefault="002C1D44" w:rsidP="00954DD1">
            <w:pPr>
              <w:jc w:val="left"/>
              <w:rPr>
                <w:noProof/>
              </w:rPr>
            </w:pPr>
            <w:r w:rsidRPr="00D91062">
              <w:rPr>
                <w:b/>
                <w:noProof/>
              </w:rPr>
              <w:t>Categorii</w:t>
            </w:r>
          </w:p>
        </w:tc>
      </w:tr>
      <w:tr w:rsidR="002C1D44" w:rsidRPr="00D91062" w14:paraId="27CD5F9B"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0ACAEC20" w14:textId="77777777" w:rsidR="002C1D44" w:rsidRPr="00D91062" w:rsidRDefault="002C1D44" w:rsidP="00954DD1">
            <w:pPr>
              <w:spacing w:before="0" w:after="0"/>
              <w:jc w:val="left"/>
              <w:rPr>
                <w:noProof/>
              </w:rPr>
            </w:pPr>
            <w:r w:rsidRPr="00D91062">
              <w:rPr>
                <w:noProof/>
              </w:rPr>
              <w:t>Articolul 5 alineatul (2)</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25D14D9C" w14:textId="77777777" w:rsidR="002C1D44" w:rsidRPr="00D91062" w:rsidRDefault="002C1D44" w:rsidP="00954DD1">
            <w:pPr>
              <w:spacing w:before="0" w:after="0"/>
              <w:rPr>
                <w:noProof/>
              </w:rPr>
            </w:pPr>
            <w:r w:rsidRPr="00D91062">
              <w:rPr>
                <w:noProof/>
              </w:rPr>
              <w:t>Cererea de candidaturi și toate deciziile luate de Comisie pe parcursul etapelor procedurii de selecție comparativă, precum și selecția finală a solicitanților se publică în JO al UE.</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699B262C" w14:textId="77777777" w:rsidR="002C1D44" w:rsidRPr="00D91062" w:rsidRDefault="002C1D44" w:rsidP="00954DD1">
            <w:pPr>
              <w:spacing w:before="0" w:after="0"/>
              <w:rPr>
                <w:noProof/>
              </w:rPr>
            </w:pPr>
            <w:r w:rsidRPr="00D91062">
              <w:rPr>
                <w:noProof/>
              </w:rPr>
              <w:t xml:space="preserve">Comisia </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00145149" w14:textId="77777777" w:rsidR="002C1D44" w:rsidRPr="00D91062" w:rsidRDefault="002C1D44" w:rsidP="00954DD1">
            <w:pPr>
              <w:spacing w:before="0" w:after="0"/>
              <w:rPr>
                <w:noProof/>
              </w:rPr>
            </w:pPr>
            <w:r w:rsidRPr="00D91062">
              <w:rPr>
                <w:noProof/>
              </w:rPr>
              <w:t>Publică cererea de candidaturi.</w:t>
            </w:r>
          </w:p>
          <w:p w14:paraId="267F1531" w14:textId="77777777" w:rsidR="002C1D44" w:rsidRPr="00D91062" w:rsidRDefault="002C1D44" w:rsidP="00954DD1">
            <w:pPr>
              <w:spacing w:before="0" w:after="0"/>
              <w:rPr>
                <w:noProof/>
              </w:rPr>
            </w:pPr>
            <w:r w:rsidRPr="00D91062">
              <w:rPr>
                <w:noProof/>
              </w:rPr>
              <w:t>Publică toate deciziile luate de Comisie.</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745CD111" w14:textId="77777777" w:rsidR="002C1D44" w:rsidRPr="00D91062" w:rsidRDefault="002C1D44" w:rsidP="00954DD1">
            <w:pPr>
              <w:spacing w:before="0" w:after="0"/>
              <w:rPr>
                <w:noProof/>
              </w:rPr>
            </w:pPr>
            <w:r w:rsidRPr="00D91062">
              <w:rPr>
                <w:noProof/>
              </w:rPr>
              <w:t xml:space="preserve">Date </w:t>
            </w:r>
          </w:p>
        </w:tc>
      </w:tr>
      <w:tr w:rsidR="002C1D44" w:rsidRPr="00D91062" w14:paraId="416BC07E"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0CD97C7A" w14:textId="77777777" w:rsidR="002C1D44" w:rsidRPr="00D91062" w:rsidRDefault="002C1D44" w:rsidP="00954DD1">
            <w:pPr>
              <w:spacing w:before="0" w:after="0"/>
              <w:rPr>
                <w:noProof/>
                <w:szCs w:val="24"/>
              </w:rPr>
            </w:pPr>
            <w:r w:rsidRPr="00D91062">
              <w:rPr>
                <w:noProof/>
              </w:rPr>
              <w:t>Articolul 5 alineatul (2)</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0E890C85" w14:textId="77777777" w:rsidR="002C1D44" w:rsidRPr="00D91062" w:rsidRDefault="002C1D44" w:rsidP="00954DD1">
            <w:pPr>
              <w:spacing w:before="0" w:after="0"/>
              <w:rPr>
                <w:noProof/>
              </w:rPr>
            </w:pPr>
            <w:r w:rsidRPr="00D91062">
              <w:rPr>
                <w:noProof/>
              </w:rPr>
              <w:t>Cerere de candidaturi care urmează să fie adoptată în conformitate cu procedura de consultare</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3AB206A2" w14:textId="77777777" w:rsidR="002C1D44" w:rsidRPr="00D91062" w:rsidRDefault="002C1D44" w:rsidP="00954DD1">
            <w:pPr>
              <w:spacing w:before="0" w:after="0"/>
              <w:rPr>
                <w:noProof/>
                <w:szCs w:val="24"/>
              </w:rPr>
            </w:pPr>
            <w:r w:rsidRPr="00D91062">
              <w:rPr>
                <w:noProof/>
              </w:rPr>
              <w:t>Comisia</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5AB55728" w14:textId="77777777" w:rsidR="002C1D44" w:rsidRPr="00D91062" w:rsidRDefault="002C1D44" w:rsidP="00954DD1">
            <w:pPr>
              <w:spacing w:before="0" w:after="0"/>
              <w:rPr>
                <w:noProof/>
              </w:rPr>
            </w:pPr>
            <w:r w:rsidRPr="00D91062">
              <w:rPr>
                <w:noProof/>
              </w:rPr>
              <w:t>Adoptarea cererii de candidaturi</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79DD7F5B" w14:textId="77777777" w:rsidR="002C1D44" w:rsidRPr="00D91062" w:rsidRDefault="002C1D44" w:rsidP="00954DD1">
            <w:pPr>
              <w:spacing w:before="0" w:after="0"/>
              <w:rPr>
                <w:noProof/>
                <w:szCs w:val="24"/>
              </w:rPr>
            </w:pPr>
            <w:r w:rsidRPr="00D91062">
              <w:rPr>
                <w:noProof/>
              </w:rPr>
              <w:t>Date</w:t>
            </w:r>
          </w:p>
        </w:tc>
      </w:tr>
      <w:tr w:rsidR="002C1D44" w:rsidRPr="00D91062" w14:paraId="10CD8EB6"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5DC4741E" w14:textId="77777777" w:rsidR="002C1D44" w:rsidRPr="00D91062" w:rsidRDefault="002C1D44" w:rsidP="00954DD1">
            <w:pPr>
              <w:spacing w:before="0" w:after="0"/>
              <w:rPr>
                <w:noProof/>
              </w:rPr>
            </w:pPr>
            <w:r w:rsidRPr="00D91062">
              <w:rPr>
                <w:noProof/>
              </w:rPr>
              <w:t xml:space="preserve">Articolul 5 alineatul (3) </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54A794A3" w14:textId="77777777" w:rsidR="002C1D44" w:rsidRPr="00D91062" w:rsidRDefault="002C1D44" w:rsidP="00954DD1">
            <w:pPr>
              <w:spacing w:before="0" w:after="0"/>
              <w:rPr>
                <w:noProof/>
              </w:rPr>
            </w:pPr>
            <w:r w:rsidRPr="00D91062">
              <w:rPr>
                <w:noProof/>
              </w:rPr>
              <w:t xml:space="preserve">Înaintarea cererilor către Comisie. </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3BFE2714" w14:textId="77777777" w:rsidR="002C1D44" w:rsidRPr="00D91062" w:rsidRDefault="002C1D44" w:rsidP="00954DD1">
            <w:pPr>
              <w:spacing w:before="0" w:after="0"/>
              <w:rPr>
                <w:noProof/>
              </w:rPr>
            </w:pPr>
            <w:r w:rsidRPr="00D91062">
              <w:rPr>
                <w:noProof/>
              </w:rPr>
              <w:t xml:space="preserve">Solicitanții </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202DF964" w14:textId="77777777" w:rsidR="002C1D44" w:rsidRPr="00D91062" w:rsidRDefault="002C1D44" w:rsidP="00954DD1">
            <w:pPr>
              <w:spacing w:before="0" w:after="0"/>
              <w:rPr>
                <w:noProof/>
              </w:rPr>
            </w:pPr>
            <w:r w:rsidRPr="00D91062">
              <w:rPr>
                <w:noProof/>
              </w:rPr>
              <w:t xml:space="preserve">Depunerea cererilor. </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1EC543FA" w14:textId="77777777" w:rsidR="002C1D44" w:rsidRPr="00D91062" w:rsidRDefault="002C1D44" w:rsidP="00954DD1">
            <w:pPr>
              <w:spacing w:before="0" w:after="0"/>
              <w:rPr>
                <w:noProof/>
              </w:rPr>
            </w:pPr>
            <w:r w:rsidRPr="00D91062">
              <w:rPr>
                <w:noProof/>
              </w:rPr>
              <w:t xml:space="preserve">Date </w:t>
            </w:r>
          </w:p>
        </w:tc>
      </w:tr>
      <w:tr w:rsidR="002C1D44" w:rsidRPr="00D91062" w14:paraId="6D2F9008"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38E89B22" w14:textId="77777777" w:rsidR="002C1D44" w:rsidRPr="00D91062" w:rsidRDefault="002C1D44" w:rsidP="00954DD1">
            <w:pPr>
              <w:spacing w:before="0" w:after="0"/>
              <w:rPr>
                <w:noProof/>
              </w:rPr>
            </w:pPr>
            <w:r w:rsidRPr="00D91062">
              <w:rPr>
                <w:noProof/>
              </w:rPr>
              <w:t>Articolul 5 alineatul (4)</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4E9437F9" w14:textId="77777777" w:rsidR="002C1D44" w:rsidRPr="00D91062" w:rsidRDefault="002C1D44" w:rsidP="00954DD1">
            <w:pPr>
              <w:spacing w:before="0" w:after="0"/>
              <w:jc w:val="left"/>
              <w:rPr>
                <w:noProof/>
              </w:rPr>
            </w:pPr>
            <w:r w:rsidRPr="00D91062">
              <w:rPr>
                <w:noProof/>
              </w:rPr>
              <w:t>Cere solicitanților să furnizeze informații suplimentare cu privire la îndeplinirea cerințelor de admisibilitate.</w:t>
            </w:r>
          </w:p>
          <w:p w14:paraId="27343662" w14:textId="77777777" w:rsidR="002C1D44" w:rsidRPr="00D91062" w:rsidRDefault="002C1D44" w:rsidP="00954DD1">
            <w:pPr>
              <w:spacing w:before="0" w:after="0"/>
              <w:jc w:val="left"/>
              <w:rPr>
                <w:noProof/>
              </w:rPr>
            </w:pPr>
            <w:r w:rsidRPr="00D91062">
              <w:rPr>
                <w:noProof/>
              </w:rPr>
              <w:t>Informează solicitanții dacă cererile lor sunt considerate admisibile sau nu și publică o listă a solicitanților admisibili.</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191708CC" w14:textId="77777777" w:rsidR="002C1D44" w:rsidRPr="00D91062" w:rsidRDefault="002C1D44" w:rsidP="00954DD1">
            <w:pPr>
              <w:spacing w:before="0" w:after="0"/>
              <w:rPr>
                <w:noProof/>
              </w:rPr>
            </w:pPr>
            <w:r w:rsidRPr="00D91062">
              <w:rPr>
                <w:noProof/>
              </w:rPr>
              <w:t xml:space="preserve">Comisia </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23B9409E" w14:textId="77777777" w:rsidR="002C1D44" w:rsidRPr="00D91062" w:rsidRDefault="002C1D44" w:rsidP="00954DD1">
            <w:pPr>
              <w:spacing w:before="0" w:after="0"/>
              <w:jc w:val="left"/>
              <w:rPr>
                <w:noProof/>
              </w:rPr>
            </w:pPr>
            <w:r w:rsidRPr="00D91062">
              <w:rPr>
                <w:noProof/>
              </w:rPr>
              <w:t xml:space="preserve">Solicită informații suplimentare. </w:t>
            </w:r>
          </w:p>
          <w:p w14:paraId="14F0C451" w14:textId="77777777" w:rsidR="002C1D44" w:rsidRPr="00D91062" w:rsidRDefault="002C1D44" w:rsidP="00954DD1">
            <w:pPr>
              <w:spacing w:before="0" w:after="0"/>
              <w:jc w:val="left"/>
              <w:rPr>
                <w:noProof/>
              </w:rPr>
            </w:pPr>
            <w:r w:rsidRPr="00D91062">
              <w:rPr>
                <w:noProof/>
              </w:rPr>
              <w:t>Informează solicitanții cu privire la admisibilitatea cererilor lor.</w:t>
            </w:r>
          </w:p>
          <w:p w14:paraId="73A825DF" w14:textId="77777777" w:rsidR="002C1D44" w:rsidRPr="00D91062" w:rsidRDefault="002C1D44" w:rsidP="00954DD1">
            <w:pPr>
              <w:spacing w:before="0" w:after="0"/>
              <w:jc w:val="left"/>
              <w:rPr>
                <w:noProof/>
              </w:rPr>
            </w:pPr>
            <w:r w:rsidRPr="00D91062">
              <w:rPr>
                <w:noProof/>
              </w:rPr>
              <w:t xml:space="preserve">Publică o listă a solicitanților admisibili. </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14C1E309" w14:textId="77777777" w:rsidR="002C1D44" w:rsidRPr="00D91062" w:rsidRDefault="002C1D44" w:rsidP="00954DD1">
            <w:pPr>
              <w:spacing w:before="0" w:after="0"/>
              <w:rPr>
                <w:noProof/>
              </w:rPr>
            </w:pPr>
            <w:r w:rsidRPr="00D91062">
              <w:rPr>
                <w:noProof/>
              </w:rPr>
              <w:t xml:space="preserve">Date </w:t>
            </w:r>
          </w:p>
        </w:tc>
      </w:tr>
      <w:tr w:rsidR="002C1D44" w:rsidRPr="00D91062" w14:paraId="7D49DDF7"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54B572D9" w14:textId="77777777" w:rsidR="002C1D44" w:rsidRPr="00D91062" w:rsidRDefault="002C1D44" w:rsidP="00954DD1">
            <w:pPr>
              <w:spacing w:before="0" w:after="0"/>
              <w:rPr>
                <w:noProof/>
              </w:rPr>
            </w:pPr>
            <w:r w:rsidRPr="00D91062">
              <w:rPr>
                <w:noProof/>
              </w:rPr>
              <w:t xml:space="preserve">Articolul 5 alineatul (4) </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5003D70E" w14:textId="77777777" w:rsidR="002C1D44" w:rsidRPr="00D91062" w:rsidRDefault="002C1D44" w:rsidP="00954DD1">
            <w:pPr>
              <w:spacing w:before="0" w:after="0"/>
              <w:rPr>
                <w:noProof/>
              </w:rPr>
            </w:pPr>
            <w:r w:rsidRPr="00D91062">
              <w:rPr>
                <w:noProof/>
              </w:rPr>
              <w:t xml:space="preserve">Adoptă o decizie motivată privind inadmisibilitatea sau neeligibilitatea cererilor. </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3E5E2753" w14:textId="77777777" w:rsidR="002C1D44" w:rsidRPr="00D91062" w:rsidRDefault="002C1D44" w:rsidP="00954DD1">
            <w:pPr>
              <w:spacing w:before="0" w:after="0"/>
              <w:rPr>
                <w:noProof/>
              </w:rPr>
            </w:pPr>
            <w:r w:rsidRPr="00D91062">
              <w:rPr>
                <w:noProof/>
              </w:rPr>
              <w:t xml:space="preserve">Comisia </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3D1782EE" w14:textId="77777777" w:rsidR="002C1D44" w:rsidRPr="00D91062" w:rsidRDefault="002C1D44" w:rsidP="00954DD1">
            <w:pPr>
              <w:spacing w:before="0" w:after="0"/>
              <w:rPr>
                <w:noProof/>
              </w:rPr>
            </w:pPr>
            <w:r w:rsidRPr="00D91062">
              <w:rPr>
                <w:noProof/>
              </w:rPr>
              <w:t xml:space="preserve">Adoptă o decizie motivată. </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4A06ADE4" w14:textId="77777777" w:rsidR="002C1D44" w:rsidRPr="00D91062" w:rsidRDefault="002C1D44" w:rsidP="00954DD1">
            <w:pPr>
              <w:spacing w:before="0" w:after="0"/>
              <w:rPr>
                <w:noProof/>
              </w:rPr>
            </w:pPr>
            <w:r w:rsidRPr="00D91062">
              <w:rPr>
                <w:noProof/>
              </w:rPr>
              <w:t>Date</w:t>
            </w:r>
          </w:p>
        </w:tc>
      </w:tr>
      <w:tr w:rsidR="002C1D44" w:rsidRPr="00D91062" w14:paraId="53904D4D"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15D53A47" w14:textId="77777777" w:rsidR="002C1D44" w:rsidRPr="00D91062" w:rsidRDefault="002C1D44" w:rsidP="00954DD1">
            <w:pPr>
              <w:spacing w:before="0" w:after="0"/>
              <w:rPr>
                <w:noProof/>
              </w:rPr>
            </w:pPr>
            <w:r w:rsidRPr="00D91062">
              <w:rPr>
                <w:noProof/>
              </w:rPr>
              <w:t>Articolul 5 alineatul (5)</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30297ED9" w14:textId="77777777" w:rsidR="002C1D44" w:rsidRPr="00D91062" w:rsidRDefault="002C1D44" w:rsidP="00954DD1">
            <w:pPr>
              <w:spacing w:before="0" w:after="0"/>
              <w:rPr>
                <w:noProof/>
              </w:rPr>
            </w:pPr>
            <w:r w:rsidRPr="00D91062">
              <w:rPr>
                <w:noProof/>
              </w:rPr>
              <w:t>Respectă cerințele de eligibilitate pentru sistemele MSS.</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42F4287E" w14:textId="77777777" w:rsidR="002C1D44" w:rsidRPr="00D91062" w:rsidRDefault="002C1D44" w:rsidP="00954DD1">
            <w:pPr>
              <w:spacing w:before="0" w:after="0"/>
              <w:rPr>
                <w:noProof/>
              </w:rPr>
            </w:pPr>
            <w:r w:rsidRPr="00D91062">
              <w:rPr>
                <w:noProof/>
              </w:rPr>
              <w:t>Comisia</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2BC24590" w14:textId="77777777" w:rsidR="002C1D44" w:rsidRPr="00D91062" w:rsidRDefault="002C1D44" w:rsidP="00954DD1">
            <w:pPr>
              <w:spacing w:before="0" w:after="0"/>
              <w:rPr>
                <w:noProof/>
              </w:rPr>
            </w:pPr>
            <w:r w:rsidRPr="00D91062">
              <w:rPr>
                <w:noProof/>
              </w:rPr>
              <w:t>Verifică conformitatea cu cerințele de admisibilitate pentru sistemele MSS.</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56F36C58" w14:textId="77777777" w:rsidR="002C1D44" w:rsidRPr="00D91062" w:rsidRDefault="002C1D44" w:rsidP="00954DD1">
            <w:pPr>
              <w:spacing w:before="0" w:after="0"/>
              <w:rPr>
                <w:noProof/>
              </w:rPr>
            </w:pPr>
            <w:r w:rsidRPr="00D91062">
              <w:rPr>
                <w:noProof/>
              </w:rPr>
              <w:t>Date</w:t>
            </w:r>
          </w:p>
        </w:tc>
      </w:tr>
      <w:tr w:rsidR="002C1D44" w:rsidRPr="00D91062" w14:paraId="5A4818E8"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61F25AF0" w14:textId="77777777" w:rsidR="002C1D44" w:rsidRPr="00D91062" w:rsidRDefault="002C1D44" w:rsidP="00954DD1">
            <w:pPr>
              <w:spacing w:before="0" w:after="0"/>
              <w:rPr>
                <w:noProof/>
              </w:rPr>
            </w:pPr>
            <w:r w:rsidRPr="00D91062">
              <w:rPr>
                <w:noProof/>
              </w:rPr>
              <w:t xml:space="preserve">Articolul 5 alineatul (6) </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29978C78" w14:textId="77777777" w:rsidR="002C1D44" w:rsidRPr="00D91062" w:rsidRDefault="002C1D44" w:rsidP="00954DD1">
            <w:pPr>
              <w:spacing w:before="0" w:after="0"/>
              <w:jc w:val="left"/>
              <w:rPr>
                <w:noProof/>
              </w:rPr>
            </w:pPr>
            <w:r w:rsidRPr="00D91062">
              <w:rPr>
                <w:noProof/>
              </w:rPr>
              <w:t>Comisia clasifică solicitanții eligibili</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35F4A4EC" w14:textId="77777777" w:rsidR="002C1D44" w:rsidRPr="00D91062" w:rsidRDefault="002C1D44" w:rsidP="00954DD1">
            <w:pPr>
              <w:spacing w:before="0" w:after="0"/>
              <w:jc w:val="left"/>
              <w:rPr>
                <w:noProof/>
              </w:rPr>
            </w:pPr>
            <w:r w:rsidRPr="00D91062">
              <w:rPr>
                <w:noProof/>
              </w:rPr>
              <w:t>Comisia</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0567B699" w14:textId="77777777" w:rsidR="002C1D44" w:rsidRPr="00D91062" w:rsidRDefault="002C1D44" w:rsidP="00954DD1">
            <w:pPr>
              <w:spacing w:before="0" w:after="0"/>
              <w:rPr>
                <w:noProof/>
              </w:rPr>
            </w:pP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76D4BC48" w14:textId="77777777" w:rsidR="002C1D44" w:rsidRPr="00D91062" w:rsidRDefault="002C1D44" w:rsidP="00954DD1">
            <w:pPr>
              <w:spacing w:before="0" w:after="0"/>
              <w:rPr>
                <w:noProof/>
              </w:rPr>
            </w:pPr>
            <w:r w:rsidRPr="00D91062">
              <w:rPr>
                <w:noProof/>
              </w:rPr>
              <w:t xml:space="preserve">Date </w:t>
            </w:r>
          </w:p>
        </w:tc>
      </w:tr>
      <w:tr w:rsidR="002C1D44" w:rsidRPr="00D91062" w14:paraId="1DFBBF64"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1AF054C6" w14:textId="77777777" w:rsidR="002C1D44" w:rsidRPr="00D91062" w:rsidRDefault="002C1D44" w:rsidP="00954DD1">
            <w:pPr>
              <w:spacing w:before="0" w:after="0"/>
              <w:rPr>
                <w:noProof/>
              </w:rPr>
            </w:pPr>
            <w:r w:rsidRPr="00D91062">
              <w:rPr>
                <w:noProof/>
              </w:rPr>
              <w:t xml:space="preserve">Articolul 5 alineatul (7), </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10F0F744" w14:textId="77777777" w:rsidR="002C1D44" w:rsidRPr="00D91062" w:rsidRDefault="002C1D44" w:rsidP="00954DD1">
            <w:pPr>
              <w:spacing w:before="0" w:after="0"/>
              <w:rPr>
                <w:noProof/>
              </w:rPr>
            </w:pPr>
            <w:r w:rsidRPr="00D91062">
              <w:rPr>
                <w:noProof/>
              </w:rPr>
              <w:t xml:space="preserve">Adoptă o decizie motivată privind inadmisibilitatea sau neeligibilitatea solicitanților pentru dreptul de utilizare a MSS de 2 GHz </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074A9C2F" w14:textId="77777777" w:rsidR="002C1D44" w:rsidRPr="00D91062" w:rsidRDefault="002C1D44" w:rsidP="00954DD1">
            <w:pPr>
              <w:spacing w:before="0" w:after="0"/>
              <w:rPr>
                <w:noProof/>
              </w:rPr>
            </w:pPr>
            <w:r w:rsidRPr="00D91062">
              <w:rPr>
                <w:noProof/>
              </w:rPr>
              <w:t xml:space="preserve">Comisia. </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54567E8E" w14:textId="77777777" w:rsidR="002C1D44" w:rsidRPr="00D91062" w:rsidRDefault="002C1D44" w:rsidP="00954DD1">
            <w:pPr>
              <w:spacing w:before="0" w:after="0"/>
              <w:jc w:val="left"/>
              <w:rPr>
                <w:noProof/>
              </w:rPr>
            </w:pPr>
            <w:r w:rsidRPr="00D91062">
              <w:rPr>
                <w:noProof/>
              </w:rPr>
              <w:t xml:space="preserve">Adoptă o decizie motivată. </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1541F25E" w14:textId="77777777" w:rsidR="002C1D44" w:rsidRPr="00D91062" w:rsidRDefault="002C1D44" w:rsidP="00954DD1">
            <w:pPr>
              <w:spacing w:before="0" w:after="0"/>
              <w:rPr>
                <w:noProof/>
              </w:rPr>
            </w:pPr>
            <w:r w:rsidRPr="00D91062">
              <w:rPr>
                <w:noProof/>
              </w:rPr>
              <w:t xml:space="preserve">Date </w:t>
            </w:r>
          </w:p>
        </w:tc>
      </w:tr>
      <w:tr w:rsidR="002C1D44" w:rsidRPr="00D91062" w14:paraId="5779D503"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5DEA1E7E" w14:textId="77777777" w:rsidR="002C1D44" w:rsidRPr="00D91062" w:rsidRDefault="002C1D44" w:rsidP="00954DD1">
            <w:pPr>
              <w:spacing w:before="0" w:after="0"/>
              <w:rPr>
                <w:noProof/>
              </w:rPr>
            </w:pPr>
            <w:r w:rsidRPr="00D91062">
              <w:rPr>
                <w:noProof/>
              </w:rPr>
              <w:t>Articolul 6 alineatul (1)</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79A0A654" w14:textId="77777777" w:rsidR="002C1D44" w:rsidRPr="00D91062" w:rsidRDefault="002C1D44" w:rsidP="00954DD1">
            <w:pPr>
              <w:spacing w:before="0" w:after="0"/>
              <w:rPr>
                <w:noProof/>
              </w:rPr>
            </w:pPr>
            <w:r w:rsidRPr="00D91062">
              <w:rPr>
                <w:noProof/>
              </w:rPr>
              <w:t>Respectă cerințele de admisibilitate pentru sistemele hibride/MSS securizate.</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2319ED90" w14:textId="77777777" w:rsidR="002C1D44" w:rsidRPr="00D91062" w:rsidRDefault="002C1D44" w:rsidP="00954DD1">
            <w:pPr>
              <w:spacing w:before="0" w:after="0"/>
              <w:rPr>
                <w:noProof/>
              </w:rPr>
            </w:pPr>
            <w:r w:rsidRPr="00D91062">
              <w:rPr>
                <w:noProof/>
              </w:rPr>
              <w:t>Solicitanții</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34BB6955" w14:textId="77777777" w:rsidR="002C1D44" w:rsidRPr="00D91062" w:rsidRDefault="002C1D44" w:rsidP="00954DD1">
            <w:pPr>
              <w:spacing w:before="0" w:after="0"/>
              <w:jc w:val="left"/>
              <w:rPr>
                <w:noProof/>
              </w:rPr>
            </w:pPr>
            <w:r w:rsidRPr="00D91062">
              <w:rPr>
                <w:noProof/>
              </w:rPr>
              <w:t>Verifică conformitatea cu cerințele de admisibilitate pentru sistemele hibride/MSS securizate.</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14C4A851" w14:textId="77777777" w:rsidR="002C1D44" w:rsidRPr="00D91062" w:rsidRDefault="002C1D44" w:rsidP="00954DD1">
            <w:pPr>
              <w:spacing w:before="0" w:after="0"/>
              <w:rPr>
                <w:noProof/>
              </w:rPr>
            </w:pPr>
            <w:r w:rsidRPr="00D91062">
              <w:rPr>
                <w:noProof/>
              </w:rPr>
              <w:t>Date</w:t>
            </w:r>
          </w:p>
        </w:tc>
      </w:tr>
      <w:tr w:rsidR="002C1D44" w:rsidRPr="00D91062" w14:paraId="18B82283"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77EDA6A8" w14:textId="77777777" w:rsidR="002C1D44" w:rsidRPr="00D91062" w:rsidRDefault="002C1D44" w:rsidP="00954DD1">
            <w:pPr>
              <w:spacing w:before="0" w:after="0"/>
              <w:rPr>
                <w:noProof/>
              </w:rPr>
            </w:pPr>
            <w:r w:rsidRPr="00D91062">
              <w:rPr>
                <w:noProof/>
              </w:rPr>
              <w:t xml:space="preserve">Articolul 6 alineatul (2), articolul 7 și articolul 8 </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731F81AD" w14:textId="77777777" w:rsidR="002C1D44" w:rsidRPr="00D91062" w:rsidRDefault="002C1D44" w:rsidP="00954DD1">
            <w:pPr>
              <w:spacing w:before="0" w:after="0"/>
              <w:rPr>
                <w:noProof/>
              </w:rPr>
            </w:pPr>
            <w:r w:rsidRPr="00D91062">
              <w:rPr>
                <w:noProof/>
              </w:rPr>
              <w:t xml:space="preserve">Includ declarații și dovezi privind banda MSS de 2 GHz solicitată și utilizarea sa efectivă. </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1ABEB36D" w14:textId="77777777" w:rsidR="002C1D44" w:rsidRPr="00D91062" w:rsidRDefault="002C1D44" w:rsidP="00954DD1">
            <w:pPr>
              <w:spacing w:before="0" w:after="0"/>
              <w:rPr>
                <w:noProof/>
              </w:rPr>
            </w:pPr>
            <w:r w:rsidRPr="00D91062">
              <w:rPr>
                <w:noProof/>
              </w:rPr>
              <w:t xml:space="preserve">Solicitanții unui sistem hibrid/MSS securizat. </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20F60D87" w14:textId="77777777" w:rsidR="002C1D44" w:rsidRPr="00D91062" w:rsidRDefault="002C1D44" w:rsidP="00954DD1">
            <w:pPr>
              <w:spacing w:before="0" w:after="0"/>
              <w:rPr>
                <w:noProof/>
              </w:rPr>
            </w:pPr>
            <w:r w:rsidRPr="00D91062">
              <w:rPr>
                <w:noProof/>
              </w:rPr>
              <w:t xml:space="preserve">Includ declarații și dovezi privind banda MSS de 2 GHz solicitată și utilizarea eficientă a acesteia. </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1A71BEF9" w14:textId="77777777" w:rsidR="002C1D44" w:rsidRPr="00D91062" w:rsidRDefault="002C1D44" w:rsidP="00954DD1">
            <w:pPr>
              <w:spacing w:before="0" w:after="0"/>
              <w:rPr>
                <w:noProof/>
              </w:rPr>
            </w:pPr>
            <w:r w:rsidRPr="00D91062">
              <w:rPr>
                <w:noProof/>
              </w:rPr>
              <w:t xml:space="preserve">Date </w:t>
            </w:r>
          </w:p>
        </w:tc>
      </w:tr>
      <w:tr w:rsidR="002C1D44" w:rsidRPr="00D91062" w14:paraId="5F321D57"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6B10BD13" w14:textId="77777777" w:rsidR="002C1D44" w:rsidRPr="00D91062" w:rsidRDefault="002C1D44" w:rsidP="00954DD1">
            <w:pPr>
              <w:spacing w:before="0" w:after="0"/>
              <w:jc w:val="left"/>
              <w:rPr>
                <w:noProof/>
              </w:rPr>
            </w:pPr>
            <w:r w:rsidRPr="00D91062">
              <w:rPr>
                <w:noProof/>
              </w:rPr>
              <w:t>Articolul 8 alineatul (1)</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7C3278A9" w14:textId="77777777" w:rsidR="002C1D44" w:rsidRPr="00D91062" w:rsidRDefault="002C1D44" w:rsidP="00954DD1">
            <w:pPr>
              <w:spacing w:before="0" w:after="0"/>
              <w:jc w:val="left"/>
              <w:rPr>
                <w:noProof/>
              </w:rPr>
            </w:pPr>
            <w:r w:rsidRPr="00D91062">
              <w:rPr>
                <w:noProof/>
              </w:rPr>
              <w:t>Specifică un cuantum al contribuției financiare unice pentru dreptul de utilizare pentru sistemele securizate din banda MSS de 2 GHz.</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374BE7DA" w14:textId="77777777" w:rsidR="002C1D44" w:rsidRPr="00D91062" w:rsidRDefault="002C1D44" w:rsidP="00954DD1">
            <w:pPr>
              <w:spacing w:before="0" w:after="0"/>
              <w:jc w:val="left"/>
              <w:rPr>
                <w:noProof/>
              </w:rPr>
            </w:pPr>
            <w:r w:rsidRPr="00D91062">
              <w:rPr>
                <w:noProof/>
              </w:rPr>
              <w:t>Solicitanții unui sistem MSS securizat.</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760A64CB" w14:textId="77777777" w:rsidR="002C1D44" w:rsidRPr="00D91062" w:rsidRDefault="002C1D44" w:rsidP="00954DD1">
            <w:pPr>
              <w:spacing w:before="0" w:after="0"/>
              <w:jc w:val="left"/>
              <w:rPr>
                <w:noProof/>
              </w:rPr>
            </w:pPr>
            <w:r w:rsidRPr="00D91062">
              <w:rPr>
                <w:noProof/>
              </w:rPr>
              <w:t>Specifică suma.</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07C9AE58" w14:textId="77777777" w:rsidR="002C1D44" w:rsidRPr="00D91062" w:rsidRDefault="002C1D44" w:rsidP="00954DD1">
            <w:pPr>
              <w:spacing w:before="0" w:after="0"/>
              <w:jc w:val="left"/>
              <w:rPr>
                <w:noProof/>
              </w:rPr>
            </w:pPr>
            <w:r w:rsidRPr="00D91062">
              <w:rPr>
                <w:noProof/>
              </w:rPr>
              <w:t>Date</w:t>
            </w:r>
          </w:p>
        </w:tc>
      </w:tr>
      <w:tr w:rsidR="002C1D44" w:rsidRPr="00D91062" w14:paraId="3CD52C8F"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209C755D" w14:textId="77777777" w:rsidR="002C1D44" w:rsidRPr="00D91062" w:rsidRDefault="002C1D44" w:rsidP="00954DD1">
            <w:pPr>
              <w:spacing w:before="0" w:after="0"/>
              <w:rPr>
                <w:noProof/>
              </w:rPr>
            </w:pPr>
            <w:r w:rsidRPr="00D91062">
              <w:rPr>
                <w:noProof/>
              </w:rPr>
              <w:t>Articolul 8 alineatul (2)</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2D4F33B3" w14:textId="77777777" w:rsidR="002C1D44" w:rsidRPr="00D91062" w:rsidRDefault="002C1D44" w:rsidP="00954DD1">
            <w:pPr>
              <w:spacing w:before="0" w:after="0"/>
              <w:rPr>
                <w:noProof/>
              </w:rPr>
            </w:pPr>
            <w:r w:rsidRPr="00D91062">
              <w:rPr>
                <w:noProof/>
              </w:rPr>
              <w:t>Adoptă o decizie motivată privind selectarea solicitanților dreptului de utilizare a benzii MSS de 2 GHz pentru sisteme MSS securizate.</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527F155F" w14:textId="77777777" w:rsidR="002C1D44" w:rsidRPr="00D91062" w:rsidRDefault="002C1D44" w:rsidP="00954DD1">
            <w:pPr>
              <w:spacing w:before="0" w:after="0"/>
              <w:rPr>
                <w:noProof/>
              </w:rPr>
            </w:pPr>
            <w:r w:rsidRPr="00D91062">
              <w:rPr>
                <w:noProof/>
              </w:rPr>
              <w:t>Comisia</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7063B1F4" w14:textId="77777777" w:rsidR="002C1D44" w:rsidRPr="00D91062" w:rsidRDefault="002C1D44" w:rsidP="00954DD1">
            <w:pPr>
              <w:spacing w:before="0" w:after="0"/>
              <w:rPr>
                <w:noProof/>
              </w:rPr>
            </w:pPr>
            <w:r w:rsidRPr="00D91062">
              <w:rPr>
                <w:noProof/>
              </w:rPr>
              <w:t>Adoptă o decizie motivată privind selectarea solicitanților.</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3BAED2AE" w14:textId="77777777" w:rsidR="002C1D44" w:rsidRPr="00D91062" w:rsidRDefault="002C1D44" w:rsidP="00954DD1">
            <w:pPr>
              <w:spacing w:before="0" w:after="0"/>
              <w:rPr>
                <w:noProof/>
              </w:rPr>
            </w:pPr>
            <w:r w:rsidRPr="00D91062">
              <w:rPr>
                <w:noProof/>
              </w:rPr>
              <w:t xml:space="preserve">Date </w:t>
            </w:r>
          </w:p>
        </w:tc>
      </w:tr>
      <w:tr w:rsidR="002C1D44" w:rsidRPr="00D91062" w14:paraId="7FC7E2E3"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591B5180" w14:textId="77777777" w:rsidR="002C1D44" w:rsidRPr="00D91062" w:rsidRDefault="002C1D44" w:rsidP="00954DD1">
            <w:pPr>
              <w:spacing w:before="0" w:after="0"/>
              <w:rPr>
                <w:noProof/>
              </w:rPr>
            </w:pPr>
            <w:r w:rsidRPr="00D91062">
              <w:rPr>
                <w:noProof/>
              </w:rPr>
              <w:t>Articolul 12 alineatul (1)</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08127664" w14:textId="77777777" w:rsidR="002C1D44" w:rsidRPr="00D91062" w:rsidRDefault="002C1D44" w:rsidP="00954DD1">
            <w:pPr>
              <w:spacing w:before="0" w:after="0"/>
              <w:rPr>
                <w:noProof/>
              </w:rPr>
            </w:pPr>
            <w:r w:rsidRPr="00D91062">
              <w:rPr>
                <w:noProof/>
              </w:rPr>
              <w:t>Clasifică solicitanții eligibili pe baza criteriilor de selecție specificate în cererea de candidaturi.</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47549A77" w14:textId="77777777" w:rsidR="002C1D44" w:rsidRPr="00D91062" w:rsidRDefault="002C1D44" w:rsidP="00954DD1">
            <w:pPr>
              <w:spacing w:before="0" w:after="0"/>
              <w:rPr>
                <w:noProof/>
              </w:rPr>
            </w:pPr>
            <w:r w:rsidRPr="00D91062">
              <w:rPr>
                <w:noProof/>
              </w:rPr>
              <w:t xml:space="preserve">Comisia </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13B6B3A8" w14:textId="77777777" w:rsidR="002C1D44" w:rsidRPr="00D91062" w:rsidRDefault="002C1D44" w:rsidP="00954DD1">
            <w:pPr>
              <w:spacing w:before="0" w:after="0"/>
              <w:rPr>
                <w:noProof/>
              </w:rPr>
            </w:pPr>
            <w:r w:rsidRPr="00D91062">
              <w:rPr>
                <w:noProof/>
              </w:rPr>
              <w:t>Clasamentul solicitanților eligibili.</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6316E123" w14:textId="77777777" w:rsidR="002C1D44" w:rsidRPr="00D91062" w:rsidRDefault="002C1D44" w:rsidP="00954DD1">
            <w:pPr>
              <w:spacing w:before="0" w:after="0"/>
              <w:rPr>
                <w:noProof/>
              </w:rPr>
            </w:pPr>
            <w:r w:rsidRPr="00D91062">
              <w:rPr>
                <w:noProof/>
              </w:rPr>
              <w:t>Date</w:t>
            </w:r>
          </w:p>
        </w:tc>
      </w:tr>
      <w:tr w:rsidR="002C1D44" w:rsidRPr="00D91062" w14:paraId="0F9D9243"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3258233D" w14:textId="77777777" w:rsidR="002C1D44" w:rsidRPr="00D91062" w:rsidRDefault="002C1D44" w:rsidP="00954DD1">
            <w:pPr>
              <w:spacing w:before="0" w:after="0"/>
              <w:rPr>
                <w:noProof/>
              </w:rPr>
            </w:pPr>
            <w:r w:rsidRPr="00D91062">
              <w:rPr>
                <w:noProof/>
              </w:rPr>
              <w:t>Articolul 12 alineatul (2)</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7A4CAFE7" w14:textId="77777777" w:rsidR="002C1D44" w:rsidRPr="00D91062" w:rsidRDefault="002C1D44" w:rsidP="00954DD1">
            <w:pPr>
              <w:spacing w:before="0" w:after="0"/>
              <w:rPr>
                <w:noProof/>
              </w:rPr>
            </w:pPr>
            <w:r w:rsidRPr="00D91062">
              <w:rPr>
                <w:noProof/>
              </w:rPr>
              <w:t>Adoptă o decizie motivată privind selectarea celor mai buni solicitanți pentru sistemele MSS comerciale.</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6B051B77" w14:textId="77777777" w:rsidR="002C1D44" w:rsidRPr="00D91062" w:rsidRDefault="002C1D44" w:rsidP="00954DD1">
            <w:pPr>
              <w:spacing w:before="0" w:after="0"/>
              <w:rPr>
                <w:noProof/>
              </w:rPr>
            </w:pPr>
            <w:r w:rsidRPr="00D91062">
              <w:rPr>
                <w:noProof/>
              </w:rPr>
              <w:t>Comisia</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3DFB8976" w14:textId="77777777" w:rsidR="002C1D44" w:rsidRPr="00D91062" w:rsidRDefault="002C1D44" w:rsidP="00954DD1">
            <w:pPr>
              <w:spacing w:before="0" w:after="0"/>
              <w:rPr>
                <w:noProof/>
              </w:rPr>
            </w:pPr>
            <w:r w:rsidRPr="00D91062">
              <w:rPr>
                <w:noProof/>
              </w:rPr>
              <w:t>Adoptă actul de punere în aplicare</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75D536A0" w14:textId="77777777" w:rsidR="002C1D44" w:rsidRPr="00D91062" w:rsidRDefault="002C1D44" w:rsidP="00954DD1">
            <w:pPr>
              <w:spacing w:before="0" w:after="0"/>
              <w:rPr>
                <w:noProof/>
              </w:rPr>
            </w:pPr>
            <w:r w:rsidRPr="00D91062">
              <w:rPr>
                <w:noProof/>
              </w:rPr>
              <w:t>Date</w:t>
            </w:r>
          </w:p>
        </w:tc>
      </w:tr>
      <w:tr w:rsidR="002C1D44" w:rsidRPr="00D91062" w14:paraId="70DAE1BF"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2B00CAD0" w14:textId="77777777" w:rsidR="002C1D44" w:rsidRPr="00D91062" w:rsidRDefault="002C1D44" w:rsidP="00954DD1">
            <w:pPr>
              <w:spacing w:before="0" w:after="0"/>
              <w:rPr>
                <w:noProof/>
              </w:rPr>
            </w:pPr>
            <w:r w:rsidRPr="00D91062">
              <w:rPr>
                <w:noProof/>
              </w:rPr>
              <w:t>Articolul 13 alineatul (1)</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5871696C" w14:textId="77777777" w:rsidR="002C1D44" w:rsidRPr="00D91062" w:rsidRDefault="002C1D44" w:rsidP="00954DD1">
            <w:pPr>
              <w:spacing w:before="0" w:after="0"/>
              <w:rPr>
                <w:noProof/>
              </w:rPr>
            </w:pPr>
            <w:r w:rsidRPr="00D91062">
              <w:rPr>
                <w:noProof/>
              </w:rPr>
              <w:t>Autorizează utilizarea benzii MSS de 2 GHz de către solicitantul selectat în temeiul articolului 14 alineatul (1) sau al articolului 15 alineatul (1).</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11E6489A" w14:textId="77777777" w:rsidR="002C1D44" w:rsidRPr="00D91062" w:rsidRDefault="002C1D44" w:rsidP="00954DD1">
            <w:pPr>
              <w:spacing w:before="0" w:after="0"/>
              <w:rPr>
                <w:noProof/>
              </w:rPr>
            </w:pPr>
            <w:r w:rsidRPr="00D91062">
              <w:rPr>
                <w:noProof/>
              </w:rPr>
              <w:t>Comisia</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4A7BF2CB" w14:textId="77777777" w:rsidR="002C1D44" w:rsidRPr="00D91062" w:rsidRDefault="002C1D44" w:rsidP="00954DD1">
            <w:pPr>
              <w:spacing w:before="0" w:after="0"/>
              <w:rPr>
                <w:noProof/>
              </w:rPr>
            </w:pPr>
            <w:r w:rsidRPr="00D91062">
              <w:rPr>
                <w:noProof/>
              </w:rPr>
              <w:t>Autorizează utilizarea benzii MSS de 2 GHz de către solicitantul selectat.</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101E2E17" w14:textId="77777777" w:rsidR="002C1D44" w:rsidRPr="00D91062" w:rsidRDefault="002C1D44" w:rsidP="00954DD1">
            <w:pPr>
              <w:spacing w:before="0" w:after="0"/>
              <w:rPr>
                <w:noProof/>
              </w:rPr>
            </w:pPr>
            <w:r w:rsidRPr="00D91062">
              <w:rPr>
                <w:noProof/>
              </w:rPr>
              <w:t>Date</w:t>
            </w:r>
          </w:p>
        </w:tc>
      </w:tr>
      <w:tr w:rsidR="002C1D44" w:rsidRPr="00D91062" w14:paraId="7780B39D"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181361D6" w14:textId="77777777" w:rsidR="002C1D44" w:rsidRPr="00D91062" w:rsidRDefault="002C1D44" w:rsidP="00954DD1">
            <w:pPr>
              <w:spacing w:before="0" w:after="0"/>
              <w:rPr>
                <w:noProof/>
              </w:rPr>
            </w:pPr>
            <w:r w:rsidRPr="00D91062">
              <w:rPr>
                <w:noProof/>
              </w:rPr>
              <w:t>Articolul 14 alineatul (1) litera (l)</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3A9D158D" w14:textId="77777777" w:rsidR="002C1D44" w:rsidRPr="00D91062" w:rsidRDefault="002C1D44" w:rsidP="00954DD1">
            <w:pPr>
              <w:spacing w:before="0" w:after="0"/>
              <w:rPr>
                <w:noProof/>
              </w:rPr>
            </w:pPr>
            <w:r w:rsidRPr="00D91062">
              <w:rPr>
                <w:noProof/>
              </w:rPr>
              <w:t>Furnizează un raport anual care să detalieze stadiul de dezvoltare a sistemului propus.</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37508EA6" w14:textId="77777777" w:rsidR="002C1D44" w:rsidRPr="00D91062" w:rsidRDefault="002C1D44" w:rsidP="00954DD1">
            <w:pPr>
              <w:spacing w:before="0" w:after="0"/>
              <w:jc w:val="left"/>
              <w:rPr>
                <w:noProof/>
              </w:rPr>
            </w:pPr>
            <w:r w:rsidRPr="00D91062">
              <w:rPr>
                <w:noProof/>
              </w:rPr>
              <w:t>Titularul autorizației pentru sistemul MSS/hibrid securizat acordate în temeiul articolului 13 alineatul (1)</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287D5AA3" w14:textId="77777777" w:rsidR="002C1D44" w:rsidRPr="00D91062" w:rsidRDefault="002C1D44" w:rsidP="00954DD1">
            <w:pPr>
              <w:spacing w:before="0" w:after="0"/>
              <w:rPr>
                <w:noProof/>
              </w:rPr>
            </w:pPr>
            <w:r w:rsidRPr="00D91062">
              <w:rPr>
                <w:noProof/>
              </w:rPr>
              <w:t>Prezintă un raport anual.</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6C0ADB01" w14:textId="77777777" w:rsidR="002C1D44" w:rsidRPr="00D91062" w:rsidRDefault="002C1D44" w:rsidP="00954DD1">
            <w:pPr>
              <w:spacing w:before="0" w:after="0"/>
              <w:rPr>
                <w:noProof/>
              </w:rPr>
            </w:pPr>
            <w:r w:rsidRPr="00D91062">
              <w:rPr>
                <w:noProof/>
              </w:rPr>
              <w:t xml:space="preserve">Date </w:t>
            </w:r>
          </w:p>
        </w:tc>
      </w:tr>
      <w:tr w:rsidR="002C1D44" w:rsidRPr="00D91062" w14:paraId="1A2B29AB"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1F7790CA" w14:textId="77777777" w:rsidR="002C1D44" w:rsidRPr="00D91062" w:rsidRDefault="002C1D44" w:rsidP="00954DD1">
            <w:pPr>
              <w:spacing w:before="0" w:after="0"/>
              <w:rPr>
                <w:noProof/>
              </w:rPr>
            </w:pPr>
            <w:r w:rsidRPr="00D91062">
              <w:rPr>
                <w:noProof/>
              </w:rPr>
              <w:t>Articolul 14 alineatul (4) litera (k)</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48FA4782" w14:textId="77777777" w:rsidR="002C1D44" w:rsidRPr="00D91062" w:rsidRDefault="002C1D44" w:rsidP="00954DD1">
            <w:pPr>
              <w:spacing w:before="0" w:after="0"/>
              <w:rPr>
                <w:noProof/>
              </w:rPr>
            </w:pPr>
            <w:r w:rsidRPr="00D91062">
              <w:rPr>
                <w:noProof/>
              </w:rPr>
              <w:t>Furnizează acreditarea de securitate a sistemelor prin satelit în conformitate cu articolul 37 din Regulamentul (UE) 2021/696.</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449633EC" w14:textId="77777777" w:rsidR="002C1D44" w:rsidRPr="00D91062" w:rsidRDefault="002C1D44" w:rsidP="00954DD1">
            <w:pPr>
              <w:spacing w:before="0" w:after="0"/>
              <w:jc w:val="left"/>
              <w:rPr>
                <w:noProof/>
              </w:rPr>
            </w:pPr>
            <w:r w:rsidRPr="00D91062">
              <w:rPr>
                <w:noProof/>
              </w:rPr>
              <w:t>Titularul autorizației pentru sistemul MSS/hibrid securizat acordate în temeiul articolului 11 alineatul (1)</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5152BB93" w14:textId="77777777" w:rsidR="002C1D44" w:rsidRPr="00D91062" w:rsidRDefault="002C1D44" w:rsidP="00954DD1">
            <w:pPr>
              <w:spacing w:before="0" w:after="0"/>
              <w:rPr>
                <w:noProof/>
              </w:rPr>
            </w:pPr>
            <w:r w:rsidRPr="00D91062">
              <w:rPr>
                <w:noProof/>
              </w:rPr>
              <w:t>Furnizează acreditarea de securitate.</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6DF2E43F" w14:textId="77777777" w:rsidR="002C1D44" w:rsidRPr="00D91062" w:rsidRDefault="002C1D44" w:rsidP="00954DD1">
            <w:pPr>
              <w:spacing w:before="0" w:after="0"/>
              <w:rPr>
                <w:noProof/>
              </w:rPr>
            </w:pPr>
            <w:r w:rsidRPr="00D91062">
              <w:rPr>
                <w:noProof/>
              </w:rPr>
              <w:t>Date</w:t>
            </w:r>
          </w:p>
        </w:tc>
      </w:tr>
      <w:tr w:rsidR="002C1D44" w:rsidRPr="00D91062" w14:paraId="6BDE01DD"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04EA4470" w14:textId="77777777" w:rsidR="002C1D44" w:rsidRPr="00D91062" w:rsidRDefault="002C1D44" w:rsidP="00954DD1">
            <w:pPr>
              <w:spacing w:before="0" w:after="0"/>
              <w:rPr>
                <w:noProof/>
              </w:rPr>
            </w:pPr>
            <w:r w:rsidRPr="00D91062">
              <w:rPr>
                <w:noProof/>
              </w:rPr>
              <w:t>Articolul 12 alineatul (3)</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2A5042D2" w14:textId="77777777" w:rsidR="002C1D44" w:rsidRPr="00D91062" w:rsidRDefault="002C1D44" w:rsidP="00954DD1">
            <w:pPr>
              <w:spacing w:before="0" w:after="0"/>
              <w:rPr>
                <w:noProof/>
              </w:rPr>
            </w:pPr>
            <w:r w:rsidRPr="00D91062">
              <w:rPr>
                <w:noProof/>
              </w:rPr>
              <w:t>Definește utilizarea eficientă a blocurilor pereche de 5 MHz în banda MSS de 2 GHz în cadrul mecanismelor detaliate de monitorizare stabilite în conformitate cu articolul 14 alineatul (3).</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64204CBA" w14:textId="77777777" w:rsidR="002C1D44" w:rsidRPr="00D91062" w:rsidRDefault="002C1D44" w:rsidP="00954DD1">
            <w:pPr>
              <w:spacing w:before="0" w:after="0"/>
              <w:rPr>
                <w:noProof/>
              </w:rPr>
            </w:pPr>
            <w:r w:rsidRPr="00D91062">
              <w:rPr>
                <w:noProof/>
              </w:rPr>
              <w:t>Comisia</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462C5EA0" w14:textId="77777777" w:rsidR="002C1D44" w:rsidRPr="00D91062" w:rsidRDefault="002C1D44" w:rsidP="00954DD1">
            <w:pPr>
              <w:spacing w:before="0" w:after="0"/>
              <w:rPr>
                <w:noProof/>
              </w:rPr>
            </w:pPr>
            <w:r w:rsidRPr="00D91062">
              <w:rPr>
                <w:noProof/>
              </w:rPr>
              <w:t>Definește utilizarea eficientă a blocurilor pereche de 5 MHz în banda MSS de 2 GHz.</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2F36FEE9" w14:textId="77777777" w:rsidR="002C1D44" w:rsidRPr="00D91062" w:rsidRDefault="002C1D44" w:rsidP="00954DD1">
            <w:pPr>
              <w:spacing w:before="0" w:after="0"/>
              <w:rPr>
                <w:noProof/>
              </w:rPr>
            </w:pPr>
            <w:r w:rsidRPr="00D91062">
              <w:rPr>
                <w:noProof/>
              </w:rPr>
              <w:t xml:space="preserve">Date </w:t>
            </w:r>
          </w:p>
        </w:tc>
      </w:tr>
      <w:tr w:rsidR="002C1D44" w:rsidRPr="00D91062" w14:paraId="1BC153F7"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3EFA7797" w14:textId="77777777" w:rsidR="002C1D44" w:rsidRPr="00D91062" w:rsidRDefault="002C1D44" w:rsidP="00954DD1">
            <w:pPr>
              <w:spacing w:before="0" w:after="0"/>
              <w:rPr>
                <w:noProof/>
              </w:rPr>
            </w:pPr>
            <w:r w:rsidRPr="00D91062">
              <w:rPr>
                <w:noProof/>
              </w:rPr>
              <w:t xml:space="preserve">Articolul 15 alineatul (1) și </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29CAC2E2" w14:textId="77777777" w:rsidR="002C1D44" w:rsidRPr="00D91062" w:rsidRDefault="002C1D44" w:rsidP="00954DD1">
            <w:pPr>
              <w:spacing w:before="0" w:after="0"/>
              <w:rPr>
                <w:noProof/>
              </w:rPr>
            </w:pPr>
            <w:r w:rsidRPr="00D91062">
              <w:rPr>
                <w:noProof/>
              </w:rPr>
              <w:t>Prezintă un raport anual care să detalieze stadiul de dezvoltare a sistemului propus.</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62A32893" w14:textId="77777777" w:rsidR="002C1D44" w:rsidRPr="00D91062" w:rsidRDefault="002C1D44" w:rsidP="00954DD1">
            <w:pPr>
              <w:spacing w:before="0" w:after="0"/>
              <w:rPr>
                <w:noProof/>
              </w:rPr>
            </w:pPr>
            <w:r w:rsidRPr="00D91062">
              <w:rPr>
                <w:noProof/>
              </w:rPr>
              <w:t>Titularii autorizației pentru sistemul MSS comercial acordate în temeiul articolului 13 alineatul (1)</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28586C64" w14:textId="77777777" w:rsidR="002C1D44" w:rsidRPr="00D91062" w:rsidRDefault="002C1D44" w:rsidP="00954DD1">
            <w:pPr>
              <w:spacing w:before="0" w:after="0"/>
              <w:rPr>
                <w:noProof/>
              </w:rPr>
            </w:pPr>
            <w:r w:rsidRPr="00D91062">
              <w:rPr>
                <w:noProof/>
              </w:rPr>
              <w:t>Prezintă un raport anual.</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6342FBC3" w14:textId="77777777" w:rsidR="002C1D44" w:rsidRPr="00D91062" w:rsidRDefault="002C1D44" w:rsidP="00954DD1">
            <w:pPr>
              <w:spacing w:before="0" w:after="0"/>
              <w:rPr>
                <w:noProof/>
              </w:rPr>
            </w:pPr>
            <w:r w:rsidRPr="00D91062">
              <w:rPr>
                <w:noProof/>
              </w:rPr>
              <w:t>Date</w:t>
            </w:r>
          </w:p>
        </w:tc>
      </w:tr>
      <w:tr w:rsidR="002C1D44" w:rsidRPr="00D91062" w14:paraId="7E3CF7EC" w14:textId="77777777" w:rsidTr="003D07F0">
        <w:trPr>
          <w:trHeight w:val="285"/>
        </w:trPr>
        <w:tc>
          <w:tcPr>
            <w:tcW w:w="1531" w:type="dxa"/>
            <w:tcBorders>
              <w:top w:val="single" w:sz="8" w:space="0" w:color="auto"/>
              <w:left w:val="single" w:sz="8" w:space="0" w:color="auto"/>
              <w:bottom w:val="single" w:sz="8" w:space="0" w:color="auto"/>
              <w:right w:val="single" w:sz="8" w:space="0" w:color="auto"/>
            </w:tcBorders>
            <w:tcMar>
              <w:left w:w="108" w:type="dxa"/>
              <w:right w:w="108" w:type="dxa"/>
            </w:tcMar>
          </w:tcPr>
          <w:p w14:paraId="62BEE253" w14:textId="77777777" w:rsidR="002C1D44" w:rsidRPr="00D91062" w:rsidRDefault="002C1D44" w:rsidP="00954DD1">
            <w:pPr>
              <w:spacing w:before="0" w:after="0"/>
              <w:rPr>
                <w:noProof/>
              </w:rPr>
            </w:pPr>
            <w:r w:rsidRPr="00D91062">
              <w:rPr>
                <w:noProof/>
              </w:rPr>
              <w:t>Articolul 14 alineatul (1)</w:t>
            </w:r>
          </w:p>
        </w:tc>
        <w:tc>
          <w:tcPr>
            <w:tcW w:w="2121" w:type="dxa"/>
            <w:tcBorders>
              <w:top w:val="single" w:sz="8" w:space="0" w:color="auto"/>
              <w:left w:val="single" w:sz="8" w:space="0" w:color="auto"/>
              <w:bottom w:val="single" w:sz="8" w:space="0" w:color="auto"/>
              <w:right w:val="single" w:sz="8" w:space="0" w:color="auto"/>
            </w:tcBorders>
            <w:tcMar>
              <w:left w:w="108" w:type="dxa"/>
              <w:right w:w="108" w:type="dxa"/>
            </w:tcMar>
          </w:tcPr>
          <w:p w14:paraId="4FFD81D0" w14:textId="77777777" w:rsidR="002C1D44" w:rsidRPr="00D91062" w:rsidRDefault="002C1D44" w:rsidP="00954DD1">
            <w:pPr>
              <w:spacing w:before="0" w:after="0"/>
              <w:rPr>
                <w:noProof/>
              </w:rPr>
            </w:pPr>
            <w:r w:rsidRPr="00D91062">
              <w:rPr>
                <w:noProof/>
              </w:rPr>
              <w:t>Determină durata dreptului de utilizare a benzii MSS de 2 GHz în temeiul articolului 14 alineatul (1) și al articolului 15 alineatul (1).</w:t>
            </w:r>
          </w:p>
        </w:tc>
        <w:tc>
          <w:tcPr>
            <w:tcW w:w="2396" w:type="dxa"/>
            <w:tcBorders>
              <w:top w:val="single" w:sz="8" w:space="0" w:color="auto"/>
              <w:left w:val="single" w:sz="8" w:space="0" w:color="auto"/>
              <w:bottom w:val="single" w:sz="8" w:space="0" w:color="auto"/>
              <w:right w:val="single" w:sz="8" w:space="0" w:color="auto"/>
            </w:tcBorders>
            <w:tcMar>
              <w:left w:w="108" w:type="dxa"/>
              <w:right w:w="108" w:type="dxa"/>
            </w:tcMar>
          </w:tcPr>
          <w:p w14:paraId="4B69E579" w14:textId="77777777" w:rsidR="002C1D44" w:rsidRPr="00D91062" w:rsidRDefault="002C1D44" w:rsidP="00954DD1">
            <w:pPr>
              <w:spacing w:before="0" w:after="0"/>
              <w:rPr>
                <w:noProof/>
              </w:rPr>
            </w:pPr>
            <w:r w:rsidRPr="00D91062">
              <w:rPr>
                <w:noProof/>
              </w:rPr>
              <w:t>Comisia</w:t>
            </w:r>
          </w:p>
        </w:tc>
        <w:tc>
          <w:tcPr>
            <w:tcW w:w="1930" w:type="dxa"/>
            <w:tcBorders>
              <w:top w:val="single" w:sz="8" w:space="0" w:color="auto"/>
              <w:left w:val="single" w:sz="8" w:space="0" w:color="auto"/>
              <w:bottom w:val="single" w:sz="8" w:space="0" w:color="auto"/>
              <w:right w:val="single" w:sz="8" w:space="0" w:color="auto"/>
            </w:tcBorders>
            <w:tcMar>
              <w:left w:w="108" w:type="dxa"/>
              <w:right w:w="108" w:type="dxa"/>
            </w:tcMar>
          </w:tcPr>
          <w:p w14:paraId="389535CA" w14:textId="77777777" w:rsidR="002C1D44" w:rsidRPr="00D91062" w:rsidRDefault="002C1D44" w:rsidP="00954DD1">
            <w:pPr>
              <w:spacing w:before="0" w:after="0"/>
              <w:rPr>
                <w:noProof/>
              </w:rPr>
            </w:pPr>
            <w:r w:rsidRPr="00D91062">
              <w:rPr>
                <w:noProof/>
              </w:rPr>
              <w:t>Determină durata dreptului de utilizare a benzii MSS de 2 GHz.</w:t>
            </w:r>
          </w:p>
        </w:tc>
        <w:tc>
          <w:tcPr>
            <w:tcW w:w="1311" w:type="dxa"/>
            <w:tcBorders>
              <w:top w:val="single" w:sz="8" w:space="0" w:color="auto"/>
              <w:left w:val="single" w:sz="8" w:space="0" w:color="auto"/>
              <w:bottom w:val="single" w:sz="8" w:space="0" w:color="auto"/>
              <w:right w:val="single" w:sz="8" w:space="0" w:color="auto"/>
            </w:tcBorders>
            <w:tcMar>
              <w:left w:w="108" w:type="dxa"/>
              <w:right w:w="108" w:type="dxa"/>
            </w:tcMar>
          </w:tcPr>
          <w:p w14:paraId="4F3D5043" w14:textId="77777777" w:rsidR="002C1D44" w:rsidRPr="00D91062" w:rsidRDefault="002C1D44" w:rsidP="00954DD1">
            <w:pPr>
              <w:spacing w:before="0" w:after="0"/>
              <w:rPr>
                <w:noProof/>
              </w:rPr>
            </w:pPr>
            <w:r w:rsidRPr="00D91062">
              <w:rPr>
                <w:noProof/>
              </w:rPr>
              <w:t>Date</w:t>
            </w:r>
          </w:p>
        </w:tc>
      </w:tr>
    </w:tbl>
    <w:tbl>
      <w:tblPr>
        <w:tblStyle w:val="TableGrid"/>
        <w:tblW w:w="0" w:type="auto"/>
        <w:tblLook w:val="04A0" w:firstRow="1" w:lastRow="0" w:firstColumn="1" w:lastColumn="0" w:noHBand="0" w:noVBand="1"/>
      </w:tblPr>
      <w:tblGrid>
        <w:gridCol w:w="1541"/>
        <w:gridCol w:w="2096"/>
        <w:gridCol w:w="2470"/>
        <w:gridCol w:w="1870"/>
        <w:gridCol w:w="1312"/>
      </w:tblGrid>
      <w:tr w:rsidR="002C1D44" w:rsidRPr="00D91062" w14:paraId="1422A869" w14:textId="77777777">
        <w:trPr>
          <w:trHeight w:val="285"/>
        </w:trPr>
        <w:tc>
          <w:tcPr>
            <w:tcW w:w="1541" w:type="dxa"/>
            <w:tcBorders>
              <w:top w:val="single" w:sz="8" w:space="0" w:color="auto"/>
              <w:left w:val="single" w:sz="8" w:space="0" w:color="auto"/>
              <w:bottom w:val="single" w:sz="8" w:space="0" w:color="auto"/>
              <w:right w:val="single" w:sz="8" w:space="0" w:color="auto"/>
            </w:tcBorders>
            <w:tcMar>
              <w:left w:w="108" w:type="dxa"/>
              <w:right w:w="108" w:type="dxa"/>
            </w:tcMar>
          </w:tcPr>
          <w:p w14:paraId="040013EC" w14:textId="77777777" w:rsidR="002C1D44" w:rsidRPr="00D91062" w:rsidRDefault="002C1D44">
            <w:pPr>
              <w:spacing w:before="0" w:after="0"/>
              <w:rPr>
                <w:noProof/>
                <w:szCs w:val="24"/>
              </w:rPr>
            </w:pPr>
            <w:r w:rsidRPr="00D91062">
              <w:rPr>
                <w:noProof/>
              </w:rPr>
              <w:t>Articolul 14 alineatul (4)</w:t>
            </w:r>
          </w:p>
        </w:tc>
        <w:tc>
          <w:tcPr>
            <w:tcW w:w="2096" w:type="dxa"/>
            <w:tcBorders>
              <w:top w:val="single" w:sz="8" w:space="0" w:color="auto"/>
              <w:left w:val="single" w:sz="8" w:space="0" w:color="auto"/>
              <w:bottom w:val="single" w:sz="8" w:space="0" w:color="auto"/>
              <w:right w:val="single" w:sz="8" w:space="0" w:color="auto"/>
            </w:tcBorders>
            <w:tcMar>
              <w:left w:w="108" w:type="dxa"/>
              <w:right w:w="108" w:type="dxa"/>
            </w:tcMar>
          </w:tcPr>
          <w:p w14:paraId="1208E987" w14:textId="77777777" w:rsidR="002C1D44" w:rsidRPr="00D91062" w:rsidRDefault="002C1D44">
            <w:pPr>
              <w:spacing w:before="0" w:after="0"/>
              <w:rPr>
                <w:noProof/>
              </w:rPr>
            </w:pPr>
            <w:r w:rsidRPr="00D91062">
              <w:rPr>
                <w:noProof/>
              </w:rPr>
              <w:t>Decizie de a nu reînnoi drepturile de utilizare</w:t>
            </w:r>
          </w:p>
        </w:tc>
        <w:tc>
          <w:tcPr>
            <w:tcW w:w="2470" w:type="dxa"/>
            <w:tcBorders>
              <w:top w:val="single" w:sz="8" w:space="0" w:color="auto"/>
              <w:left w:val="single" w:sz="8" w:space="0" w:color="auto"/>
              <w:bottom w:val="single" w:sz="8" w:space="0" w:color="auto"/>
              <w:right w:val="single" w:sz="8" w:space="0" w:color="auto"/>
            </w:tcBorders>
            <w:tcMar>
              <w:left w:w="108" w:type="dxa"/>
              <w:right w:w="108" w:type="dxa"/>
            </w:tcMar>
          </w:tcPr>
          <w:p w14:paraId="7AF39AA2" w14:textId="77777777" w:rsidR="002C1D44" w:rsidRPr="00D91062" w:rsidRDefault="002C1D44">
            <w:pPr>
              <w:spacing w:before="0" w:after="0"/>
              <w:rPr>
                <w:noProof/>
                <w:szCs w:val="24"/>
              </w:rPr>
            </w:pPr>
            <w:r w:rsidRPr="00D91062">
              <w:rPr>
                <w:noProof/>
              </w:rPr>
              <w:t>Comisia</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6E803AB3" w14:textId="77777777" w:rsidR="002C1D44" w:rsidRPr="00D91062" w:rsidRDefault="002C1D44">
            <w:pPr>
              <w:spacing w:before="0" w:after="0"/>
              <w:rPr>
                <w:noProof/>
                <w:szCs w:val="24"/>
              </w:rPr>
            </w:pPr>
          </w:p>
        </w:tc>
        <w:tc>
          <w:tcPr>
            <w:tcW w:w="1312" w:type="dxa"/>
            <w:tcBorders>
              <w:top w:val="single" w:sz="8" w:space="0" w:color="auto"/>
              <w:left w:val="single" w:sz="8" w:space="0" w:color="auto"/>
              <w:bottom w:val="single" w:sz="8" w:space="0" w:color="auto"/>
              <w:right w:val="single" w:sz="8" w:space="0" w:color="auto"/>
            </w:tcBorders>
            <w:tcMar>
              <w:left w:w="108" w:type="dxa"/>
              <w:right w:w="108" w:type="dxa"/>
            </w:tcMar>
          </w:tcPr>
          <w:p w14:paraId="4858DCFD" w14:textId="77777777" w:rsidR="002C1D44" w:rsidRPr="00D91062" w:rsidRDefault="002C1D44">
            <w:pPr>
              <w:spacing w:before="0" w:after="0"/>
              <w:rPr>
                <w:noProof/>
                <w:szCs w:val="24"/>
              </w:rPr>
            </w:pPr>
            <w:r w:rsidRPr="00D91062">
              <w:rPr>
                <w:noProof/>
              </w:rPr>
              <w:t>Date</w:t>
            </w:r>
          </w:p>
        </w:tc>
      </w:tr>
    </w:tbl>
    <w:tbl>
      <w:tblPr>
        <w:tblW w:w="0" w:type="auto"/>
        <w:tblLook w:val="04A0" w:firstRow="1" w:lastRow="0" w:firstColumn="1" w:lastColumn="0" w:noHBand="0" w:noVBand="1"/>
      </w:tblPr>
      <w:tblGrid>
        <w:gridCol w:w="1526"/>
        <w:gridCol w:w="2110"/>
        <w:gridCol w:w="2423"/>
        <w:gridCol w:w="1840"/>
        <w:gridCol w:w="1390"/>
      </w:tblGrid>
      <w:tr w:rsidR="009C5FA8" w:rsidRPr="00D91062" w14:paraId="02D382BC" w14:textId="77777777" w:rsidTr="001D061E">
        <w:trPr>
          <w:trHeight w:val="285"/>
        </w:trPr>
        <w:tc>
          <w:tcPr>
            <w:tcW w:w="1526" w:type="dxa"/>
            <w:tcBorders>
              <w:top w:val="single" w:sz="8" w:space="0" w:color="auto"/>
              <w:left w:val="single" w:sz="8" w:space="0" w:color="auto"/>
              <w:bottom w:val="single" w:sz="8" w:space="0" w:color="auto"/>
              <w:right w:val="single" w:sz="8" w:space="0" w:color="auto"/>
            </w:tcBorders>
            <w:tcMar>
              <w:left w:w="108" w:type="dxa"/>
              <w:right w:w="108" w:type="dxa"/>
            </w:tcMar>
          </w:tcPr>
          <w:p w14:paraId="10A37719" w14:textId="77777777" w:rsidR="009C5FA8" w:rsidRPr="00D91062" w:rsidRDefault="009C5FA8" w:rsidP="0081531C">
            <w:pPr>
              <w:spacing w:before="0" w:after="0"/>
              <w:rPr>
                <w:noProof/>
                <w:szCs w:val="24"/>
              </w:rPr>
            </w:pPr>
            <w:r w:rsidRPr="00D91062">
              <w:rPr>
                <w:noProof/>
              </w:rPr>
              <w:t>Articolul 16 alineatul (5)</w:t>
            </w:r>
          </w:p>
        </w:tc>
        <w:tc>
          <w:tcPr>
            <w:tcW w:w="2110" w:type="dxa"/>
            <w:tcBorders>
              <w:top w:val="single" w:sz="8" w:space="0" w:color="auto"/>
              <w:left w:val="single" w:sz="8" w:space="0" w:color="auto"/>
              <w:bottom w:val="single" w:sz="8" w:space="0" w:color="auto"/>
              <w:right w:val="single" w:sz="8" w:space="0" w:color="auto"/>
            </w:tcBorders>
            <w:tcMar>
              <w:left w:w="108" w:type="dxa"/>
              <w:right w:w="108" w:type="dxa"/>
            </w:tcMar>
          </w:tcPr>
          <w:p w14:paraId="6A1CC156" w14:textId="77777777" w:rsidR="009C5FA8" w:rsidRPr="00D91062" w:rsidRDefault="0081531C" w:rsidP="0081531C">
            <w:pPr>
              <w:spacing w:before="0" w:after="0"/>
              <w:ind w:left="-44"/>
              <w:rPr>
                <w:noProof/>
              </w:rPr>
            </w:pPr>
            <w:r w:rsidRPr="00D91062">
              <w:rPr>
                <w:noProof/>
              </w:rPr>
              <w:t>Revizuirea taxelor anuale și unice pentru utilizarea benzii MSS de 2 GHz care să însoțească decizia de reînnoire</w:t>
            </w:r>
          </w:p>
        </w:tc>
        <w:tc>
          <w:tcPr>
            <w:tcW w:w="2423" w:type="dxa"/>
            <w:tcBorders>
              <w:top w:val="single" w:sz="8" w:space="0" w:color="auto"/>
              <w:left w:val="single" w:sz="8" w:space="0" w:color="auto"/>
              <w:bottom w:val="single" w:sz="8" w:space="0" w:color="auto"/>
              <w:right w:val="single" w:sz="8" w:space="0" w:color="auto"/>
            </w:tcBorders>
            <w:tcMar>
              <w:left w:w="108" w:type="dxa"/>
              <w:right w:w="108" w:type="dxa"/>
            </w:tcMar>
          </w:tcPr>
          <w:p w14:paraId="6C31F67A" w14:textId="77777777" w:rsidR="009C5FA8" w:rsidRPr="00D91062" w:rsidRDefault="0081531C" w:rsidP="0081531C">
            <w:pPr>
              <w:spacing w:before="0" w:after="0"/>
              <w:ind w:left="45"/>
              <w:rPr>
                <w:noProof/>
                <w:szCs w:val="24"/>
              </w:rPr>
            </w:pPr>
            <w:r w:rsidRPr="00D91062">
              <w:rPr>
                <w:noProof/>
              </w:rPr>
              <w:t>Comisia</w:t>
            </w:r>
          </w:p>
        </w:tc>
        <w:tc>
          <w:tcPr>
            <w:tcW w:w="1840" w:type="dxa"/>
            <w:tcBorders>
              <w:top w:val="single" w:sz="8" w:space="0" w:color="auto"/>
              <w:left w:val="single" w:sz="8" w:space="0" w:color="auto"/>
              <w:bottom w:val="single" w:sz="8" w:space="0" w:color="auto"/>
              <w:right w:val="single" w:sz="8" w:space="0" w:color="auto"/>
            </w:tcBorders>
            <w:tcMar>
              <w:left w:w="108" w:type="dxa"/>
              <w:right w:w="108" w:type="dxa"/>
            </w:tcMar>
          </w:tcPr>
          <w:p w14:paraId="53C99849" w14:textId="77777777" w:rsidR="009C5FA8" w:rsidRPr="00D91062" w:rsidRDefault="0081531C" w:rsidP="0081531C">
            <w:pPr>
              <w:spacing w:before="0" w:after="0"/>
              <w:rPr>
                <w:noProof/>
                <w:szCs w:val="24"/>
              </w:rPr>
            </w:pPr>
            <w:r w:rsidRPr="00D91062">
              <w:rPr>
                <w:noProof/>
              </w:rPr>
              <w:t>Revizuirea taxelor anuale și unice.</w:t>
            </w:r>
          </w:p>
        </w:tc>
        <w:tc>
          <w:tcPr>
            <w:tcW w:w="1390" w:type="dxa"/>
            <w:tcBorders>
              <w:top w:val="single" w:sz="8" w:space="0" w:color="auto"/>
              <w:left w:val="single" w:sz="8" w:space="0" w:color="auto"/>
              <w:bottom w:val="single" w:sz="8" w:space="0" w:color="auto"/>
              <w:right w:val="single" w:sz="8" w:space="0" w:color="auto"/>
            </w:tcBorders>
            <w:tcMar>
              <w:left w:w="108" w:type="dxa"/>
              <w:right w:w="108" w:type="dxa"/>
            </w:tcMar>
          </w:tcPr>
          <w:p w14:paraId="77E40CFF" w14:textId="77777777" w:rsidR="009C5FA8" w:rsidRPr="00D91062" w:rsidRDefault="0081531C" w:rsidP="0081531C">
            <w:pPr>
              <w:spacing w:before="0" w:after="0"/>
              <w:ind w:left="45"/>
              <w:rPr>
                <w:noProof/>
                <w:szCs w:val="24"/>
              </w:rPr>
            </w:pPr>
            <w:r w:rsidRPr="00D91062">
              <w:rPr>
                <w:noProof/>
              </w:rPr>
              <w:t>Date</w:t>
            </w:r>
          </w:p>
        </w:tc>
      </w:tr>
    </w:tbl>
    <w:tbl>
      <w:tblPr>
        <w:tblStyle w:val="TableGrid"/>
        <w:tblW w:w="0" w:type="auto"/>
        <w:tblLook w:val="04A0" w:firstRow="1" w:lastRow="0" w:firstColumn="1" w:lastColumn="0" w:noHBand="0" w:noVBand="1"/>
      </w:tblPr>
      <w:tblGrid>
        <w:gridCol w:w="1541"/>
        <w:gridCol w:w="2096"/>
        <w:gridCol w:w="2470"/>
        <w:gridCol w:w="1870"/>
        <w:gridCol w:w="1312"/>
      </w:tblGrid>
      <w:tr w:rsidR="002C1D44" w:rsidRPr="00D91062" w14:paraId="13D0EAB4" w14:textId="77777777">
        <w:trPr>
          <w:trHeight w:val="285"/>
        </w:trPr>
        <w:tc>
          <w:tcPr>
            <w:tcW w:w="1541" w:type="dxa"/>
            <w:tcBorders>
              <w:top w:val="single" w:sz="8" w:space="0" w:color="auto"/>
              <w:left w:val="single" w:sz="8" w:space="0" w:color="auto"/>
              <w:bottom w:val="single" w:sz="8" w:space="0" w:color="auto"/>
              <w:right w:val="single" w:sz="8" w:space="0" w:color="auto"/>
            </w:tcBorders>
            <w:tcMar>
              <w:left w:w="108" w:type="dxa"/>
              <w:right w:w="108" w:type="dxa"/>
            </w:tcMar>
          </w:tcPr>
          <w:p w14:paraId="074B0F96" w14:textId="77777777" w:rsidR="002C1D44" w:rsidRPr="00D91062" w:rsidRDefault="002C1D44">
            <w:pPr>
              <w:spacing w:before="0" w:after="0"/>
              <w:rPr>
                <w:noProof/>
                <w:szCs w:val="24"/>
              </w:rPr>
            </w:pPr>
            <w:r w:rsidRPr="00D91062">
              <w:rPr>
                <w:noProof/>
              </w:rPr>
              <w:t>Articolul 17 alineatul (3)</w:t>
            </w:r>
          </w:p>
        </w:tc>
        <w:tc>
          <w:tcPr>
            <w:tcW w:w="2096" w:type="dxa"/>
            <w:tcBorders>
              <w:top w:val="single" w:sz="8" w:space="0" w:color="auto"/>
              <w:left w:val="single" w:sz="8" w:space="0" w:color="auto"/>
              <w:bottom w:val="single" w:sz="8" w:space="0" w:color="auto"/>
              <w:right w:val="single" w:sz="8" w:space="0" w:color="auto"/>
            </w:tcBorders>
            <w:tcMar>
              <w:left w:w="108" w:type="dxa"/>
              <w:right w:w="108" w:type="dxa"/>
            </w:tcMar>
          </w:tcPr>
          <w:p w14:paraId="65A1A431" w14:textId="77777777" w:rsidR="002C1D44" w:rsidRPr="00D91062" w:rsidRDefault="002C1D44">
            <w:pPr>
              <w:spacing w:before="0" w:after="0"/>
              <w:rPr>
                <w:noProof/>
              </w:rPr>
            </w:pPr>
            <w:r w:rsidRPr="00D91062">
              <w:rPr>
                <w:noProof/>
              </w:rPr>
              <w:t>Notificarea intenției de a transfera sau de a închiria drepturi de utilizare a spectrului de frecvențe radio în scopuri comerciale</w:t>
            </w:r>
          </w:p>
        </w:tc>
        <w:tc>
          <w:tcPr>
            <w:tcW w:w="2470" w:type="dxa"/>
            <w:tcBorders>
              <w:top w:val="single" w:sz="8" w:space="0" w:color="auto"/>
              <w:left w:val="single" w:sz="8" w:space="0" w:color="auto"/>
              <w:bottom w:val="single" w:sz="8" w:space="0" w:color="auto"/>
              <w:right w:val="single" w:sz="8" w:space="0" w:color="auto"/>
            </w:tcBorders>
            <w:tcMar>
              <w:left w:w="108" w:type="dxa"/>
              <w:right w:w="108" w:type="dxa"/>
            </w:tcMar>
          </w:tcPr>
          <w:p w14:paraId="0524CD34" w14:textId="77777777" w:rsidR="002C1D44" w:rsidRPr="00D91062" w:rsidRDefault="002C1D44">
            <w:pPr>
              <w:spacing w:before="0" w:after="0"/>
              <w:rPr>
                <w:noProof/>
                <w:szCs w:val="24"/>
              </w:rPr>
            </w:pPr>
            <w:r w:rsidRPr="00D91062">
              <w:rPr>
                <w:noProof/>
              </w:rPr>
              <w:t>Titularul dreptului</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6FE0ED2C" w14:textId="77777777" w:rsidR="002C1D44" w:rsidRPr="00D91062" w:rsidRDefault="002C1D44">
            <w:pPr>
              <w:spacing w:before="0" w:after="0"/>
              <w:rPr>
                <w:noProof/>
                <w:szCs w:val="24"/>
              </w:rPr>
            </w:pPr>
          </w:p>
        </w:tc>
        <w:tc>
          <w:tcPr>
            <w:tcW w:w="1312" w:type="dxa"/>
            <w:tcBorders>
              <w:top w:val="single" w:sz="8" w:space="0" w:color="auto"/>
              <w:left w:val="single" w:sz="8" w:space="0" w:color="auto"/>
              <w:bottom w:val="single" w:sz="8" w:space="0" w:color="auto"/>
              <w:right w:val="single" w:sz="8" w:space="0" w:color="auto"/>
            </w:tcBorders>
            <w:tcMar>
              <w:left w:w="108" w:type="dxa"/>
              <w:right w:w="108" w:type="dxa"/>
            </w:tcMar>
          </w:tcPr>
          <w:p w14:paraId="22F7B469" w14:textId="77777777" w:rsidR="002C1D44" w:rsidRPr="00D91062" w:rsidRDefault="002C1D44">
            <w:pPr>
              <w:spacing w:before="0" w:after="0"/>
              <w:rPr>
                <w:noProof/>
                <w:szCs w:val="24"/>
              </w:rPr>
            </w:pPr>
            <w:r w:rsidRPr="00D91062">
              <w:rPr>
                <w:noProof/>
              </w:rPr>
              <w:t>Date</w:t>
            </w:r>
          </w:p>
        </w:tc>
      </w:tr>
      <w:tr w:rsidR="002C1D44" w:rsidRPr="00D91062" w14:paraId="01BB1280" w14:textId="77777777">
        <w:trPr>
          <w:trHeight w:val="285"/>
        </w:trPr>
        <w:tc>
          <w:tcPr>
            <w:tcW w:w="1541" w:type="dxa"/>
            <w:tcBorders>
              <w:top w:val="single" w:sz="8" w:space="0" w:color="auto"/>
              <w:left w:val="single" w:sz="8" w:space="0" w:color="auto"/>
              <w:bottom w:val="single" w:sz="8" w:space="0" w:color="auto"/>
              <w:right w:val="single" w:sz="8" w:space="0" w:color="auto"/>
            </w:tcBorders>
            <w:tcMar>
              <w:left w:w="108" w:type="dxa"/>
              <w:right w:w="108" w:type="dxa"/>
            </w:tcMar>
          </w:tcPr>
          <w:p w14:paraId="50C8A49A" w14:textId="77777777" w:rsidR="002C1D44" w:rsidRPr="00D91062" w:rsidRDefault="002C1D44">
            <w:pPr>
              <w:spacing w:before="0" w:after="0"/>
              <w:rPr>
                <w:noProof/>
                <w:szCs w:val="24"/>
              </w:rPr>
            </w:pPr>
            <w:r w:rsidRPr="00D91062">
              <w:rPr>
                <w:noProof/>
              </w:rPr>
              <w:t>Articolul 17 alineatul (4)</w:t>
            </w:r>
          </w:p>
        </w:tc>
        <w:tc>
          <w:tcPr>
            <w:tcW w:w="2096" w:type="dxa"/>
            <w:tcBorders>
              <w:top w:val="single" w:sz="8" w:space="0" w:color="auto"/>
              <w:left w:val="single" w:sz="8" w:space="0" w:color="auto"/>
              <w:bottom w:val="single" w:sz="8" w:space="0" w:color="auto"/>
              <w:right w:val="single" w:sz="8" w:space="0" w:color="auto"/>
            </w:tcBorders>
            <w:tcMar>
              <w:left w:w="108" w:type="dxa"/>
              <w:right w:w="108" w:type="dxa"/>
            </w:tcMar>
          </w:tcPr>
          <w:p w14:paraId="3C5F7E0A" w14:textId="77777777" w:rsidR="002C1D44" w:rsidRPr="00D91062" w:rsidRDefault="002C1D44">
            <w:pPr>
              <w:spacing w:before="0" w:after="0"/>
              <w:rPr>
                <w:noProof/>
              </w:rPr>
            </w:pPr>
            <w:r w:rsidRPr="00D91062">
              <w:rPr>
                <w:noProof/>
              </w:rPr>
              <w:t>Autorizarea transferului sau a închirierii drepturilor de utilizare a spectrului de frecvențe radio în scopuri comerciale</w:t>
            </w:r>
          </w:p>
        </w:tc>
        <w:tc>
          <w:tcPr>
            <w:tcW w:w="2470" w:type="dxa"/>
            <w:tcBorders>
              <w:top w:val="single" w:sz="8" w:space="0" w:color="auto"/>
              <w:left w:val="single" w:sz="8" w:space="0" w:color="auto"/>
              <w:bottom w:val="single" w:sz="8" w:space="0" w:color="auto"/>
              <w:right w:val="single" w:sz="8" w:space="0" w:color="auto"/>
            </w:tcBorders>
            <w:tcMar>
              <w:left w:w="108" w:type="dxa"/>
              <w:right w:w="108" w:type="dxa"/>
            </w:tcMar>
          </w:tcPr>
          <w:p w14:paraId="36731429" w14:textId="77777777" w:rsidR="002C1D44" w:rsidRPr="00D91062" w:rsidRDefault="002C1D44">
            <w:pPr>
              <w:spacing w:before="0" w:after="0"/>
              <w:rPr>
                <w:noProof/>
                <w:szCs w:val="24"/>
              </w:rPr>
            </w:pPr>
            <w:r w:rsidRPr="00D91062">
              <w:rPr>
                <w:noProof/>
              </w:rPr>
              <w:t>Comisia</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77D92A27" w14:textId="77777777" w:rsidR="002C1D44" w:rsidRPr="00D91062" w:rsidRDefault="002C1D44">
            <w:pPr>
              <w:spacing w:before="0" w:after="0"/>
              <w:rPr>
                <w:noProof/>
                <w:szCs w:val="24"/>
              </w:rPr>
            </w:pPr>
          </w:p>
        </w:tc>
        <w:tc>
          <w:tcPr>
            <w:tcW w:w="1312" w:type="dxa"/>
            <w:tcBorders>
              <w:top w:val="single" w:sz="8" w:space="0" w:color="auto"/>
              <w:left w:val="single" w:sz="8" w:space="0" w:color="auto"/>
              <w:bottom w:val="single" w:sz="8" w:space="0" w:color="auto"/>
              <w:right w:val="single" w:sz="8" w:space="0" w:color="auto"/>
            </w:tcBorders>
            <w:tcMar>
              <w:left w:w="108" w:type="dxa"/>
              <w:right w:w="108" w:type="dxa"/>
            </w:tcMar>
          </w:tcPr>
          <w:p w14:paraId="61332263" w14:textId="77777777" w:rsidR="002C1D44" w:rsidRPr="00D91062" w:rsidRDefault="002C1D44">
            <w:pPr>
              <w:spacing w:before="0" w:after="0"/>
              <w:rPr>
                <w:noProof/>
                <w:szCs w:val="24"/>
              </w:rPr>
            </w:pPr>
            <w:r w:rsidRPr="00D91062">
              <w:rPr>
                <w:noProof/>
              </w:rPr>
              <w:t>Date</w:t>
            </w:r>
          </w:p>
        </w:tc>
      </w:tr>
      <w:tr w:rsidR="002C1D44" w:rsidRPr="00D91062" w14:paraId="487778E3" w14:textId="77777777">
        <w:trPr>
          <w:trHeight w:val="285"/>
        </w:trPr>
        <w:tc>
          <w:tcPr>
            <w:tcW w:w="1541" w:type="dxa"/>
            <w:tcBorders>
              <w:top w:val="single" w:sz="8" w:space="0" w:color="auto"/>
              <w:left w:val="single" w:sz="8" w:space="0" w:color="auto"/>
              <w:bottom w:val="single" w:sz="8" w:space="0" w:color="auto"/>
              <w:right w:val="single" w:sz="8" w:space="0" w:color="auto"/>
            </w:tcBorders>
            <w:tcMar>
              <w:left w:w="108" w:type="dxa"/>
              <w:right w:w="108" w:type="dxa"/>
            </w:tcMar>
          </w:tcPr>
          <w:p w14:paraId="00C16683" w14:textId="77777777" w:rsidR="002C1D44" w:rsidRPr="00D91062" w:rsidRDefault="002C1D44">
            <w:pPr>
              <w:spacing w:before="0" w:after="0"/>
              <w:rPr>
                <w:noProof/>
                <w:szCs w:val="24"/>
              </w:rPr>
            </w:pPr>
            <w:r w:rsidRPr="00D91062">
              <w:rPr>
                <w:noProof/>
              </w:rPr>
              <w:t>Articolul 17 alineatul (6)</w:t>
            </w:r>
          </w:p>
        </w:tc>
        <w:tc>
          <w:tcPr>
            <w:tcW w:w="2096" w:type="dxa"/>
            <w:tcBorders>
              <w:top w:val="single" w:sz="8" w:space="0" w:color="auto"/>
              <w:left w:val="single" w:sz="8" w:space="0" w:color="auto"/>
              <w:bottom w:val="single" w:sz="8" w:space="0" w:color="auto"/>
              <w:right w:val="single" w:sz="8" w:space="0" w:color="auto"/>
            </w:tcBorders>
            <w:tcMar>
              <w:left w:w="108" w:type="dxa"/>
              <w:right w:w="108" w:type="dxa"/>
            </w:tcMar>
          </w:tcPr>
          <w:p w14:paraId="168650F0" w14:textId="77777777" w:rsidR="002C1D44" w:rsidRPr="00D91062" w:rsidRDefault="002C1D44">
            <w:pPr>
              <w:spacing w:before="0" w:after="0"/>
              <w:rPr>
                <w:noProof/>
              </w:rPr>
            </w:pPr>
            <w:r w:rsidRPr="00D91062">
              <w:rPr>
                <w:noProof/>
              </w:rPr>
              <w:t>Notificarea Comisiei cu privire la acordul privind controlul modificărilor</w:t>
            </w:r>
          </w:p>
        </w:tc>
        <w:tc>
          <w:tcPr>
            <w:tcW w:w="2470" w:type="dxa"/>
            <w:tcBorders>
              <w:top w:val="single" w:sz="8" w:space="0" w:color="auto"/>
              <w:left w:val="single" w:sz="8" w:space="0" w:color="auto"/>
              <w:bottom w:val="single" w:sz="8" w:space="0" w:color="auto"/>
              <w:right w:val="single" w:sz="8" w:space="0" w:color="auto"/>
            </w:tcBorders>
            <w:tcMar>
              <w:left w:w="108" w:type="dxa"/>
              <w:right w:w="108" w:type="dxa"/>
            </w:tcMar>
          </w:tcPr>
          <w:p w14:paraId="39DBCB24" w14:textId="77777777" w:rsidR="002C1D44" w:rsidRPr="00D91062" w:rsidRDefault="002C1D44">
            <w:pPr>
              <w:spacing w:before="0" w:after="0"/>
              <w:rPr>
                <w:noProof/>
                <w:szCs w:val="24"/>
              </w:rPr>
            </w:pPr>
            <w:r w:rsidRPr="00D91062">
              <w:rPr>
                <w:noProof/>
              </w:rPr>
              <w:t>Titularul dreptului</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400D077D" w14:textId="77777777" w:rsidR="002C1D44" w:rsidRPr="00D91062" w:rsidRDefault="002C1D44">
            <w:pPr>
              <w:spacing w:before="0" w:after="0"/>
              <w:rPr>
                <w:noProof/>
                <w:szCs w:val="24"/>
              </w:rPr>
            </w:pPr>
          </w:p>
        </w:tc>
        <w:tc>
          <w:tcPr>
            <w:tcW w:w="1312" w:type="dxa"/>
            <w:tcBorders>
              <w:top w:val="single" w:sz="8" w:space="0" w:color="auto"/>
              <w:left w:val="single" w:sz="8" w:space="0" w:color="auto"/>
              <w:bottom w:val="single" w:sz="8" w:space="0" w:color="auto"/>
              <w:right w:val="single" w:sz="8" w:space="0" w:color="auto"/>
            </w:tcBorders>
            <w:tcMar>
              <w:left w:w="108" w:type="dxa"/>
              <w:right w:w="108" w:type="dxa"/>
            </w:tcMar>
          </w:tcPr>
          <w:p w14:paraId="4EE5298A" w14:textId="77777777" w:rsidR="002C1D44" w:rsidRPr="00D91062" w:rsidRDefault="002C1D44">
            <w:pPr>
              <w:spacing w:before="0" w:after="0"/>
              <w:rPr>
                <w:noProof/>
                <w:szCs w:val="24"/>
              </w:rPr>
            </w:pPr>
            <w:r w:rsidRPr="00D91062">
              <w:rPr>
                <w:noProof/>
              </w:rPr>
              <w:t>Date</w:t>
            </w:r>
          </w:p>
        </w:tc>
      </w:tr>
      <w:tr w:rsidR="002C1D44" w:rsidRPr="00D91062" w14:paraId="4347551F" w14:textId="77777777">
        <w:trPr>
          <w:trHeight w:val="285"/>
        </w:trPr>
        <w:tc>
          <w:tcPr>
            <w:tcW w:w="1541" w:type="dxa"/>
            <w:tcBorders>
              <w:top w:val="single" w:sz="8" w:space="0" w:color="auto"/>
              <w:left w:val="single" w:sz="8" w:space="0" w:color="auto"/>
              <w:bottom w:val="single" w:sz="8" w:space="0" w:color="auto"/>
              <w:right w:val="single" w:sz="8" w:space="0" w:color="auto"/>
            </w:tcBorders>
            <w:tcMar>
              <w:left w:w="108" w:type="dxa"/>
              <w:right w:w="108" w:type="dxa"/>
            </w:tcMar>
          </w:tcPr>
          <w:p w14:paraId="2A656991" w14:textId="77777777" w:rsidR="002C1D44" w:rsidRPr="00D91062" w:rsidRDefault="002C1D44">
            <w:pPr>
              <w:spacing w:before="0" w:after="0"/>
              <w:rPr>
                <w:noProof/>
                <w:szCs w:val="24"/>
              </w:rPr>
            </w:pPr>
            <w:r w:rsidRPr="00D91062">
              <w:rPr>
                <w:noProof/>
              </w:rPr>
              <w:t>Articolul 17 alineatul (6)</w:t>
            </w:r>
          </w:p>
        </w:tc>
        <w:tc>
          <w:tcPr>
            <w:tcW w:w="2096" w:type="dxa"/>
            <w:tcBorders>
              <w:top w:val="single" w:sz="8" w:space="0" w:color="auto"/>
              <w:left w:val="single" w:sz="8" w:space="0" w:color="auto"/>
              <w:bottom w:val="single" w:sz="8" w:space="0" w:color="auto"/>
              <w:right w:val="single" w:sz="8" w:space="0" w:color="auto"/>
            </w:tcBorders>
            <w:tcMar>
              <w:left w:w="108" w:type="dxa"/>
              <w:right w:w="108" w:type="dxa"/>
            </w:tcMar>
          </w:tcPr>
          <w:p w14:paraId="0F8FB5FF" w14:textId="77777777" w:rsidR="002C1D44" w:rsidRPr="00D91062" w:rsidRDefault="002C1D44">
            <w:pPr>
              <w:spacing w:before="0" w:after="0"/>
              <w:rPr>
                <w:noProof/>
              </w:rPr>
            </w:pPr>
            <w:r w:rsidRPr="00D91062">
              <w:rPr>
                <w:noProof/>
              </w:rPr>
              <w:t>Posibilitatea de a retrage dreptul de utilizare</w:t>
            </w:r>
          </w:p>
        </w:tc>
        <w:tc>
          <w:tcPr>
            <w:tcW w:w="2470" w:type="dxa"/>
            <w:tcBorders>
              <w:top w:val="single" w:sz="8" w:space="0" w:color="auto"/>
              <w:left w:val="single" w:sz="8" w:space="0" w:color="auto"/>
              <w:bottom w:val="single" w:sz="8" w:space="0" w:color="auto"/>
              <w:right w:val="single" w:sz="8" w:space="0" w:color="auto"/>
            </w:tcBorders>
            <w:tcMar>
              <w:left w:w="108" w:type="dxa"/>
              <w:right w:w="108" w:type="dxa"/>
            </w:tcMar>
          </w:tcPr>
          <w:p w14:paraId="1745B4B5" w14:textId="77777777" w:rsidR="002C1D44" w:rsidRPr="00D91062" w:rsidRDefault="002C1D44">
            <w:pPr>
              <w:spacing w:before="0" w:after="0"/>
              <w:rPr>
                <w:noProof/>
                <w:szCs w:val="24"/>
              </w:rPr>
            </w:pPr>
            <w:r w:rsidRPr="00D91062">
              <w:rPr>
                <w:noProof/>
              </w:rPr>
              <w:t xml:space="preserve">Comisia </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683238A7" w14:textId="77777777" w:rsidR="002C1D44" w:rsidRPr="00D91062" w:rsidRDefault="002C1D44">
            <w:pPr>
              <w:spacing w:before="0" w:after="0"/>
              <w:rPr>
                <w:noProof/>
                <w:szCs w:val="24"/>
              </w:rPr>
            </w:pPr>
            <w:r w:rsidRPr="00D91062">
              <w:rPr>
                <w:noProof/>
              </w:rPr>
              <w:t>Adoptă actul de punere în aplicare</w:t>
            </w:r>
          </w:p>
        </w:tc>
        <w:tc>
          <w:tcPr>
            <w:tcW w:w="1312" w:type="dxa"/>
            <w:tcBorders>
              <w:top w:val="single" w:sz="8" w:space="0" w:color="auto"/>
              <w:left w:val="single" w:sz="8" w:space="0" w:color="auto"/>
              <w:bottom w:val="single" w:sz="8" w:space="0" w:color="auto"/>
              <w:right w:val="single" w:sz="8" w:space="0" w:color="auto"/>
            </w:tcBorders>
            <w:tcMar>
              <w:left w:w="108" w:type="dxa"/>
              <w:right w:w="108" w:type="dxa"/>
            </w:tcMar>
          </w:tcPr>
          <w:p w14:paraId="69B441A5" w14:textId="77777777" w:rsidR="002C1D44" w:rsidRPr="00D91062" w:rsidRDefault="002C1D44">
            <w:pPr>
              <w:spacing w:before="0" w:after="0"/>
              <w:rPr>
                <w:noProof/>
                <w:szCs w:val="24"/>
              </w:rPr>
            </w:pPr>
            <w:r w:rsidRPr="00D91062">
              <w:rPr>
                <w:noProof/>
              </w:rPr>
              <w:t>Date</w:t>
            </w:r>
          </w:p>
        </w:tc>
      </w:tr>
      <w:tr w:rsidR="002C1D44" w:rsidRPr="00D91062" w14:paraId="69E7C094" w14:textId="77777777">
        <w:trPr>
          <w:trHeight w:val="285"/>
        </w:trPr>
        <w:tc>
          <w:tcPr>
            <w:tcW w:w="1541" w:type="dxa"/>
            <w:tcBorders>
              <w:top w:val="single" w:sz="8" w:space="0" w:color="auto"/>
              <w:left w:val="single" w:sz="8" w:space="0" w:color="auto"/>
              <w:bottom w:val="single" w:sz="8" w:space="0" w:color="auto"/>
              <w:right w:val="single" w:sz="8" w:space="0" w:color="auto"/>
            </w:tcBorders>
            <w:tcMar>
              <w:left w:w="108" w:type="dxa"/>
              <w:right w:w="108" w:type="dxa"/>
            </w:tcMar>
          </w:tcPr>
          <w:p w14:paraId="22995B9B" w14:textId="77777777" w:rsidR="002C1D44" w:rsidRPr="00D91062" w:rsidRDefault="002C1D44">
            <w:pPr>
              <w:spacing w:before="0" w:after="0"/>
              <w:rPr>
                <w:noProof/>
                <w:szCs w:val="24"/>
              </w:rPr>
            </w:pPr>
            <w:r w:rsidRPr="00D91062">
              <w:rPr>
                <w:noProof/>
              </w:rPr>
              <w:t>Articolul 18 alineatul (1)</w:t>
            </w:r>
          </w:p>
        </w:tc>
        <w:tc>
          <w:tcPr>
            <w:tcW w:w="2096" w:type="dxa"/>
            <w:tcBorders>
              <w:top w:val="single" w:sz="8" w:space="0" w:color="auto"/>
              <w:left w:val="single" w:sz="8" w:space="0" w:color="auto"/>
              <w:bottom w:val="single" w:sz="8" w:space="0" w:color="auto"/>
              <w:right w:val="single" w:sz="8" w:space="0" w:color="auto"/>
            </w:tcBorders>
            <w:tcMar>
              <w:left w:w="108" w:type="dxa"/>
              <w:right w:w="108" w:type="dxa"/>
            </w:tcMar>
          </w:tcPr>
          <w:p w14:paraId="705C1EE0" w14:textId="77777777" w:rsidR="002C1D44" w:rsidRPr="00D91062" w:rsidRDefault="002C1D44">
            <w:pPr>
              <w:spacing w:before="0" w:after="0"/>
              <w:rPr>
                <w:noProof/>
              </w:rPr>
            </w:pPr>
            <w:r w:rsidRPr="00D91062">
              <w:rPr>
                <w:noProof/>
              </w:rPr>
              <w:t>Plata contribuțiilor unice</w:t>
            </w:r>
          </w:p>
        </w:tc>
        <w:tc>
          <w:tcPr>
            <w:tcW w:w="2470" w:type="dxa"/>
            <w:tcBorders>
              <w:top w:val="single" w:sz="8" w:space="0" w:color="auto"/>
              <w:left w:val="single" w:sz="8" w:space="0" w:color="auto"/>
              <w:bottom w:val="single" w:sz="8" w:space="0" w:color="auto"/>
              <w:right w:val="single" w:sz="8" w:space="0" w:color="auto"/>
            </w:tcBorders>
            <w:tcMar>
              <w:left w:w="108" w:type="dxa"/>
              <w:right w:w="108" w:type="dxa"/>
            </w:tcMar>
          </w:tcPr>
          <w:p w14:paraId="191961DA" w14:textId="77777777" w:rsidR="002C1D44" w:rsidRPr="00D91062" w:rsidRDefault="002C1D44">
            <w:pPr>
              <w:spacing w:before="0" w:after="0"/>
              <w:rPr>
                <w:noProof/>
                <w:szCs w:val="24"/>
              </w:rPr>
            </w:pPr>
            <w:r w:rsidRPr="00D91062">
              <w:rPr>
                <w:noProof/>
              </w:rPr>
              <w:t>Titularul drepturilor de utilizare</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7DCBA003" w14:textId="77777777" w:rsidR="002C1D44" w:rsidRPr="00D91062" w:rsidRDefault="002C1D44">
            <w:pPr>
              <w:spacing w:before="0" w:after="0"/>
              <w:rPr>
                <w:noProof/>
                <w:szCs w:val="24"/>
              </w:rPr>
            </w:pPr>
          </w:p>
        </w:tc>
        <w:tc>
          <w:tcPr>
            <w:tcW w:w="1312" w:type="dxa"/>
            <w:tcBorders>
              <w:top w:val="single" w:sz="8" w:space="0" w:color="auto"/>
              <w:left w:val="single" w:sz="8" w:space="0" w:color="auto"/>
              <w:bottom w:val="single" w:sz="8" w:space="0" w:color="auto"/>
              <w:right w:val="single" w:sz="8" w:space="0" w:color="auto"/>
            </w:tcBorders>
            <w:tcMar>
              <w:left w:w="108" w:type="dxa"/>
              <w:right w:w="108" w:type="dxa"/>
            </w:tcMar>
          </w:tcPr>
          <w:p w14:paraId="07C69FA9" w14:textId="77777777" w:rsidR="002C1D44" w:rsidRPr="00D91062" w:rsidRDefault="002C1D44">
            <w:pPr>
              <w:spacing w:before="0" w:after="0"/>
              <w:rPr>
                <w:noProof/>
                <w:szCs w:val="24"/>
              </w:rPr>
            </w:pPr>
            <w:r w:rsidRPr="00D91062">
              <w:rPr>
                <w:noProof/>
              </w:rPr>
              <w:t>Date</w:t>
            </w:r>
          </w:p>
        </w:tc>
      </w:tr>
      <w:tr w:rsidR="002C1D44" w:rsidRPr="00D91062" w14:paraId="51952C12" w14:textId="77777777">
        <w:trPr>
          <w:trHeight w:val="285"/>
        </w:trPr>
        <w:tc>
          <w:tcPr>
            <w:tcW w:w="1541" w:type="dxa"/>
            <w:tcBorders>
              <w:top w:val="single" w:sz="8" w:space="0" w:color="auto"/>
              <w:left w:val="single" w:sz="8" w:space="0" w:color="auto"/>
              <w:bottom w:val="single" w:sz="8" w:space="0" w:color="auto"/>
              <w:right w:val="single" w:sz="8" w:space="0" w:color="auto"/>
            </w:tcBorders>
            <w:tcMar>
              <w:left w:w="108" w:type="dxa"/>
              <w:right w:w="108" w:type="dxa"/>
            </w:tcMar>
          </w:tcPr>
          <w:p w14:paraId="7AD3D1B7" w14:textId="77777777" w:rsidR="002C1D44" w:rsidRPr="00D91062" w:rsidRDefault="002C1D44">
            <w:pPr>
              <w:spacing w:before="0" w:after="0"/>
              <w:rPr>
                <w:noProof/>
                <w:szCs w:val="24"/>
              </w:rPr>
            </w:pPr>
            <w:r w:rsidRPr="00D91062">
              <w:rPr>
                <w:noProof/>
              </w:rPr>
              <w:t>Articolul 18 alineatul (2)</w:t>
            </w:r>
          </w:p>
        </w:tc>
        <w:tc>
          <w:tcPr>
            <w:tcW w:w="2096" w:type="dxa"/>
            <w:tcBorders>
              <w:top w:val="single" w:sz="8" w:space="0" w:color="auto"/>
              <w:left w:val="single" w:sz="8" w:space="0" w:color="auto"/>
              <w:bottom w:val="single" w:sz="8" w:space="0" w:color="auto"/>
              <w:right w:val="single" w:sz="8" w:space="0" w:color="auto"/>
            </w:tcBorders>
            <w:tcMar>
              <w:left w:w="108" w:type="dxa"/>
              <w:right w:w="108" w:type="dxa"/>
            </w:tcMar>
          </w:tcPr>
          <w:p w14:paraId="2B216586" w14:textId="77777777" w:rsidR="002C1D44" w:rsidRPr="00D91062" w:rsidRDefault="002C1D44">
            <w:pPr>
              <w:spacing w:before="0" w:after="0"/>
              <w:rPr>
                <w:noProof/>
              </w:rPr>
            </w:pPr>
            <w:r w:rsidRPr="00D91062">
              <w:rPr>
                <w:noProof/>
              </w:rPr>
              <w:t>Stabilirea nivelului minim al contribuției financiare unice</w:t>
            </w:r>
          </w:p>
        </w:tc>
        <w:tc>
          <w:tcPr>
            <w:tcW w:w="2470" w:type="dxa"/>
            <w:tcBorders>
              <w:top w:val="single" w:sz="8" w:space="0" w:color="auto"/>
              <w:left w:val="single" w:sz="8" w:space="0" w:color="auto"/>
              <w:bottom w:val="single" w:sz="8" w:space="0" w:color="auto"/>
              <w:right w:val="single" w:sz="8" w:space="0" w:color="auto"/>
            </w:tcBorders>
            <w:tcMar>
              <w:left w:w="108" w:type="dxa"/>
              <w:right w:w="108" w:type="dxa"/>
            </w:tcMar>
          </w:tcPr>
          <w:p w14:paraId="3B408BE3" w14:textId="77777777" w:rsidR="002C1D44" w:rsidRPr="00D91062" w:rsidRDefault="002C1D44">
            <w:pPr>
              <w:spacing w:before="0" w:after="0"/>
              <w:rPr>
                <w:noProof/>
                <w:szCs w:val="24"/>
              </w:rPr>
            </w:pPr>
            <w:r w:rsidRPr="00D91062">
              <w:rPr>
                <w:noProof/>
              </w:rPr>
              <w:t>Comisia</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364364DF" w14:textId="77777777" w:rsidR="002C1D44" w:rsidRPr="00D91062" w:rsidRDefault="002C1D44">
            <w:pPr>
              <w:spacing w:before="0" w:after="0"/>
              <w:rPr>
                <w:noProof/>
                <w:szCs w:val="24"/>
              </w:rPr>
            </w:pPr>
            <w:r w:rsidRPr="00D91062">
              <w:rPr>
                <w:noProof/>
              </w:rPr>
              <w:t>Adoptă actul de punere în aplicare</w:t>
            </w:r>
          </w:p>
        </w:tc>
        <w:tc>
          <w:tcPr>
            <w:tcW w:w="1312" w:type="dxa"/>
            <w:tcBorders>
              <w:top w:val="single" w:sz="8" w:space="0" w:color="auto"/>
              <w:left w:val="single" w:sz="8" w:space="0" w:color="auto"/>
              <w:bottom w:val="single" w:sz="8" w:space="0" w:color="auto"/>
              <w:right w:val="single" w:sz="8" w:space="0" w:color="auto"/>
            </w:tcBorders>
            <w:tcMar>
              <w:left w:w="108" w:type="dxa"/>
              <w:right w:w="108" w:type="dxa"/>
            </w:tcMar>
          </w:tcPr>
          <w:p w14:paraId="52819DF2" w14:textId="77777777" w:rsidR="002C1D44" w:rsidRPr="00D91062" w:rsidRDefault="002C1D44">
            <w:pPr>
              <w:spacing w:before="0" w:after="0"/>
              <w:rPr>
                <w:noProof/>
                <w:szCs w:val="24"/>
              </w:rPr>
            </w:pPr>
            <w:r w:rsidRPr="00D91062">
              <w:rPr>
                <w:noProof/>
              </w:rPr>
              <w:t>Date</w:t>
            </w:r>
          </w:p>
        </w:tc>
      </w:tr>
      <w:tr w:rsidR="002C1D44" w:rsidRPr="00D91062" w14:paraId="63E6EC0F" w14:textId="77777777">
        <w:trPr>
          <w:trHeight w:val="285"/>
        </w:trPr>
        <w:tc>
          <w:tcPr>
            <w:tcW w:w="1541" w:type="dxa"/>
            <w:tcBorders>
              <w:top w:val="single" w:sz="8" w:space="0" w:color="auto"/>
              <w:left w:val="single" w:sz="8" w:space="0" w:color="auto"/>
              <w:bottom w:val="single" w:sz="8" w:space="0" w:color="auto"/>
              <w:right w:val="single" w:sz="8" w:space="0" w:color="auto"/>
            </w:tcBorders>
            <w:tcMar>
              <w:left w:w="108" w:type="dxa"/>
              <w:right w:w="108" w:type="dxa"/>
            </w:tcMar>
          </w:tcPr>
          <w:p w14:paraId="62C8A29A" w14:textId="77777777" w:rsidR="002C1D44" w:rsidRPr="00D91062" w:rsidRDefault="002C1D44">
            <w:pPr>
              <w:spacing w:before="0" w:after="0"/>
              <w:rPr>
                <w:noProof/>
                <w:szCs w:val="24"/>
              </w:rPr>
            </w:pPr>
            <w:r w:rsidRPr="00D91062">
              <w:rPr>
                <w:noProof/>
              </w:rPr>
              <w:t>Articolul 18 alineatul (3)</w:t>
            </w:r>
          </w:p>
        </w:tc>
        <w:tc>
          <w:tcPr>
            <w:tcW w:w="2096" w:type="dxa"/>
            <w:tcBorders>
              <w:top w:val="single" w:sz="8" w:space="0" w:color="auto"/>
              <w:left w:val="single" w:sz="8" w:space="0" w:color="auto"/>
              <w:bottom w:val="single" w:sz="8" w:space="0" w:color="auto"/>
              <w:right w:val="single" w:sz="8" w:space="0" w:color="auto"/>
            </w:tcBorders>
            <w:tcMar>
              <w:left w:w="108" w:type="dxa"/>
              <w:right w:w="108" w:type="dxa"/>
            </w:tcMar>
          </w:tcPr>
          <w:p w14:paraId="4612D5A5" w14:textId="77777777" w:rsidR="002C1D44" w:rsidRPr="00D91062" w:rsidRDefault="002C1D44">
            <w:pPr>
              <w:spacing w:before="0" w:after="0"/>
              <w:rPr>
                <w:noProof/>
              </w:rPr>
            </w:pPr>
            <w:r w:rsidRPr="00D91062">
              <w:rPr>
                <w:noProof/>
              </w:rPr>
              <w:t>Colectarea contribuțiilor unice</w:t>
            </w:r>
          </w:p>
        </w:tc>
        <w:tc>
          <w:tcPr>
            <w:tcW w:w="2470" w:type="dxa"/>
            <w:tcBorders>
              <w:top w:val="single" w:sz="8" w:space="0" w:color="auto"/>
              <w:left w:val="single" w:sz="8" w:space="0" w:color="auto"/>
              <w:bottom w:val="single" w:sz="8" w:space="0" w:color="auto"/>
              <w:right w:val="single" w:sz="8" w:space="0" w:color="auto"/>
            </w:tcBorders>
            <w:tcMar>
              <w:left w:w="108" w:type="dxa"/>
              <w:right w:w="108" w:type="dxa"/>
            </w:tcMar>
          </w:tcPr>
          <w:p w14:paraId="5B9B03C4" w14:textId="77777777" w:rsidR="002C1D44" w:rsidRPr="00D91062" w:rsidRDefault="002C1D44">
            <w:pPr>
              <w:spacing w:before="0" w:after="0"/>
              <w:rPr>
                <w:noProof/>
                <w:szCs w:val="24"/>
              </w:rPr>
            </w:pPr>
            <w:r w:rsidRPr="00D91062">
              <w:rPr>
                <w:noProof/>
              </w:rPr>
              <w:t>Comisia</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64EC5476" w14:textId="77777777" w:rsidR="002C1D44" w:rsidRPr="00D91062" w:rsidRDefault="002C1D44">
            <w:pPr>
              <w:spacing w:before="0" w:after="0"/>
              <w:rPr>
                <w:noProof/>
                <w:szCs w:val="24"/>
              </w:rPr>
            </w:pPr>
          </w:p>
        </w:tc>
        <w:tc>
          <w:tcPr>
            <w:tcW w:w="1312" w:type="dxa"/>
            <w:tcBorders>
              <w:top w:val="single" w:sz="8" w:space="0" w:color="auto"/>
              <w:left w:val="single" w:sz="8" w:space="0" w:color="auto"/>
              <w:bottom w:val="single" w:sz="8" w:space="0" w:color="auto"/>
              <w:right w:val="single" w:sz="8" w:space="0" w:color="auto"/>
            </w:tcBorders>
            <w:tcMar>
              <w:left w:w="108" w:type="dxa"/>
              <w:right w:w="108" w:type="dxa"/>
            </w:tcMar>
          </w:tcPr>
          <w:p w14:paraId="59712009" w14:textId="77777777" w:rsidR="002C1D44" w:rsidRPr="00D91062" w:rsidRDefault="002C1D44">
            <w:pPr>
              <w:spacing w:before="0" w:after="0"/>
              <w:rPr>
                <w:noProof/>
                <w:szCs w:val="24"/>
              </w:rPr>
            </w:pPr>
            <w:r w:rsidRPr="00D91062">
              <w:rPr>
                <w:noProof/>
              </w:rPr>
              <w:t>Date</w:t>
            </w:r>
          </w:p>
        </w:tc>
      </w:tr>
    </w:tbl>
    <w:tbl>
      <w:tblPr>
        <w:tblW w:w="0" w:type="auto"/>
        <w:tblLook w:val="04A0" w:firstRow="1" w:lastRow="0" w:firstColumn="1" w:lastColumn="0" w:noHBand="0" w:noVBand="1"/>
      </w:tblPr>
      <w:tblGrid>
        <w:gridCol w:w="1541"/>
        <w:gridCol w:w="2096"/>
        <w:gridCol w:w="2470"/>
        <w:gridCol w:w="1870"/>
        <w:gridCol w:w="1312"/>
      </w:tblGrid>
      <w:tr w:rsidR="002C1D44" w:rsidRPr="00D91062" w14:paraId="106E596B" w14:textId="77777777" w:rsidTr="003D07F0">
        <w:trPr>
          <w:trHeight w:val="285"/>
        </w:trPr>
        <w:tc>
          <w:tcPr>
            <w:tcW w:w="1541" w:type="dxa"/>
            <w:tcBorders>
              <w:top w:val="single" w:sz="8" w:space="0" w:color="auto"/>
              <w:left w:val="single" w:sz="8" w:space="0" w:color="auto"/>
              <w:bottom w:val="single" w:sz="8" w:space="0" w:color="auto"/>
              <w:right w:val="single" w:sz="8" w:space="0" w:color="auto"/>
            </w:tcBorders>
            <w:tcMar>
              <w:left w:w="108" w:type="dxa"/>
              <w:right w:w="108" w:type="dxa"/>
            </w:tcMar>
          </w:tcPr>
          <w:p w14:paraId="2CFADFC8" w14:textId="77777777" w:rsidR="002C1D44" w:rsidRPr="00D91062" w:rsidRDefault="002C1D44" w:rsidP="005631C2">
            <w:pPr>
              <w:spacing w:before="0" w:after="0"/>
              <w:rPr>
                <w:noProof/>
                <w:szCs w:val="24"/>
              </w:rPr>
            </w:pPr>
            <w:r w:rsidRPr="00D91062">
              <w:rPr>
                <w:noProof/>
              </w:rPr>
              <w:t>Articolul 18 alineatul (4)</w:t>
            </w:r>
          </w:p>
        </w:tc>
        <w:tc>
          <w:tcPr>
            <w:tcW w:w="2096" w:type="dxa"/>
            <w:tcBorders>
              <w:top w:val="single" w:sz="8" w:space="0" w:color="auto"/>
              <w:left w:val="single" w:sz="8" w:space="0" w:color="auto"/>
              <w:bottom w:val="single" w:sz="8" w:space="0" w:color="auto"/>
              <w:right w:val="single" w:sz="8" w:space="0" w:color="auto"/>
            </w:tcBorders>
            <w:tcMar>
              <w:left w:w="108" w:type="dxa"/>
              <w:right w:w="108" w:type="dxa"/>
            </w:tcMar>
          </w:tcPr>
          <w:p w14:paraId="2F67B773" w14:textId="77777777" w:rsidR="002C1D44" w:rsidRPr="00D91062" w:rsidRDefault="002C1D44" w:rsidP="005631C2">
            <w:pPr>
              <w:spacing w:before="0" w:after="0"/>
              <w:rPr>
                <w:noProof/>
              </w:rPr>
            </w:pPr>
            <w:r w:rsidRPr="00D91062">
              <w:rPr>
                <w:noProof/>
              </w:rPr>
              <w:t>Colectarea taxelor anuale</w:t>
            </w:r>
          </w:p>
        </w:tc>
        <w:tc>
          <w:tcPr>
            <w:tcW w:w="2470" w:type="dxa"/>
            <w:tcBorders>
              <w:top w:val="single" w:sz="8" w:space="0" w:color="auto"/>
              <w:left w:val="single" w:sz="8" w:space="0" w:color="auto"/>
              <w:bottom w:val="single" w:sz="8" w:space="0" w:color="auto"/>
              <w:right w:val="single" w:sz="8" w:space="0" w:color="auto"/>
            </w:tcBorders>
            <w:tcMar>
              <w:left w:w="108" w:type="dxa"/>
              <w:right w:w="108" w:type="dxa"/>
            </w:tcMar>
          </w:tcPr>
          <w:p w14:paraId="38F58EAB" w14:textId="77777777" w:rsidR="002C1D44" w:rsidRPr="00D91062" w:rsidRDefault="002C1D44" w:rsidP="005631C2">
            <w:pPr>
              <w:spacing w:before="0" w:after="0"/>
              <w:rPr>
                <w:noProof/>
                <w:szCs w:val="24"/>
              </w:rPr>
            </w:pPr>
            <w:r w:rsidRPr="00D91062">
              <w:rPr>
                <w:noProof/>
              </w:rPr>
              <w:t xml:space="preserve">Comisia </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3F6F126F" w14:textId="77777777" w:rsidR="002C1D44" w:rsidRPr="00D91062" w:rsidRDefault="002C1D44" w:rsidP="005631C2">
            <w:pPr>
              <w:spacing w:before="0" w:after="0"/>
              <w:rPr>
                <w:noProof/>
                <w:szCs w:val="24"/>
              </w:rPr>
            </w:pPr>
          </w:p>
        </w:tc>
        <w:tc>
          <w:tcPr>
            <w:tcW w:w="1312" w:type="dxa"/>
            <w:tcBorders>
              <w:top w:val="single" w:sz="8" w:space="0" w:color="auto"/>
              <w:left w:val="single" w:sz="8" w:space="0" w:color="auto"/>
              <w:bottom w:val="single" w:sz="8" w:space="0" w:color="auto"/>
              <w:right w:val="single" w:sz="8" w:space="0" w:color="auto"/>
            </w:tcBorders>
            <w:tcMar>
              <w:left w:w="108" w:type="dxa"/>
              <w:right w:w="108" w:type="dxa"/>
            </w:tcMar>
          </w:tcPr>
          <w:p w14:paraId="2322FDC6" w14:textId="77777777" w:rsidR="002C1D44" w:rsidRPr="00D91062" w:rsidRDefault="002C1D44" w:rsidP="005631C2">
            <w:pPr>
              <w:spacing w:before="0" w:after="0"/>
              <w:rPr>
                <w:noProof/>
                <w:szCs w:val="24"/>
              </w:rPr>
            </w:pPr>
            <w:r w:rsidRPr="00D91062">
              <w:rPr>
                <w:noProof/>
              </w:rPr>
              <w:t>Date</w:t>
            </w:r>
          </w:p>
        </w:tc>
      </w:tr>
    </w:tbl>
    <w:tbl>
      <w:tblPr>
        <w:tblStyle w:val="TableGrid"/>
        <w:tblW w:w="0" w:type="auto"/>
        <w:tblLook w:val="04A0" w:firstRow="1" w:lastRow="0" w:firstColumn="1" w:lastColumn="0" w:noHBand="0" w:noVBand="1"/>
      </w:tblPr>
      <w:tblGrid>
        <w:gridCol w:w="1541"/>
        <w:gridCol w:w="2096"/>
        <w:gridCol w:w="2470"/>
        <w:gridCol w:w="1870"/>
        <w:gridCol w:w="1312"/>
      </w:tblGrid>
      <w:tr w:rsidR="002C1D44" w:rsidRPr="00D91062" w14:paraId="7121675A" w14:textId="77777777">
        <w:trPr>
          <w:trHeight w:val="285"/>
        </w:trPr>
        <w:tc>
          <w:tcPr>
            <w:tcW w:w="1541" w:type="dxa"/>
            <w:tcBorders>
              <w:top w:val="single" w:sz="8" w:space="0" w:color="auto"/>
              <w:left w:val="single" w:sz="8" w:space="0" w:color="auto"/>
              <w:bottom w:val="single" w:sz="8" w:space="0" w:color="auto"/>
              <w:right w:val="single" w:sz="8" w:space="0" w:color="auto"/>
            </w:tcBorders>
            <w:tcMar>
              <w:left w:w="108" w:type="dxa"/>
              <w:right w:w="108" w:type="dxa"/>
            </w:tcMar>
          </w:tcPr>
          <w:p w14:paraId="74691218" w14:textId="77777777" w:rsidR="002C1D44" w:rsidRPr="00D91062" w:rsidRDefault="002C1D44">
            <w:pPr>
              <w:spacing w:before="0" w:after="0"/>
              <w:rPr>
                <w:noProof/>
                <w:szCs w:val="24"/>
              </w:rPr>
            </w:pPr>
            <w:r w:rsidRPr="00D91062">
              <w:rPr>
                <w:noProof/>
              </w:rPr>
              <w:t>Articolul 18 alineatul (5)</w:t>
            </w:r>
          </w:p>
        </w:tc>
        <w:tc>
          <w:tcPr>
            <w:tcW w:w="2096" w:type="dxa"/>
            <w:tcBorders>
              <w:top w:val="single" w:sz="8" w:space="0" w:color="auto"/>
              <w:left w:val="single" w:sz="8" w:space="0" w:color="auto"/>
              <w:bottom w:val="single" w:sz="8" w:space="0" w:color="auto"/>
              <w:right w:val="single" w:sz="8" w:space="0" w:color="auto"/>
            </w:tcBorders>
            <w:tcMar>
              <w:left w:w="108" w:type="dxa"/>
              <w:right w:w="108" w:type="dxa"/>
            </w:tcMar>
          </w:tcPr>
          <w:p w14:paraId="7DE813B5" w14:textId="77777777" w:rsidR="002C1D44" w:rsidRPr="00D91062" w:rsidRDefault="002C1D44">
            <w:pPr>
              <w:spacing w:before="0" w:after="0"/>
              <w:rPr>
                <w:noProof/>
              </w:rPr>
            </w:pPr>
            <w:r w:rsidRPr="00D91062">
              <w:rPr>
                <w:noProof/>
              </w:rPr>
              <w:t xml:space="preserve">Stabilește, prin intermediul unui act delegat, metodologia de stabilire a nivelurilor minime ale contribuțiilor unice, taxe anuale. Actul delegat pentru a stabili, de asemenea, tratamentul bugetar al veniturilor și cheltuielilor. </w:t>
            </w:r>
          </w:p>
        </w:tc>
        <w:tc>
          <w:tcPr>
            <w:tcW w:w="2470" w:type="dxa"/>
            <w:tcBorders>
              <w:top w:val="single" w:sz="8" w:space="0" w:color="auto"/>
              <w:left w:val="single" w:sz="8" w:space="0" w:color="auto"/>
              <w:bottom w:val="single" w:sz="8" w:space="0" w:color="auto"/>
              <w:right w:val="single" w:sz="8" w:space="0" w:color="auto"/>
            </w:tcBorders>
            <w:tcMar>
              <w:left w:w="108" w:type="dxa"/>
              <w:right w:w="108" w:type="dxa"/>
            </w:tcMar>
          </w:tcPr>
          <w:p w14:paraId="4B4903A9" w14:textId="77777777" w:rsidR="002C1D44" w:rsidRPr="00D91062" w:rsidRDefault="002C1D44">
            <w:pPr>
              <w:spacing w:before="0" w:after="0"/>
              <w:rPr>
                <w:noProof/>
                <w:szCs w:val="24"/>
              </w:rPr>
            </w:pPr>
            <w:r w:rsidRPr="00D91062">
              <w:rPr>
                <w:noProof/>
              </w:rPr>
              <w:t xml:space="preserve">Comisia </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4B1E3C71" w14:textId="77777777" w:rsidR="002C1D44" w:rsidRPr="00D91062" w:rsidRDefault="002C1D44">
            <w:pPr>
              <w:spacing w:before="0" w:after="0"/>
              <w:rPr>
                <w:noProof/>
                <w:szCs w:val="24"/>
              </w:rPr>
            </w:pPr>
            <w:r w:rsidRPr="00D91062">
              <w:rPr>
                <w:noProof/>
              </w:rPr>
              <w:t>Adoptă actul delegat</w:t>
            </w:r>
          </w:p>
        </w:tc>
        <w:tc>
          <w:tcPr>
            <w:tcW w:w="1312" w:type="dxa"/>
            <w:tcBorders>
              <w:top w:val="single" w:sz="8" w:space="0" w:color="auto"/>
              <w:left w:val="single" w:sz="8" w:space="0" w:color="auto"/>
              <w:bottom w:val="single" w:sz="8" w:space="0" w:color="auto"/>
              <w:right w:val="single" w:sz="8" w:space="0" w:color="auto"/>
            </w:tcBorders>
            <w:tcMar>
              <w:left w:w="108" w:type="dxa"/>
              <w:right w:w="108" w:type="dxa"/>
            </w:tcMar>
          </w:tcPr>
          <w:p w14:paraId="620190EB" w14:textId="77777777" w:rsidR="002C1D44" w:rsidRPr="00D91062" w:rsidRDefault="002C1D44">
            <w:pPr>
              <w:spacing w:before="0" w:after="0"/>
              <w:rPr>
                <w:noProof/>
                <w:szCs w:val="24"/>
              </w:rPr>
            </w:pPr>
            <w:r w:rsidRPr="00D91062">
              <w:rPr>
                <w:noProof/>
              </w:rPr>
              <w:t>Date</w:t>
            </w:r>
          </w:p>
        </w:tc>
      </w:tr>
      <w:tr w:rsidR="002C1D44" w:rsidRPr="00D91062" w14:paraId="4CC4F32F" w14:textId="77777777">
        <w:trPr>
          <w:trHeight w:val="285"/>
        </w:trPr>
        <w:tc>
          <w:tcPr>
            <w:tcW w:w="1541" w:type="dxa"/>
            <w:tcBorders>
              <w:top w:val="single" w:sz="8" w:space="0" w:color="auto"/>
              <w:left w:val="single" w:sz="8" w:space="0" w:color="auto"/>
              <w:bottom w:val="single" w:sz="8" w:space="0" w:color="auto"/>
              <w:right w:val="single" w:sz="8" w:space="0" w:color="auto"/>
            </w:tcBorders>
            <w:tcMar>
              <w:left w:w="108" w:type="dxa"/>
              <w:right w:w="108" w:type="dxa"/>
            </w:tcMar>
          </w:tcPr>
          <w:p w14:paraId="2986DBB0" w14:textId="77777777" w:rsidR="002C1D44" w:rsidRPr="00D91062" w:rsidRDefault="002C1D44">
            <w:pPr>
              <w:spacing w:before="0" w:after="0"/>
              <w:rPr>
                <w:noProof/>
                <w:szCs w:val="24"/>
              </w:rPr>
            </w:pPr>
            <w:r w:rsidRPr="00D91062">
              <w:rPr>
                <w:noProof/>
              </w:rPr>
              <w:t>Articolul 18 alineatul (6)</w:t>
            </w:r>
          </w:p>
        </w:tc>
        <w:tc>
          <w:tcPr>
            <w:tcW w:w="2096" w:type="dxa"/>
            <w:tcBorders>
              <w:top w:val="single" w:sz="8" w:space="0" w:color="auto"/>
              <w:left w:val="single" w:sz="8" w:space="0" w:color="auto"/>
              <w:bottom w:val="single" w:sz="8" w:space="0" w:color="auto"/>
              <w:right w:val="single" w:sz="8" w:space="0" w:color="auto"/>
            </w:tcBorders>
            <w:tcMar>
              <w:left w:w="108" w:type="dxa"/>
              <w:right w:w="108" w:type="dxa"/>
            </w:tcMar>
          </w:tcPr>
          <w:p w14:paraId="35A6A94F" w14:textId="77777777" w:rsidR="002C1D44" w:rsidRPr="00D91062" w:rsidRDefault="002C1D44">
            <w:pPr>
              <w:spacing w:before="0" w:after="0"/>
              <w:rPr>
                <w:noProof/>
              </w:rPr>
            </w:pPr>
            <w:r w:rsidRPr="00D91062">
              <w:rPr>
                <w:noProof/>
              </w:rPr>
              <w:t>Stabilește, prin intermediul unui act de punere în aplicare, nivelul taxei anuale și al contribuțiilor financiare unice</w:t>
            </w:r>
          </w:p>
        </w:tc>
        <w:tc>
          <w:tcPr>
            <w:tcW w:w="2470" w:type="dxa"/>
            <w:tcBorders>
              <w:top w:val="single" w:sz="8" w:space="0" w:color="auto"/>
              <w:left w:val="single" w:sz="8" w:space="0" w:color="auto"/>
              <w:bottom w:val="single" w:sz="8" w:space="0" w:color="auto"/>
              <w:right w:val="single" w:sz="8" w:space="0" w:color="auto"/>
            </w:tcBorders>
            <w:tcMar>
              <w:left w:w="108" w:type="dxa"/>
              <w:right w:w="108" w:type="dxa"/>
            </w:tcMar>
          </w:tcPr>
          <w:p w14:paraId="55BA0248" w14:textId="77777777" w:rsidR="002C1D44" w:rsidRPr="00D91062" w:rsidRDefault="002C1D44">
            <w:pPr>
              <w:spacing w:before="0" w:after="0"/>
              <w:rPr>
                <w:noProof/>
                <w:szCs w:val="24"/>
              </w:rPr>
            </w:pPr>
            <w:r w:rsidRPr="00D91062">
              <w:rPr>
                <w:noProof/>
              </w:rPr>
              <w:t>Comisia</w:t>
            </w:r>
          </w:p>
        </w:tc>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5BF6620A" w14:textId="77777777" w:rsidR="002C1D44" w:rsidRPr="00D91062" w:rsidRDefault="002C1D44">
            <w:pPr>
              <w:spacing w:before="0" w:after="0"/>
              <w:rPr>
                <w:noProof/>
                <w:szCs w:val="24"/>
              </w:rPr>
            </w:pPr>
            <w:r w:rsidRPr="00D91062">
              <w:rPr>
                <w:noProof/>
              </w:rPr>
              <w:t xml:space="preserve">Adoptă actul de punere în aplicare </w:t>
            </w:r>
          </w:p>
        </w:tc>
        <w:tc>
          <w:tcPr>
            <w:tcW w:w="1312" w:type="dxa"/>
            <w:tcBorders>
              <w:top w:val="single" w:sz="8" w:space="0" w:color="auto"/>
              <w:left w:val="single" w:sz="8" w:space="0" w:color="auto"/>
              <w:bottom w:val="single" w:sz="8" w:space="0" w:color="auto"/>
              <w:right w:val="single" w:sz="8" w:space="0" w:color="auto"/>
            </w:tcBorders>
            <w:tcMar>
              <w:left w:w="108" w:type="dxa"/>
              <w:right w:w="108" w:type="dxa"/>
            </w:tcMar>
          </w:tcPr>
          <w:p w14:paraId="161C0A54" w14:textId="77777777" w:rsidR="002C1D44" w:rsidRPr="00D91062" w:rsidRDefault="002C1D44">
            <w:pPr>
              <w:spacing w:before="0" w:after="0"/>
              <w:rPr>
                <w:noProof/>
                <w:szCs w:val="24"/>
              </w:rPr>
            </w:pPr>
            <w:r w:rsidRPr="00D91062">
              <w:rPr>
                <w:noProof/>
              </w:rPr>
              <w:t>Date</w:t>
            </w:r>
          </w:p>
        </w:tc>
      </w:tr>
    </w:tbl>
    <w:tbl>
      <w:tblPr>
        <w:tblW w:w="0" w:type="auto"/>
        <w:tblLook w:val="04A0" w:firstRow="1" w:lastRow="0" w:firstColumn="1" w:lastColumn="0" w:noHBand="0" w:noVBand="1"/>
      </w:tblPr>
      <w:tblGrid>
        <w:gridCol w:w="1963"/>
        <w:gridCol w:w="2035"/>
        <w:gridCol w:w="2510"/>
        <w:gridCol w:w="1697"/>
        <w:gridCol w:w="1084"/>
      </w:tblGrid>
      <w:tr w:rsidR="002C1D44" w:rsidRPr="00D91062" w14:paraId="558A82E1" w14:textId="77777777" w:rsidTr="003D07F0">
        <w:trPr>
          <w:trHeight w:val="285"/>
        </w:trPr>
        <w:tc>
          <w:tcPr>
            <w:tcW w:w="1963" w:type="dxa"/>
            <w:tcBorders>
              <w:top w:val="single" w:sz="8" w:space="0" w:color="auto"/>
              <w:left w:val="single" w:sz="8" w:space="0" w:color="auto"/>
              <w:bottom w:val="single" w:sz="8" w:space="0" w:color="auto"/>
              <w:right w:val="single" w:sz="8" w:space="0" w:color="auto"/>
            </w:tcBorders>
            <w:tcMar>
              <w:left w:w="108" w:type="dxa"/>
              <w:right w:w="108" w:type="dxa"/>
            </w:tcMar>
          </w:tcPr>
          <w:p w14:paraId="3AB23488" w14:textId="77777777" w:rsidR="002C1D44" w:rsidRPr="00D91062" w:rsidRDefault="002C1D44" w:rsidP="005631C2">
            <w:pPr>
              <w:spacing w:before="0" w:after="0"/>
              <w:rPr>
                <w:noProof/>
              </w:rPr>
            </w:pPr>
            <w:r w:rsidRPr="00D91062">
              <w:rPr>
                <w:noProof/>
              </w:rPr>
              <w:t>Articolul 19 alineatul (1)</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tcPr>
          <w:p w14:paraId="619612CE" w14:textId="77777777" w:rsidR="002C1D44" w:rsidRPr="00D91062" w:rsidRDefault="002C1D44" w:rsidP="005631C2">
            <w:pPr>
              <w:spacing w:before="0" w:after="0"/>
              <w:rPr>
                <w:noProof/>
              </w:rPr>
            </w:pPr>
            <w:r w:rsidRPr="00D91062">
              <w:rPr>
                <w:noProof/>
              </w:rPr>
              <w:t>Monitorizează conformitatea titularilor de autorizații ale Uniunii pentru utilizarea benzii MSS de 2 GHz.</w:t>
            </w:r>
          </w:p>
        </w:tc>
        <w:tc>
          <w:tcPr>
            <w:tcW w:w="2510" w:type="dxa"/>
            <w:tcBorders>
              <w:top w:val="single" w:sz="8" w:space="0" w:color="auto"/>
              <w:left w:val="single" w:sz="8" w:space="0" w:color="auto"/>
              <w:bottom w:val="single" w:sz="8" w:space="0" w:color="auto"/>
              <w:right w:val="single" w:sz="8" w:space="0" w:color="auto"/>
            </w:tcBorders>
            <w:tcMar>
              <w:left w:w="108" w:type="dxa"/>
              <w:right w:w="108" w:type="dxa"/>
            </w:tcMar>
          </w:tcPr>
          <w:p w14:paraId="555C5B07" w14:textId="77777777" w:rsidR="002C1D44" w:rsidRPr="00D91062" w:rsidRDefault="002C1D44" w:rsidP="005631C2">
            <w:pPr>
              <w:spacing w:before="0" w:after="0"/>
              <w:rPr>
                <w:noProof/>
              </w:rPr>
            </w:pPr>
            <w:r w:rsidRPr="00D91062">
              <w:rPr>
                <w:noProof/>
              </w:rPr>
              <w:t>Comisia și statele membre</w:t>
            </w:r>
          </w:p>
        </w:tc>
        <w:tc>
          <w:tcPr>
            <w:tcW w:w="1697" w:type="dxa"/>
            <w:tcBorders>
              <w:top w:val="single" w:sz="8" w:space="0" w:color="auto"/>
              <w:left w:val="single" w:sz="8" w:space="0" w:color="auto"/>
              <w:bottom w:val="single" w:sz="8" w:space="0" w:color="auto"/>
              <w:right w:val="single" w:sz="8" w:space="0" w:color="auto"/>
            </w:tcBorders>
            <w:tcMar>
              <w:left w:w="108" w:type="dxa"/>
              <w:right w:w="108" w:type="dxa"/>
            </w:tcMar>
          </w:tcPr>
          <w:p w14:paraId="531CEE7D" w14:textId="77777777" w:rsidR="002C1D44" w:rsidRPr="00D91062" w:rsidRDefault="002C1D44" w:rsidP="005631C2">
            <w:pPr>
              <w:spacing w:before="0" w:after="0"/>
              <w:rPr>
                <w:noProof/>
              </w:rPr>
            </w:pPr>
            <w:r w:rsidRPr="00D91062">
              <w:rPr>
                <w:noProof/>
              </w:rPr>
              <w:t>Monitorizează conformitatea.</w:t>
            </w:r>
          </w:p>
        </w:tc>
        <w:tc>
          <w:tcPr>
            <w:tcW w:w="1084" w:type="dxa"/>
            <w:tcBorders>
              <w:top w:val="single" w:sz="8" w:space="0" w:color="auto"/>
              <w:left w:val="single" w:sz="8" w:space="0" w:color="auto"/>
              <w:bottom w:val="single" w:sz="8" w:space="0" w:color="auto"/>
              <w:right w:val="single" w:sz="8" w:space="0" w:color="auto"/>
            </w:tcBorders>
            <w:tcMar>
              <w:left w:w="108" w:type="dxa"/>
              <w:right w:w="108" w:type="dxa"/>
            </w:tcMar>
          </w:tcPr>
          <w:p w14:paraId="17F60E2D" w14:textId="77777777" w:rsidR="002C1D44" w:rsidRPr="00D91062" w:rsidRDefault="002C1D44" w:rsidP="005631C2">
            <w:pPr>
              <w:spacing w:before="0" w:after="0"/>
              <w:rPr>
                <w:noProof/>
              </w:rPr>
            </w:pPr>
            <w:r w:rsidRPr="00D91062">
              <w:rPr>
                <w:noProof/>
              </w:rPr>
              <w:t>Date</w:t>
            </w:r>
          </w:p>
        </w:tc>
      </w:tr>
      <w:tr w:rsidR="002C1D44" w:rsidRPr="00D91062" w14:paraId="0DFB31A9" w14:textId="77777777" w:rsidTr="003D07F0">
        <w:trPr>
          <w:trHeight w:val="285"/>
        </w:trPr>
        <w:tc>
          <w:tcPr>
            <w:tcW w:w="1963" w:type="dxa"/>
            <w:tcBorders>
              <w:top w:val="single" w:sz="8" w:space="0" w:color="auto"/>
              <w:left w:val="single" w:sz="8" w:space="0" w:color="auto"/>
              <w:bottom w:val="single" w:sz="8" w:space="0" w:color="auto"/>
              <w:right w:val="single" w:sz="8" w:space="0" w:color="auto"/>
            </w:tcBorders>
            <w:tcMar>
              <w:left w:w="108" w:type="dxa"/>
              <w:right w:w="108" w:type="dxa"/>
            </w:tcMar>
          </w:tcPr>
          <w:p w14:paraId="3DCBC3DC" w14:textId="77777777" w:rsidR="002C1D44" w:rsidRPr="00D91062" w:rsidRDefault="002C1D44" w:rsidP="005631C2">
            <w:pPr>
              <w:spacing w:before="0" w:after="0"/>
              <w:rPr>
                <w:noProof/>
              </w:rPr>
            </w:pPr>
            <w:r w:rsidRPr="00D91062">
              <w:rPr>
                <w:noProof/>
              </w:rPr>
              <w:t>Articolul 20 alineatul (2)</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tcPr>
          <w:p w14:paraId="4D25ABC2" w14:textId="77777777" w:rsidR="002C1D44" w:rsidRPr="00D91062" w:rsidRDefault="002C1D44" w:rsidP="005631C2">
            <w:pPr>
              <w:spacing w:before="0" w:after="0"/>
              <w:rPr>
                <w:noProof/>
              </w:rPr>
            </w:pPr>
            <w:r w:rsidRPr="00D91062">
              <w:rPr>
                <w:noProof/>
              </w:rPr>
              <w:t>Ia decizia de a impune condiții de utilizare în comun pentru a permite testarea și utilizarea experimentală a benzii.</w:t>
            </w:r>
          </w:p>
        </w:tc>
        <w:tc>
          <w:tcPr>
            <w:tcW w:w="2510" w:type="dxa"/>
            <w:tcBorders>
              <w:top w:val="single" w:sz="8" w:space="0" w:color="auto"/>
              <w:left w:val="single" w:sz="8" w:space="0" w:color="auto"/>
              <w:bottom w:val="single" w:sz="8" w:space="0" w:color="auto"/>
              <w:right w:val="single" w:sz="8" w:space="0" w:color="auto"/>
            </w:tcBorders>
            <w:tcMar>
              <w:left w:w="108" w:type="dxa"/>
              <w:right w:w="108" w:type="dxa"/>
            </w:tcMar>
          </w:tcPr>
          <w:p w14:paraId="393B0D57" w14:textId="77777777" w:rsidR="002C1D44" w:rsidRPr="00D91062" w:rsidRDefault="002C1D44" w:rsidP="005631C2">
            <w:pPr>
              <w:spacing w:before="0" w:after="0"/>
              <w:rPr>
                <w:noProof/>
              </w:rPr>
            </w:pPr>
            <w:r w:rsidRPr="00D91062">
              <w:rPr>
                <w:noProof/>
              </w:rPr>
              <w:t>Comisia</w:t>
            </w:r>
          </w:p>
        </w:tc>
        <w:tc>
          <w:tcPr>
            <w:tcW w:w="1697" w:type="dxa"/>
            <w:tcBorders>
              <w:top w:val="single" w:sz="8" w:space="0" w:color="auto"/>
              <w:left w:val="single" w:sz="8" w:space="0" w:color="auto"/>
              <w:bottom w:val="single" w:sz="8" w:space="0" w:color="auto"/>
              <w:right w:val="single" w:sz="8" w:space="0" w:color="auto"/>
            </w:tcBorders>
            <w:tcMar>
              <w:left w:w="108" w:type="dxa"/>
              <w:right w:w="108" w:type="dxa"/>
            </w:tcMar>
          </w:tcPr>
          <w:p w14:paraId="297B909C" w14:textId="77777777" w:rsidR="002C1D44" w:rsidRPr="00D91062" w:rsidRDefault="002C1D44" w:rsidP="005631C2">
            <w:pPr>
              <w:spacing w:before="0" w:after="0"/>
              <w:jc w:val="left"/>
              <w:rPr>
                <w:noProof/>
              </w:rPr>
            </w:pPr>
            <w:r w:rsidRPr="00D91062">
              <w:rPr>
                <w:noProof/>
              </w:rPr>
              <w:t>Adoptă o decizie.</w:t>
            </w:r>
          </w:p>
        </w:tc>
        <w:tc>
          <w:tcPr>
            <w:tcW w:w="1084" w:type="dxa"/>
            <w:tcBorders>
              <w:top w:val="single" w:sz="8" w:space="0" w:color="auto"/>
              <w:left w:val="single" w:sz="8" w:space="0" w:color="auto"/>
              <w:bottom w:val="single" w:sz="8" w:space="0" w:color="auto"/>
              <w:right w:val="single" w:sz="8" w:space="0" w:color="auto"/>
            </w:tcBorders>
            <w:tcMar>
              <w:left w:w="108" w:type="dxa"/>
              <w:right w:w="108" w:type="dxa"/>
            </w:tcMar>
          </w:tcPr>
          <w:p w14:paraId="04676786" w14:textId="77777777" w:rsidR="002C1D44" w:rsidRPr="00D91062" w:rsidRDefault="002C1D44" w:rsidP="005631C2">
            <w:pPr>
              <w:spacing w:before="0" w:after="0"/>
              <w:rPr>
                <w:noProof/>
              </w:rPr>
            </w:pPr>
            <w:r w:rsidRPr="00D91062">
              <w:rPr>
                <w:noProof/>
              </w:rPr>
              <w:t>Date</w:t>
            </w:r>
          </w:p>
        </w:tc>
      </w:tr>
      <w:tr w:rsidR="002C1D44" w:rsidRPr="00D91062" w14:paraId="7C60D443" w14:textId="77777777" w:rsidTr="003D07F0">
        <w:trPr>
          <w:trHeight w:val="285"/>
        </w:trPr>
        <w:tc>
          <w:tcPr>
            <w:tcW w:w="1963" w:type="dxa"/>
            <w:tcBorders>
              <w:top w:val="single" w:sz="8" w:space="0" w:color="auto"/>
              <w:left w:val="single" w:sz="8" w:space="0" w:color="auto"/>
              <w:bottom w:val="single" w:sz="8" w:space="0" w:color="auto"/>
              <w:right w:val="single" w:sz="8" w:space="0" w:color="auto"/>
            </w:tcBorders>
            <w:tcMar>
              <w:left w:w="108" w:type="dxa"/>
              <w:right w:w="108" w:type="dxa"/>
            </w:tcMar>
          </w:tcPr>
          <w:p w14:paraId="78ACD9C9" w14:textId="77777777" w:rsidR="002C1D44" w:rsidRPr="00D91062" w:rsidRDefault="002C1D44">
            <w:pPr>
              <w:rPr>
                <w:noProof/>
              </w:rPr>
            </w:pPr>
            <w:r w:rsidRPr="00D91062">
              <w:rPr>
                <w:noProof/>
              </w:rPr>
              <w:t>Articolul 21 alineatul (5)</w:t>
            </w:r>
          </w:p>
        </w:tc>
        <w:tc>
          <w:tcPr>
            <w:tcW w:w="2035" w:type="dxa"/>
            <w:tcBorders>
              <w:top w:val="single" w:sz="8" w:space="0" w:color="auto"/>
              <w:left w:val="single" w:sz="8" w:space="0" w:color="auto"/>
              <w:bottom w:val="single" w:sz="8" w:space="0" w:color="auto"/>
              <w:right w:val="single" w:sz="8" w:space="0" w:color="auto"/>
            </w:tcBorders>
            <w:tcMar>
              <w:left w:w="108" w:type="dxa"/>
              <w:right w:w="108" w:type="dxa"/>
            </w:tcMar>
          </w:tcPr>
          <w:p w14:paraId="1A2BF978" w14:textId="77777777" w:rsidR="002C1D44" w:rsidRPr="00D91062" w:rsidRDefault="002C1D44">
            <w:pPr>
              <w:rPr>
                <w:noProof/>
              </w:rPr>
            </w:pPr>
            <w:r w:rsidRPr="00D91062">
              <w:rPr>
                <w:noProof/>
              </w:rPr>
              <w:t>Notifică un act delegat Parlamentului European și Consiliului.</w:t>
            </w:r>
          </w:p>
        </w:tc>
        <w:tc>
          <w:tcPr>
            <w:tcW w:w="2510" w:type="dxa"/>
            <w:tcBorders>
              <w:top w:val="single" w:sz="8" w:space="0" w:color="auto"/>
              <w:left w:val="single" w:sz="8" w:space="0" w:color="auto"/>
              <w:bottom w:val="single" w:sz="8" w:space="0" w:color="auto"/>
              <w:right w:val="single" w:sz="8" w:space="0" w:color="auto"/>
            </w:tcBorders>
            <w:tcMar>
              <w:left w:w="108" w:type="dxa"/>
              <w:right w:w="108" w:type="dxa"/>
            </w:tcMar>
          </w:tcPr>
          <w:p w14:paraId="240E3767" w14:textId="77777777" w:rsidR="002C1D44" w:rsidRPr="00D91062" w:rsidRDefault="002C1D44">
            <w:pPr>
              <w:rPr>
                <w:noProof/>
              </w:rPr>
            </w:pPr>
            <w:r w:rsidRPr="00D91062">
              <w:rPr>
                <w:noProof/>
              </w:rPr>
              <w:t>Comisia</w:t>
            </w:r>
          </w:p>
        </w:tc>
        <w:tc>
          <w:tcPr>
            <w:tcW w:w="1697" w:type="dxa"/>
            <w:tcBorders>
              <w:top w:val="single" w:sz="8" w:space="0" w:color="auto"/>
              <w:left w:val="single" w:sz="8" w:space="0" w:color="auto"/>
              <w:bottom w:val="single" w:sz="8" w:space="0" w:color="auto"/>
              <w:right w:val="single" w:sz="8" w:space="0" w:color="auto"/>
            </w:tcBorders>
            <w:tcMar>
              <w:left w:w="108" w:type="dxa"/>
              <w:right w:w="108" w:type="dxa"/>
            </w:tcMar>
          </w:tcPr>
          <w:p w14:paraId="507036D8" w14:textId="77777777" w:rsidR="002C1D44" w:rsidRPr="00D91062" w:rsidRDefault="002C1D44" w:rsidP="005631C2">
            <w:pPr>
              <w:jc w:val="left"/>
              <w:rPr>
                <w:noProof/>
              </w:rPr>
            </w:pPr>
            <w:r w:rsidRPr="00D91062">
              <w:rPr>
                <w:noProof/>
              </w:rPr>
              <w:t>Notificare</w:t>
            </w:r>
          </w:p>
        </w:tc>
        <w:tc>
          <w:tcPr>
            <w:tcW w:w="1084" w:type="dxa"/>
            <w:tcBorders>
              <w:top w:val="single" w:sz="8" w:space="0" w:color="auto"/>
              <w:left w:val="single" w:sz="8" w:space="0" w:color="auto"/>
              <w:bottom w:val="single" w:sz="8" w:space="0" w:color="auto"/>
              <w:right w:val="single" w:sz="8" w:space="0" w:color="auto"/>
            </w:tcBorders>
            <w:tcMar>
              <w:left w:w="108" w:type="dxa"/>
              <w:right w:w="108" w:type="dxa"/>
            </w:tcMar>
          </w:tcPr>
          <w:p w14:paraId="7BF4E0CB" w14:textId="77777777" w:rsidR="002C1D44" w:rsidRPr="00D91062" w:rsidRDefault="002C1D44" w:rsidP="005631C2">
            <w:pPr>
              <w:rPr>
                <w:noProof/>
              </w:rPr>
            </w:pPr>
            <w:r w:rsidRPr="00D91062">
              <w:rPr>
                <w:noProof/>
              </w:rPr>
              <w:t>Date</w:t>
            </w:r>
          </w:p>
        </w:tc>
      </w:tr>
    </w:tbl>
    <w:p w14:paraId="29BC0CBF" w14:textId="77777777" w:rsidR="002C1D44" w:rsidRPr="00D91062" w:rsidRDefault="002C1D44" w:rsidP="007A5721">
      <w:pPr>
        <w:pStyle w:val="ManualHeading2"/>
        <w:rPr>
          <w:noProof/>
        </w:rPr>
      </w:pPr>
    </w:p>
    <w:p w14:paraId="2E41BF59" w14:textId="77777777" w:rsidR="00D664CB" w:rsidRPr="00D91062" w:rsidRDefault="00D664CB" w:rsidP="007A5721">
      <w:pPr>
        <w:pStyle w:val="ManualHeading2"/>
        <w:rPr>
          <w:noProof/>
        </w:rPr>
      </w:pPr>
      <w:r w:rsidRPr="00D91062">
        <w:rPr>
          <w:noProof/>
        </w:rPr>
        <w:t>4.2. Date</w:t>
      </w:r>
    </w:p>
    <w:p w14:paraId="2B568982" w14:textId="77777777" w:rsidR="00D664CB" w:rsidRPr="00D91062" w:rsidRDefault="00D664CB" w:rsidP="00D664CB">
      <w:pPr>
        <w:keepNext/>
        <w:rPr>
          <w:rFonts w:eastAsia="Times New Roman"/>
          <w:noProof/>
          <w:color w:val="000000" w:themeColor="text1"/>
        </w:rPr>
      </w:pPr>
      <w:r w:rsidRPr="00D91062">
        <w:rPr>
          <w:i/>
          <w:noProof/>
          <w:color w:val="000000" w:themeColor="text1"/>
        </w:rPr>
        <w:t>Descrierea la nivel înalt a datelor care intră în domeniul de aplicare</w:t>
      </w:r>
    </w:p>
    <w:tbl>
      <w:tblPr>
        <w:tblStyle w:val="TableGrid"/>
        <w:tblW w:w="0" w:type="auto"/>
        <w:tblLook w:val="04A0" w:firstRow="1" w:lastRow="0" w:firstColumn="1" w:lastColumn="0" w:noHBand="0" w:noVBand="1"/>
      </w:tblPr>
      <w:tblGrid>
        <w:gridCol w:w="3506"/>
        <w:gridCol w:w="2654"/>
        <w:gridCol w:w="3129"/>
      </w:tblGrid>
      <w:tr w:rsidR="00FF3D2A" w:rsidRPr="00D91062" w14:paraId="1BACA306" w14:textId="77777777" w:rsidTr="00C87A60">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31E60157" w14:textId="77777777" w:rsidR="00FF3D2A" w:rsidRPr="00D91062" w:rsidRDefault="00FF3D2A" w:rsidP="00BE483E">
            <w:pPr>
              <w:jc w:val="left"/>
              <w:rPr>
                <w:noProof/>
              </w:rPr>
            </w:pPr>
            <w:r w:rsidRPr="00D91062">
              <w:rPr>
                <w:b/>
                <w:noProof/>
              </w:rPr>
              <w:t xml:space="preserve">Tipul de date </w:t>
            </w:r>
          </w:p>
        </w:tc>
        <w:tc>
          <w:tcPr>
            <w:tcW w:w="2671" w:type="dxa"/>
            <w:tcBorders>
              <w:top w:val="single" w:sz="8" w:space="0" w:color="auto"/>
              <w:left w:val="single" w:sz="8" w:space="0" w:color="auto"/>
              <w:bottom w:val="single" w:sz="8" w:space="0" w:color="auto"/>
              <w:right w:val="single" w:sz="8" w:space="0" w:color="auto"/>
            </w:tcBorders>
            <w:tcMar>
              <w:left w:w="108" w:type="dxa"/>
              <w:right w:w="108" w:type="dxa"/>
            </w:tcMar>
          </w:tcPr>
          <w:p w14:paraId="5FCE3A86" w14:textId="77777777" w:rsidR="00FF3D2A" w:rsidRPr="00D91062" w:rsidRDefault="00FF3D2A" w:rsidP="00BE483E">
            <w:pPr>
              <w:jc w:val="left"/>
              <w:rPr>
                <w:noProof/>
              </w:rPr>
            </w:pPr>
            <w:r w:rsidRPr="00D91062">
              <w:rPr>
                <w:b/>
                <w:noProof/>
              </w:rPr>
              <w:t>Trimitere la cerință (cerințe)</w:t>
            </w:r>
          </w:p>
        </w:tc>
        <w:tc>
          <w:tcPr>
            <w:tcW w:w="2856" w:type="dxa"/>
            <w:tcBorders>
              <w:top w:val="single" w:sz="8" w:space="0" w:color="auto"/>
              <w:left w:val="single" w:sz="8" w:space="0" w:color="auto"/>
              <w:bottom w:val="single" w:sz="8" w:space="0" w:color="auto"/>
              <w:right w:val="single" w:sz="8" w:space="0" w:color="auto"/>
            </w:tcBorders>
            <w:tcMar>
              <w:left w:w="108" w:type="dxa"/>
              <w:right w:w="108" w:type="dxa"/>
            </w:tcMar>
          </w:tcPr>
          <w:p w14:paraId="05A8114E" w14:textId="77777777" w:rsidR="00FF3D2A" w:rsidRPr="00D91062" w:rsidRDefault="00FF3D2A" w:rsidP="00BE483E">
            <w:pPr>
              <w:jc w:val="left"/>
              <w:rPr>
                <w:noProof/>
              </w:rPr>
            </w:pPr>
            <w:r w:rsidRPr="00D91062">
              <w:rPr>
                <w:b/>
                <w:noProof/>
              </w:rPr>
              <w:t>Standard și/sau specificație (dacă este cazul)</w:t>
            </w:r>
          </w:p>
        </w:tc>
      </w:tr>
      <w:tr w:rsidR="00FF3D2A" w:rsidRPr="00D91062" w14:paraId="7326A72C" w14:textId="77777777" w:rsidTr="00C87A60">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48F6CDCF" w14:textId="77777777" w:rsidR="00FF3D2A" w:rsidRPr="00D91062" w:rsidRDefault="00FF3D2A" w:rsidP="00BE483E">
            <w:pPr>
              <w:rPr>
                <w:noProof/>
              </w:rPr>
            </w:pPr>
            <w:r w:rsidRPr="00D91062">
              <w:rPr>
                <w:noProof/>
              </w:rPr>
              <w:t>Publicarea cererii de candidaturi și a tuturor deciziilor luate de Comisie pe parcursul etapelor procedurii de selecție comparativă și ale selecției finale a solicitanților în JO al UE.</w:t>
            </w:r>
          </w:p>
        </w:tc>
        <w:tc>
          <w:tcPr>
            <w:tcW w:w="2671" w:type="dxa"/>
            <w:tcBorders>
              <w:top w:val="single" w:sz="8" w:space="0" w:color="auto"/>
              <w:left w:val="single" w:sz="8" w:space="0" w:color="auto"/>
              <w:bottom w:val="single" w:sz="8" w:space="0" w:color="auto"/>
              <w:right w:val="single" w:sz="8" w:space="0" w:color="auto"/>
            </w:tcBorders>
            <w:tcMar>
              <w:left w:w="108" w:type="dxa"/>
              <w:right w:w="108" w:type="dxa"/>
            </w:tcMar>
          </w:tcPr>
          <w:p w14:paraId="3F42539E" w14:textId="77777777" w:rsidR="00FF3D2A" w:rsidRPr="00D91062" w:rsidRDefault="00FF3D2A" w:rsidP="00BE483E">
            <w:pPr>
              <w:jc w:val="left"/>
              <w:rPr>
                <w:noProof/>
              </w:rPr>
            </w:pPr>
            <w:r w:rsidRPr="00D91062">
              <w:rPr>
                <w:noProof/>
              </w:rPr>
              <w:t>Articolul 4 alineatul (4)</w:t>
            </w:r>
          </w:p>
        </w:tc>
        <w:tc>
          <w:tcPr>
            <w:tcW w:w="2856" w:type="dxa"/>
            <w:tcBorders>
              <w:top w:val="single" w:sz="8" w:space="0" w:color="auto"/>
              <w:left w:val="single" w:sz="8" w:space="0" w:color="auto"/>
              <w:bottom w:val="single" w:sz="8" w:space="0" w:color="auto"/>
              <w:right w:val="single" w:sz="8" w:space="0" w:color="auto"/>
            </w:tcBorders>
            <w:tcMar>
              <w:left w:w="108" w:type="dxa"/>
              <w:right w:w="108" w:type="dxa"/>
            </w:tcMar>
          </w:tcPr>
          <w:p w14:paraId="6E8EB0EF" w14:textId="77777777" w:rsidR="00FF3D2A" w:rsidRPr="00D91062" w:rsidRDefault="00FF3D2A" w:rsidP="00BE483E">
            <w:pPr>
              <w:jc w:val="left"/>
              <w:rPr>
                <w:noProof/>
              </w:rPr>
            </w:pPr>
            <w:r w:rsidRPr="00D91062">
              <w:rPr>
                <w:noProof/>
              </w:rPr>
              <w:t>N/A</w:t>
            </w:r>
          </w:p>
        </w:tc>
      </w:tr>
      <w:tr w:rsidR="00FF3D2A" w:rsidRPr="00D91062" w14:paraId="0D1E8269" w14:textId="77777777" w:rsidTr="00C87A60">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2CE847FC" w14:textId="77777777" w:rsidR="00FF3D2A" w:rsidRPr="00D91062" w:rsidRDefault="00FF3D2A" w:rsidP="00BE483E">
            <w:pPr>
              <w:jc w:val="left"/>
              <w:rPr>
                <w:noProof/>
              </w:rPr>
            </w:pPr>
            <w:r w:rsidRPr="00D91062">
              <w:rPr>
                <w:noProof/>
              </w:rPr>
              <w:t>Cereri</w:t>
            </w:r>
          </w:p>
        </w:tc>
        <w:tc>
          <w:tcPr>
            <w:tcW w:w="2671" w:type="dxa"/>
            <w:tcBorders>
              <w:top w:val="single" w:sz="8" w:space="0" w:color="auto"/>
              <w:left w:val="single" w:sz="8" w:space="0" w:color="auto"/>
              <w:bottom w:val="single" w:sz="8" w:space="0" w:color="auto"/>
              <w:right w:val="single" w:sz="8" w:space="0" w:color="auto"/>
            </w:tcBorders>
            <w:tcMar>
              <w:left w:w="108" w:type="dxa"/>
              <w:right w:w="108" w:type="dxa"/>
            </w:tcMar>
          </w:tcPr>
          <w:p w14:paraId="661E51E8" w14:textId="77777777" w:rsidR="00FF3D2A" w:rsidRPr="00D91062" w:rsidRDefault="00FF3D2A" w:rsidP="00BE483E">
            <w:pPr>
              <w:jc w:val="left"/>
              <w:rPr>
                <w:noProof/>
              </w:rPr>
            </w:pPr>
            <w:r w:rsidRPr="00D91062">
              <w:rPr>
                <w:noProof/>
              </w:rPr>
              <w:t>Articolul 5 alineatul (3)</w:t>
            </w:r>
          </w:p>
        </w:tc>
        <w:tc>
          <w:tcPr>
            <w:tcW w:w="2856" w:type="dxa"/>
            <w:tcBorders>
              <w:top w:val="single" w:sz="8" w:space="0" w:color="auto"/>
              <w:left w:val="single" w:sz="8" w:space="0" w:color="auto"/>
              <w:bottom w:val="single" w:sz="8" w:space="0" w:color="auto"/>
              <w:right w:val="single" w:sz="8" w:space="0" w:color="auto"/>
            </w:tcBorders>
            <w:tcMar>
              <w:left w:w="108" w:type="dxa"/>
              <w:right w:w="108" w:type="dxa"/>
            </w:tcMar>
          </w:tcPr>
          <w:p w14:paraId="3439166F" w14:textId="77777777" w:rsidR="00FF3D2A" w:rsidRPr="00D91062" w:rsidRDefault="00FF3D2A" w:rsidP="00BE483E">
            <w:pPr>
              <w:jc w:val="left"/>
              <w:rPr>
                <w:noProof/>
              </w:rPr>
            </w:pPr>
            <w:r w:rsidRPr="00D91062">
              <w:rPr>
                <w:noProof/>
              </w:rPr>
              <w:t>N/A</w:t>
            </w:r>
          </w:p>
        </w:tc>
      </w:tr>
      <w:tr w:rsidR="00FF3D2A" w:rsidRPr="00D91062" w14:paraId="3CB97BBA" w14:textId="77777777" w:rsidTr="00C87A60">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667DA0B4" w14:textId="77777777" w:rsidR="00FF3D2A" w:rsidRPr="00D91062" w:rsidRDefault="00FF3D2A" w:rsidP="00BE483E">
            <w:pPr>
              <w:jc w:val="left"/>
              <w:rPr>
                <w:noProof/>
              </w:rPr>
            </w:pPr>
            <w:r w:rsidRPr="00D91062">
              <w:rPr>
                <w:noProof/>
              </w:rPr>
              <w:t>Informații suplimentare privind îndeplinirea cerințelor de admisibilitate</w:t>
            </w:r>
          </w:p>
        </w:tc>
        <w:tc>
          <w:tcPr>
            <w:tcW w:w="2671" w:type="dxa"/>
            <w:tcBorders>
              <w:top w:val="single" w:sz="8" w:space="0" w:color="auto"/>
              <w:left w:val="single" w:sz="8" w:space="0" w:color="auto"/>
              <w:bottom w:val="single" w:sz="8" w:space="0" w:color="auto"/>
              <w:right w:val="single" w:sz="8" w:space="0" w:color="auto"/>
            </w:tcBorders>
            <w:tcMar>
              <w:left w:w="108" w:type="dxa"/>
              <w:right w:w="108" w:type="dxa"/>
            </w:tcMar>
          </w:tcPr>
          <w:p w14:paraId="7C8AF9D2" w14:textId="77777777" w:rsidR="00FF3D2A" w:rsidRPr="00D91062" w:rsidRDefault="00FF3D2A" w:rsidP="00BE483E">
            <w:pPr>
              <w:jc w:val="left"/>
              <w:rPr>
                <w:noProof/>
              </w:rPr>
            </w:pPr>
            <w:r w:rsidRPr="00D91062">
              <w:rPr>
                <w:noProof/>
              </w:rPr>
              <w:t>Articolul 5 alineatul (4)</w:t>
            </w:r>
          </w:p>
        </w:tc>
        <w:tc>
          <w:tcPr>
            <w:tcW w:w="2856" w:type="dxa"/>
            <w:tcBorders>
              <w:top w:val="single" w:sz="8" w:space="0" w:color="auto"/>
              <w:left w:val="single" w:sz="8" w:space="0" w:color="auto"/>
              <w:bottom w:val="single" w:sz="8" w:space="0" w:color="auto"/>
              <w:right w:val="single" w:sz="8" w:space="0" w:color="auto"/>
            </w:tcBorders>
            <w:tcMar>
              <w:left w:w="108" w:type="dxa"/>
              <w:right w:w="108" w:type="dxa"/>
            </w:tcMar>
          </w:tcPr>
          <w:p w14:paraId="7A9EE4B9" w14:textId="77777777" w:rsidR="00FF3D2A" w:rsidRPr="00D91062" w:rsidRDefault="00FF3D2A" w:rsidP="00BE483E">
            <w:pPr>
              <w:jc w:val="left"/>
              <w:rPr>
                <w:noProof/>
              </w:rPr>
            </w:pPr>
            <w:r w:rsidRPr="00D91062">
              <w:rPr>
                <w:noProof/>
              </w:rPr>
              <w:t>N/A</w:t>
            </w:r>
          </w:p>
        </w:tc>
      </w:tr>
      <w:tr w:rsidR="00FF3D2A" w:rsidRPr="00D91062" w14:paraId="7C5BC589" w14:textId="77777777" w:rsidTr="00C87A60">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32CC656A" w14:textId="77777777" w:rsidR="00FF3D2A" w:rsidRPr="00D91062" w:rsidRDefault="00FF3D2A" w:rsidP="00BE483E">
            <w:pPr>
              <w:jc w:val="left"/>
              <w:rPr>
                <w:noProof/>
              </w:rPr>
            </w:pPr>
            <w:r w:rsidRPr="00D91062">
              <w:rPr>
                <w:noProof/>
              </w:rPr>
              <w:t>Informații privind admisibilitatea cererilor</w:t>
            </w:r>
          </w:p>
        </w:tc>
        <w:tc>
          <w:tcPr>
            <w:tcW w:w="2671" w:type="dxa"/>
            <w:tcBorders>
              <w:top w:val="single" w:sz="8" w:space="0" w:color="auto"/>
              <w:left w:val="single" w:sz="8" w:space="0" w:color="auto"/>
              <w:bottom w:val="single" w:sz="8" w:space="0" w:color="auto"/>
              <w:right w:val="single" w:sz="8" w:space="0" w:color="auto"/>
            </w:tcBorders>
            <w:tcMar>
              <w:left w:w="108" w:type="dxa"/>
              <w:right w:w="108" w:type="dxa"/>
            </w:tcMar>
          </w:tcPr>
          <w:p w14:paraId="665B5AFD" w14:textId="77777777" w:rsidR="00FF3D2A" w:rsidRPr="00D91062" w:rsidRDefault="00FF3D2A" w:rsidP="00BE483E">
            <w:pPr>
              <w:jc w:val="left"/>
              <w:rPr>
                <w:noProof/>
              </w:rPr>
            </w:pPr>
            <w:r w:rsidRPr="00D91062">
              <w:rPr>
                <w:noProof/>
              </w:rPr>
              <w:t>Articolul 5 alineatul (4)</w:t>
            </w:r>
          </w:p>
        </w:tc>
        <w:tc>
          <w:tcPr>
            <w:tcW w:w="2856" w:type="dxa"/>
            <w:tcBorders>
              <w:top w:val="single" w:sz="8" w:space="0" w:color="auto"/>
              <w:left w:val="single" w:sz="8" w:space="0" w:color="auto"/>
              <w:bottom w:val="single" w:sz="8" w:space="0" w:color="auto"/>
              <w:right w:val="single" w:sz="8" w:space="0" w:color="auto"/>
            </w:tcBorders>
            <w:tcMar>
              <w:left w:w="108" w:type="dxa"/>
              <w:right w:w="108" w:type="dxa"/>
            </w:tcMar>
          </w:tcPr>
          <w:p w14:paraId="59BE80B0" w14:textId="77777777" w:rsidR="00FF3D2A" w:rsidRPr="00D91062" w:rsidRDefault="00FF3D2A" w:rsidP="00BE483E">
            <w:pPr>
              <w:jc w:val="left"/>
              <w:rPr>
                <w:noProof/>
              </w:rPr>
            </w:pPr>
            <w:r w:rsidRPr="00D91062">
              <w:rPr>
                <w:noProof/>
              </w:rPr>
              <w:t>N/A</w:t>
            </w:r>
          </w:p>
        </w:tc>
      </w:tr>
      <w:tr w:rsidR="00FF3D2A" w:rsidRPr="00D91062" w14:paraId="524089FC" w14:textId="77777777" w:rsidTr="00C87A60">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67B624A9" w14:textId="77777777" w:rsidR="00FF3D2A" w:rsidRPr="00D91062" w:rsidRDefault="00FF3D2A" w:rsidP="00BE483E">
            <w:pPr>
              <w:jc w:val="left"/>
              <w:rPr>
                <w:noProof/>
              </w:rPr>
            </w:pPr>
            <w:r w:rsidRPr="00D91062">
              <w:rPr>
                <w:noProof/>
              </w:rPr>
              <w:t>Publicarea listei de solicitanți admisibili</w:t>
            </w:r>
          </w:p>
        </w:tc>
        <w:tc>
          <w:tcPr>
            <w:tcW w:w="2671" w:type="dxa"/>
            <w:tcBorders>
              <w:top w:val="single" w:sz="8" w:space="0" w:color="auto"/>
              <w:left w:val="single" w:sz="8" w:space="0" w:color="auto"/>
              <w:bottom w:val="single" w:sz="8" w:space="0" w:color="auto"/>
              <w:right w:val="single" w:sz="8" w:space="0" w:color="auto"/>
            </w:tcBorders>
            <w:tcMar>
              <w:left w:w="108" w:type="dxa"/>
              <w:right w:w="108" w:type="dxa"/>
            </w:tcMar>
          </w:tcPr>
          <w:p w14:paraId="51A94607" w14:textId="77777777" w:rsidR="00FF3D2A" w:rsidRPr="00D91062" w:rsidRDefault="00FF3D2A" w:rsidP="00BE483E">
            <w:pPr>
              <w:jc w:val="left"/>
              <w:rPr>
                <w:noProof/>
              </w:rPr>
            </w:pPr>
            <w:r w:rsidRPr="00D91062">
              <w:rPr>
                <w:noProof/>
              </w:rPr>
              <w:t>Articolul 5 alineatul (4)</w:t>
            </w:r>
          </w:p>
        </w:tc>
        <w:tc>
          <w:tcPr>
            <w:tcW w:w="2856" w:type="dxa"/>
            <w:tcBorders>
              <w:top w:val="single" w:sz="8" w:space="0" w:color="auto"/>
              <w:left w:val="single" w:sz="8" w:space="0" w:color="auto"/>
              <w:bottom w:val="single" w:sz="8" w:space="0" w:color="auto"/>
              <w:right w:val="single" w:sz="8" w:space="0" w:color="auto"/>
            </w:tcBorders>
            <w:tcMar>
              <w:left w:w="108" w:type="dxa"/>
              <w:right w:w="108" w:type="dxa"/>
            </w:tcMar>
          </w:tcPr>
          <w:p w14:paraId="65F06431" w14:textId="77777777" w:rsidR="00FF3D2A" w:rsidRPr="00D91062" w:rsidRDefault="00FF3D2A" w:rsidP="00BE483E">
            <w:pPr>
              <w:jc w:val="left"/>
              <w:rPr>
                <w:noProof/>
              </w:rPr>
            </w:pPr>
            <w:r w:rsidRPr="00D91062">
              <w:rPr>
                <w:noProof/>
              </w:rPr>
              <w:t>N/A</w:t>
            </w:r>
          </w:p>
        </w:tc>
      </w:tr>
      <w:tr w:rsidR="00FF3D2A" w:rsidRPr="00D91062" w14:paraId="23B73124" w14:textId="77777777" w:rsidTr="00C87A60">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10FA6EC1" w14:textId="77777777" w:rsidR="00FF3D2A" w:rsidRPr="00D91062" w:rsidRDefault="00FF3D2A" w:rsidP="00BE483E">
            <w:pPr>
              <w:rPr>
                <w:noProof/>
              </w:rPr>
            </w:pPr>
            <w:r w:rsidRPr="00D91062">
              <w:rPr>
                <w:noProof/>
              </w:rPr>
              <w:t>Date privind respectarea de către solicitanți a cerințelor de admisibilitate pentru sistemul MSS/hibrid securizat</w:t>
            </w:r>
          </w:p>
        </w:tc>
        <w:tc>
          <w:tcPr>
            <w:tcW w:w="2671" w:type="dxa"/>
            <w:tcBorders>
              <w:top w:val="single" w:sz="8" w:space="0" w:color="auto"/>
              <w:left w:val="single" w:sz="8" w:space="0" w:color="auto"/>
              <w:bottom w:val="single" w:sz="8" w:space="0" w:color="auto"/>
              <w:right w:val="single" w:sz="8" w:space="0" w:color="auto"/>
            </w:tcBorders>
            <w:tcMar>
              <w:left w:w="108" w:type="dxa"/>
              <w:right w:w="108" w:type="dxa"/>
            </w:tcMar>
          </w:tcPr>
          <w:p w14:paraId="72778C4C" w14:textId="77777777" w:rsidR="00FF3D2A" w:rsidRPr="00D91062" w:rsidRDefault="00FF3D2A" w:rsidP="00BE483E">
            <w:pPr>
              <w:jc w:val="left"/>
              <w:rPr>
                <w:noProof/>
              </w:rPr>
            </w:pPr>
            <w:r w:rsidRPr="00D91062">
              <w:rPr>
                <w:noProof/>
              </w:rPr>
              <w:t>Articolul 6 alineatul (1)</w:t>
            </w:r>
          </w:p>
        </w:tc>
        <w:tc>
          <w:tcPr>
            <w:tcW w:w="2856" w:type="dxa"/>
            <w:tcBorders>
              <w:top w:val="single" w:sz="8" w:space="0" w:color="auto"/>
              <w:left w:val="single" w:sz="8" w:space="0" w:color="auto"/>
              <w:bottom w:val="single" w:sz="8" w:space="0" w:color="auto"/>
              <w:right w:val="single" w:sz="8" w:space="0" w:color="auto"/>
            </w:tcBorders>
            <w:tcMar>
              <w:left w:w="108" w:type="dxa"/>
              <w:right w:w="108" w:type="dxa"/>
            </w:tcMar>
          </w:tcPr>
          <w:p w14:paraId="6F4E2390" w14:textId="77777777" w:rsidR="00FF3D2A" w:rsidRPr="00D91062" w:rsidRDefault="00FF3D2A" w:rsidP="00BE483E">
            <w:pPr>
              <w:jc w:val="left"/>
              <w:rPr>
                <w:noProof/>
              </w:rPr>
            </w:pPr>
            <w:r w:rsidRPr="00D91062">
              <w:rPr>
                <w:noProof/>
              </w:rPr>
              <w:t>N/A</w:t>
            </w:r>
          </w:p>
        </w:tc>
      </w:tr>
      <w:tr w:rsidR="00FF3D2A" w:rsidRPr="00D91062" w14:paraId="00FF3FDC" w14:textId="77777777" w:rsidTr="00C87A60">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45E50639" w14:textId="77777777" w:rsidR="00FF3D2A" w:rsidRPr="00D91062" w:rsidRDefault="00FF3D2A" w:rsidP="00BE483E">
            <w:pPr>
              <w:rPr>
                <w:noProof/>
              </w:rPr>
            </w:pPr>
            <w:r w:rsidRPr="00D91062">
              <w:rPr>
                <w:noProof/>
              </w:rPr>
              <w:t>Date privind respectarea de către solicitanți a cerințelor de admisibilitate pentru sistemele MSS comerciale ale întreprinderii nou-intrate din Uniune</w:t>
            </w:r>
          </w:p>
        </w:tc>
        <w:tc>
          <w:tcPr>
            <w:tcW w:w="2671" w:type="dxa"/>
            <w:tcBorders>
              <w:top w:val="single" w:sz="8" w:space="0" w:color="auto"/>
              <w:left w:val="single" w:sz="8" w:space="0" w:color="auto"/>
              <w:bottom w:val="single" w:sz="8" w:space="0" w:color="auto"/>
              <w:right w:val="single" w:sz="8" w:space="0" w:color="auto"/>
            </w:tcBorders>
            <w:tcMar>
              <w:left w:w="108" w:type="dxa"/>
              <w:right w:w="108" w:type="dxa"/>
            </w:tcMar>
          </w:tcPr>
          <w:p w14:paraId="7E2C91DE" w14:textId="77777777" w:rsidR="00FF3D2A" w:rsidRPr="00D91062" w:rsidRDefault="00FF3D2A" w:rsidP="00BE483E">
            <w:pPr>
              <w:jc w:val="left"/>
              <w:rPr>
                <w:noProof/>
              </w:rPr>
            </w:pPr>
            <w:r w:rsidRPr="00D91062">
              <w:rPr>
                <w:noProof/>
              </w:rPr>
              <w:t>Articolul 9 alineatul (1)</w:t>
            </w:r>
          </w:p>
        </w:tc>
        <w:tc>
          <w:tcPr>
            <w:tcW w:w="2856" w:type="dxa"/>
            <w:tcBorders>
              <w:top w:val="single" w:sz="8" w:space="0" w:color="auto"/>
              <w:left w:val="single" w:sz="8" w:space="0" w:color="auto"/>
              <w:bottom w:val="single" w:sz="8" w:space="0" w:color="auto"/>
              <w:right w:val="single" w:sz="8" w:space="0" w:color="auto"/>
            </w:tcBorders>
            <w:tcMar>
              <w:left w:w="108" w:type="dxa"/>
              <w:right w:w="108" w:type="dxa"/>
            </w:tcMar>
          </w:tcPr>
          <w:p w14:paraId="0EE4F7B3" w14:textId="77777777" w:rsidR="00FF3D2A" w:rsidRPr="00D91062" w:rsidRDefault="00FF3D2A" w:rsidP="00BE483E">
            <w:pPr>
              <w:jc w:val="left"/>
              <w:rPr>
                <w:noProof/>
              </w:rPr>
            </w:pPr>
            <w:r w:rsidRPr="00D91062">
              <w:rPr>
                <w:noProof/>
              </w:rPr>
              <w:t>N/A</w:t>
            </w:r>
          </w:p>
        </w:tc>
      </w:tr>
      <w:tr w:rsidR="00FF3D2A" w:rsidRPr="00D91062" w14:paraId="1C98FA30" w14:textId="77777777" w:rsidTr="00C87A60">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5B418661" w14:textId="77777777" w:rsidR="00FF3D2A" w:rsidRPr="00D91062" w:rsidRDefault="00FF3D2A" w:rsidP="00BE483E">
            <w:pPr>
              <w:jc w:val="left"/>
              <w:rPr>
                <w:noProof/>
              </w:rPr>
            </w:pPr>
            <w:r w:rsidRPr="00D91062">
              <w:rPr>
                <w:noProof/>
              </w:rPr>
              <w:t xml:space="preserve">Date privind respectarea de către solicitanți a cerințelor de admisibilitate pentru alte sisteme MSS comerciale </w:t>
            </w:r>
          </w:p>
        </w:tc>
        <w:tc>
          <w:tcPr>
            <w:tcW w:w="2671" w:type="dxa"/>
            <w:tcBorders>
              <w:top w:val="single" w:sz="8" w:space="0" w:color="auto"/>
              <w:left w:val="single" w:sz="8" w:space="0" w:color="auto"/>
              <w:bottom w:val="single" w:sz="8" w:space="0" w:color="auto"/>
              <w:right w:val="single" w:sz="8" w:space="0" w:color="auto"/>
            </w:tcBorders>
            <w:tcMar>
              <w:left w:w="108" w:type="dxa"/>
              <w:right w:w="108" w:type="dxa"/>
            </w:tcMar>
          </w:tcPr>
          <w:p w14:paraId="7BCD1E90" w14:textId="77777777" w:rsidR="00FF3D2A" w:rsidRPr="00D91062" w:rsidRDefault="00FF3D2A" w:rsidP="00BE483E">
            <w:pPr>
              <w:jc w:val="left"/>
              <w:rPr>
                <w:noProof/>
              </w:rPr>
            </w:pPr>
            <w:r w:rsidRPr="00D91062">
              <w:rPr>
                <w:noProof/>
              </w:rPr>
              <w:t>Articolul 10 alineatul (1)</w:t>
            </w:r>
          </w:p>
        </w:tc>
        <w:tc>
          <w:tcPr>
            <w:tcW w:w="2856" w:type="dxa"/>
            <w:tcBorders>
              <w:top w:val="single" w:sz="8" w:space="0" w:color="auto"/>
              <w:left w:val="single" w:sz="8" w:space="0" w:color="auto"/>
              <w:bottom w:val="single" w:sz="8" w:space="0" w:color="auto"/>
              <w:right w:val="single" w:sz="8" w:space="0" w:color="auto"/>
            </w:tcBorders>
            <w:tcMar>
              <w:left w:w="108" w:type="dxa"/>
              <w:right w:w="108" w:type="dxa"/>
            </w:tcMar>
          </w:tcPr>
          <w:p w14:paraId="071A7220" w14:textId="77777777" w:rsidR="00FF3D2A" w:rsidRPr="00D91062" w:rsidRDefault="00FF3D2A" w:rsidP="00BE483E">
            <w:pPr>
              <w:jc w:val="left"/>
              <w:rPr>
                <w:noProof/>
                <w:szCs w:val="24"/>
              </w:rPr>
            </w:pPr>
            <w:r w:rsidRPr="00D91062">
              <w:rPr>
                <w:noProof/>
              </w:rPr>
              <w:t>N/A</w:t>
            </w:r>
          </w:p>
        </w:tc>
      </w:tr>
      <w:tr w:rsidR="00FF3D2A" w:rsidRPr="00D91062" w14:paraId="0673E30F" w14:textId="77777777" w:rsidTr="00C87A60">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33C2BEA2" w14:textId="77777777" w:rsidR="00FF3D2A" w:rsidRPr="00D91062" w:rsidRDefault="00FF3D2A" w:rsidP="00BE483E">
            <w:pPr>
              <w:jc w:val="left"/>
              <w:rPr>
                <w:noProof/>
              </w:rPr>
            </w:pPr>
            <w:r w:rsidRPr="00D91062">
              <w:rPr>
                <w:noProof/>
              </w:rPr>
              <w:t>Act de punere în aplicare</w:t>
            </w:r>
          </w:p>
        </w:tc>
        <w:tc>
          <w:tcPr>
            <w:tcW w:w="2671" w:type="dxa"/>
            <w:tcBorders>
              <w:top w:val="single" w:sz="8" w:space="0" w:color="auto"/>
              <w:left w:val="single" w:sz="8" w:space="0" w:color="auto"/>
              <w:bottom w:val="single" w:sz="8" w:space="0" w:color="auto"/>
              <w:right w:val="single" w:sz="8" w:space="0" w:color="auto"/>
            </w:tcBorders>
            <w:tcMar>
              <w:left w:w="108" w:type="dxa"/>
              <w:right w:w="108" w:type="dxa"/>
            </w:tcMar>
          </w:tcPr>
          <w:p w14:paraId="5118135C" w14:textId="084F8FF7" w:rsidR="00FF3D2A" w:rsidRPr="00D91062" w:rsidRDefault="00FF3D2A" w:rsidP="00BE483E">
            <w:pPr>
              <w:jc w:val="left"/>
              <w:rPr>
                <w:noProof/>
              </w:rPr>
            </w:pPr>
            <w:r w:rsidRPr="00D91062">
              <w:rPr>
                <w:noProof/>
              </w:rPr>
              <w:t>Articolul 18 alineatele</w:t>
            </w:r>
            <w:r w:rsidR="00C87A60">
              <w:rPr>
                <w:noProof/>
              </w:rPr>
              <w:t> </w:t>
            </w:r>
            <w:r w:rsidRPr="00D91062">
              <w:rPr>
                <w:noProof/>
              </w:rPr>
              <w:t>(2) și (5)</w:t>
            </w:r>
          </w:p>
        </w:tc>
        <w:tc>
          <w:tcPr>
            <w:tcW w:w="2856" w:type="dxa"/>
            <w:tcBorders>
              <w:top w:val="single" w:sz="8" w:space="0" w:color="auto"/>
              <w:left w:val="single" w:sz="8" w:space="0" w:color="auto"/>
              <w:bottom w:val="single" w:sz="8" w:space="0" w:color="auto"/>
              <w:right w:val="single" w:sz="8" w:space="0" w:color="auto"/>
            </w:tcBorders>
            <w:tcMar>
              <w:left w:w="108" w:type="dxa"/>
              <w:right w:w="108" w:type="dxa"/>
            </w:tcMar>
          </w:tcPr>
          <w:p w14:paraId="23AB8757" w14:textId="77777777" w:rsidR="00FF3D2A" w:rsidRPr="00D91062" w:rsidRDefault="00FF3D2A" w:rsidP="00BE483E">
            <w:pPr>
              <w:jc w:val="left"/>
              <w:rPr>
                <w:noProof/>
              </w:rPr>
            </w:pPr>
            <w:r w:rsidRPr="00D91062">
              <w:rPr>
                <w:noProof/>
              </w:rPr>
              <w:t>În formatul solicitat.</w:t>
            </w:r>
          </w:p>
        </w:tc>
      </w:tr>
      <w:tr w:rsidR="00FF3D2A" w:rsidRPr="00D91062" w14:paraId="51A9F7AE" w14:textId="77777777" w:rsidTr="00C87A60">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26DA70BF" w14:textId="77777777" w:rsidR="00FF3D2A" w:rsidRPr="00D91062" w:rsidRDefault="00FF3D2A" w:rsidP="00BE483E">
            <w:pPr>
              <w:jc w:val="left"/>
              <w:rPr>
                <w:noProof/>
              </w:rPr>
            </w:pPr>
            <w:r w:rsidRPr="00D91062">
              <w:rPr>
                <w:noProof/>
              </w:rPr>
              <w:t>Act delegat</w:t>
            </w:r>
          </w:p>
        </w:tc>
        <w:tc>
          <w:tcPr>
            <w:tcW w:w="2671" w:type="dxa"/>
            <w:tcBorders>
              <w:top w:val="single" w:sz="8" w:space="0" w:color="auto"/>
              <w:left w:val="single" w:sz="8" w:space="0" w:color="auto"/>
              <w:bottom w:val="single" w:sz="8" w:space="0" w:color="auto"/>
              <w:right w:val="single" w:sz="8" w:space="0" w:color="auto"/>
            </w:tcBorders>
            <w:tcMar>
              <w:left w:w="108" w:type="dxa"/>
              <w:right w:w="108" w:type="dxa"/>
            </w:tcMar>
          </w:tcPr>
          <w:p w14:paraId="25240F01" w14:textId="77777777" w:rsidR="00FF3D2A" w:rsidRPr="00D91062" w:rsidRDefault="00FF3D2A" w:rsidP="00BE483E">
            <w:pPr>
              <w:jc w:val="left"/>
              <w:rPr>
                <w:noProof/>
              </w:rPr>
            </w:pPr>
            <w:r w:rsidRPr="00D91062">
              <w:rPr>
                <w:noProof/>
              </w:rPr>
              <w:t xml:space="preserve">Articolul 18 alineatul (5) </w:t>
            </w:r>
          </w:p>
        </w:tc>
        <w:tc>
          <w:tcPr>
            <w:tcW w:w="2856" w:type="dxa"/>
            <w:tcBorders>
              <w:top w:val="single" w:sz="8" w:space="0" w:color="auto"/>
              <w:left w:val="single" w:sz="8" w:space="0" w:color="auto"/>
              <w:bottom w:val="single" w:sz="8" w:space="0" w:color="auto"/>
              <w:right w:val="single" w:sz="8" w:space="0" w:color="auto"/>
            </w:tcBorders>
            <w:tcMar>
              <w:left w:w="108" w:type="dxa"/>
              <w:right w:w="108" w:type="dxa"/>
            </w:tcMar>
          </w:tcPr>
          <w:p w14:paraId="73605501" w14:textId="77777777" w:rsidR="00FF3D2A" w:rsidRPr="00D91062" w:rsidRDefault="00FF3D2A" w:rsidP="00BE483E">
            <w:pPr>
              <w:jc w:val="left"/>
              <w:rPr>
                <w:noProof/>
              </w:rPr>
            </w:pPr>
            <w:r w:rsidRPr="00D91062">
              <w:rPr>
                <w:noProof/>
              </w:rPr>
              <w:t>În formatul solicitat.</w:t>
            </w:r>
          </w:p>
        </w:tc>
      </w:tr>
      <w:tr w:rsidR="00FF3D2A" w:rsidRPr="00D91062" w14:paraId="0DE9D48F" w14:textId="77777777" w:rsidTr="00C87A60">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008FB2D8" w14:textId="77777777" w:rsidR="00FF3D2A" w:rsidRPr="00D91062" w:rsidRDefault="00FF3D2A" w:rsidP="00BE483E">
            <w:pPr>
              <w:jc w:val="left"/>
              <w:rPr>
                <w:noProof/>
              </w:rPr>
            </w:pPr>
            <w:r w:rsidRPr="00D91062">
              <w:rPr>
                <w:noProof/>
              </w:rPr>
              <w:t>Decizii motivate</w:t>
            </w:r>
          </w:p>
        </w:tc>
        <w:tc>
          <w:tcPr>
            <w:tcW w:w="2671" w:type="dxa"/>
            <w:tcBorders>
              <w:top w:val="single" w:sz="8" w:space="0" w:color="auto"/>
              <w:left w:val="single" w:sz="8" w:space="0" w:color="auto"/>
              <w:bottom w:val="single" w:sz="8" w:space="0" w:color="auto"/>
              <w:right w:val="single" w:sz="8" w:space="0" w:color="auto"/>
            </w:tcBorders>
            <w:tcMar>
              <w:left w:w="108" w:type="dxa"/>
              <w:right w:w="108" w:type="dxa"/>
            </w:tcMar>
          </w:tcPr>
          <w:p w14:paraId="23CCB9C6" w14:textId="77777777" w:rsidR="00FF3D2A" w:rsidRPr="00D91062" w:rsidRDefault="00FF3D2A" w:rsidP="00BE483E">
            <w:pPr>
              <w:jc w:val="left"/>
              <w:rPr>
                <w:noProof/>
              </w:rPr>
            </w:pPr>
            <w:r w:rsidRPr="00D91062">
              <w:rPr>
                <w:noProof/>
              </w:rPr>
              <w:t xml:space="preserve">Articolul 5 alineatul (7), articolul 7 alineatul (2), articolul 8 alineatul (2), articolul 11 alineatul (3), articolul 12 alineatul (2) </w:t>
            </w:r>
          </w:p>
        </w:tc>
        <w:tc>
          <w:tcPr>
            <w:tcW w:w="2856" w:type="dxa"/>
            <w:tcBorders>
              <w:top w:val="single" w:sz="8" w:space="0" w:color="auto"/>
              <w:left w:val="single" w:sz="8" w:space="0" w:color="auto"/>
              <w:bottom w:val="single" w:sz="8" w:space="0" w:color="auto"/>
              <w:right w:val="single" w:sz="8" w:space="0" w:color="auto"/>
            </w:tcBorders>
            <w:tcMar>
              <w:left w:w="108" w:type="dxa"/>
              <w:right w:w="108" w:type="dxa"/>
            </w:tcMar>
          </w:tcPr>
          <w:p w14:paraId="7FFFA855" w14:textId="77777777" w:rsidR="00FF3D2A" w:rsidRPr="00D91062" w:rsidRDefault="00FF3D2A" w:rsidP="00BE483E">
            <w:pPr>
              <w:jc w:val="left"/>
              <w:rPr>
                <w:noProof/>
              </w:rPr>
            </w:pPr>
            <w:r w:rsidRPr="00D91062">
              <w:rPr>
                <w:noProof/>
              </w:rPr>
              <w:t>În formatul solicitat.</w:t>
            </w:r>
          </w:p>
        </w:tc>
      </w:tr>
      <w:tr w:rsidR="00FF3D2A" w:rsidRPr="00D91062" w14:paraId="49FD89A4" w14:textId="77777777" w:rsidTr="00C87A60">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5E8C1DA2" w14:textId="77777777" w:rsidR="00FF3D2A" w:rsidRPr="00D91062" w:rsidRDefault="00FF3D2A" w:rsidP="00BE483E">
            <w:pPr>
              <w:jc w:val="left"/>
              <w:rPr>
                <w:noProof/>
              </w:rPr>
            </w:pPr>
            <w:r w:rsidRPr="00D91062">
              <w:rPr>
                <w:noProof/>
              </w:rPr>
              <w:t>Declarații și elemente de probă</w:t>
            </w:r>
          </w:p>
        </w:tc>
        <w:tc>
          <w:tcPr>
            <w:tcW w:w="2671" w:type="dxa"/>
            <w:tcBorders>
              <w:top w:val="single" w:sz="8" w:space="0" w:color="auto"/>
              <w:left w:val="single" w:sz="8" w:space="0" w:color="auto"/>
              <w:bottom w:val="single" w:sz="8" w:space="0" w:color="auto"/>
              <w:right w:val="single" w:sz="8" w:space="0" w:color="auto"/>
            </w:tcBorders>
            <w:tcMar>
              <w:left w:w="108" w:type="dxa"/>
              <w:right w:w="108" w:type="dxa"/>
            </w:tcMar>
          </w:tcPr>
          <w:p w14:paraId="4059A5B8" w14:textId="77777777" w:rsidR="00FF3D2A" w:rsidRPr="00D91062" w:rsidRDefault="00FF3D2A" w:rsidP="00BE483E">
            <w:pPr>
              <w:jc w:val="left"/>
              <w:rPr>
                <w:noProof/>
              </w:rPr>
            </w:pPr>
            <w:r w:rsidRPr="00D91062">
              <w:rPr>
                <w:noProof/>
              </w:rPr>
              <w:t>Articolul 9 alineatele (2) și (4), articolul 10 alineatele (2) și (4)</w:t>
            </w:r>
          </w:p>
        </w:tc>
        <w:tc>
          <w:tcPr>
            <w:tcW w:w="2856" w:type="dxa"/>
            <w:tcBorders>
              <w:top w:val="single" w:sz="8" w:space="0" w:color="auto"/>
              <w:left w:val="single" w:sz="8" w:space="0" w:color="auto"/>
              <w:bottom w:val="single" w:sz="8" w:space="0" w:color="auto"/>
              <w:right w:val="single" w:sz="8" w:space="0" w:color="auto"/>
            </w:tcBorders>
            <w:tcMar>
              <w:left w:w="108" w:type="dxa"/>
              <w:right w:w="108" w:type="dxa"/>
            </w:tcMar>
          </w:tcPr>
          <w:p w14:paraId="4A3763D4" w14:textId="77777777" w:rsidR="00FF3D2A" w:rsidRPr="00D91062" w:rsidRDefault="00FF3D2A" w:rsidP="00BE483E">
            <w:pPr>
              <w:jc w:val="left"/>
              <w:rPr>
                <w:noProof/>
              </w:rPr>
            </w:pPr>
            <w:r w:rsidRPr="00D91062">
              <w:rPr>
                <w:noProof/>
              </w:rPr>
              <w:t>N/A</w:t>
            </w:r>
          </w:p>
        </w:tc>
      </w:tr>
      <w:tr w:rsidR="00FF3D2A" w:rsidRPr="00D91062" w14:paraId="081DA259" w14:textId="77777777" w:rsidTr="00C87A60">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1E963950" w14:textId="77777777" w:rsidR="00FF3D2A" w:rsidRPr="00D91062" w:rsidRDefault="00FF3D2A" w:rsidP="00BE483E">
            <w:pPr>
              <w:jc w:val="left"/>
              <w:rPr>
                <w:noProof/>
              </w:rPr>
            </w:pPr>
            <w:r w:rsidRPr="00D91062">
              <w:rPr>
                <w:noProof/>
              </w:rPr>
              <w:t>Raport anual care să detalieze stadiul de dezvoltare a sistemului propus.</w:t>
            </w:r>
          </w:p>
        </w:tc>
        <w:tc>
          <w:tcPr>
            <w:tcW w:w="2671" w:type="dxa"/>
            <w:tcBorders>
              <w:top w:val="single" w:sz="8" w:space="0" w:color="auto"/>
              <w:left w:val="single" w:sz="8" w:space="0" w:color="auto"/>
              <w:bottom w:val="single" w:sz="8" w:space="0" w:color="auto"/>
              <w:right w:val="single" w:sz="8" w:space="0" w:color="auto"/>
            </w:tcBorders>
            <w:tcMar>
              <w:left w:w="108" w:type="dxa"/>
              <w:right w:w="108" w:type="dxa"/>
            </w:tcMar>
          </w:tcPr>
          <w:p w14:paraId="042178A6" w14:textId="77777777" w:rsidR="00FF3D2A" w:rsidRPr="00D91062" w:rsidRDefault="00FF3D2A" w:rsidP="00BE483E">
            <w:pPr>
              <w:jc w:val="left"/>
              <w:rPr>
                <w:noProof/>
              </w:rPr>
            </w:pPr>
            <w:r w:rsidRPr="00D91062">
              <w:rPr>
                <w:noProof/>
              </w:rPr>
              <w:t>Articolul 14 alineatul (1) litera (l) și articolul 15 alineatul (1) litera (h)</w:t>
            </w:r>
          </w:p>
        </w:tc>
        <w:tc>
          <w:tcPr>
            <w:tcW w:w="2856" w:type="dxa"/>
            <w:tcBorders>
              <w:top w:val="single" w:sz="8" w:space="0" w:color="auto"/>
              <w:left w:val="single" w:sz="8" w:space="0" w:color="auto"/>
              <w:bottom w:val="single" w:sz="8" w:space="0" w:color="auto"/>
              <w:right w:val="single" w:sz="8" w:space="0" w:color="auto"/>
            </w:tcBorders>
            <w:tcMar>
              <w:left w:w="108" w:type="dxa"/>
              <w:right w:w="108" w:type="dxa"/>
            </w:tcMar>
          </w:tcPr>
          <w:p w14:paraId="131E2FD4" w14:textId="77777777" w:rsidR="00FF3D2A" w:rsidRPr="00D91062" w:rsidRDefault="00FF3D2A" w:rsidP="00BE483E">
            <w:pPr>
              <w:jc w:val="left"/>
              <w:rPr>
                <w:noProof/>
              </w:rPr>
            </w:pPr>
            <w:r w:rsidRPr="00D91062">
              <w:rPr>
                <w:noProof/>
              </w:rPr>
              <w:t>N/A</w:t>
            </w:r>
          </w:p>
        </w:tc>
      </w:tr>
      <w:tr w:rsidR="00FF3D2A" w:rsidRPr="00D91062" w14:paraId="07F939EE" w14:textId="77777777" w:rsidTr="00C87A60">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73E9EAFF" w14:textId="77777777" w:rsidR="00FF3D2A" w:rsidRPr="00D91062" w:rsidRDefault="00FF3D2A" w:rsidP="00BE483E">
            <w:pPr>
              <w:jc w:val="left"/>
              <w:rPr>
                <w:noProof/>
              </w:rPr>
            </w:pPr>
            <w:r w:rsidRPr="00D91062">
              <w:rPr>
                <w:noProof/>
              </w:rPr>
              <w:t>Informații privind acreditarea de securitate a sistemelor prin satelit</w:t>
            </w:r>
          </w:p>
        </w:tc>
        <w:tc>
          <w:tcPr>
            <w:tcW w:w="2671" w:type="dxa"/>
            <w:tcBorders>
              <w:top w:val="single" w:sz="8" w:space="0" w:color="auto"/>
              <w:left w:val="single" w:sz="8" w:space="0" w:color="auto"/>
              <w:bottom w:val="single" w:sz="8" w:space="0" w:color="auto"/>
              <w:right w:val="single" w:sz="8" w:space="0" w:color="auto"/>
            </w:tcBorders>
            <w:tcMar>
              <w:left w:w="108" w:type="dxa"/>
              <w:right w:w="108" w:type="dxa"/>
            </w:tcMar>
          </w:tcPr>
          <w:p w14:paraId="6FE94174" w14:textId="77777777" w:rsidR="00FF3D2A" w:rsidRPr="00D91062" w:rsidRDefault="00FF3D2A" w:rsidP="00BE483E">
            <w:pPr>
              <w:jc w:val="left"/>
              <w:rPr>
                <w:noProof/>
              </w:rPr>
            </w:pPr>
            <w:r w:rsidRPr="00D91062">
              <w:rPr>
                <w:noProof/>
              </w:rPr>
              <w:t>Articolul 7 alineatul (1) litera (g)</w:t>
            </w:r>
          </w:p>
        </w:tc>
        <w:tc>
          <w:tcPr>
            <w:tcW w:w="2856" w:type="dxa"/>
            <w:tcBorders>
              <w:top w:val="single" w:sz="8" w:space="0" w:color="auto"/>
              <w:left w:val="single" w:sz="8" w:space="0" w:color="auto"/>
              <w:bottom w:val="single" w:sz="8" w:space="0" w:color="auto"/>
              <w:right w:val="single" w:sz="8" w:space="0" w:color="auto"/>
            </w:tcBorders>
            <w:tcMar>
              <w:left w:w="108" w:type="dxa"/>
              <w:right w:w="108" w:type="dxa"/>
            </w:tcMar>
          </w:tcPr>
          <w:p w14:paraId="6280F30E" w14:textId="77777777" w:rsidR="00FF3D2A" w:rsidRPr="00D91062" w:rsidRDefault="00FF3D2A" w:rsidP="00BE483E">
            <w:pPr>
              <w:jc w:val="left"/>
              <w:rPr>
                <w:noProof/>
              </w:rPr>
            </w:pPr>
            <w:r w:rsidRPr="00D91062">
              <w:rPr>
                <w:noProof/>
              </w:rPr>
              <w:t>În conformitate cu articolul 37 din Regulamentul (UE) 2021/696.</w:t>
            </w:r>
          </w:p>
        </w:tc>
      </w:tr>
      <w:tr w:rsidR="00FF3D2A" w:rsidRPr="00D91062" w14:paraId="553DD421" w14:textId="77777777" w:rsidTr="00C87A60">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7F300AC4" w14:textId="77777777" w:rsidR="00FF3D2A" w:rsidRPr="00D91062" w:rsidRDefault="00FF3D2A" w:rsidP="00BE483E">
            <w:pPr>
              <w:jc w:val="left"/>
              <w:rPr>
                <w:noProof/>
              </w:rPr>
            </w:pPr>
            <w:r w:rsidRPr="00D91062">
              <w:rPr>
                <w:noProof/>
              </w:rPr>
              <w:t xml:space="preserve">Informații UE clasificate (IUEC) </w:t>
            </w:r>
          </w:p>
        </w:tc>
        <w:tc>
          <w:tcPr>
            <w:tcW w:w="2671" w:type="dxa"/>
            <w:tcBorders>
              <w:top w:val="single" w:sz="8" w:space="0" w:color="auto"/>
              <w:left w:val="single" w:sz="8" w:space="0" w:color="auto"/>
              <w:bottom w:val="single" w:sz="8" w:space="0" w:color="auto"/>
              <w:right w:val="single" w:sz="8" w:space="0" w:color="auto"/>
            </w:tcBorders>
            <w:tcMar>
              <w:left w:w="108" w:type="dxa"/>
              <w:right w:w="108" w:type="dxa"/>
            </w:tcMar>
          </w:tcPr>
          <w:p w14:paraId="711A00F4" w14:textId="77777777" w:rsidR="00FF3D2A" w:rsidRPr="00D91062" w:rsidRDefault="00FF3D2A" w:rsidP="00BE483E">
            <w:pPr>
              <w:jc w:val="left"/>
              <w:rPr>
                <w:noProof/>
              </w:rPr>
            </w:pPr>
            <w:r w:rsidRPr="00D91062">
              <w:rPr>
                <w:noProof/>
              </w:rPr>
              <w:t>Articolul 14 alineatul (1) litera (k)</w:t>
            </w:r>
          </w:p>
        </w:tc>
        <w:tc>
          <w:tcPr>
            <w:tcW w:w="2856" w:type="dxa"/>
            <w:tcBorders>
              <w:top w:val="single" w:sz="8" w:space="0" w:color="auto"/>
              <w:left w:val="single" w:sz="8" w:space="0" w:color="auto"/>
              <w:bottom w:val="single" w:sz="8" w:space="0" w:color="auto"/>
              <w:right w:val="single" w:sz="8" w:space="0" w:color="auto"/>
            </w:tcBorders>
            <w:tcMar>
              <w:left w:w="108" w:type="dxa"/>
              <w:right w:w="108" w:type="dxa"/>
            </w:tcMar>
          </w:tcPr>
          <w:p w14:paraId="0DA3854F" w14:textId="77777777" w:rsidR="00FF3D2A" w:rsidRPr="00D91062" w:rsidRDefault="00FF3D2A" w:rsidP="00BE483E">
            <w:pPr>
              <w:jc w:val="left"/>
              <w:rPr>
                <w:noProof/>
              </w:rPr>
            </w:pPr>
            <w:r w:rsidRPr="00D91062">
              <w:rPr>
                <w:noProof/>
              </w:rPr>
              <w:t>Urmează să fie protejate în conformitate cu articolul 43 din Regulamentul (UE) 2021/696.</w:t>
            </w:r>
          </w:p>
        </w:tc>
      </w:tr>
      <w:tr w:rsidR="00FF3D2A" w:rsidRPr="00D91062" w14:paraId="601444C0" w14:textId="77777777" w:rsidTr="00C87A60">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3FFFEB2D" w14:textId="77777777" w:rsidR="00FF3D2A" w:rsidRPr="00D91062" w:rsidRDefault="00FF3D2A" w:rsidP="00BE483E">
            <w:pPr>
              <w:jc w:val="left"/>
              <w:rPr>
                <w:noProof/>
              </w:rPr>
            </w:pPr>
            <w:r w:rsidRPr="00D91062">
              <w:rPr>
                <w:noProof/>
              </w:rPr>
              <w:t>Revizuirea taxelor anuale și unice pentru utilizarea benzii MSS de 2 GHz</w:t>
            </w:r>
          </w:p>
        </w:tc>
        <w:tc>
          <w:tcPr>
            <w:tcW w:w="2671" w:type="dxa"/>
            <w:tcBorders>
              <w:top w:val="single" w:sz="8" w:space="0" w:color="auto"/>
              <w:left w:val="single" w:sz="8" w:space="0" w:color="auto"/>
              <w:bottom w:val="single" w:sz="8" w:space="0" w:color="auto"/>
              <w:right w:val="single" w:sz="8" w:space="0" w:color="auto"/>
            </w:tcBorders>
            <w:tcMar>
              <w:left w:w="108" w:type="dxa"/>
              <w:right w:w="108" w:type="dxa"/>
            </w:tcMar>
          </w:tcPr>
          <w:p w14:paraId="57EDFA7B" w14:textId="77777777" w:rsidR="00FF3D2A" w:rsidRPr="00D91062" w:rsidRDefault="00FF3D2A" w:rsidP="00BE483E">
            <w:pPr>
              <w:jc w:val="left"/>
              <w:rPr>
                <w:noProof/>
              </w:rPr>
            </w:pPr>
            <w:r w:rsidRPr="00D91062">
              <w:rPr>
                <w:noProof/>
              </w:rPr>
              <w:t>Articolul 16 alineatul (5)</w:t>
            </w:r>
          </w:p>
        </w:tc>
        <w:tc>
          <w:tcPr>
            <w:tcW w:w="2856" w:type="dxa"/>
            <w:tcBorders>
              <w:top w:val="single" w:sz="8" w:space="0" w:color="auto"/>
              <w:left w:val="single" w:sz="8" w:space="0" w:color="auto"/>
              <w:bottom w:val="single" w:sz="8" w:space="0" w:color="auto"/>
              <w:right w:val="single" w:sz="8" w:space="0" w:color="auto"/>
            </w:tcBorders>
            <w:tcMar>
              <w:left w:w="108" w:type="dxa"/>
              <w:right w:w="108" w:type="dxa"/>
            </w:tcMar>
          </w:tcPr>
          <w:p w14:paraId="5FAF386B" w14:textId="77777777" w:rsidR="00FF3D2A" w:rsidRPr="00D91062" w:rsidRDefault="00FF3D2A" w:rsidP="00BE483E">
            <w:pPr>
              <w:jc w:val="left"/>
              <w:rPr>
                <w:noProof/>
              </w:rPr>
            </w:pPr>
            <w:r w:rsidRPr="00D91062">
              <w:rPr>
                <w:noProof/>
              </w:rPr>
              <w:t>N/A</w:t>
            </w:r>
          </w:p>
        </w:tc>
      </w:tr>
      <w:tr w:rsidR="00FF3D2A" w:rsidRPr="00D91062" w14:paraId="6E6832BA" w14:textId="77777777" w:rsidTr="00C87A60">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049E5877" w14:textId="77777777" w:rsidR="00FF3D2A" w:rsidRPr="00D91062" w:rsidRDefault="00FF3D2A" w:rsidP="00BE483E">
            <w:pPr>
              <w:jc w:val="left"/>
              <w:rPr>
                <w:noProof/>
              </w:rPr>
            </w:pPr>
            <w:r w:rsidRPr="00D91062">
              <w:rPr>
                <w:noProof/>
              </w:rPr>
              <w:t>Date provenite din monitorizarea conformității titularilor de autorizații ale Uniunii pentru utilizarea benzii MSS de 2 GHz</w:t>
            </w:r>
          </w:p>
        </w:tc>
        <w:tc>
          <w:tcPr>
            <w:tcW w:w="2671" w:type="dxa"/>
            <w:tcBorders>
              <w:top w:val="single" w:sz="8" w:space="0" w:color="auto"/>
              <w:left w:val="single" w:sz="8" w:space="0" w:color="auto"/>
              <w:bottom w:val="single" w:sz="8" w:space="0" w:color="auto"/>
              <w:right w:val="single" w:sz="8" w:space="0" w:color="auto"/>
            </w:tcBorders>
            <w:tcMar>
              <w:left w:w="108" w:type="dxa"/>
              <w:right w:w="108" w:type="dxa"/>
            </w:tcMar>
          </w:tcPr>
          <w:p w14:paraId="49B4711F" w14:textId="77777777" w:rsidR="00FF3D2A" w:rsidRPr="00D91062" w:rsidRDefault="00FF3D2A" w:rsidP="00BE483E">
            <w:pPr>
              <w:jc w:val="left"/>
              <w:rPr>
                <w:noProof/>
              </w:rPr>
            </w:pPr>
            <w:r w:rsidRPr="00D91062">
              <w:rPr>
                <w:noProof/>
              </w:rPr>
              <w:t>Articolul 19 alineatul (1)</w:t>
            </w:r>
          </w:p>
        </w:tc>
        <w:tc>
          <w:tcPr>
            <w:tcW w:w="2856" w:type="dxa"/>
            <w:tcBorders>
              <w:top w:val="single" w:sz="8" w:space="0" w:color="auto"/>
              <w:left w:val="single" w:sz="8" w:space="0" w:color="auto"/>
              <w:bottom w:val="single" w:sz="8" w:space="0" w:color="auto"/>
              <w:right w:val="single" w:sz="8" w:space="0" w:color="auto"/>
            </w:tcBorders>
            <w:tcMar>
              <w:left w:w="108" w:type="dxa"/>
              <w:right w:w="108" w:type="dxa"/>
            </w:tcMar>
          </w:tcPr>
          <w:p w14:paraId="2A648C54" w14:textId="77777777" w:rsidR="00FF3D2A" w:rsidRPr="00D91062" w:rsidRDefault="00FF3D2A" w:rsidP="00BE483E">
            <w:pPr>
              <w:jc w:val="left"/>
              <w:rPr>
                <w:noProof/>
              </w:rPr>
            </w:pPr>
            <w:r w:rsidRPr="00D91062">
              <w:rPr>
                <w:noProof/>
              </w:rPr>
              <w:t>N/A</w:t>
            </w:r>
          </w:p>
        </w:tc>
      </w:tr>
      <w:tr w:rsidR="00FF3D2A" w:rsidRPr="00D91062" w14:paraId="203389F2" w14:textId="77777777" w:rsidTr="00C87A60">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2E6EFCF6" w14:textId="77777777" w:rsidR="00FF3D2A" w:rsidRPr="00D91062" w:rsidRDefault="00FF3D2A" w:rsidP="00BE483E">
            <w:pPr>
              <w:jc w:val="left"/>
              <w:rPr>
                <w:noProof/>
              </w:rPr>
            </w:pPr>
            <w:r w:rsidRPr="00D91062">
              <w:rPr>
                <w:noProof/>
              </w:rPr>
              <w:t>Decizia de a impune condiții de utilizare în comun pentru a permite testarea și utilizarea experimentală a benzii.</w:t>
            </w:r>
          </w:p>
        </w:tc>
        <w:tc>
          <w:tcPr>
            <w:tcW w:w="2671" w:type="dxa"/>
            <w:tcBorders>
              <w:top w:val="single" w:sz="8" w:space="0" w:color="auto"/>
              <w:left w:val="single" w:sz="8" w:space="0" w:color="auto"/>
              <w:bottom w:val="single" w:sz="8" w:space="0" w:color="auto"/>
              <w:right w:val="single" w:sz="8" w:space="0" w:color="auto"/>
            </w:tcBorders>
            <w:tcMar>
              <w:left w:w="108" w:type="dxa"/>
              <w:right w:w="108" w:type="dxa"/>
            </w:tcMar>
          </w:tcPr>
          <w:p w14:paraId="72EB38B7" w14:textId="77777777" w:rsidR="00FF3D2A" w:rsidRPr="00D91062" w:rsidRDefault="00FF3D2A" w:rsidP="00BE483E">
            <w:pPr>
              <w:jc w:val="left"/>
              <w:rPr>
                <w:noProof/>
              </w:rPr>
            </w:pPr>
            <w:r w:rsidRPr="00D91062">
              <w:rPr>
                <w:noProof/>
              </w:rPr>
              <w:t>Articolul 20 alineatul (2)</w:t>
            </w:r>
          </w:p>
        </w:tc>
        <w:tc>
          <w:tcPr>
            <w:tcW w:w="2856" w:type="dxa"/>
            <w:tcBorders>
              <w:top w:val="single" w:sz="8" w:space="0" w:color="auto"/>
              <w:left w:val="single" w:sz="8" w:space="0" w:color="auto"/>
              <w:bottom w:val="single" w:sz="8" w:space="0" w:color="auto"/>
              <w:right w:val="single" w:sz="8" w:space="0" w:color="auto"/>
            </w:tcBorders>
            <w:tcMar>
              <w:left w:w="108" w:type="dxa"/>
              <w:right w:w="108" w:type="dxa"/>
            </w:tcMar>
          </w:tcPr>
          <w:p w14:paraId="44EBAC08" w14:textId="77777777" w:rsidR="00FF3D2A" w:rsidRPr="00D91062" w:rsidRDefault="00FF3D2A" w:rsidP="00BE483E">
            <w:pPr>
              <w:jc w:val="left"/>
              <w:rPr>
                <w:noProof/>
              </w:rPr>
            </w:pPr>
            <w:r w:rsidRPr="00D91062">
              <w:rPr>
                <w:noProof/>
              </w:rPr>
              <w:t>N/A</w:t>
            </w:r>
          </w:p>
        </w:tc>
      </w:tr>
      <w:tr w:rsidR="00FF3D2A" w:rsidRPr="00D91062" w14:paraId="6FDC2167" w14:textId="77777777" w:rsidTr="00C87A60">
        <w:trPr>
          <w:trHeight w:val="300"/>
        </w:trPr>
        <w:tc>
          <w:tcPr>
            <w:tcW w:w="3533" w:type="dxa"/>
            <w:tcBorders>
              <w:top w:val="single" w:sz="8" w:space="0" w:color="auto"/>
              <w:left w:val="single" w:sz="8" w:space="0" w:color="auto"/>
              <w:bottom w:val="single" w:sz="8" w:space="0" w:color="auto"/>
              <w:right w:val="single" w:sz="8" w:space="0" w:color="auto"/>
            </w:tcBorders>
            <w:tcMar>
              <w:left w:w="108" w:type="dxa"/>
              <w:right w:w="108" w:type="dxa"/>
            </w:tcMar>
          </w:tcPr>
          <w:p w14:paraId="743FD6FD" w14:textId="77777777" w:rsidR="00FF3D2A" w:rsidRPr="00D91062" w:rsidRDefault="00FF3D2A" w:rsidP="00BE483E">
            <w:pPr>
              <w:jc w:val="left"/>
              <w:rPr>
                <w:noProof/>
              </w:rPr>
            </w:pPr>
            <w:r w:rsidRPr="00D91062">
              <w:rPr>
                <w:noProof/>
              </w:rPr>
              <w:t>Notificarea adoptării unui act delegat</w:t>
            </w:r>
          </w:p>
        </w:tc>
        <w:tc>
          <w:tcPr>
            <w:tcW w:w="2671" w:type="dxa"/>
            <w:tcBorders>
              <w:top w:val="single" w:sz="8" w:space="0" w:color="auto"/>
              <w:left w:val="single" w:sz="8" w:space="0" w:color="auto"/>
              <w:bottom w:val="single" w:sz="8" w:space="0" w:color="auto"/>
              <w:right w:val="single" w:sz="8" w:space="0" w:color="auto"/>
            </w:tcBorders>
            <w:tcMar>
              <w:left w:w="108" w:type="dxa"/>
              <w:right w:w="108" w:type="dxa"/>
            </w:tcMar>
          </w:tcPr>
          <w:p w14:paraId="50278C17" w14:textId="77777777" w:rsidR="00FF3D2A" w:rsidRPr="00D91062" w:rsidRDefault="00FF3D2A" w:rsidP="00BE483E">
            <w:pPr>
              <w:jc w:val="left"/>
              <w:rPr>
                <w:noProof/>
              </w:rPr>
            </w:pPr>
            <w:r w:rsidRPr="00D91062">
              <w:rPr>
                <w:noProof/>
              </w:rPr>
              <w:t>Articolul 21 alineatul (5)</w:t>
            </w:r>
          </w:p>
        </w:tc>
        <w:tc>
          <w:tcPr>
            <w:tcW w:w="2856" w:type="dxa"/>
            <w:tcBorders>
              <w:top w:val="single" w:sz="8" w:space="0" w:color="auto"/>
              <w:left w:val="single" w:sz="8" w:space="0" w:color="auto"/>
              <w:bottom w:val="single" w:sz="8" w:space="0" w:color="auto"/>
              <w:right w:val="single" w:sz="8" w:space="0" w:color="auto"/>
            </w:tcBorders>
            <w:tcMar>
              <w:left w:w="108" w:type="dxa"/>
              <w:right w:w="108" w:type="dxa"/>
            </w:tcMar>
          </w:tcPr>
          <w:p w14:paraId="183622A7" w14:textId="77777777" w:rsidR="00FF3D2A" w:rsidRPr="00D91062" w:rsidRDefault="00FF3D2A" w:rsidP="00BE483E">
            <w:pPr>
              <w:jc w:val="left"/>
              <w:rPr>
                <w:noProof/>
              </w:rPr>
            </w:pPr>
            <w:r w:rsidRPr="00D91062">
              <w:rPr>
                <w:noProof/>
              </w:rPr>
              <w:t>N/A</w:t>
            </w:r>
          </w:p>
        </w:tc>
      </w:tr>
    </w:tbl>
    <w:p w14:paraId="6AFA6A38" w14:textId="77777777" w:rsidR="00FF3D2A" w:rsidRPr="00D91062" w:rsidRDefault="00FF3D2A" w:rsidP="00FF3D2A">
      <w:pPr>
        <w:rPr>
          <w:noProof/>
        </w:rPr>
      </w:pPr>
    </w:p>
    <w:p w14:paraId="23C9E5A6" w14:textId="77777777" w:rsidR="00D664CB" w:rsidRPr="00D91062" w:rsidRDefault="00D664CB" w:rsidP="00D664CB">
      <w:pPr>
        <w:keepNext/>
        <w:rPr>
          <w:rFonts w:eastAsia="Times New Roman"/>
          <w:noProof/>
          <w:color w:val="000000" w:themeColor="text1"/>
        </w:rPr>
      </w:pPr>
      <w:r w:rsidRPr="00D91062">
        <w:rPr>
          <w:b/>
          <w:noProof/>
          <w:color w:val="000000" w:themeColor="text1"/>
        </w:rPr>
        <w:t>Alinierea la Strategia europeană privind datele</w:t>
      </w:r>
    </w:p>
    <w:p w14:paraId="137BDC29" w14:textId="51E83E75" w:rsidR="00D664CB" w:rsidRPr="00D91062" w:rsidRDefault="00D664CB" w:rsidP="00D664CB">
      <w:pPr>
        <w:keepNext/>
        <w:rPr>
          <w:rFonts w:eastAsia="Times New Roman"/>
          <w:noProof/>
          <w:color w:val="000000" w:themeColor="text1"/>
        </w:rPr>
      </w:pPr>
      <w:r w:rsidRPr="00D91062">
        <w:rPr>
          <w:i/>
          <w:noProof/>
          <w:color w:val="000000" w:themeColor="text1"/>
        </w:rPr>
        <w:t>Explicație privind modul în care cerința (cerințele) este (sunt) aliniată (aliniate) la Strategia</w:t>
      </w:r>
      <w:r w:rsidR="00C87A60">
        <w:rPr>
          <w:i/>
          <w:noProof/>
          <w:color w:val="000000" w:themeColor="text1"/>
        </w:rPr>
        <w:t> </w:t>
      </w:r>
      <w:r w:rsidRPr="00D91062">
        <w:rPr>
          <w:i/>
          <w:noProof/>
          <w:color w:val="000000" w:themeColor="text1"/>
        </w:rPr>
        <w:t>europeană privind datele</w:t>
      </w:r>
    </w:p>
    <w:p w14:paraId="11B9D5FB" w14:textId="77777777" w:rsidR="00D664CB" w:rsidRPr="00D91062" w:rsidRDefault="00D664CB" w:rsidP="00D664CB">
      <w:pPr>
        <w:keepNext/>
        <w:rPr>
          <w:rFonts w:eastAsia="Times New Roman"/>
          <w:noProof/>
          <w:color w:val="000000" w:themeColor="text1"/>
        </w:rPr>
      </w:pPr>
      <w:r w:rsidRPr="00D91062">
        <w:rPr>
          <w:noProof/>
          <w:color w:val="000000" w:themeColor="text1"/>
        </w:rPr>
        <w:t>Prezenta inițiativă legislativă este în concordanță cu utilizarea datelor aflate în proprietate privată de către autoritățile guvernamentale (</w:t>
      </w:r>
      <w:r w:rsidRPr="00D91062">
        <w:rPr>
          <w:i/>
          <w:noProof/>
          <w:color w:val="000000" w:themeColor="text1"/>
        </w:rPr>
        <w:t>business-to-government</w:t>
      </w:r>
      <w:r w:rsidRPr="00D91062">
        <w:rPr>
          <w:noProof/>
          <w:color w:val="000000" w:themeColor="text1"/>
        </w:rPr>
        <w:t xml:space="preserve"> – B2G) pentru a asigura elaborarea de politici și decizii de politică bazate pe dovezi, în acest caz pentru a stabili o procedură publică de selecție în vederea selectării și autorizării entităților care furnizează servicii mobile prin satelit utilizând banda de 2 GHz în Uniunea Europeană.</w:t>
      </w:r>
    </w:p>
    <w:p w14:paraId="2152C3CB" w14:textId="77777777" w:rsidR="00D664CB" w:rsidRPr="00D91062" w:rsidRDefault="00D664CB" w:rsidP="00D664CB">
      <w:pPr>
        <w:keepNext/>
        <w:rPr>
          <w:rFonts w:eastAsia="Times New Roman"/>
          <w:noProof/>
          <w:color w:val="000000" w:themeColor="text1"/>
        </w:rPr>
      </w:pPr>
      <w:r w:rsidRPr="00D91062">
        <w:rPr>
          <w:b/>
          <w:noProof/>
          <w:color w:val="000000" w:themeColor="text1"/>
        </w:rPr>
        <w:t>Alinierea la principiul „doar o singură dată”</w:t>
      </w:r>
    </w:p>
    <w:p w14:paraId="7F2E12C4" w14:textId="77777777" w:rsidR="00D664CB" w:rsidRPr="00D91062" w:rsidRDefault="00D664CB" w:rsidP="00D664CB">
      <w:pPr>
        <w:keepNext/>
        <w:rPr>
          <w:rFonts w:eastAsia="Times New Roman"/>
          <w:noProof/>
          <w:color w:val="000000" w:themeColor="text1"/>
        </w:rPr>
      </w:pPr>
      <w:r w:rsidRPr="00D91062">
        <w:rPr>
          <w:i/>
          <w:noProof/>
          <w:color w:val="000000" w:themeColor="text1"/>
        </w:rPr>
        <w:t>Explicarea modului în care a fost luat în considerare principiul „doar o singură dată” și a modului în care a fost explorată posibilitatea de reutilizare a datelor existente</w:t>
      </w:r>
    </w:p>
    <w:p w14:paraId="2592E91C" w14:textId="77777777" w:rsidR="00D664CB" w:rsidRPr="00D91062" w:rsidRDefault="00D664CB" w:rsidP="00D664CB">
      <w:pPr>
        <w:keepNext/>
        <w:rPr>
          <w:rFonts w:eastAsia="Times New Roman"/>
          <w:noProof/>
          <w:color w:val="000000" w:themeColor="text1"/>
        </w:rPr>
      </w:pPr>
      <w:r w:rsidRPr="00D91062">
        <w:rPr>
          <w:noProof/>
          <w:color w:val="000000" w:themeColor="text1"/>
        </w:rPr>
        <w:t>Principiul „doar o singură dată” este respectat în acest caz, astfel încât să se reducă la minimum sarcina administrativă pentru întreprinderile care își desfășoară activitatea pe piața unică și care vor participa la procedura de selecție.</w:t>
      </w:r>
    </w:p>
    <w:p w14:paraId="10058D0C" w14:textId="77777777" w:rsidR="00D664CB" w:rsidRPr="00D91062" w:rsidRDefault="00D664CB" w:rsidP="00D664CB">
      <w:pPr>
        <w:keepNext/>
        <w:rPr>
          <w:rFonts w:eastAsia="Times New Roman"/>
          <w:noProof/>
          <w:color w:val="000000" w:themeColor="text1"/>
        </w:rPr>
      </w:pPr>
      <w:r w:rsidRPr="00D91062">
        <w:rPr>
          <w:i/>
          <w:noProof/>
          <w:color w:val="000000" w:themeColor="text1"/>
        </w:rPr>
        <w:t>Explicarea modului în care datele nou create sunt ușor de găsit, accesibile, interoperabile și reutilizabile și respectă standarde de înaltă calitate</w:t>
      </w:r>
    </w:p>
    <w:p w14:paraId="4000CFD7" w14:textId="025AA0C7" w:rsidR="00D664CB" w:rsidRPr="00D91062" w:rsidRDefault="00D664CB" w:rsidP="00D664CB">
      <w:pPr>
        <w:keepNext/>
        <w:rPr>
          <w:rFonts w:eastAsia="Times New Roman"/>
          <w:noProof/>
          <w:color w:val="000000" w:themeColor="text1"/>
        </w:rPr>
      </w:pPr>
      <w:r w:rsidRPr="00D91062">
        <w:rPr>
          <w:noProof/>
          <w:color w:val="000000" w:themeColor="text1"/>
        </w:rPr>
        <w:t>Solicitanții din cadrul procedurii de selecție – societățile care intenționează să furnizeze MSS la 2 GHz pe piața unică ar trebui să dispună de toate datele solicitate de Comisie. Statele</w:t>
      </w:r>
      <w:r w:rsidR="00C87A60">
        <w:rPr>
          <w:noProof/>
          <w:color w:val="000000" w:themeColor="text1"/>
        </w:rPr>
        <w:t> </w:t>
      </w:r>
      <w:r w:rsidRPr="00D91062">
        <w:rPr>
          <w:noProof/>
          <w:color w:val="000000" w:themeColor="text1"/>
        </w:rPr>
        <w:t>membre și Comisia asigură protecția informațiilor comerciale confidențiale.</w:t>
      </w:r>
    </w:p>
    <w:p w14:paraId="7A3233B5" w14:textId="77777777" w:rsidR="00D664CB" w:rsidRPr="00D91062" w:rsidRDefault="00D664CB" w:rsidP="007A5721">
      <w:pPr>
        <w:pStyle w:val="ManualHeading2"/>
        <w:rPr>
          <w:noProof/>
        </w:rPr>
      </w:pPr>
      <w:r w:rsidRPr="00D91062">
        <w:rPr>
          <w:noProof/>
        </w:rPr>
        <w:t>4.3 Fluxuri de date</w:t>
      </w:r>
    </w:p>
    <w:p w14:paraId="72F6A754" w14:textId="77777777" w:rsidR="002A7BA5" w:rsidRPr="00D91062" w:rsidRDefault="00D664CB" w:rsidP="003D07F0">
      <w:pPr>
        <w:keepNext/>
        <w:rPr>
          <w:noProof/>
        </w:rPr>
      </w:pPr>
      <w:r w:rsidRPr="00D91062">
        <w:rPr>
          <w:i/>
          <w:noProof/>
          <w:color w:val="000000" w:themeColor="text1"/>
        </w:rPr>
        <w:t>Descriere la nivel înalt a fluxurilor de date</w:t>
      </w:r>
    </w:p>
    <w:tbl>
      <w:tblPr>
        <w:tblStyle w:val="TableGrid"/>
        <w:tblW w:w="9457" w:type="dxa"/>
        <w:tblLook w:val="04A0" w:firstRow="1" w:lastRow="0" w:firstColumn="1" w:lastColumn="0" w:noHBand="0" w:noVBand="1"/>
      </w:tblPr>
      <w:tblGrid>
        <w:gridCol w:w="1629"/>
        <w:gridCol w:w="1654"/>
        <w:gridCol w:w="1503"/>
        <w:gridCol w:w="1745"/>
        <w:gridCol w:w="1576"/>
        <w:gridCol w:w="1350"/>
      </w:tblGrid>
      <w:tr w:rsidR="00237F40" w:rsidRPr="00D91062" w14:paraId="4013C953"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7B7E3607" w14:textId="77777777" w:rsidR="00237F40" w:rsidRPr="00D91062" w:rsidRDefault="00237F40" w:rsidP="000D040A">
            <w:pPr>
              <w:jc w:val="left"/>
              <w:rPr>
                <w:b/>
                <w:bCs/>
                <w:noProof/>
                <w:szCs w:val="24"/>
              </w:rPr>
            </w:pPr>
            <w:r w:rsidRPr="00D91062">
              <w:rPr>
                <w:b/>
                <w:noProof/>
              </w:rPr>
              <w:t>Tipul de date</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33EB95C4" w14:textId="77777777" w:rsidR="00237F40" w:rsidRPr="00D91062" w:rsidRDefault="00237F40" w:rsidP="000D040A">
            <w:pPr>
              <w:jc w:val="left"/>
              <w:rPr>
                <w:b/>
                <w:bCs/>
                <w:noProof/>
                <w:szCs w:val="24"/>
              </w:rPr>
            </w:pPr>
            <w:r w:rsidRPr="00D91062">
              <w:rPr>
                <w:b/>
                <w:noProof/>
              </w:rPr>
              <w:t>Trimitere (trimiteri) la cerință (cerințe)</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6FDD5758" w14:textId="77777777" w:rsidR="00237F40" w:rsidRPr="00D91062" w:rsidRDefault="00237F40" w:rsidP="000D040A">
            <w:pPr>
              <w:jc w:val="left"/>
              <w:rPr>
                <w:b/>
                <w:bCs/>
                <w:noProof/>
                <w:szCs w:val="24"/>
              </w:rPr>
            </w:pPr>
            <w:r w:rsidRPr="00D91062">
              <w:rPr>
                <w:b/>
                <w:noProof/>
              </w:rPr>
              <w:t>Actori care furnizează datele</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196CAE54" w14:textId="77777777" w:rsidR="00237F40" w:rsidRPr="00D91062" w:rsidRDefault="00237F40" w:rsidP="000D040A">
            <w:pPr>
              <w:jc w:val="left"/>
              <w:rPr>
                <w:b/>
                <w:bCs/>
                <w:noProof/>
                <w:szCs w:val="24"/>
              </w:rPr>
            </w:pPr>
            <w:r w:rsidRPr="00D91062">
              <w:rPr>
                <w:b/>
                <w:noProof/>
              </w:rPr>
              <w:t>Actori care primesc datele</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79687A98" w14:textId="77777777" w:rsidR="00237F40" w:rsidRPr="00D91062" w:rsidRDefault="00237F40" w:rsidP="000D040A">
            <w:pPr>
              <w:jc w:val="left"/>
              <w:rPr>
                <w:b/>
                <w:bCs/>
                <w:noProof/>
                <w:szCs w:val="24"/>
              </w:rPr>
            </w:pPr>
            <w:r w:rsidRPr="00D91062">
              <w:rPr>
                <w:b/>
                <w:noProof/>
              </w:rPr>
              <w:t>Factorul declanșator pentru schimbul de date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38340E42" w14:textId="77777777" w:rsidR="00237F40" w:rsidRPr="00D91062" w:rsidRDefault="00237F40" w:rsidP="000D040A">
            <w:pPr>
              <w:jc w:val="left"/>
              <w:rPr>
                <w:b/>
                <w:bCs/>
                <w:noProof/>
                <w:szCs w:val="24"/>
              </w:rPr>
            </w:pPr>
            <w:r w:rsidRPr="00D91062">
              <w:rPr>
                <w:b/>
                <w:noProof/>
              </w:rPr>
              <w:t>Frecvența (dacă este cazul)</w:t>
            </w:r>
          </w:p>
        </w:tc>
      </w:tr>
      <w:tr w:rsidR="00237F40" w:rsidRPr="00D91062" w14:paraId="0EDB7B52"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521F5CB4" w14:textId="77777777" w:rsidR="00237F40" w:rsidRPr="00D91062" w:rsidRDefault="00237F40" w:rsidP="000D040A">
            <w:pPr>
              <w:rPr>
                <w:noProof/>
                <w:szCs w:val="24"/>
              </w:rPr>
            </w:pPr>
            <w:r w:rsidRPr="00D91062">
              <w:rPr>
                <w:noProof/>
              </w:rPr>
              <w:t>Cerere de candidaturi, decizii luate pe parcursul etapelor procedurii de selecție comparativă și selecția finală a solicitanților în JO al UE</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18344048" w14:textId="77777777" w:rsidR="00237F40" w:rsidRPr="00D91062" w:rsidRDefault="00237F40" w:rsidP="000D040A">
            <w:pPr>
              <w:jc w:val="left"/>
              <w:rPr>
                <w:noProof/>
              </w:rPr>
            </w:pPr>
            <w:r w:rsidRPr="00D91062">
              <w:rPr>
                <w:noProof/>
              </w:rPr>
              <w:t>Articolul 4 alineatul (6)</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2792CA4C" w14:textId="77777777" w:rsidR="00237F40" w:rsidRPr="00D91062" w:rsidRDefault="00237F40" w:rsidP="000D040A">
            <w:pPr>
              <w:jc w:val="left"/>
              <w:rPr>
                <w:noProof/>
                <w:szCs w:val="24"/>
              </w:rPr>
            </w:pPr>
            <w:r w:rsidRPr="00D91062">
              <w:rPr>
                <w:noProof/>
              </w:rPr>
              <w:t>Comisia</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45678BAB" w14:textId="77777777" w:rsidR="00237F40" w:rsidRPr="00D91062" w:rsidRDefault="00237F40" w:rsidP="000D040A">
            <w:pPr>
              <w:jc w:val="left"/>
              <w:rPr>
                <w:noProof/>
                <w:szCs w:val="24"/>
              </w:rPr>
            </w:pPr>
            <w:r w:rsidRPr="00D91062">
              <w:rPr>
                <w:noProof/>
              </w:rPr>
              <w:t>Solicitanții</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3065F298" w14:textId="77777777" w:rsidR="00237F40" w:rsidRPr="00D91062" w:rsidRDefault="00237F40" w:rsidP="000D040A">
            <w:pPr>
              <w:jc w:val="left"/>
              <w:rPr>
                <w:noProof/>
                <w:szCs w:val="24"/>
              </w:rPr>
            </w:pPr>
            <w:r w:rsidRPr="00D91062">
              <w:rPr>
                <w:noProof/>
              </w:rPr>
              <w:t>Procedura de selecție comparativă la nivelul UE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2187208" w14:textId="77777777" w:rsidR="00237F40" w:rsidRPr="00D91062" w:rsidRDefault="00237F40" w:rsidP="000D040A">
            <w:pPr>
              <w:jc w:val="left"/>
              <w:rPr>
                <w:noProof/>
                <w:szCs w:val="24"/>
              </w:rPr>
            </w:pPr>
            <w:r w:rsidRPr="00D91062">
              <w:rPr>
                <w:noProof/>
              </w:rPr>
              <w:t>O dată</w:t>
            </w:r>
          </w:p>
        </w:tc>
      </w:tr>
      <w:tr w:rsidR="00237F40" w:rsidRPr="00D91062" w14:paraId="24D21063"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1516A72C" w14:textId="77777777" w:rsidR="00237F40" w:rsidRPr="00D91062" w:rsidRDefault="00237F40" w:rsidP="000D040A">
            <w:pPr>
              <w:rPr>
                <w:noProof/>
                <w:szCs w:val="24"/>
              </w:rPr>
            </w:pPr>
            <w:r w:rsidRPr="00D91062">
              <w:rPr>
                <w:noProof/>
              </w:rPr>
              <w:t>Cereri</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2118072C" w14:textId="77777777" w:rsidR="00237F40" w:rsidRPr="00D91062" w:rsidRDefault="00237F40" w:rsidP="000D040A">
            <w:pPr>
              <w:jc w:val="left"/>
              <w:rPr>
                <w:noProof/>
                <w:szCs w:val="24"/>
              </w:rPr>
            </w:pPr>
            <w:r w:rsidRPr="00D91062">
              <w:rPr>
                <w:noProof/>
              </w:rPr>
              <w:t>Articolul 5 alineatul (3)</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31D7E1B3" w14:textId="77777777" w:rsidR="00237F40" w:rsidRPr="00D91062" w:rsidRDefault="00237F40" w:rsidP="000D040A">
            <w:pPr>
              <w:jc w:val="left"/>
              <w:rPr>
                <w:noProof/>
                <w:szCs w:val="24"/>
              </w:rPr>
            </w:pPr>
            <w:r w:rsidRPr="00D91062">
              <w:rPr>
                <w:noProof/>
              </w:rPr>
              <w:t>Solicitanții</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41FA6B24" w14:textId="77777777" w:rsidR="00237F40" w:rsidRPr="00D91062" w:rsidRDefault="00237F40" w:rsidP="000D040A">
            <w:pPr>
              <w:jc w:val="left"/>
              <w:rPr>
                <w:noProof/>
                <w:szCs w:val="24"/>
              </w:rPr>
            </w:pPr>
            <w:r w:rsidRPr="00D91062">
              <w:rPr>
                <w:noProof/>
              </w:rPr>
              <w:t>Comisia</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3EED191F" w14:textId="77777777" w:rsidR="00237F40" w:rsidRPr="00D91062" w:rsidRDefault="00237F40" w:rsidP="000D040A">
            <w:pPr>
              <w:jc w:val="left"/>
              <w:rPr>
                <w:noProof/>
                <w:szCs w:val="24"/>
              </w:rPr>
            </w:pPr>
            <w:r w:rsidRPr="00D91062">
              <w:rPr>
                <w:noProof/>
              </w:rPr>
              <w:t>Procedura de selecție comparativă la nivelul UE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28E99A52" w14:textId="77777777" w:rsidR="00237F40" w:rsidRPr="00D91062" w:rsidRDefault="00237F40" w:rsidP="000D040A">
            <w:pPr>
              <w:jc w:val="left"/>
              <w:rPr>
                <w:noProof/>
                <w:szCs w:val="24"/>
              </w:rPr>
            </w:pPr>
            <w:r w:rsidRPr="00D91062">
              <w:rPr>
                <w:noProof/>
              </w:rPr>
              <w:t>O dată</w:t>
            </w:r>
          </w:p>
        </w:tc>
      </w:tr>
      <w:tr w:rsidR="00237F40" w:rsidRPr="00D91062" w14:paraId="4DA81165"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29CB5C37" w14:textId="77777777" w:rsidR="00237F40" w:rsidRPr="00D91062" w:rsidRDefault="00237F40" w:rsidP="000D040A">
            <w:pPr>
              <w:jc w:val="left"/>
              <w:rPr>
                <w:noProof/>
                <w:szCs w:val="24"/>
              </w:rPr>
            </w:pPr>
            <w:r w:rsidRPr="00D91062">
              <w:rPr>
                <w:noProof/>
              </w:rPr>
              <w:t>Informații suplimentare privind îndeplinirea cerințelor de admisibilitate</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799D70EF" w14:textId="77777777" w:rsidR="00237F40" w:rsidRPr="00D91062" w:rsidRDefault="00237F40" w:rsidP="000D040A">
            <w:pPr>
              <w:jc w:val="left"/>
              <w:rPr>
                <w:noProof/>
                <w:szCs w:val="24"/>
              </w:rPr>
            </w:pPr>
            <w:r w:rsidRPr="00D91062">
              <w:rPr>
                <w:noProof/>
              </w:rPr>
              <w:t>Articolul 5 alineatul (4)</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2802818E" w14:textId="77777777" w:rsidR="00237F40" w:rsidRPr="00D91062" w:rsidRDefault="00237F40" w:rsidP="000D040A">
            <w:pPr>
              <w:jc w:val="left"/>
              <w:rPr>
                <w:noProof/>
                <w:szCs w:val="24"/>
              </w:rPr>
            </w:pPr>
            <w:r w:rsidRPr="00D91062">
              <w:rPr>
                <w:noProof/>
              </w:rPr>
              <w:t>Solicitanții</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0330DA77" w14:textId="77777777" w:rsidR="00237F40" w:rsidRPr="00D91062" w:rsidRDefault="00237F40" w:rsidP="000D040A">
            <w:pPr>
              <w:jc w:val="left"/>
              <w:rPr>
                <w:noProof/>
                <w:szCs w:val="24"/>
              </w:rPr>
            </w:pPr>
            <w:r w:rsidRPr="00D91062">
              <w:rPr>
                <w:noProof/>
              </w:rPr>
              <w:t>Comisia</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0439AB5A" w14:textId="77777777" w:rsidR="00237F40" w:rsidRPr="00D91062" w:rsidRDefault="00237F40" w:rsidP="000D040A">
            <w:pPr>
              <w:jc w:val="left"/>
              <w:rPr>
                <w:noProof/>
                <w:szCs w:val="24"/>
              </w:rPr>
            </w:pPr>
            <w:r w:rsidRPr="00D91062">
              <w:rPr>
                <w:noProof/>
              </w:rPr>
              <w:t>Procedura de selecție comparativă la nivelul UE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336F3DF1" w14:textId="77777777" w:rsidR="00237F40" w:rsidRPr="00D91062" w:rsidRDefault="00237F40" w:rsidP="000D040A">
            <w:pPr>
              <w:jc w:val="left"/>
              <w:rPr>
                <w:noProof/>
                <w:szCs w:val="24"/>
              </w:rPr>
            </w:pPr>
            <w:r w:rsidRPr="00D91062">
              <w:rPr>
                <w:noProof/>
              </w:rPr>
              <w:t>La cerere</w:t>
            </w:r>
          </w:p>
        </w:tc>
      </w:tr>
      <w:tr w:rsidR="00237F40" w:rsidRPr="00D91062" w14:paraId="26AE5CD9"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43B02BE4" w14:textId="77777777" w:rsidR="00237F40" w:rsidRPr="00D91062" w:rsidRDefault="00237F40" w:rsidP="000D040A">
            <w:pPr>
              <w:rPr>
                <w:noProof/>
                <w:szCs w:val="24"/>
              </w:rPr>
            </w:pPr>
            <w:r w:rsidRPr="00D91062">
              <w:rPr>
                <w:noProof/>
              </w:rPr>
              <w:t>Informații privind admisibilitatea cererilor</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5890A40A" w14:textId="77777777" w:rsidR="00237F40" w:rsidRPr="00D91062" w:rsidRDefault="00237F40" w:rsidP="000D040A">
            <w:pPr>
              <w:jc w:val="left"/>
              <w:rPr>
                <w:noProof/>
                <w:szCs w:val="24"/>
              </w:rPr>
            </w:pPr>
            <w:r w:rsidRPr="00D91062">
              <w:rPr>
                <w:noProof/>
              </w:rPr>
              <w:t>Articolul 5 alineatul (4)</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3FF20826" w14:textId="77777777" w:rsidR="00237F40" w:rsidRPr="00D91062" w:rsidRDefault="00237F40" w:rsidP="000D040A">
            <w:pPr>
              <w:jc w:val="left"/>
              <w:rPr>
                <w:noProof/>
                <w:szCs w:val="24"/>
              </w:rPr>
            </w:pPr>
            <w:r w:rsidRPr="00D91062">
              <w:rPr>
                <w:noProof/>
              </w:rPr>
              <w:t>Comisia</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432F5E97" w14:textId="77777777" w:rsidR="00237F40" w:rsidRPr="00D91062" w:rsidRDefault="00237F40" w:rsidP="000D040A">
            <w:pPr>
              <w:jc w:val="left"/>
              <w:rPr>
                <w:noProof/>
                <w:szCs w:val="24"/>
              </w:rPr>
            </w:pPr>
            <w:r w:rsidRPr="00D91062">
              <w:rPr>
                <w:noProof/>
              </w:rPr>
              <w:t>Solicitanții</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0B4C96F5" w14:textId="77777777" w:rsidR="00237F40" w:rsidRPr="00D91062" w:rsidRDefault="00237F40" w:rsidP="000D040A">
            <w:pPr>
              <w:jc w:val="left"/>
              <w:rPr>
                <w:noProof/>
                <w:szCs w:val="24"/>
              </w:rPr>
            </w:pPr>
            <w:r w:rsidRPr="00D91062">
              <w:rPr>
                <w:noProof/>
              </w:rPr>
              <w:t>Procedura de selecție comparativă la nivelul UE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1447EF27" w14:textId="77777777" w:rsidR="00237F40" w:rsidRPr="00D91062" w:rsidRDefault="00237F40" w:rsidP="000D040A">
            <w:pPr>
              <w:jc w:val="left"/>
              <w:rPr>
                <w:noProof/>
                <w:szCs w:val="24"/>
              </w:rPr>
            </w:pPr>
            <w:r w:rsidRPr="00D91062">
              <w:rPr>
                <w:noProof/>
              </w:rPr>
              <w:t>O dată</w:t>
            </w:r>
          </w:p>
        </w:tc>
      </w:tr>
      <w:tr w:rsidR="00237F40" w:rsidRPr="00D91062" w14:paraId="0B7AA5CA"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0A2CB4B8" w14:textId="77777777" w:rsidR="00237F40" w:rsidRPr="00D91062" w:rsidRDefault="00237F40" w:rsidP="000D040A">
            <w:pPr>
              <w:rPr>
                <w:noProof/>
                <w:szCs w:val="24"/>
              </w:rPr>
            </w:pPr>
            <w:r w:rsidRPr="00D91062">
              <w:rPr>
                <w:noProof/>
              </w:rPr>
              <w:t>Lista solicitanților admisibili</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701DC00C" w14:textId="77777777" w:rsidR="00237F40" w:rsidRPr="00D91062" w:rsidRDefault="00237F40" w:rsidP="000D040A">
            <w:pPr>
              <w:jc w:val="left"/>
              <w:rPr>
                <w:noProof/>
                <w:szCs w:val="24"/>
              </w:rPr>
            </w:pPr>
            <w:r w:rsidRPr="00D91062">
              <w:rPr>
                <w:noProof/>
              </w:rPr>
              <w:t>Articolul 5 alineatul (4)</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405D77F5" w14:textId="77777777" w:rsidR="00237F40" w:rsidRPr="00D91062" w:rsidRDefault="00237F40" w:rsidP="000D040A">
            <w:pPr>
              <w:jc w:val="left"/>
              <w:rPr>
                <w:noProof/>
                <w:szCs w:val="24"/>
              </w:rPr>
            </w:pPr>
            <w:r w:rsidRPr="00D91062">
              <w:rPr>
                <w:noProof/>
              </w:rPr>
              <w:t>Comisia</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5CCFC58C" w14:textId="77777777" w:rsidR="00237F40" w:rsidRPr="00D91062" w:rsidRDefault="00237F40" w:rsidP="000D040A">
            <w:pPr>
              <w:jc w:val="left"/>
              <w:rPr>
                <w:noProof/>
                <w:szCs w:val="24"/>
              </w:rPr>
            </w:pPr>
            <w:r w:rsidRPr="00D91062">
              <w:rPr>
                <w:noProof/>
              </w:rPr>
              <w:t>Solicitanții</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29DA7A01" w14:textId="77777777" w:rsidR="00237F40" w:rsidRPr="00D91062" w:rsidRDefault="00237F40" w:rsidP="000D040A">
            <w:pPr>
              <w:jc w:val="left"/>
              <w:rPr>
                <w:noProof/>
                <w:szCs w:val="24"/>
              </w:rPr>
            </w:pPr>
            <w:r w:rsidRPr="00D91062">
              <w:rPr>
                <w:noProof/>
              </w:rPr>
              <w:t>Procedura de selecție comparativă la nivelul UE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3D8752A7" w14:textId="77777777" w:rsidR="00237F40" w:rsidRPr="00D91062" w:rsidRDefault="00237F40" w:rsidP="000D040A">
            <w:pPr>
              <w:jc w:val="left"/>
              <w:rPr>
                <w:noProof/>
                <w:szCs w:val="24"/>
              </w:rPr>
            </w:pPr>
            <w:r w:rsidRPr="00D91062">
              <w:rPr>
                <w:noProof/>
              </w:rPr>
              <w:t>O dată</w:t>
            </w:r>
          </w:p>
        </w:tc>
      </w:tr>
      <w:tr w:rsidR="00237F40" w:rsidRPr="00D91062" w14:paraId="4D074886"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7B36F70B" w14:textId="77777777" w:rsidR="00237F40" w:rsidRPr="00D91062" w:rsidRDefault="00237F40" w:rsidP="000D040A">
            <w:pPr>
              <w:rPr>
                <w:noProof/>
              </w:rPr>
            </w:pPr>
            <w:r w:rsidRPr="00D91062">
              <w:rPr>
                <w:noProof/>
              </w:rPr>
              <w:t xml:space="preserve">Decizie motivată printr-un act de punere în aplicare </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06B057D6" w14:textId="77777777" w:rsidR="00237F40" w:rsidRPr="00D91062" w:rsidRDefault="00237F40" w:rsidP="000D040A">
            <w:pPr>
              <w:jc w:val="left"/>
              <w:rPr>
                <w:noProof/>
                <w:szCs w:val="24"/>
              </w:rPr>
            </w:pPr>
            <w:r w:rsidRPr="00D91062">
              <w:rPr>
                <w:noProof/>
              </w:rPr>
              <w:t>Articolul 5 alineatul (7)</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36266384" w14:textId="77777777" w:rsidR="00237F40" w:rsidRPr="00D91062" w:rsidRDefault="00237F40" w:rsidP="000D040A">
            <w:pPr>
              <w:jc w:val="left"/>
              <w:rPr>
                <w:noProof/>
                <w:szCs w:val="24"/>
              </w:rPr>
            </w:pPr>
            <w:r w:rsidRPr="00D91062">
              <w:rPr>
                <w:noProof/>
              </w:rPr>
              <w:t>Comisia</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79C49052" w14:textId="77777777" w:rsidR="00237F40" w:rsidRPr="00D91062" w:rsidRDefault="00237F40" w:rsidP="000D040A">
            <w:pPr>
              <w:jc w:val="left"/>
              <w:rPr>
                <w:noProof/>
                <w:szCs w:val="24"/>
              </w:rPr>
            </w:pPr>
            <w:r w:rsidRPr="00D91062">
              <w:rPr>
                <w:noProof/>
              </w:rPr>
              <w:t>Solicitanții</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04E1A409" w14:textId="77777777" w:rsidR="00237F40" w:rsidRPr="00D91062" w:rsidRDefault="00237F40" w:rsidP="000D040A">
            <w:pPr>
              <w:jc w:val="left"/>
              <w:rPr>
                <w:noProof/>
                <w:szCs w:val="24"/>
              </w:rPr>
            </w:pPr>
            <w:r w:rsidRPr="00D91062">
              <w:rPr>
                <w:noProof/>
              </w:rPr>
              <w:t>Procedura de selecție comparativă la nivelul UE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F5EA5B0" w14:textId="77777777" w:rsidR="00237F40" w:rsidRPr="00D91062" w:rsidRDefault="00237F40" w:rsidP="000D040A">
            <w:pPr>
              <w:jc w:val="left"/>
              <w:rPr>
                <w:noProof/>
                <w:szCs w:val="24"/>
              </w:rPr>
            </w:pPr>
            <w:r w:rsidRPr="00D91062">
              <w:rPr>
                <w:noProof/>
              </w:rPr>
              <w:t>O dată</w:t>
            </w:r>
          </w:p>
        </w:tc>
      </w:tr>
      <w:tr w:rsidR="00237F40" w:rsidRPr="00D91062" w14:paraId="0ED59368"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2B7612A0" w14:textId="77777777" w:rsidR="00237F40" w:rsidRPr="00D91062" w:rsidRDefault="00237F40" w:rsidP="000D040A">
            <w:pPr>
              <w:rPr>
                <w:noProof/>
              </w:rPr>
            </w:pPr>
            <w:r w:rsidRPr="00D91062">
              <w:rPr>
                <w:noProof/>
              </w:rPr>
              <w:t>Date privind respectarea de către solicitanți a cerințelor de admisibilitate pentru sistemul MSS/hibrid securizat</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6BB544B6" w14:textId="77777777" w:rsidR="00237F40" w:rsidRPr="00D91062" w:rsidRDefault="00237F40" w:rsidP="000D040A">
            <w:pPr>
              <w:jc w:val="left"/>
              <w:rPr>
                <w:noProof/>
                <w:szCs w:val="24"/>
              </w:rPr>
            </w:pPr>
            <w:r w:rsidRPr="00D91062">
              <w:rPr>
                <w:noProof/>
              </w:rPr>
              <w:t>Articolul 6 alineatul (1)</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2419E9FD" w14:textId="77777777" w:rsidR="00237F40" w:rsidRPr="00D91062" w:rsidRDefault="00237F40" w:rsidP="000D040A">
            <w:pPr>
              <w:jc w:val="left"/>
              <w:rPr>
                <w:noProof/>
                <w:szCs w:val="24"/>
              </w:rPr>
            </w:pPr>
            <w:r w:rsidRPr="00D91062">
              <w:rPr>
                <w:noProof/>
              </w:rPr>
              <w:t xml:space="preserve">Solicitanții </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113249BB" w14:textId="77777777" w:rsidR="00237F40" w:rsidRPr="00D91062" w:rsidRDefault="00237F40" w:rsidP="000D040A">
            <w:pPr>
              <w:jc w:val="left"/>
              <w:rPr>
                <w:noProof/>
                <w:szCs w:val="24"/>
              </w:rPr>
            </w:pPr>
            <w:r w:rsidRPr="00D91062">
              <w:rPr>
                <w:noProof/>
              </w:rPr>
              <w:t>Comisia</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514354F6" w14:textId="77777777" w:rsidR="00237F40" w:rsidRPr="00D91062" w:rsidRDefault="00237F40" w:rsidP="000D040A">
            <w:pPr>
              <w:jc w:val="left"/>
              <w:rPr>
                <w:noProof/>
                <w:szCs w:val="24"/>
              </w:rPr>
            </w:pPr>
            <w:r w:rsidRPr="00D91062">
              <w:rPr>
                <w:noProof/>
              </w:rPr>
              <w:t>Procedura de selecție comparativă la nivelul UE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1F1F4CE4" w14:textId="77777777" w:rsidR="00237F40" w:rsidRPr="00D91062" w:rsidRDefault="00237F40" w:rsidP="000D040A">
            <w:pPr>
              <w:jc w:val="left"/>
              <w:rPr>
                <w:noProof/>
                <w:szCs w:val="24"/>
              </w:rPr>
            </w:pPr>
            <w:r w:rsidRPr="00D91062">
              <w:rPr>
                <w:noProof/>
              </w:rPr>
              <w:t>O dată</w:t>
            </w:r>
          </w:p>
        </w:tc>
      </w:tr>
      <w:tr w:rsidR="00237F40" w:rsidRPr="00D91062" w14:paraId="50B4910B"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3284C8AF" w14:textId="77777777" w:rsidR="00237F40" w:rsidRPr="00D91062" w:rsidRDefault="00237F40" w:rsidP="000D040A">
            <w:pPr>
              <w:rPr>
                <w:noProof/>
                <w:szCs w:val="24"/>
              </w:rPr>
            </w:pPr>
            <w:r w:rsidRPr="00D91062">
              <w:rPr>
                <w:noProof/>
              </w:rPr>
              <w:t>Act delegat</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2B13BB7D" w14:textId="77777777" w:rsidR="00237F40" w:rsidRPr="00D91062" w:rsidRDefault="00237F40" w:rsidP="000D040A">
            <w:pPr>
              <w:jc w:val="left"/>
              <w:rPr>
                <w:noProof/>
                <w:szCs w:val="24"/>
              </w:rPr>
            </w:pPr>
            <w:r w:rsidRPr="00D91062">
              <w:rPr>
                <w:noProof/>
              </w:rPr>
              <w:t>Articolul 6 alineatul (4)</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2F0C830D" w14:textId="77777777" w:rsidR="00237F40" w:rsidRPr="00D91062" w:rsidRDefault="00237F40" w:rsidP="000D040A">
            <w:pPr>
              <w:jc w:val="left"/>
              <w:rPr>
                <w:noProof/>
                <w:szCs w:val="24"/>
              </w:rPr>
            </w:pPr>
            <w:r w:rsidRPr="00D91062">
              <w:rPr>
                <w:noProof/>
              </w:rPr>
              <w:t>Comisia</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0E0C5EFF" w14:textId="77777777" w:rsidR="00237F40" w:rsidRPr="00D91062" w:rsidRDefault="00237F40" w:rsidP="000D040A">
            <w:pPr>
              <w:jc w:val="left"/>
              <w:rPr>
                <w:noProof/>
                <w:szCs w:val="24"/>
              </w:rPr>
            </w:pPr>
            <w:r w:rsidRPr="00D91062">
              <w:rPr>
                <w:noProof/>
              </w:rPr>
              <w:t>Solicitanții</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0BA504E0" w14:textId="77777777" w:rsidR="00237F40" w:rsidRPr="00D91062" w:rsidRDefault="00237F40" w:rsidP="000D040A">
            <w:pPr>
              <w:jc w:val="left"/>
              <w:rPr>
                <w:noProof/>
                <w:szCs w:val="24"/>
              </w:rPr>
            </w:pPr>
            <w:r w:rsidRPr="00D91062">
              <w:rPr>
                <w:noProof/>
              </w:rPr>
              <w:t>Procedura de selecție comparativă la nivelul UE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4B8CD9B" w14:textId="77777777" w:rsidR="00237F40" w:rsidRPr="00D91062" w:rsidRDefault="00237F40" w:rsidP="000D040A">
            <w:pPr>
              <w:jc w:val="left"/>
              <w:rPr>
                <w:noProof/>
                <w:szCs w:val="24"/>
              </w:rPr>
            </w:pPr>
            <w:r w:rsidRPr="00D91062">
              <w:rPr>
                <w:noProof/>
              </w:rPr>
              <w:t>O dată (și dacă este cazul)</w:t>
            </w:r>
          </w:p>
        </w:tc>
      </w:tr>
      <w:tr w:rsidR="00237F40" w:rsidRPr="00D91062" w14:paraId="187D9B9A"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3A2D35C1" w14:textId="77777777" w:rsidR="00237F40" w:rsidRPr="00D91062" w:rsidRDefault="00237F40" w:rsidP="000D040A">
            <w:pPr>
              <w:rPr>
                <w:noProof/>
                <w:szCs w:val="24"/>
              </w:rPr>
            </w:pPr>
            <w:r w:rsidRPr="00D91062">
              <w:rPr>
                <w:noProof/>
              </w:rPr>
              <w:t>Date privind respectarea de către solicitanți a cerințelor de admisibilitate pentru sistemele MSS comerciale</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7373F005" w14:textId="77777777" w:rsidR="00237F40" w:rsidRPr="00D91062" w:rsidRDefault="00237F40" w:rsidP="000D040A">
            <w:pPr>
              <w:jc w:val="left"/>
              <w:rPr>
                <w:noProof/>
                <w:szCs w:val="24"/>
              </w:rPr>
            </w:pPr>
            <w:r w:rsidRPr="00D91062">
              <w:rPr>
                <w:noProof/>
              </w:rPr>
              <w:t>Articolul 9 alineatul (1)</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41CBF7E3" w14:textId="77777777" w:rsidR="00237F40" w:rsidRPr="00D91062" w:rsidRDefault="00237F40" w:rsidP="000D040A">
            <w:pPr>
              <w:jc w:val="left"/>
              <w:rPr>
                <w:noProof/>
                <w:szCs w:val="24"/>
              </w:rPr>
            </w:pPr>
            <w:r w:rsidRPr="00D91062">
              <w:rPr>
                <w:noProof/>
              </w:rPr>
              <w:t>Solicitanții</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48F193E9" w14:textId="77777777" w:rsidR="00237F40" w:rsidRPr="00D91062" w:rsidRDefault="00237F40" w:rsidP="000D040A">
            <w:pPr>
              <w:jc w:val="left"/>
              <w:rPr>
                <w:noProof/>
                <w:szCs w:val="24"/>
              </w:rPr>
            </w:pPr>
            <w:r w:rsidRPr="00D91062">
              <w:rPr>
                <w:noProof/>
              </w:rPr>
              <w:t>Comisia</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76C42051" w14:textId="77777777" w:rsidR="00237F40" w:rsidRPr="00D91062" w:rsidRDefault="00237F40" w:rsidP="000D040A">
            <w:pPr>
              <w:jc w:val="left"/>
              <w:rPr>
                <w:noProof/>
                <w:szCs w:val="24"/>
              </w:rPr>
            </w:pPr>
            <w:r w:rsidRPr="00D91062">
              <w:rPr>
                <w:noProof/>
              </w:rPr>
              <w:t>Procedura de selecție comparativă la nivelul UE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D18B8FD" w14:textId="77777777" w:rsidR="00237F40" w:rsidRPr="00D91062" w:rsidRDefault="00237F40" w:rsidP="000D040A">
            <w:pPr>
              <w:jc w:val="left"/>
              <w:rPr>
                <w:noProof/>
                <w:szCs w:val="24"/>
              </w:rPr>
            </w:pPr>
            <w:r w:rsidRPr="00D91062">
              <w:rPr>
                <w:noProof/>
              </w:rPr>
              <w:t>O dată</w:t>
            </w:r>
          </w:p>
        </w:tc>
      </w:tr>
      <w:tr w:rsidR="00237F40" w:rsidRPr="00D91062" w14:paraId="292EDA50"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25C726AF" w14:textId="77777777" w:rsidR="00237F40" w:rsidRPr="00D91062" w:rsidRDefault="00237F40" w:rsidP="000D040A">
            <w:pPr>
              <w:rPr>
                <w:noProof/>
              </w:rPr>
            </w:pPr>
            <w:r w:rsidRPr="00D91062">
              <w:rPr>
                <w:noProof/>
              </w:rPr>
              <w:t>Date privind respectarea de către solicitanți a cerințelor de admisibilitate pentru sistemele MSS comerciale</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6423C2D7" w14:textId="77777777" w:rsidR="00237F40" w:rsidRPr="00D91062" w:rsidRDefault="00237F40" w:rsidP="000D040A">
            <w:pPr>
              <w:jc w:val="left"/>
              <w:rPr>
                <w:noProof/>
              </w:rPr>
            </w:pPr>
            <w:r w:rsidRPr="00D91062">
              <w:rPr>
                <w:noProof/>
              </w:rPr>
              <w:t>Articolul 10 alineatul (1)</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4AF6A5F2" w14:textId="77777777" w:rsidR="00237F40" w:rsidRPr="00D91062" w:rsidRDefault="00237F40" w:rsidP="000D040A">
            <w:pPr>
              <w:jc w:val="left"/>
              <w:rPr>
                <w:noProof/>
                <w:szCs w:val="24"/>
              </w:rPr>
            </w:pPr>
            <w:r w:rsidRPr="00D91062">
              <w:rPr>
                <w:noProof/>
              </w:rPr>
              <w:t>Solicitanții</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734907B5" w14:textId="77777777" w:rsidR="00237F40" w:rsidRPr="00D91062" w:rsidRDefault="00237F40" w:rsidP="000D040A">
            <w:pPr>
              <w:jc w:val="left"/>
              <w:rPr>
                <w:noProof/>
                <w:szCs w:val="24"/>
              </w:rPr>
            </w:pPr>
            <w:r w:rsidRPr="00D91062">
              <w:rPr>
                <w:noProof/>
              </w:rPr>
              <w:t>Comisia</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53B99FF1" w14:textId="77777777" w:rsidR="00237F40" w:rsidRPr="00D91062" w:rsidRDefault="00237F40" w:rsidP="000D040A">
            <w:pPr>
              <w:jc w:val="left"/>
              <w:rPr>
                <w:noProof/>
                <w:szCs w:val="24"/>
              </w:rPr>
            </w:pPr>
            <w:r w:rsidRPr="00D91062">
              <w:rPr>
                <w:noProof/>
              </w:rPr>
              <w:t>Procedura de selecție comparativă la nivelul UE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1339BDB1" w14:textId="77777777" w:rsidR="00237F40" w:rsidRPr="00D91062" w:rsidRDefault="00237F40" w:rsidP="000D040A">
            <w:pPr>
              <w:jc w:val="left"/>
              <w:rPr>
                <w:noProof/>
                <w:szCs w:val="24"/>
              </w:rPr>
            </w:pPr>
            <w:r w:rsidRPr="00D91062">
              <w:rPr>
                <w:noProof/>
              </w:rPr>
              <w:t>O dată</w:t>
            </w:r>
          </w:p>
        </w:tc>
      </w:tr>
      <w:tr w:rsidR="00237F40" w:rsidRPr="00D91062" w14:paraId="5358DC6B"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0579EC95" w14:textId="77777777" w:rsidR="00237F40" w:rsidRPr="00D91062" w:rsidRDefault="00237F40" w:rsidP="000D040A">
            <w:pPr>
              <w:rPr>
                <w:noProof/>
                <w:szCs w:val="24"/>
              </w:rPr>
            </w:pPr>
            <w:r w:rsidRPr="00D91062">
              <w:rPr>
                <w:noProof/>
              </w:rPr>
              <w:t xml:space="preserve">Decizii motivate prin acte de punere în aplicare </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3175C87A" w14:textId="77777777" w:rsidR="00237F40" w:rsidRPr="00D91062" w:rsidRDefault="00237F40" w:rsidP="000D040A">
            <w:pPr>
              <w:jc w:val="left"/>
              <w:rPr>
                <w:noProof/>
              </w:rPr>
            </w:pPr>
            <w:r w:rsidRPr="00D91062">
              <w:rPr>
                <w:noProof/>
              </w:rPr>
              <w:t>Articolul 7 alineatul (2), articolul 8 alineatul (2), articolul 11 alineatul (2) și articolul 12 alineatul (2)</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0E98BA94" w14:textId="77777777" w:rsidR="00237F40" w:rsidRPr="00D91062" w:rsidRDefault="00237F40" w:rsidP="000D040A">
            <w:pPr>
              <w:jc w:val="left"/>
              <w:rPr>
                <w:noProof/>
                <w:szCs w:val="24"/>
              </w:rPr>
            </w:pPr>
            <w:r w:rsidRPr="00D91062">
              <w:rPr>
                <w:noProof/>
              </w:rPr>
              <w:t>Comisia</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143A7378" w14:textId="77777777" w:rsidR="00237F40" w:rsidRPr="00D91062" w:rsidRDefault="00237F40" w:rsidP="000D040A">
            <w:pPr>
              <w:jc w:val="left"/>
              <w:rPr>
                <w:noProof/>
                <w:szCs w:val="24"/>
              </w:rPr>
            </w:pPr>
            <w:r w:rsidRPr="00D91062">
              <w:rPr>
                <w:noProof/>
              </w:rPr>
              <w:t>Solicitanții</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216C82CF" w14:textId="77777777" w:rsidR="00237F40" w:rsidRPr="00D91062" w:rsidRDefault="00237F40" w:rsidP="000D040A">
            <w:pPr>
              <w:jc w:val="left"/>
              <w:rPr>
                <w:noProof/>
                <w:szCs w:val="24"/>
              </w:rPr>
            </w:pPr>
            <w:r w:rsidRPr="00D91062">
              <w:rPr>
                <w:noProof/>
              </w:rPr>
              <w:t>Etapa relevantă a procedurii de selecție comparativă la nivelul UE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AE30C39" w14:textId="77777777" w:rsidR="00237F40" w:rsidRPr="00D91062" w:rsidRDefault="00237F40" w:rsidP="000D040A">
            <w:pPr>
              <w:jc w:val="left"/>
              <w:rPr>
                <w:noProof/>
                <w:szCs w:val="24"/>
              </w:rPr>
            </w:pPr>
            <w:r w:rsidRPr="00D91062">
              <w:rPr>
                <w:noProof/>
              </w:rPr>
              <w:t>O dată</w:t>
            </w:r>
          </w:p>
        </w:tc>
      </w:tr>
      <w:tr w:rsidR="00237F40" w:rsidRPr="00D91062" w14:paraId="58703406"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130CDC6D" w14:textId="77777777" w:rsidR="00237F40" w:rsidRPr="00D91062" w:rsidRDefault="00237F40" w:rsidP="000D040A">
            <w:pPr>
              <w:rPr>
                <w:noProof/>
              </w:rPr>
            </w:pPr>
            <w:r w:rsidRPr="00D91062">
              <w:rPr>
                <w:noProof/>
              </w:rPr>
              <w:t>Act de punere în aplicare privind condițiile de autorizare generală</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6F70F61F" w14:textId="77777777" w:rsidR="00237F40" w:rsidRPr="00D91062" w:rsidRDefault="00237F40" w:rsidP="000D040A">
            <w:pPr>
              <w:jc w:val="left"/>
              <w:rPr>
                <w:noProof/>
              </w:rPr>
            </w:pPr>
            <w:r w:rsidRPr="00D91062">
              <w:rPr>
                <w:noProof/>
              </w:rPr>
              <w:t xml:space="preserve">Articolul 13 alineatul (5) </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5B9EE9C3" w14:textId="77777777" w:rsidR="00237F40" w:rsidRPr="00D91062" w:rsidRDefault="00237F40" w:rsidP="000D040A">
            <w:pPr>
              <w:jc w:val="left"/>
              <w:rPr>
                <w:noProof/>
                <w:szCs w:val="24"/>
              </w:rPr>
            </w:pPr>
            <w:r w:rsidRPr="00D91062">
              <w:rPr>
                <w:noProof/>
              </w:rPr>
              <w:t>Comisia</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7A7ACA42" w14:textId="77777777" w:rsidR="00237F40" w:rsidRPr="00D91062" w:rsidRDefault="00237F40" w:rsidP="000D040A">
            <w:pPr>
              <w:jc w:val="left"/>
              <w:rPr>
                <w:noProof/>
                <w:szCs w:val="24"/>
              </w:rPr>
            </w:pPr>
            <w:r w:rsidRPr="00D91062">
              <w:rPr>
                <w:noProof/>
              </w:rPr>
              <w:t>Solicitanții</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53AE3FCF" w14:textId="77777777" w:rsidR="00237F40" w:rsidRPr="00D91062" w:rsidRDefault="00237F40" w:rsidP="000D040A">
            <w:pPr>
              <w:jc w:val="left"/>
              <w:rPr>
                <w:noProof/>
                <w:szCs w:val="24"/>
              </w:rPr>
            </w:pPr>
            <w:r w:rsidRPr="00D91062">
              <w:rPr>
                <w:noProof/>
              </w:rPr>
              <w:t>Etapa relevantă a procedurii de selecție comparativă la nivelul UE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ED2CF86" w14:textId="77777777" w:rsidR="00237F40" w:rsidRPr="00D91062" w:rsidRDefault="00237F40" w:rsidP="000D040A">
            <w:pPr>
              <w:jc w:val="left"/>
              <w:rPr>
                <w:noProof/>
                <w:szCs w:val="24"/>
              </w:rPr>
            </w:pPr>
            <w:r w:rsidRPr="00D91062">
              <w:rPr>
                <w:noProof/>
              </w:rPr>
              <w:t>O dată (și dacă este cazul)</w:t>
            </w:r>
          </w:p>
        </w:tc>
      </w:tr>
      <w:tr w:rsidR="00237F40" w:rsidRPr="00D91062" w14:paraId="311AD053"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6388BD0B" w14:textId="77777777" w:rsidR="00237F40" w:rsidRPr="00D91062" w:rsidRDefault="00237F40" w:rsidP="000D040A">
            <w:pPr>
              <w:rPr>
                <w:noProof/>
              </w:rPr>
            </w:pPr>
            <w:r w:rsidRPr="00D91062">
              <w:rPr>
                <w:noProof/>
              </w:rPr>
              <w:t>Act de punere în aplicare referitor la stabilirea contribuțiilor</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0FC93A4C" w14:textId="77777777" w:rsidR="00237F40" w:rsidRPr="00D91062" w:rsidRDefault="00237F40" w:rsidP="000D040A">
            <w:pPr>
              <w:jc w:val="left"/>
              <w:rPr>
                <w:noProof/>
              </w:rPr>
            </w:pPr>
            <w:r w:rsidRPr="00D91062">
              <w:rPr>
                <w:noProof/>
              </w:rPr>
              <w:t>Articolul 18 alineatele (2) și (6)</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35CE2D48" w14:textId="77777777" w:rsidR="00237F40" w:rsidRPr="00D91062" w:rsidRDefault="00237F40" w:rsidP="000D040A">
            <w:pPr>
              <w:jc w:val="left"/>
              <w:rPr>
                <w:noProof/>
                <w:szCs w:val="24"/>
              </w:rPr>
            </w:pPr>
            <w:r w:rsidRPr="00D91062">
              <w:rPr>
                <w:noProof/>
              </w:rPr>
              <w:t>Comisia</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41ABFB6C" w14:textId="77777777" w:rsidR="00237F40" w:rsidRPr="00D91062" w:rsidRDefault="00237F40" w:rsidP="000D040A">
            <w:pPr>
              <w:jc w:val="left"/>
              <w:rPr>
                <w:noProof/>
                <w:szCs w:val="24"/>
              </w:rPr>
            </w:pPr>
            <w:r w:rsidRPr="00D91062">
              <w:rPr>
                <w:noProof/>
              </w:rPr>
              <w:t>Solicitanții</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7DD93705" w14:textId="77777777" w:rsidR="00237F40" w:rsidRPr="00D91062" w:rsidRDefault="00237F40" w:rsidP="000D040A">
            <w:pPr>
              <w:jc w:val="left"/>
              <w:rPr>
                <w:noProof/>
                <w:szCs w:val="24"/>
              </w:rPr>
            </w:pPr>
            <w:r w:rsidRPr="00D91062">
              <w:rPr>
                <w:noProof/>
              </w:rPr>
              <w:t>Etapa relevantă a procedurii de selecție comparativă la nivelul UE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1120C463" w14:textId="77777777" w:rsidR="00237F40" w:rsidRPr="00D91062" w:rsidRDefault="00237F40" w:rsidP="000D040A">
            <w:pPr>
              <w:jc w:val="left"/>
              <w:rPr>
                <w:noProof/>
                <w:szCs w:val="24"/>
              </w:rPr>
            </w:pPr>
            <w:r w:rsidRPr="00D91062">
              <w:rPr>
                <w:noProof/>
              </w:rPr>
              <w:t>O dată (și dacă este cazul)</w:t>
            </w:r>
          </w:p>
        </w:tc>
      </w:tr>
      <w:tr w:rsidR="00237F40" w:rsidRPr="00D91062" w14:paraId="1D1B2258"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6CB6C921" w14:textId="77777777" w:rsidR="00237F40" w:rsidRPr="00D91062" w:rsidRDefault="00237F40" w:rsidP="000D040A">
            <w:pPr>
              <w:rPr>
                <w:noProof/>
              </w:rPr>
            </w:pPr>
            <w:r w:rsidRPr="00D91062">
              <w:rPr>
                <w:noProof/>
              </w:rPr>
              <w:t>Act delegat privind metodologia referitoare la contribuții</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3B4EF40B" w14:textId="77777777" w:rsidR="00237F40" w:rsidRPr="00D91062" w:rsidRDefault="00237F40" w:rsidP="000D040A">
            <w:pPr>
              <w:jc w:val="left"/>
              <w:rPr>
                <w:noProof/>
              </w:rPr>
            </w:pPr>
            <w:r w:rsidRPr="00D91062">
              <w:rPr>
                <w:noProof/>
              </w:rPr>
              <w:t xml:space="preserve">Articolul 18 alineatul (5) </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5EF529FA" w14:textId="77777777" w:rsidR="00237F40" w:rsidRPr="00D91062" w:rsidRDefault="00237F40" w:rsidP="000D040A">
            <w:pPr>
              <w:jc w:val="left"/>
              <w:rPr>
                <w:noProof/>
              </w:rPr>
            </w:pPr>
            <w:r w:rsidRPr="00D91062">
              <w:rPr>
                <w:noProof/>
              </w:rPr>
              <w:t>Comisia</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7E584FCE" w14:textId="77777777" w:rsidR="00237F40" w:rsidRPr="00D91062" w:rsidRDefault="00237F40" w:rsidP="000D040A">
            <w:pPr>
              <w:jc w:val="left"/>
              <w:rPr>
                <w:noProof/>
              </w:rPr>
            </w:pPr>
            <w:r w:rsidRPr="00D91062">
              <w:rPr>
                <w:noProof/>
              </w:rPr>
              <w:t>Solicitanții</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1CFA98EF" w14:textId="77777777" w:rsidR="00237F40" w:rsidRPr="00D91062" w:rsidRDefault="00237F40" w:rsidP="000D040A">
            <w:pPr>
              <w:jc w:val="left"/>
              <w:rPr>
                <w:noProof/>
              </w:rPr>
            </w:pPr>
            <w:r w:rsidRPr="00D91062">
              <w:rPr>
                <w:noProof/>
              </w:rPr>
              <w:t>Etapa relevantă a procedurii de selecție comparativă la nivelul UE</w:t>
            </w:r>
          </w:p>
          <w:p w14:paraId="54C9CF7B" w14:textId="77777777" w:rsidR="00237F40" w:rsidRPr="00D91062" w:rsidRDefault="00237F40" w:rsidP="000D040A">
            <w:pPr>
              <w:jc w:val="left"/>
              <w:rPr>
                <w:noProof/>
              </w:rPr>
            </w:pP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D298689" w14:textId="77777777" w:rsidR="00237F40" w:rsidRPr="00D91062" w:rsidRDefault="00237F40" w:rsidP="000D040A">
            <w:pPr>
              <w:jc w:val="left"/>
              <w:rPr>
                <w:noProof/>
              </w:rPr>
            </w:pPr>
            <w:r w:rsidRPr="00D91062">
              <w:rPr>
                <w:noProof/>
              </w:rPr>
              <w:t>O dată</w:t>
            </w:r>
          </w:p>
        </w:tc>
      </w:tr>
      <w:tr w:rsidR="00237F40" w:rsidRPr="00D91062" w14:paraId="1C8EE1DF"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35014503" w14:textId="77777777" w:rsidR="00237F40" w:rsidRPr="00D91062" w:rsidRDefault="00237F40" w:rsidP="000D040A">
            <w:pPr>
              <w:rPr>
                <w:noProof/>
                <w:szCs w:val="24"/>
              </w:rPr>
            </w:pPr>
            <w:r w:rsidRPr="00D91062">
              <w:rPr>
                <w:noProof/>
              </w:rPr>
              <w:t>Declarații și elemente de probă</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0CC16307" w14:textId="77777777" w:rsidR="00237F40" w:rsidRPr="00D91062" w:rsidRDefault="00237F40" w:rsidP="000D040A">
            <w:pPr>
              <w:jc w:val="left"/>
              <w:rPr>
                <w:noProof/>
              </w:rPr>
            </w:pPr>
            <w:r w:rsidRPr="00D91062">
              <w:rPr>
                <w:noProof/>
              </w:rPr>
              <w:t>Articolul 9 alineatele (2) și (4), articolul 10 alineatele (2) și (4)</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7200BC56" w14:textId="77777777" w:rsidR="00237F40" w:rsidRPr="00D91062" w:rsidRDefault="00237F40" w:rsidP="000D040A">
            <w:pPr>
              <w:jc w:val="left"/>
              <w:rPr>
                <w:noProof/>
                <w:szCs w:val="24"/>
              </w:rPr>
            </w:pPr>
            <w:r w:rsidRPr="00D91062">
              <w:rPr>
                <w:noProof/>
              </w:rPr>
              <w:t>Solicitanți pentru furnizarea de sisteme MSS comerciale</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2146234F" w14:textId="77777777" w:rsidR="00237F40" w:rsidRPr="00D91062" w:rsidRDefault="00237F40" w:rsidP="000D040A">
            <w:pPr>
              <w:jc w:val="left"/>
              <w:rPr>
                <w:noProof/>
                <w:szCs w:val="24"/>
              </w:rPr>
            </w:pPr>
            <w:r w:rsidRPr="00D91062">
              <w:rPr>
                <w:noProof/>
              </w:rPr>
              <w:t xml:space="preserve">Comisia </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1AC54F1D" w14:textId="77777777" w:rsidR="00237F40" w:rsidRPr="00D91062" w:rsidRDefault="00237F40" w:rsidP="000D040A">
            <w:pPr>
              <w:jc w:val="left"/>
              <w:rPr>
                <w:noProof/>
                <w:szCs w:val="24"/>
              </w:rPr>
            </w:pPr>
            <w:r w:rsidRPr="00D91062">
              <w:rPr>
                <w:noProof/>
              </w:rPr>
              <w:t>Etapa relevantă a procedurii de selecție comparativă la nivelul UE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1E78D4F8" w14:textId="77777777" w:rsidR="00237F40" w:rsidRPr="00D91062" w:rsidRDefault="00237F40" w:rsidP="000D040A">
            <w:pPr>
              <w:jc w:val="left"/>
              <w:rPr>
                <w:noProof/>
                <w:szCs w:val="24"/>
              </w:rPr>
            </w:pPr>
            <w:r w:rsidRPr="00D91062">
              <w:rPr>
                <w:noProof/>
              </w:rPr>
              <w:t>O dată</w:t>
            </w:r>
          </w:p>
        </w:tc>
      </w:tr>
      <w:tr w:rsidR="00237F40" w:rsidRPr="00D91062" w14:paraId="6D6F6870"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307BEF32" w14:textId="77777777" w:rsidR="00237F40" w:rsidRPr="00D91062" w:rsidRDefault="00237F40" w:rsidP="000D040A">
            <w:pPr>
              <w:rPr>
                <w:noProof/>
                <w:szCs w:val="24"/>
              </w:rPr>
            </w:pPr>
            <w:r w:rsidRPr="00D91062">
              <w:rPr>
                <w:noProof/>
              </w:rPr>
              <w:t>Raport anual care să detalieze stadiul de dezvoltare a sistemului propus.</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1D941A12" w14:textId="77777777" w:rsidR="00237F40" w:rsidRPr="00D91062" w:rsidRDefault="00237F40" w:rsidP="000D040A">
            <w:pPr>
              <w:jc w:val="left"/>
              <w:rPr>
                <w:noProof/>
              </w:rPr>
            </w:pPr>
            <w:r w:rsidRPr="00D91062">
              <w:rPr>
                <w:noProof/>
              </w:rPr>
              <w:t>Articolul 14 alineatul (1) litera (l) și articolul 15 alineatul (1) litera (h)</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55B8F443" w14:textId="77777777" w:rsidR="00237F40" w:rsidRPr="00D91062" w:rsidRDefault="00237F40" w:rsidP="000D040A">
            <w:pPr>
              <w:jc w:val="left"/>
              <w:rPr>
                <w:noProof/>
              </w:rPr>
            </w:pPr>
            <w:r w:rsidRPr="00D91062">
              <w:rPr>
                <w:noProof/>
              </w:rPr>
              <w:t>Titularul autorizației pentru sistemul MSS/hibrid securizat acordate în temeiul articolului 13 alineatul (1)</w:t>
            </w:r>
          </w:p>
          <w:p w14:paraId="337F925F" w14:textId="77777777" w:rsidR="00237F40" w:rsidRPr="00D91062" w:rsidRDefault="00237F40" w:rsidP="000D040A">
            <w:pPr>
              <w:jc w:val="left"/>
              <w:rPr>
                <w:noProof/>
                <w:szCs w:val="24"/>
              </w:rPr>
            </w:pPr>
            <w:r w:rsidRPr="00D91062">
              <w:rPr>
                <w:noProof/>
              </w:rPr>
              <w:t>Titularii autorizației pentru sisteme MSS comerciale acordate în temeiul articolului 13 alineatul (1).</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401F0CCB" w14:textId="77777777" w:rsidR="00237F40" w:rsidRPr="00D91062" w:rsidRDefault="00237F40" w:rsidP="000D040A">
            <w:pPr>
              <w:jc w:val="left"/>
              <w:rPr>
                <w:noProof/>
                <w:szCs w:val="24"/>
              </w:rPr>
            </w:pPr>
            <w:r w:rsidRPr="00D91062">
              <w:rPr>
                <w:noProof/>
              </w:rPr>
              <w:t>Comisia și Comitetul pentru comunicații</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023AB020" w14:textId="77777777" w:rsidR="00237F40" w:rsidRPr="00D91062" w:rsidRDefault="00237F40" w:rsidP="000D040A">
            <w:pPr>
              <w:jc w:val="left"/>
              <w:rPr>
                <w:noProof/>
                <w:szCs w:val="24"/>
              </w:rPr>
            </w:pPr>
            <w:r w:rsidRPr="00D91062">
              <w:rPr>
                <w:noProof/>
              </w:rPr>
              <w:t>Procedura de selecție comparativă la nivelul UE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20837014" w14:textId="77777777" w:rsidR="00237F40" w:rsidRPr="00D91062" w:rsidRDefault="00237F40" w:rsidP="000D040A">
            <w:pPr>
              <w:jc w:val="left"/>
              <w:rPr>
                <w:noProof/>
                <w:szCs w:val="24"/>
              </w:rPr>
            </w:pPr>
            <w:r w:rsidRPr="00D91062">
              <w:rPr>
                <w:noProof/>
              </w:rPr>
              <w:t xml:space="preserve">O dată </w:t>
            </w:r>
          </w:p>
        </w:tc>
      </w:tr>
      <w:tr w:rsidR="00237F40" w:rsidRPr="00D91062" w14:paraId="2EEE69C5"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660671DE" w14:textId="77777777" w:rsidR="00237F40" w:rsidRPr="00D91062" w:rsidRDefault="00237F40" w:rsidP="000D040A">
            <w:pPr>
              <w:rPr>
                <w:noProof/>
                <w:szCs w:val="24"/>
              </w:rPr>
            </w:pPr>
            <w:r w:rsidRPr="00D91062">
              <w:rPr>
                <w:noProof/>
              </w:rPr>
              <w:t>Informații privind acreditarea de securitate a sistemelor prin satelit</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204B421E" w14:textId="77777777" w:rsidR="00237F40" w:rsidRPr="00D91062" w:rsidRDefault="00237F40" w:rsidP="000D040A">
            <w:pPr>
              <w:jc w:val="left"/>
              <w:rPr>
                <w:noProof/>
              </w:rPr>
            </w:pPr>
            <w:r w:rsidRPr="00D91062">
              <w:rPr>
                <w:noProof/>
              </w:rPr>
              <w:t>Articolul 7 alineatul (1) litera (g)</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02344508" w14:textId="77777777" w:rsidR="00237F40" w:rsidRPr="00D91062" w:rsidRDefault="00237F40" w:rsidP="000D040A">
            <w:pPr>
              <w:jc w:val="left"/>
              <w:rPr>
                <w:noProof/>
                <w:szCs w:val="24"/>
              </w:rPr>
            </w:pPr>
            <w:r w:rsidRPr="00D91062">
              <w:rPr>
                <w:noProof/>
              </w:rPr>
              <w:t>Solicitantul spectrului de frecvențe pentru sistemul MSS/hibrid securizat</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2A48E600" w14:textId="77777777" w:rsidR="00237F40" w:rsidRPr="00D91062" w:rsidRDefault="00237F40" w:rsidP="000D040A">
            <w:pPr>
              <w:jc w:val="left"/>
              <w:rPr>
                <w:noProof/>
                <w:szCs w:val="24"/>
              </w:rPr>
            </w:pPr>
            <w:r w:rsidRPr="00D91062">
              <w:rPr>
                <w:noProof/>
              </w:rPr>
              <w:t>Comisia</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49AC5A47" w14:textId="77777777" w:rsidR="00237F40" w:rsidRPr="00D91062" w:rsidRDefault="00237F40" w:rsidP="000D040A">
            <w:pPr>
              <w:jc w:val="left"/>
              <w:rPr>
                <w:noProof/>
                <w:szCs w:val="24"/>
              </w:rPr>
            </w:pPr>
            <w:r w:rsidRPr="00D91062">
              <w:rPr>
                <w:noProof/>
              </w:rPr>
              <w:t>Procedura de selecție comparativă la nivelul UE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7410432F" w14:textId="77777777" w:rsidR="00237F40" w:rsidRPr="00D91062" w:rsidRDefault="00237F40" w:rsidP="000D040A">
            <w:pPr>
              <w:jc w:val="left"/>
              <w:rPr>
                <w:noProof/>
                <w:szCs w:val="24"/>
              </w:rPr>
            </w:pPr>
            <w:r w:rsidRPr="00D91062">
              <w:rPr>
                <w:noProof/>
              </w:rPr>
              <w:t>O dată</w:t>
            </w:r>
          </w:p>
        </w:tc>
      </w:tr>
      <w:tr w:rsidR="00237F40" w:rsidRPr="00D91062" w14:paraId="16D2C2E7"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0B5C829C" w14:textId="77777777" w:rsidR="00237F40" w:rsidRPr="00D91062" w:rsidRDefault="00237F40" w:rsidP="000D040A">
            <w:pPr>
              <w:rPr>
                <w:noProof/>
                <w:szCs w:val="24"/>
              </w:rPr>
            </w:pPr>
            <w:r w:rsidRPr="00D91062">
              <w:rPr>
                <w:noProof/>
              </w:rPr>
              <w:t>Informații UE clasificate (IUEC)</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770B5E8E" w14:textId="77777777" w:rsidR="00237F40" w:rsidRPr="00D91062" w:rsidRDefault="00237F40" w:rsidP="000D040A">
            <w:pPr>
              <w:jc w:val="left"/>
              <w:rPr>
                <w:noProof/>
              </w:rPr>
            </w:pPr>
            <w:r w:rsidRPr="00D91062">
              <w:rPr>
                <w:noProof/>
              </w:rPr>
              <w:t>Articolul 14 alineatul (1) litera (k)</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0A375D28" w14:textId="77777777" w:rsidR="00237F40" w:rsidRPr="00D91062" w:rsidRDefault="00237F40" w:rsidP="000D040A">
            <w:pPr>
              <w:jc w:val="left"/>
              <w:rPr>
                <w:noProof/>
                <w:szCs w:val="24"/>
              </w:rPr>
            </w:pPr>
            <w:r w:rsidRPr="00D91062">
              <w:rPr>
                <w:noProof/>
              </w:rPr>
              <w:t>Titularul autorizației pentru un sistem MSS/hibrid securizat acordate în temeiul articolului 11 alineatul (1)</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08FD8CD8" w14:textId="77777777" w:rsidR="00237F40" w:rsidRPr="00D91062" w:rsidRDefault="00237F40" w:rsidP="000D040A">
            <w:pPr>
              <w:jc w:val="left"/>
              <w:rPr>
                <w:noProof/>
                <w:szCs w:val="24"/>
              </w:rPr>
            </w:pPr>
            <w:r w:rsidRPr="00D91062">
              <w:rPr>
                <w:noProof/>
              </w:rPr>
              <w:t>Comisia</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0210EE9F" w14:textId="77777777" w:rsidR="00237F40" w:rsidRPr="00D91062" w:rsidRDefault="00237F40" w:rsidP="000D040A">
            <w:pPr>
              <w:jc w:val="left"/>
              <w:rPr>
                <w:noProof/>
                <w:szCs w:val="24"/>
              </w:rPr>
            </w:pPr>
            <w:r w:rsidRPr="00D91062">
              <w:rPr>
                <w:noProof/>
              </w:rPr>
              <w:t>Procedura de selecție comparativă la nivelul UE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E9F0D6C" w14:textId="77777777" w:rsidR="00237F40" w:rsidRPr="00D91062" w:rsidRDefault="00237F40" w:rsidP="000D040A">
            <w:pPr>
              <w:jc w:val="left"/>
              <w:rPr>
                <w:noProof/>
                <w:szCs w:val="24"/>
              </w:rPr>
            </w:pPr>
            <w:r w:rsidRPr="00D91062">
              <w:rPr>
                <w:noProof/>
              </w:rPr>
              <w:t>O dată</w:t>
            </w:r>
          </w:p>
        </w:tc>
      </w:tr>
      <w:tr w:rsidR="00237F40" w:rsidRPr="00D91062" w14:paraId="2B2CD38A"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2E8BDA28" w14:textId="77777777" w:rsidR="00237F40" w:rsidRPr="00D91062" w:rsidRDefault="00237F40" w:rsidP="000D040A">
            <w:pPr>
              <w:rPr>
                <w:noProof/>
                <w:szCs w:val="24"/>
              </w:rPr>
            </w:pPr>
            <w:r w:rsidRPr="00D91062">
              <w:rPr>
                <w:noProof/>
              </w:rPr>
              <w:t>Date provenite din monitorizarea conformității titularilor de autorizații ale Uniunii pentru utilizarea benzii MSS de 2 GHz</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463CF9E3" w14:textId="77777777" w:rsidR="00237F40" w:rsidRPr="00D91062" w:rsidRDefault="00237F40" w:rsidP="000D040A">
            <w:pPr>
              <w:jc w:val="left"/>
              <w:rPr>
                <w:noProof/>
                <w:szCs w:val="24"/>
              </w:rPr>
            </w:pPr>
            <w:r w:rsidRPr="00D91062">
              <w:rPr>
                <w:noProof/>
              </w:rPr>
              <w:t>Articolul 19 alineatul (1)</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2C4B4CA3" w14:textId="77777777" w:rsidR="00237F40" w:rsidRPr="00D91062" w:rsidRDefault="00237F40" w:rsidP="000D040A">
            <w:pPr>
              <w:jc w:val="left"/>
              <w:rPr>
                <w:noProof/>
                <w:szCs w:val="24"/>
              </w:rPr>
            </w:pPr>
            <w:r w:rsidRPr="00D91062">
              <w:rPr>
                <w:noProof/>
              </w:rPr>
              <w:t>Titularii autorizației Uniunii pentru utilizarea benzii MSS de 2 GHz</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5FC7D484" w14:textId="77777777" w:rsidR="00237F40" w:rsidRPr="00D91062" w:rsidRDefault="00237F40" w:rsidP="000D040A">
            <w:pPr>
              <w:jc w:val="left"/>
              <w:rPr>
                <w:noProof/>
                <w:szCs w:val="24"/>
              </w:rPr>
            </w:pPr>
            <w:r w:rsidRPr="00D91062">
              <w:rPr>
                <w:noProof/>
              </w:rPr>
              <w:t>Comisia și statele membre, în colaborare cu Comitetul pentru comunicații și cu RSPG</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1030BADA" w14:textId="77777777" w:rsidR="00237F40" w:rsidRPr="00D91062" w:rsidRDefault="00237F40" w:rsidP="000D040A">
            <w:pPr>
              <w:jc w:val="left"/>
              <w:rPr>
                <w:noProof/>
                <w:szCs w:val="24"/>
              </w:rPr>
            </w:pPr>
            <w:r w:rsidRPr="00D91062">
              <w:rPr>
                <w:noProof/>
              </w:rPr>
              <w:t>Procedura de selecție comparativă la nivelul UE</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387CEA14" w14:textId="77777777" w:rsidR="00237F40" w:rsidRPr="00D91062" w:rsidRDefault="00237F40" w:rsidP="000D040A">
            <w:pPr>
              <w:jc w:val="left"/>
              <w:rPr>
                <w:noProof/>
                <w:szCs w:val="24"/>
              </w:rPr>
            </w:pPr>
            <w:r w:rsidRPr="00D91062">
              <w:rPr>
                <w:noProof/>
              </w:rPr>
              <w:t>Permanentă</w:t>
            </w:r>
          </w:p>
        </w:tc>
      </w:tr>
      <w:tr w:rsidR="00237F40" w:rsidRPr="00D91062" w14:paraId="7F8C4262" w14:textId="77777777" w:rsidTr="000D040A">
        <w:trPr>
          <w:trHeight w:val="5055"/>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71BC198A" w14:textId="77777777" w:rsidR="00237F40" w:rsidRPr="00D91062" w:rsidRDefault="00237F40" w:rsidP="000D040A">
            <w:pPr>
              <w:rPr>
                <w:noProof/>
              </w:rPr>
            </w:pPr>
            <w:r w:rsidRPr="00D91062">
              <w:rPr>
                <w:noProof/>
              </w:rPr>
              <w:t>Decizia de a impune condiții de utilizare în comun pentru a permite testarea și utilizarea experimentală a benzii.</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582CBD1D" w14:textId="77777777" w:rsidR="00237F40" w:rsidRPr="00D91062" w:rsidRDefault="00237F40" w:rsidP="000D040A">
            <w:pPr>
              <w:jc w:val="left"/>
              <w:rPr>
                <w:noProof/>
              </w:rPr>
            </w:pPr>
            <w:r w:rsidRPr="00D91062">
              <w:rPr>
                <w:noProof/>
              </w:rPr>
              <w:t>Articolul 20 alineatul (2)</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475FF6A6" w14:textId="77777777" w:rsidR="00237F40" w:rsidRPr="00D91062" w:rsidRDefault="00237F40" w:rsidP="000D040A">
            <w:pPr>
              <w:jc w:val="left"/>
              <w:rPr>
                <w:noProof/>
                <w:szCs w:val="24"/>
              </w:rPr>
            </w:pPr>
            <w:r w:rsidRPr="00D91062">
              <w:rPr>
                <w:noProof/>
              </w:rPr>
              <w:t>Comisia</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47861479" w14:textId="77777777" w:rsidR="00237F40" w:rsidRPr="00D91062" w:rsidRDefault="00237F40" w:rsidP="000D040A">
            <w:pPr>
              <w:jc w:val="left"/>
              <w:rPr>
                <w:noProof/>
                <w:szCs w:val="24"/>
              </w:rPr>
            </w:pPr>
            <w:r w:rsidRPr="00D91062">
              <w:rPr>
                <w:noProof/>
              </w:rPr>
              <w:t>Titularul (titularii) tradițional (tradiționali) ai drepturilor</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7DCC3B72" w14:textId="77777777" w:rsidR="00237F40" w:rsidRPr="00D91062" w:rsidRDefault="00237F40" w:rsidP="000D040A">
            <w:pPr>
              <w:jc w:val="left"/>
              <w:rPr>
                <w:noProof/>
              </w:rPr>
            </w:pPr>
            <w:r w:rsidRPr="00D91062">
              <w:rPr>
                <w:noProof/>
              </w:rPr>
              <w:t>Necesitatea de a impune condiții de utilizare în comun pentru a permite testarea și utilizarea experimentală a benzii.</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1F118E49" w14:textId="77777777" w:rsidR="00237F40" w:rsidRPr="00D91062" w:rsidRDefault="00237F40" w:rsidP="000D040A">
            <w:pPr>
              <w:jc w:val="left"/>
              <w:rPr>
                <w:noProof/>
              </w:rPr>
            </w:pPr>
            <w:r w:rsidRPr="00D91062">
              <w:rPr>
                <w:noProof/>
              </w:rPr>
              <w:t>O dată (și dacă este cazul)</w:t>
            </w:r>
          </w:p>
        </w:tc>
      </w:tr>
      <w:tr w:rsidR="00237F40" w:rsidRPr="00D91062" w14:paraId="73B74BC7" w14:textId="77777777" w:rsidTr="000D040A">
        <w:trPr>
          <w:trHeight w:val="300"/>
        </w:trPr>
        <w:tc>
          <w:tcPr>
            <w:tcW w:w="1563" w:type="dxa"/>
            <w:tcBorders>
              <w:top w:val="single" w:sz="8" w:space="0" w:color="auto"/>
              <w:left w:val="single" w:sz="8" w:space="0" w:color="auto"/>
              <w:bottom w:val="single" w:sz="8" w:space="0" w:color="auto"/>
              <w:right w:val="single" w:sz="8" w:space="0" w:color="auto"/>
            </w:tcBorders>
            <w:tcMar>
              <w:left w:w="108" w:type="dxa"/>
              <w:right w:w="108" w:type="dxa"/>
            </w:tcMar>
          </w:tcPr>
          <w:p w14:paraId="42DBAED3" w14:textId="77777777" w:rsidR="00237F40" w:rsidRPr="00D91062" w:rsidRDefault="00237F40" w:rsidP="000D040A">
            <w:pPr>
              <w:rPr>
                <w:noProof/>
              </w:rPr>
            </w:pPr>
            <w:r w:rsidRPr="00D91062">
              <w:rPr>
                <w:noProof/>
              </w:rPr>
              <w:t>Notificarea adoptării unui act delegat</w:t>
            </w:r>
          </w:p>
        </w:tc>
        <w:tc>
          <w:tcPr>
            <w:tcW w:w="1749" w:type="dxa"/>
            <w:tcBorders>
              <w:top w:val="single" w:sz="8" w:space="0" w:color="auto"/>
              <w:left w:val="single" w:sz="8" w:space="0" w:color="auto"/>
              <w:bottom w:val="single" w:sz="8" w:space="0" w:color="auto"/>
              <w:right w:val="single" w:sz="8" w:space="0" w:color="auto"/>
            </w:tcBorders>
            <w:tcMar>
              <w:left w:w="108" w:type="dxa"/>
              <w:right w:w="108" w:type="dxa"/>
            </w:tcMar>
          </w:tcPr>
          <w:p w14:paraId="00CEACFF" w14:textId="77777777" w:rsidR="00237F40" w:rsidRPr="00D91062" w:rsidRDefault="00237F40" w:rsidP="000D040A">
            <w:pPr>
              <w:jc w:val="left"/>
              <w:rPr>
                <w:noProof/>
              </w:rPr>
            </w:pPr>
            <w:r w:rsidRPr="00D91062">
              <w:rPr>
                <w:noProof/>
              </w:rPr>
              <w:t>Articolul 21 alineatul (5)</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13CF6C09" w14:textId="77777777" w:rsidR="00237F40" w:rsidRPr="00D91062" w:rsidRDefault="00237F40" w:rsidP="000D040A">
            <w:pPr>
              <w:jc w:val="left"/>
              <w:rPr>
                <w:noProof/>
              </w:rPr>
            </w:pPr>
            <w:r w:rsidRPr="00D91062">
              <w:rPr>
                <w:noProof/>
              </w:rPr>
              <w:t>Comisia</w:t>
            </w:r>
          </w:p>
        </w:tc>
        <w:tc>
          <w:tcPr>
            <w:tcW w:w="1856" w:type="dxa"/>
            <w:tcBorders>
              <w:top w:val="single" w:sz="8" w:space="0" w:color="auto"/>
              <w:left w:val="single" w:sz="8" w:space="0" w:color="auto"/>
              <w:bottom w:val="single" w:sz="8" w:space="0" w:color="auto"/>
              <w:right w:val="single" w:sz="8" w:space="0" w:color="auto"/>
            </w:tcBorders>
            <w:tcMar>
              <w:left w:w="108" w:type="dxa"/>
              <w:right w:w="108" w:type="dxa"/>
            </w:tcMar>
          </w:tcPr>
          <w:p w14:paraId="17704DFF" w14:textId="77777777" w:rsidR="00237F40" w:rsidRPr="00D91062" w:rsidRDefault="00237F40" w:rsidP="000D040A">
            <w:pPr>
              <w:jc w:val="left"/>
              <w:rPr>
                <w:noProof/>
              </w:rPr>
            </w:pPr>
            <w:r w:rsidRPr="00D91062">
              <w:rPr>
                <w:noProof/>
              </w:rPr>
              <w:t>Parlamentul European și Consiliul</w:t>
            </w:r>
          </w:p>
        </w:tc>
        <w:tc>
          <w:tcPr>
            <w:tcW w:w="1469" w:type="dxa"/>
            <w:tcBorders>
              <w:top w:val="single" w:sz="8" w:space="0" w:color="auto"/>
              <w:left w:val="single" w:sz="8" w:space="0" w:color="auto"/>
              <w:bottom w:val="single" w:sz="8" w:space="0" w:color="auto"/>
              <w:right w:val="single" w:sz="8" w:space="0" w:color="auto"/>
            </w:tcBorders>
            <w:tcMar>
              <w:left w:w="108" w:type="dxa"/>
              <w:right w:w="108" w:type="dxa"/>
            </w:tcMar>
          </w:tcPr>
          <w:p w14:paraId="4A6CDB82" w14:textId="77777777" w:rsidR="00237F40" w:rsidRPr="00D91062" w:rsidRDefault="00237F40" w:rsidP="000D040A">
            <w:pPr>
              <w:jc w:val="left"/>
              <w:rPr>
                <w:noProof/>
              </w:rPr>
            </w:pPr>
            <w:r w:rsidRPr="00D91062">
              <w:rPr>
                <w:noProof/>
              </w:rPr>
              <w:t>Adoptarea unui act delegat</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4D2DDE55" w14:textId="77777777" w:rsidR="00237F40" w:rsidRPr="00D91062" w:rsidRDefault="00237F40" w:rsidP="000D040A">
            <w:pPr>
              <w:jc w:val="left"/>
              <w:rPr>
                <w:noProof/>
              </w:rPr>
            </w:pPr>
            <w:r w:rsidRPr="00D91062">
              <w:rPr>
                <w:noProof/>
              </w:rPr>
              <w:t>O dată</w:t>
            </w:r>
          </w:p>
        </w:tc>
      </w:tr>
    </w:tbl>
    <w:p w14:paraId="59E2F685" w14:textId="77777777" w:rsidR="002A7BA5" w:rsidRPr="00D91062" w:rsidRDefault="002A7BA5" w:rsidP="00D664CB">
      <w:pPr>
        <w:rPr>
          <w:noProof/>
        </w:rPr>
      </w:pPr>
    </w:p>
    <w:p w14:paraId="73183570" w14:textId="77777777" w:rsidR="00D664CB" w:rsidRPr="00D91062" w:rsidRDefault="00D664CB" w:rsidP="009B43DF">
      <w:pPr>
        <w:keepNext/>
        <w:outlineLvl w:val="1"/>
        <w:rPr>
          <w:rFonts w:eastAsia="Times New Roman"/>
          <w:b/>
          <w:noProof/>
          <w:color w:val="000000" w:themeColor="text1"/>
        </w:rPr>
      </w:pPr>
      <w:r w:rsidRPr="00D91062">
        <w:rPr>
          <w:b/>
          <w:noProof/>
          <w:color w:val="000000" w:themeColor="text1"/>
        </w:rPr>
        <w:t>4.4.</w:t>
      </w:r>
      <w:r w:rsidRPr="00D91062">
        <w:rPr>
          <w:noProof/>
        </w:rPr>
        <w:tab/>
      </w:r>
      <w:r w:rsidRPr="00D91062">
        <w:rPr>
          <w:b/>
          <w:noProof/>
          <w:color w:val="000000" w:themeColor="text1"/>
        </w:rPr>
        <w:t>Soluții digitale</w:t>
      </w:r>
    </w:p>
    <w:p w14:paraId="02C703D3" w14:textId="77777777" w:rsidR="00D664CB" w:rsidRPr="00D91062" w:rsidRDefault="00D664CB" w:rsidP="00D664CB">
      <w:pPr>
        <w:keepNext/>
        <w:rPr>
          <w:rFonts w:eastAsia="Times New Roman"/>
          <w:i/>
          <w:iCs/>
          <w:noProof/>
          <w:szCs w:val="24"/>
        </w:rPr>
      </w:pPr>
      <w:r w:rsidRPr="00D91062">
        <w:rPr>
          <w:i/>
          <w:noProof/>
        </w:rPr>
        <w:t>Descriere la nivel înalt a soluțiilor digitale</w:t>
      </w:r>
    </w:p>
    <w:tbl>
      <w:tblPr>
        <w:tblStyle w:val="TableGrid"/>
        <w:tblW w:w="0" w:type="auto"/>
        <w:tblLook w:val="04A0" w:firstRow="1" w:lastRow="0" w:firstColumn="1" w:lastColumn="0" w:noHBand="0" w:noVBand="1"/>
      </w:tblPr>
      <w:tblGrid>
        <w:gridCol w:w="978"/>
        <w:gridCol w:w="1555"/>
        <w:gridCol w:w="1456"/>
        <w:gridCol w:w="1263"/>
        <w:gridCol w:w="1516"/>
        <w:gridCol w:w="1216"/>
        <w:gridCol w:w="1305"/>
      </w:tblGrid>
      <w:tr w:rsidR="00D664CB" w:rsidRPr="00D91062" w14:paraId="39BE1119" w14:textId="77777777" w:rsidTr="00A2361B">
        <w:trPr>
          <w:trHeight w:val="300"/>
        </w:trPr>
        <w:tc>
          <w:tcPr>
            <w:tcW w:w="10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EA6C21" w14:textId="77777777" w:rsidR="00D664CB" w:rsidRPr="00D91062" w:rsidRDefault="00D664CB" w:rsidP="00D664CB">
            <w:pPr>
              <w:spacing w:before="0" w:after="0"/>
              <w:rPr>
                <w:b/>
                <w:bCs/>
                <w:noProof/>
                <w:color w:val="000000" w:themeColor="text1"/>
                <w:sz w:val="20"/>
              </w:rPr>
            </w:pPr>
            <w:r w:rsidRPr="00D91062">
              <w:rPr>
                <w:b/>
                <w:noProof/>
                <w:color w:val="000000" w:themeColor="text1"/>
                <w:sz w:val="20"/>
              </w:rPr>
              <w:t>Soluția digitală</w:t>
            </w:r>
          </w:p>
        </w:tc>
        <w:tc>
          <w:tcPr>
            <w:tcW w:w="17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742E37D" w14:textId="77777777" w:rsidR="00D664CB" w:rsidRPr="00D91062" w:rsidRDefault="00D664CB" w:rsidP="00D664CB">
            <w:pPr>
              <w:rPr>
                <w:b/>
                <w:bCs/>
                <w:noProof/>
                <w:sz w:val="20"/>
              </w:rPr>
            </w:pPr>
            <w:r w:rsidRPr="00D91062">
              <w:rPr>
                <w:b/>
                <w:noProof/>
                <w:sz w:val="20"/>
              </w:rPr>
              <w:t>Trimitere (trimiteri) la cerință (cerințe)</w:t>
            </w: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C1E176B" w14:textId="77777777" w:rsidR="00D664CB" w:rsidRPr="00D91062" w:rsidRDefault="00D664CB" w:rsidP="00D664CB">
            <w:pPr>
              <w:spacing w:before="0" w:after="0"/>
              <w:rPr>
                <w:b/>
                <w:bCs/>
                <w:noProof/>
                <w:color w:val="000000" w:themeColor="text1"/>
                <w:sz w:val="20"/>
              </w:rPr>
            </w:pPr>
            <w:r w:rsidRPr="00D91062">
              <w:rPr>
                <w:b/>
                <w:noProof/>
                <w:color w:val="000000" w:themeColor="text1"/>
                <w:sz w:val="20"/>
              </w:rPr>
              <w:t>Principalele funcționalități obligatorii</w:t>
            </w: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7511A6" w14:textId="77777777" w:rsidR="00D664CB" w:rsidRPr="00D91062" w:rsidRDefault="00D664CB" w:rsidP="00D664CB">
            <w:pPr>
              <w:rPr>
                <w:b/>
                <w:bCs/>
                <w:noProof/>
                <w:color w:val="000000" w:themeColor="text1"/>
                <w:sz w:val="20"/>
              </w:rPr>
            </w:pPr>
            <w:r w:rsidRPr="00D91062">
              <w:rPr>
                <w:b/>
                <w:noProof/>
                <w:color w:val="000000" w:themeColor="text1"/>
                <w:sz w:val="20"/>
              </w:rPr>
              <w:t>Organismul responsabil</w:t>
            </w:r>
          </w:p>
        </w:tc>
        <w:tc>
          <w:tcPr>
            <w:tcW w:w="129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B330CD6" w14:textId="77777777" w:rsidR="00D664CB" w:rsidRPr="00D91062" w:rsidRDefault="00D664CB" w:rsidP="00D664CB">
            <w:pPr>
              <w:spacing w:before="0" w:after="0"/>
              <w:rPr>
                <w:b/>
                <w:bCs/>
                <w:noProof/>
                <w:color w:val="000000" w:themeColor="text1"/>
                <w:sz w:val="20"/>
              </w:rPr>
            </w:pPr>
            <w:r w:rsidRPr="00D91062">
              <w:rPr>
                <w:b/>
                <w:noProof/>
                <w:color w:val="000000" w:themeColor="text1"/>
                <w:sz w:val="20"/>
              </w:rPr>
              <w:t>Cum este asigurată accesibilitatea?</w:t>
            </w:r>
          </w:p>
        </w:tc>
        <w:tc>
          <w:tcPr>
            <w:tcW w:w="118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802737" w14:textId="77777777" w:rsidR="00D664CB" w:rsidRPr="00D91062" w:rsidRDefault="00D664CB" w:rsidP="00D664CB">
            <w:pPr>
              <w:spacing w:before="0" w:after="0"/>
              <w:rPr>
                <w:b/>
                <w:bCs/>
                <w:noProof/>
                <w:color w:val="000000" w:themeColor="text1"/>
                <w:sz w:val="20"/>
              </w:rPr>
            </w:pPr>
            <w:r w:rsidRPr="00D91062">
              <w:rPr>
                <w:b/>
                <w:noProof/>
                <w:color w:val="000000" w:themeColor="text1"/>
                <w:sz w:val="20"/>
              </w:rPr>
              <w:t>Cum se ia în considerare potențialul de reutilizare?</w:t>
            </w:r>
          </w:p>
        </w:tc>
        <w:tc>
          <w:tcPr>
            <w:tcW w:w="130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F6D28AC" w14:textId="77777777" w:rsidR="00D664CB" w:rsidRPr="00D91062" w:rsidRDefault="00D664CB" w:rsidP="00D664CB">
            <w:pPr>
              <w:spacing w:before="0" w:after="0"/>
              <w:rPr>
                <w:b/>
                <w:bCs/>
                <w:noProof/>
                <w:color w:val="000000" w:themeColor="text1"/>
                <w:sz w:val="20"/>
              </w:rPr>
            </w:pPr>
            <w:r w:rsidRPr="00D91062">
              <w:rPr>
                <w:b/>
                <w:noProof/>
                <w:color w:val="000000" w:themeColor="text1"/>
                <w:sz w:val="20"/>
              </w:rPr>
              <w:t>Utilizarea tehnologiilor IA (dacă este cazul)</w:t>
            </w:r>
          </w:p>
        </w:tc>
      </w:tr>
      <w:tr w:rsidR="00D664CB" w:rsidRPr="00D91062" w14:paraId="4204E34C" w14:textId="77777777" w:rsidTr="00A2361B">
        <w:trPr>
          <w:trHeight w:val="300"/>
        </w:trPr>
        <w:tc>
          <w:tcPr>
            <w:tcW w:w="1035" w:type="dxa"/>
            <w:tcBorders>
              <w:top w:val="single" w:sz="8" w:space="0" w:color="auto"/>
              <w:left w:val="single" w:sz="8" w:space="0" w:color="auto"/>
              <w:bottom w:val="single" w:sz="8" w:space="0" w:color="auto"/>
              <w:right w:val="single" w:sz="8" w:space="0" w:color="auto"/>
            </w:tcBorders>
            <w:tcMar>
              <w:left w:w="108" w:type="dxa"/>
              <w:right w:w="108" w:type="dxa"/>
            </w:tcMar>
          </w:tcPr>
          <w:p w14:paraId="4BA2B1EA" w14:textId="77777777" w:rsidR="00D664CB" w:rsidRPr="00D91062" w:rsidRDefault="00D664CB" w:rsidP="00D664CB">
            <w:pPr>
              <w:jc w:val="left"/>
              <w:rPr>
                <w:noProof/>
                <w:szCs w:val="24"/>
              </w:rPr>
            </w:pPr>
            <w:r w:rsidRPr="00D91062">
              <w:rPr>
                <w:noProof/>
              </w:rPr>
              <w:t>N/A</w:t>
            </w:r>
          </w:p>
        </w:tc>
        <w:tc>
          <w:tcPr>
            <w:tcW w:w="1785" w:type="dxa"/>
            <w:tcBorders>
              <w:top w:val="single" w:sz="8" w:space="0" w:color="auto"/>
              <w:left w:val="single" w:sz="8" w:space="0" w:color="auto"/>
              <w:bottom w:val="single" w:sz="8" w:space="0" w:color="auto"/>
              <w:right w:val="single" w:sz="8" w:space="0" w:color="auto"/>
            </w:tcBorders>
            <w:tcMar>
              <w:left w:w="108" w:type="dxa"/>
              <w:right w:w="108" w:type="dxa"/>
            </w:tcMar>
          </w:tcPr>
          <w:p w14:paraId="3B9042F0" w14:textId="77777777" w:rsidR="00D664CB" w:rsidRPr="00D91062" w:rsidRDefault="00D664CB" w:rsidP="00D664CB">
            <w:pPr>
              <w:jc w:val="left"/>
              <w:rPr>
                <w:noProof/>
                <w:szCs w:val="24"/>
              </w:rPr>
            </w:pPr>
          </w:p>
        </w:tc>
        <w:tc>
          <w:tcPr>
            <w:tcW w:w="1470" w:type="dxa"/>
            <w:tcBorders>
              <w:top w:val="single" w:sz="8" w:space="0" w:color="auto"/>
              <w:left w:val="single" w:sz="8" w:space="0" w:color="auto"/>
              <w:bottom w:val="single" w:sz="8" w:space="0" w:color="auto"/>
              <w:right w:val="single" w:sz="8" w:space="0" w:color="auto"/>
            </w:tcBorders>
            <w:tcMar>
              <w:left w:w="108" w:type="dxa"/>
              <w:right w:w="108" w:type="dxa"/>
            </w:tcMar>
          </w:tcPr>
          <w:p w14:paraId="2864BE5E" w14:textId="77777777" w:rsidR="00D664CB" w:rsidRPr="00D91062" w:rsidRDefault="00D664CB" w:rsidP="00D664CB">
            <w:pPr>
              <w:jc w:val="left"/>
              <w:rPr>
                <w:noProof/>
                <w:szCs w:val="24"/>
              </w:rPr>
            </w:pPr>
          </w:p>
        </w:tc>
        <w:tc>
          <w:tcPr>
            <w:tcW w:w="1275" w:type="dxa"/>
            <w:tcBorders>
              <w:top w:val="single" w:sz="8" w:space="0" w:color="auto"/>
              <w:left w:val="single" w:sz="8" w:space="0" w:color="auto"/>
              <w:bottom w:val="single" w:sz="8" w:space="0" w:color="auto"/>
              <w:right w:val="single" w:sz="8" w:space="0" w:color="auto"/>
            </w:tcBorders>
            <w:tcMar>
              <w:left w:w="108" w:type="dxa"/>
              <w:right w:w="108" w:type="dxa"/>
            </w:tcMar>
          </w:tcPr>
          <w:p w14:paraId="3BE7D312" w14:textId="77777777" w:rsidR="00D664CB" w:rsidRPr="00D91062" w:rsidRDefault="00D664CB" w:rsidP="00D664CB">
            <w:pPr>
              <w:jc w:val="left"/>
              <w:rPr>
                <w:noProof/>
                <w:szCs w:val="24"/>
              </w:rPr>
            </w:pPr>
          </w:p>
        </w:tc>
        <w:tc>
          <w:tcPr>
            <w:tcW w:w="1290" w:type="dxa"/>
            <w:tcBorders>
              <w:top w:val="single" w:sz="8" w:space="0" w:color="auto"/>
              <w:left w:val="single" w:sz="8" w:space="0" w:color="auto"/>
              <w:bottom w:val="single" w:sz="8" w:space="0" w:color="auto"/>
              <w:right w:val="single" w:sz="8" w:space="0" w:color="auto"/>
            </w:tcBorders>
            <w:tcMar>
              <w:left w:w="108" w:type="dxa"/>
              <w:right w:w="108" w:type="dxa"/>
            </w:tcMar>
          </w:tcPr>
          <w:p w14:paraId="479938D9" w14:textId="77777777" w:rsidR="00D664CB" w:rsidRPr="00D91062" w:rsidRDefault="00D664CB" w:rsidP="00D664CB">
            <w:pPr>
              <w:jc w:val="left"/>
              <w:rPr>
                <w:noProof/>
                <w:szCs w:val="24"/>
              </w:rPr>
            </w:pPr>
          </w:p>
        </w:tc>
        <w:tc>
          <w:tcPr>
            <w:tcW w:w="1185" w:type="dxa"/>
            <w:tcBorders>
              <w:top w:val="single" w:sz="8" w:space="0" w:color="auto"/>
              <w:left w:val="single" w:sz="8" w:space="0" w:color="auto"/>
              <w:bottom w:val="single" w:sz="8" w:space="0" w:color="auto"/>
              <w:right w:val="single" w:sz="8" w:space="0" w:color="auto"/>
            </w:tcBorders>
            <w:tcMar>
              <w:left w:w="108" w:type="dxa"/>
              <w:right w:w="108" w:type="dxa"/>
            </w:tcMar>
          </w:tcPr>
          <w:p w14:paraId="5C26B878" w14:textId="77777777" w:rsidR="00D664CB" w:rsidRPr="00D91062" w:rsidRDefault="00D664CB" w:rsidP="00D664CB">
            <w:pPr>
              <w:jc w:val="left"/>
              <w:rPr>
                <w:noProof/>
                <w:szCs w:val="24"/>
              </w:rPr>
            </w:pPr>
          </w:p>
        </w:tc>
        <w:tc>
          <w:tcPr>
            <w:tcW w:w="1305" w:type="dxa"/>
            <w:tcBorders>
              <w:top w:val="single" w:sz="8" w:space="0" w:color="auto"/>
              <w:left w:val="single" w:sz="8" w:space="0" w:color="auto"/>
              <w:bottom w:val="single" w:sz="8" w:space="0" w:color="auto"/>
              <w:right w:val="single" w:sz="8" w:space="0" w:color="auto"/>
            </w:tcBorders>
            <w:tcMar>
              <w:left w:w="108" w:type="dxa"/>
              <w:right w:w="108" w:type="dxa"/>
            </w:tcMar>
          </w:tcPr>
          <w:p w14:paraId="547FB30D" w14:textId="77777777" w:rsidR="00D664CB" w:rsidRPr="00D91062" w:rsidRDefault="00D664CB" w:rsidP="00D664CB">
            <w:pPr>
              <w:jc w:val="left"/>
              <w:rPr>
                <w:noProof/>
                <w:szCs w:val="24"/>
              </w:rPr>
            </w:pPr>
          </w:p>
        </w:tc>
      </w:tr>
    </w:tbl>
    <w:p w14:paraId="5090B1D3" w14:textId="77777777" w:rsidR="00D664CB" w:rsidRPr="00D91062" w:rsidRDefault="00D664CB" w:rsidP="00D664CB">
      <w:pPr>
        <w:keepNext/>
        <w:rPr>
          <w:noProof/>
        </w:rPr>
      </w:pPr>
    </w:p>
    <w:p w14:paraId="5A02D5F9" w14:textId="77777777" w:rsidR="00D664CB" w:rsidRPr="00D91062" w:rsidRDefault="00D664CB" w:rsidP="00D664CB">
      <w:pPr>
        <w:keepNext/>
        <w:rPr>
          <w:rFonts w:eastAsia="Times New Roman"/>
          <w:b/>
          <w:bCs/>
          <w:noProof/>
          <w:szCs w:val="24"/>
        </w:rPr>
      </w:pPr>
      <w:r w:rsidRPr="00D91062">
        <w:rPr>
          <w:i/>
          <w:noProof/>
        </w:rPr>
        <w:t>Pentru fiecare soluție digitală, explicația modului în care soluția digitală respectă politicile digitale și actele legislative aplicabile</w:t>
      </w:r>
    </w:p>
    <w:tbl>
      <w:tblPr>
        <w:tblStyle w:val="TableGrid"/>
        <w:tblW w:w="0" w:type="auto"/>
        <w:tblLook w:val="04A0" w:firstRow="1" w:lastRow="0" w:firstColumn="1" w:lastColumn="0" w:noHBand="0" w:noVBand="1"/>
      </w:tblPr>
      <w:tblGrid>
        <w:gridCol w:w="3728"/>
        <w:gridCol w:w="5332"/>
      </w:tblGrid>
      <w:tr w:rsidR="00D664CB" w:rsidRPr="00D91062" w14:paraId="46F473AB" w14:textId="77777777" w:rsidTr="00A2361B">
        <w:trPr>
          <w:trHeight w:val="300"/>
        </w:trPr>
        <w:tc>
          <w:tcPr>
            <w:tcW w:w="3728" w:type="dxa"/>
            <w:tcBorders>
              <w:top w:val="single" w:sz="8" w:space="0" w:color="auto"/>
              <w:left w:val="single" w:sz="8" w:space="0" w:color="auto"/>
              <w:bottom w:val="single" w:sz="8" w:space="0" w:color="auto"/>
              <w:right w:val="single" w:sz="8" w:space="0" w:color="auto"/>
            </w:tcBorders>
            <w:tcMar>
              <w:left w:w="108" w:type="dxa"/>
              <w:right w:w="108" w:type="dxa"/>
            </w:tcMar>
          </w:tcPr>
          <w:p w14:paraId="39D7A7FF" w14:textId="77777777" w:rsidR="00D664CB" w:rsidRPr="00D91062" w:rsidRDefault="00D664CB" w:rsidP="00D664CB">
            <w:pPr>
              <w:jc w:val="left"/>
              <w:rPr>
                <w:b/>
                <w:bCs/>
                <w:noProof/>
                <w:szCs w:val="24"/>
              </w:rPr>
            </w:pPr>
            <w:r w:rsidRPr="00D91062">
              <w:rPr>
                <w:b/>
                <w:noProof/>
              </w:rPr>
              <w:t>Politica digitală și/sau sectorială (atunci când sunt aplicabile)</w:t>
            </w:r>
          </w:p>
        </w:tc>
        <w:tc>
          <w:tcPr>
            <w:tcW w:w="5332" w:type="dxa"/>
            <w:tcBorders>
              <w:top w:val="single" w:sz="8" w:space="0" w:color="auto"/>
              <w:left w:val="single" w:sz="8" w:space="0" w:color="auto"/>
              <w:bottom w:val="single" w:sz="8" w:space="0" w:color="auto"/>
              <w:right w:val="single" w:sz="8" w:space="0" w:color="auto"/>
            </w:tcBorders>
            <w:tcMar>
              <w:left w:w="108" w:type="dxa"/>
              <w:right w:w="108" w:type="dxa"/>
            </w:tcMar>
          </w:tcPr>
          <w:p w14:paraId="2154A2C0" w14:textId="77777777" w:rsidR="00D664CB" w:rsidRPr="00D91062" w:rsidRDefault="00D664CB" w:rsidP="00D664CB">
            <w:pPr>
              <w:jc w:val="left"/>
              <w:rPr>
                <w:b/>
                <w:bCs/>
                <w:noProof/>
                <w:szCs w:val="24"/>
              </w:rPr>
            </w:pPr>
            <w:r w:rsidRPr="00D91062">
              <w:rPr>
                <w:b/>
                <w:noProof/>
              </w:rPr>
              <w:t>Explicarea modului în care se aliniază</w:t>
            </w:r>
          </w:p>
        </w:tc>
      </w:tr>
      <w:tr w:rsidR="00D664CB" w:rsidRPr="00D91062" w14:paraId="7ED9D387" w14:textId="77777777" w:rsidTr="00A2361B">
        <w:trPr>
          <w:trHeight w:val="300"/>
        </w:trPr>
        <w:tc>
          <w:tcPr>
            <w:tcW w:w="3728" w:type="dxa"/>
            <w:tcBorders>
              <w:top w:val="single" w:sz="8" w:space="0" w:color="auto"/>
              <w:left w:val="single" w:sz="8" w:space="0" w:color="auto"/>
              <w:bottom w:val="single" w:sz="8" w:space="0" w:color="auto"/>
              <w:right w:val="single" w:sz="8" w:space="0" w:color="auto"/>
            </w:tcBorders>
            <w:tcMar>
              <w:left w:w="108" w:type="dxa"/>
              <w:right w:w="108" w:type="dxa"/>
            </w:tcMar>
          </w:tcPr>
          <w:p w14:paraId="2B0651BF" w14:textId="77777777" w:rsidR="00D664CB" w:rsidRPr="00D91062" w:rsidRDefault="00D664CB" w:rsidP="00D664CB">
            <w:pPr>
              <w:jc w:val="left"/>
              <w:rPr>
                <w:b/>
                <w:bCs/>
                <w:i/>
                <w:iCs/>
                <w:noProof/>
                <w:color w:val="0000FF"/>
                <w:szCs w:val="24"/>
                <w:u w:val="single"/>
                <w:vertAlign w:val="superscript"/>
              </w:rPr>
            </w:pPr>
            <w:r w:rsidRPr="00D91062">
              <w:rPr>
                <w:i/>
                <w:noProof/>
              </w:rPr>
              <w:t>propunerea de act legislativ privind rețelele digitale (DNA)</w:t>
            </w:r>
            <w:hyperlink r:id="rId18" w:anchor="_ftn1">
              <w:r w:rsidRPr="00D91062">
                <w:rPr>
                  <w:b/>
                  <w:i/>
                  <w:noProof/>
                  <w:color w:val="0000FF"/>
                  <w:u w:val="single"/>
                  <w:vertAlign w:val="superscript"/>
                </w:rPr>
                <w:t>[1]</w:t>
              </w:r>
            </w:hyperlink>
          </w:p>
        </w:tc>
        <w:tc>
          <w:tcPr>
            <w:tcW w:w="5332" w:type="dxa"/>
            <w:tcBorders>
              <w:top w:val="single" w:sz="8" w:space="0" w:color="auto"/>
              <w:left w:val="single" w:sz="8" w:space="0" w:color="auto"/>
              <w:bottom w:val="single" w:sz="8" w:space="0" w:color="auto"/>
              <w:right w:val="single" w:sz="8" w:space="0" w:color="auto"/>
            </w:tcBorders>
            <w:tcMar>
              <w:left w:w="108" w:type="dxa"/>
              <w:right w:w="108" w:type="dxa"/>
            </w:tcMar>
          </w:tcPr>
          <w:p w14:paraId="2C7AD212" w14:textId="77777777" w:rsidR="00D664CB" w:rsidRPr="00D91062" w:rsidRDefault="00D664CB" w:rsidP="00D664CB">
            <w:pPr>
              <w:rPr>
                <w:noProof/>
              </w:rPr>
            </w:pPr>
            <w:r w:rsidRPr="00D91062">
              <w:rPr>
                <w:noProof/>
              </w:rPr>
              <w:t>Propunerea DNA a stabilit autorizații coordonate la nivelul UE pentru spectrul de frecvențe prin satelit, precum și monitorizarea și asigurarea respectării acestuia, având în vedere caracterul transfrontalier al serviciilor prin satelit.</w:t>
            </w:r>
          </w:p>
        </w:tc>
      </w:tr>
      <w:tr w:rsidR="00D664CB" w:rsidRPr="00D91062" w14:paraId="40894BCA" w14:textId="77777777" w:rsidTr="00A2361B">
        <w:trPr>
          <w:trHeight w:val="300"/>
        </w:trPr>
        <w:tc>
          <w:tcPr>
            <w:tcW w:w="3728" w:type="dxa"/>
            <w:tcBorders>
              <w:top w:val="single" w:sz="8" w:space="0" w:color="auto"/>
              <w:left w:val="single" w:sz="8" w:space="0" w:color="auto"/>
              <w:bottom w:val="single" w:sz="8" w:space="0" w:color="auto"/>
              <w:right w:val="single" w:sz="8" w:space="0" w:color="auto"/>
            </w:tcBorders>
            <w:tcMar>
              <w:left w:w="108" w:type="dxa"/>
              <w:right w:w="108" w:type="dxa"/>
            </w:tcMar>
          </w:tcPr>
          <w:p w14:paraId="0594DDD4" w14:textId="77777777" w:rsidR="00D664CB" w:rsidRPr="00D91062" w:rsidRDefault="00D664CB" w:rsidP="00D664CB">
            <w:pPr>
              <w:jc w:val="left"/>
              <w:rPr>
                <w:b/>
                <w:bCs/>
                <w:i/>
                <w:iCs/>
                <w:noProof/>
                <w:color w:val="0000FF"/>
                <w:szCs w:val="24"/>
                <w:u w:val="single"/>
                <w:vertAlign w:val="superscript"/>
              </w:rPr>
            </w:pPr>
            <w:r w:rsidRPr="00D91062">
              <w:rPr>
                <w:i/>
                <w:noProof/>
              </w:rPr>
              <w:t>Propunere de act legislativ al UE privind spațiul</w:t>
            </w:r>
            <w:hyperlink r:id="rId19" w:anchor="_ftn2">
              <w:r w:rsidRPr="00D91062">
                <w:rPr>
                  <w:b/>
                  <w:i/>
                  <w:noProof/>
                  <w:color w:val="0000FF"/>
                  <w:u w:val="single"/>
                  <w:vertAlign w:val="superscript"/>
                </w:rPr>
                <w:t>[2]</w:t>
              </w:r>
            </w:hyperlink>
          </w:p>
        </w:tc>
        <w:tc>
          <w:tcPr>
            <w:tcW w:w="5332" w:type="dxa"/>
            <w:tcBorders>
              <w:top w:val="single" w:sz="8" w:space="0" w:color="auto"/>
              <w:left w:val="single" w:sz="8" w:space="0" w:color="auto"/>
              <w:bottom w:val="single" w:sz="8" w:space="0" w:color="auto"/>
              <w:right w:val="single" w:sz="8" w:space="0" w:color="auto"/>
            </w:tcBorders>
            <w:tcMar>
              <w:left w:w="108" w:type="dxa"/>
              <w:right w:w="108" w:type="dxa"/>
            </w:tcMar>
          </w:tcPr>
          <w:p w14:paraId="3B0EC430" w14:textId="77777777" w:rsidR="00D664CB" w:rsidRPr="00D91062" w:rsidRDefault="00D664CB" w:rsidP="00D664CB">
            <w:pPr>
              <w:rPr>
                <w:noProof/>
                <w:szCs w:val="24"/>
              </w:rPr>
            </w:pPr>
            <w:r w:rsidRPr="00D91062">
              <w:rPr>
                <w:noProof/>
              </w:rPr>
              <w:t>Propunerea de regulament privind MSS în banda de 2 GHz completează măsurile propuse în temeiul Actului legislativ al UE privind spațiul și DNA. Prin urmare, propunerea DNA și propunerea de regulament privind MSS în banda de 2 GHz pot fi considerate elemente constitutive esențiale ale pieței unice a UE pentru spațiu.</w:t>
            </w:r>
          </w:p>
        </w:tc>
      </w:tr>
    </w:tbl>
    <w:p w14:paraId="6E2D62DD" w14:textId="77777777" w:rsidR="00D664CB" w:rsidRPr="00D91062" w:rsidRDefault="00D664CB" w:rsidP="00D664CB">
      <w:pPr>
        <w:keepNext/>
        <w:spacing w:before="0" w:after="0"/>
        <w:rPr>
          <w:noProof/>
        </w:rPr>
      </w:pPr>
    </w:p>
    <w:p w14:paraId="5E36BA5C" w14:textId="77777777" w:rsidR="00D664CB" w:rsidRPr="00D91062" w:rsidRDefault="00224EB3" w:rsidP="00D664CB">
      <w:pPr>
        <w:keepNext/>
        <w:spacing w:before="0" w:after="0"/>
        <w:rPr>
          <w:rFonts w:eastAsia="Times New Roman"/>
          <w:noProof/>
          <w:sz w:val="20"/>
          <w:szCs w:val="20"/>
        </w:rPr>
      </w:pPr>
      <w:hyperlink r:id="rId20">
        <w:r w:rsidR="00D664CB" w:rsidRPr="00D91062">
          <w:rPr>
            <w:noProof/>
            <w:color w:val="0000FF"/>
            <w:sz w:val="20"/>
            <w:u w:val="single"/>
            <w:vertAlign w:val="superscript"/>
          </w:rPr>
          <w:t>[1]</w:t>
        </w:r>
      </w:hyperlink>
      <w:r w:rsidR="00D664CB" w:rsidRPr="00D91062">
        <w:rPr>
          <w:noProof/>
          <w:sz w:val="20"/>
        </w:rPr>
        <w:t xml:space="preserve"> COM(2026) 16 final</w:t>
      </w:r>
    </w:p>
    <w:p w14:paraId="749841D9" w14:textId="77777777" w:rsidR="00D664CB" w:rsidRPr="00D91062" w:rsidRDefault="00224EB3" w:rsidP="00D664CB">
      <w:pPr>
        <w:keepNext/>
        <w:spacing w:before="0" w:after="0"/>
        <w:rPr>
          <w:rFonts w:eastAsia="Times New Roman"/>
          <w:noProof/>
          <w:sz w:val="20"/>
          <w:szCs w:val="20"/>
        </w:rPr>
      </w:pPr>
      <w:hyperlink r:id="rId21">
        <w:r w:rsidR="00D664CB" w:rsidRPr="00D91062">
          <w:rPr>
            <w:noProof/>
            <w:color w:val="0000FF"/>
            <w:sz w:val="20"/>
            <w:u w:val="single"/>
            <w:vertAlign w:val="superscript"/>
          </w:rPr>
          <w:t>[2]</w:t>
        </w:r>
      </w:hyperlink>
      <w:r w:rsidR="00D664CB" w:rsidRPr="00D91062">
        <w:rPr>
          <w:noProof/>
          <w:sz w:val="20"/>
        </w:rPr>
        <w:t xml:space="preserve"> </w:t>
      </w:r>
      <w:hyperlink r:id="rId22">
        <w:r w:rsidR="00D664CB" w:rsidRPr="00D91062">
          <w:rPr>
            <w:noProof/>
            <w:color w:val="0000FF"/>
            <w:sz w:val="20"/>
            <w:u w:val="single"/>
          </w:rPr>
          <w:t>https://defence-industry-space.ec.europa.eu/eu-space-act_en</w:t>
        </w:r>
      </w:hyperlink>
      <w:r w:rsidR="00D664CB" w:rsidRPr="00D91062">
        <w:rPr>
          <w:noProof/>
          <w:sz w:val="20"/>
        </w:rPr>
        <w:t>;</w:t>
      </w:r>
    </w:p>
    <w:p w14:paraId="1023074A" w14:textId="77777777" w:rsidR="00D664CB" w:rsidRPr="00D91062" w:rsidRDefault="00224EB3" w:rsidP="00D664CB">
      <w:pPr>
        <w:keepNext/>
        <w:spacing w:before="0" w:after="0"/>
        <w:rPr>
          <w:rFonts w:eastAsia="Times New Roman"/>
          <w:noProof/>
          <w:sz w:val="20"/>
          <w:szCs w:val="20"/>
        </w:rPr>
      </w:pPr>
      <w:hyperlink r:id="rId23">
        <w:r w:rsidR="00D664CB" w:rsidRPr="00D91062">
          <w:rPr>
            <w:noProof/>
            <w:color w:val="0000FF"/>
            <w:sz w:val="20"/>
            <w:u w:val="single"/>
          </w:rPr>
          <w:t>https://eur-lex.europa.eu/legal-content/RO/TXT/?uri=celex:52025PC0335</w:t>
        </w:r>
      </w:hyperlink>
    </w:p>
    <w:p w14:paraId="2ADB5343" w14:textId="77777777" w:rsidR="00D664CB" w:rsidRPr="00D91062" w:rsidRDefault="00D664CB" w:rsidP="007A5721">
      <w:pPr>
        <w:pStyle w:val="ManualHeading2"/>
        <w:rPr>
          <w:noProof/>
        </w:rPr>
      </w:pPr>
      <w:r w:rsidRPr="00D91062">
        <w:rPr>
          <w:noProof/>
        </w:rPr>
        <w:t>4.5.</w:t>
      </w:r>
      <w:r w:rsidRPr="00D91062">
        <w:rPr>
          <w:noProof/>
        </w:rPr>
        <w:tab/>
        <w:t>Evaluarea interoperabilității</w:t>
      </w:r>
    </w:p>
    <w:p w14:paraId="3B15FFB7" w14:textId="77777777" w:rsidR="00D664CB" w:rsidRPr="00D91062" w:rsidRDefault="00D664CB" w:rsidP="00D664CB">
      <w:pPr>
        <w:keepNext/>
        <w:rPr>
          <w:rFonts w:eastAsia="Times New Roman"/>
          <w:noProof/>
          <w:color w:val="000000" w:themeColor="text1"/>
        </w:rPr>
      </w:pPr>
      <w:r w:rsidRPr="00D91062">
        <w:rPr>
          <w:i/>
          <w:noProof/>
          <w:color w:val="000000" w:themeColor="text1"/>
        </w:rPr>
        <w:t>Descriere la nivel înalt a serviciului (serviciilor) public(e) digital(e) afectat(e) de cerințe</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350"/>
        <w:gridCol w:w="1890"/>
        <w:gridCol w:w="1860"/>
        <w:gridCol w:w="2100"/>
        <w:gridCol w:w="2070"/>
      </w:tblGrid>
      <w:tr w:rsidR="00D664CB" w:rsidRPr="00D91062" w14:paraId="18D3F0F2" w14:textId="77777777" w:rsidTr="00A2361B">
        <w:trPr>
          <w:trHeight w:val="300"/>
        </w:trPr>
        <w:tc>
          <w:tcPr>
            <w:tcW w:w="1350" w:type="dxa"/>
            <w:tcBorders>
              <w:top w:val="single" w:sz="6" w:space="0" w:color="auto"/>
              <w:left w:val="single" w:sz="6" w:space="0" w:color="auto"/>
              <w:bottom w:val="single" w:sz="6" w:space="0" w:color="auto"/>
              <w:right w:val="single" w:sz="6" w:space="0" w:color="auto"/>
            </w:tcBorders>
            <w:tcMar>
              <w:left w:w="105" w:type="dxa"/>
              <w:right w:w="105" w:type="dxa"/>
            </w:tcMar>
          </w:tcPr>
          <w:p w14:paraId="55FFE92B" w14:textId="77777777" w:rsidR="00D664CB" w:rsidRPr="00D91062" w:rsidRDefault="00D664CB" w:rsidP="00D664CB">
            <w:pPr>
              <w:spacing w:before="0" w:after="0"/>
              <w:jc w:val="left"/>
              <w:rPr>
                <w:noProof/>
                <w:color w:val="000000" w:themeColor="text1"/>
              </w:rPr>
            </w:pPr>
            <w:r w:rsidRPr="00D91062">
              <w:rPr>
                <w:b/>
                <w:noProof/>
                <w:color w:val="000000" w:themeColor="text1"/>
              </w:rPr>
              <w:t>Serviciul public digital sau categoria de servicii publice digitale</w:t>
            </w:r>
          </w:p>
        </w:tc>
        <w:tc>
          <w:tcPr>
            <w:tcW w:w="1890" w:type="dxa"/>
            <w:tcBorders>
              <w:top w:val="single" w:sz="6" w:space="0" w:color="auto"/>
              <w:left w:val="single" w:sz="6" w:space="0" w:color="auto"/>
              <w:bottom w:val="single" w:sz="6" w:space="0" w:color="auto"/>
              <w:right w:val="single" w:sz="6" w:space="0" w:color="auto"/>
            </w:tcBorders>
            <w:tcMar>
              <w:left w:w="105" w:type="dxa"/>
              <w:right w:w="105" w:type="dxa"/>
            </w:tcMar>
          </w:tcPr>
          <w:p w14:paraId="55A100B8" w14:textId="77777777" w:rsidR="00D664CB" w:rsidRPr="00D91062" w:rsidRDefault="00D664CB" w:rsidP="00D664CB">
            <w:pPr>
              <w:jc w:val="left"/>
              <w:rPr>
                <w:b/>
                <w:noProof/>
              </w:rPr>
            </w:pPr>
            <w:r w:rsidRPr="00D91062">
              <w:rPr>
                <w:b/>
                <w:noProof/>
              </w:rPr>
              <w:t>Descriere</w:t>
            </w:r>
          </w:p>
        </w:tc>
        <w:tc>
          <w:tcPr>
            <w:tcW w:w="1860" w:type="dxa"/>
            <w:tcBorders>
              <w:top w:val="single" w:sz="6" w:space="0" w:color="auto"/>
              <w:left w:val="single" w:sz="6" w:space="0" w:color="auto"/>
              <w:bottom w:val="single" w:sz="6" w:space="0" w:color="auto"/>
              <w:right w:val="single" w:sz="6" w:space="0" w:color="auto"/>
            </w:tcBorders>
            <w:tcMar>
              <w:left w:w="105" w:type="dxa"/>
              <w:right w:w="105" w:type="dxa"/>
            </w:tcMar>
          </w:tcPr>
          <w:p w14:paraId="1CA5747A" w14:textId="77777777" w:rsidR="00D664CB" w:rsidRPr="00D91062" w:rsidRDefault="00D664CB" w:rsidP="00D664CB">
            <w:pPr>
              <w:jc w:val="left"/>
              <w:rPr>
                <w:b/>
                <w:noProof/>
              </w:rPr>
            </w:pPr>
            <w:r w:rsidRPr="00D91062">
              <w:rPr>
                <w:b/>
                <w:noProof/>
              </w:rPr>
              <w:t>Trimitere (trimiteri) la cerință (cerințe)</w:t>
            </w:r>
          </w:p>
        </w:tc>
        <w:tc>
          <w:tcPr>
            <w:tcW w:w="2100" w:type="dxa"/>
            <w:tcBorders>
              <w:top w:val="single" w:sz="6" w:space="0" w:color="auto"/>
              <w:left w:val="single" w:sz="6" w:space="0" w:color="auto"/>
              <w:bottom w:val="single" w:sz="6" w:space="0" w:color="auto"/>
              <w:right w:val="single" w:sz="6" w:space="0" w:color="auto"/>
            </w:tcBorders>
            <w:shd w:val="clear" w:color="auto" w:fill="7F7F7F" w:themeFill="text1" w:themeFillTint="80"/>
            <w:tcMar>
              <w:left w:w="105" w:type="dxa"/>
              <w:right w:w="105" w:type="dxa"/>
            </w:tcMar>
          </w:tcPr>
          <w:p w14:paraId="127239CD" w14:textId="77777777" w:rsidR="00D664CB" w:rsidRPr="00D91062" w:rsidRDefault="00D664CB" w:rsidP="00D664CB">
            <w:pPr>
              <w:jc w:val="left"/>
              <w:rPr>
                <w:noProof/>
                <w:color w:val="000000" w:themeColor="text1"/>
              </w:rPr>
            </w:pPr>
            <w:r w:rsidRPr="00D91062">
              <w:rPr>
                <w:b/>
                <w:noProof/>
                <w:color w:val="000000" w:themeColor="text1"/>
              </w:rPr>
              <w:t xml:space="preserve">Soluție (soluții) pentru Europa interoperabilă </w:t>
            </w:r>
          </w:p>
          <w:p w14:paraId="432019E8" w14:textId="77777777" w:rsidR="00D664CB" w:rsidRPr="00D91062" w:rsidRDefault="00D664CB" w:rsidP="00D664CB">
            <w:pPr>
              <w:jc w:val="left"/>
              <w:rPr>
                <w:noProof/>
                <w:color w:val="000000" w:themeColor="text1"/>
              </w:rPr>
            </w:pPr>
            <w:r w:rsidRPr="00D91062">
              <w:rPr>
                <w:b/>
                <w:noProof/>
                <w:color w:val="000000" w:themeColor="text1"/>
              </w:rPr>
              <w:t>(NU SE APLICĂ)</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tcPr>
          <w:p w14:paraId="418EA81B" w14:textId="77777777" w:rsidR="00D664CB" w:rsidRPr="00D91062" w:rsidRDefault="00D664CB" w:rsidP="00D664CB">
            <w:pPr>
              <w:jc w:val="left"/>
              <w:rPr>
                <w:b/>
                <w:noProof/>
              </w:rPr>
            </w:pPr>
            <w:r w:rsidRPr="00D91062">
              <w:rPr>
                <w:b/>
                <w:noProof/>
              </w:rPr>
              <w:t>Altă (alte) soluție (soluții) de interoperabilitate</w:t>
            </w:r>
          </w:p>
        </w:tc>
      </w:tr>
      <w:tr w:rsidR="00D664CB" w:rsidRPr="00D91062" w14:paraId="306B2441" w14:textId="77777777" w:rsidTr="00A2361B">
        <w:trPr>
          <w:trHeight w:val="300"/>
        </w:trPr>
        <w:tc>
          <w:tcPr>
            <w:tcW w:w="1350" w:type="dxa"/>
            <w:tcBorders>
              <w:top w:val="single" w:sz="6" w:space="0" w:color="auto"/>
              <w:left w:val="single" w:sz="6" w:space="0" w:color="auto"/>
              <w:bottom w:val="single" w:sz="6" w:space="0" w:color="auto"/>
              <w:right w:val="single" w:sz="6" w:space="0" w:color="auto"/>
            </w:tcBorders>
            <w:tcMar>
              <w:left w:w="105" w:type="dxa"/>
              <w:right w:w="105" w:type="dxa"/>
            </w:tcMar>
          </w:tcPr>
          <w:p w14:paraId="15CF454A" w14:textId="77777777" w:rsidR="00D664CB" w:rsidRPr="00D91062" w:rsidRDefault="00D664CB" w:rsidP="00D664CB">
            <w:pPr>
              <w:jc w:val="left"/>
              <w:rPr>
                <w:noProof/>
                <w:color w:val="FF0000"/>
              </w:rPr>
            </w:pPr>
            <w:r w:rsidRPr="00D91062">
              <w:rPr>
                <w:noProof/>
                <w:color w:val="FF0000"/>
              </w:rPr>
              <w:t>N/A</w:t>
            </w:r>
          </w:p>
        </w:tc>
        <w:tc>
          <w:tcPr>
            <w:tcW w:w="1890" w:type="dxa"/>
            <w:tcBorders>
              <w:top w:val="single" w:sz="6" w:space="0" w:color="auto"/>
              <w:left w:val="single" w:sz="6" w:space="0" w:color="auto"/>
              <w:bottom w:val="single" w:sz="6" w:space="0" w:color="auto"/>
              <w:right w:val="single" w:sz="6" w:space="0" w:color="auto"/>
            </w:tcBorders>
            <w:tcMar>
              <w:left w:w="105" w:type="dxa"/>
              <w:right w:w="105" w:type="dxa"/>
            </w:tcMar>
          </w:tcPr>
          <w:p w14:paraId="4BA1E566" w14:textId="77777777" w:rsidR="00D664CB" w:rsidRPr="00D91062" w:rsidRDefault="00D664CB" w:rsidP="00D664CB">
            <w:pPr>
              <w:jc w:val="left"/>
              <w:rPr>
                <w:noProof/>
              </w:rPr>
            </w:pPr>
          </w:p>
        </w:tc>
        <w:tc>
          <w:tcPr>
            <w:tcW w:w="1860" w:type="dxa"/>
            <w:tcBorders>
              <w:top w:val="single" w:sz="6" w:space="0" w:color="auto"/>
              <w:left w:val="single" w:sz="6" w:space="0" w:color="auto"/>
              <w:bottom w:val="single" w:sz="6" w:space="0" w:color="auto"/>
              <w:right w:val="single" w:sz="6" w:space="0" w:color="auto"/>
            </w:tcBorders>
            <w:tcMar>
              <w:left w:w="105" w:type="dxa"/>
              <w:right w:w="105" w:type="dxa"/>
            </w:tcMar>
          </w:tcPr>
          <w:p w14:paraId="1CEA58C4" w14:textId="77777777" w:rsidR="00D664CB" w:rsidRPr="00D91062" w:rsidRDefault="00D664CB" w:rsidP="00D664CB">
            <w:pPr>
              <w:jc w:val="left"/>
              <w:rPr>
                <w:noProof/>
              </w:rPr>
            </w:pPr>
          </w:p>
        </w:tc>
        <w:tc>
          <w:tcPr>
            <w:tcW w:w="2100" w:type="dxa"/>
            <w:tcBorders>
              <w:top w:val="single" w:sz="6" w:space="0" w:color="auto"/>
              <w:left w:val="single" w:sz="6" w:space="0" w:color="auto"/>
              <w:bottom w:val="single" w:sz="6" w:space="0" w:color="auto"/>
              <w:right w:val="single" w:sz="6" w:space="0" w:color="auto"/>
            </w:tcBorders>
            <w:shd w:val="clear" w:color="auto" w:fill="7F7F7F" w:themeFill="text1" w:themeFillTint="80"/>
            <w:tcMar>
              <w:left w:w="105" w:type="dxa"/>
              <w:right w:w="105" w:type="dxa"/>
            </w:tcMar>
          </w:tcPr>
          <w:p w14:paraId="655C2175" w14:textId="77777777" w:rsidR="00D664CB" w:rsidRPr="00D91062" w:rsidRDefault="00D664CB" w:rsidP="00D664CB">
            <w:pPr>
              <w:jc w:val="left"/>
              <w:rPr>
                <w:noProof/>
                <w:color w:val="000000" w:themeColor="text1"/>
              </w:rPr>
            </w:pPr>
            <w:r w:rsidRPr="00D91062">
              <w:rPr>
                <w:noProof/>
                <w:color w:val="000000" w:themeColor="text1"/>
              </w:rPr>
              <w:t>//</w:t>
            </w:r>
          </w:p>
        </w:tc>
        <w:tc>
          <w:tcPr>
            <w:tcW w:w="2070" w:type="dxa"/>
            <w:tcBorders>
              <w:top w:val="single" w:sz="6" w:space="0" w:color="auto"/>
              <w:left w:val="single" w:sz="6" w:space="0" w:color="auto"/>
              <w:bottom w:val="single" w:sz="6" w:space="0" w:color="auto"/>
              <w:right w:val="single" w:sz="6" w:space="0" w:color="auto"/>
            </w:tcBorders>
            <w:tcMar>
              <w:left w:w="105" w:type="dxa"/>
              <w:right w:w="105" w:type="dxa"/>
            </w:tcMar>
          </w:tcPr>
          <w:p w14:paraId="1A7C5F92" w14:textId="77777777" w:rsidR="00D664CB" w:rsidRPr="00D91062" w:rsidRDefault="00D664CB" w:rsidP="00D664CB">
            <w:pPr>
              <w:jc w:val="left"/>
              <w:rPr>
                <w:noProof/>
              </w:rPr>
            </w:pPr>
          </w:p>
        </w:tc>
      </w:tr>
    </w:tbl>
    <w:p w14:paraId="195A9EA4" w14:textId="77777777" w:rsidR="00D664CB" w:rsidRPr="00D91062" w:rsidRDefault="00D664CB" w:rsidP="00D664CB">
      <w:pPr>
        <w:keepNext/>
        <w:rPr>
          <w:rFonts w:eastAsia="Times New Roman"/>
          <w:noProof/>
          <w:color w:val="000000" w:themeColor="text1"/>
        </w:rPr>
      </w:pPr>
      <w:r w:rsidRPr="00D91062">
        <w:rPr>
          <w:i/>
          <w:noProof/>
          <w:color w:val="000000" w:themeColor="text1"/>
        </w:rPr>
        <w:t>Impactul cerinței (cerințelor) asupra interoperabilității transfrontaliere din perspectiva serviciului public digital</w:t>
      </w:r>
    </w:p>
    <w:p w14:paraId="4484C8ED" w14:textId="77777777" w:rsidR="00D664CB" w:rsidRPr="00D91062" w:rsidRDefault="00D664CB" w:rsidP="00D664CB">
      <w:pPr>
        <w:keepNext/>
        <w:rPr>
          <w:rFonts w:eastAsia="Times New Roman"/>
          <w:noProof/>
          <w:color w:val="000000" w:themeColor="text1"/>
        </w:rPr>
      </w:pPr>
      <w:r w:rsidRPr="00D91062">
        <w:rPr>
          <w:b/>
          <w:noProof/>
          <w:color w:val="000000" w:themeColor="text1"/>
          <w:u w:val="single"/>
        </w:rPr>
        <w:t xml:space="preserve">Serviciul public digital #1 </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490"/>
        <w:gridCol w:w="2910"/>
        <w:gridCol w:w="3645"/>
      </w:tblGrid>
      <w:tr w:rsidR="00D664CB" w:rsidRPr="00D91062" w14:paraId="0CBF2E66" w14:textId="77777777" w:rsidTr="00A2361B">
        <w:trPr>
          <w:trHeight w:val="300"/>
        </w:trPr>
        <w:tc>
          <w:tcPr>
            <w:tcW w:w="2490" w:type="dxa"/>
            <w:tcBorders>
              <w:top w:val="single" w:sz="6" w:space="0" w:color="auto"/>
              <w:left w:val="single" w:sz="6" w:space="0" w:color="auto"/>
              <w:bottom w:val="single" w:sz="6" w:space="0" w:color="auto"/>
              <w:right w:val="single" w:sz="6" w:space="0" w:color="auto"/>
            </w:tcBorders>
            <w:tcMar>
              <w:left w:w="105" w:type="dxa"/>
              <w:right w:w="105" w:type="dxa"/>
            </w:tcMar>
          </w:tcPr>
          <w:p w14:paraId="351D13A6" w14:textId="77777777" w:rsidR="00D664CB" w:rsidRPr="00D91062" w:rsidRDefault="00D664CB" w:rsidP="00D664CB">
            <w:pPr>
              <w:jc w:val="left"/>
              <w:rPr>
                <w:b/>
                <w:noProof/>
              </w:rPr>
            </w:pPr>
            <w:r w:rsidRPr="00D91062">
              <w:rPr>
                <w:b/>
                <w:noProof/>
              </w:rPr>
              <w:t>Evaluare</w:t>
            </w:r>
          </w:p>
        </w:tc>
        <w:tc>
          <w:tcPr>
            <w:tcW w:w="2910" w:type="dxa"/>
            <w:tcBorders>
              <w:top w:val="single" w:sz="6" w:space="0" w:color="auto"/>
              <w:left w:val="single" w:sz="6" w:space="0" w:color="auto"/>
              <w:bottom w:val="single" w:sz="6" w:space="0" w:color="auto"/>
              <w:right w:val="single" w:sz="6" w:space="0" w:color="auto"/>
            </w:tcBorders>
            <w:tcMar>
              <w:left w:w="105" w:type="dxa"/>
              <w:right w:w="105" w:type="dxa"/>
            </w:tcMar>
          </w:tcPr>
          <w:p w14:paraId="3787A232" w14:textId="77777777" w:rsidR="00D664CB" w:rsidRPr="00D91062" w:rsidRDefault="00D664CB" w:rsidP="00D664CB">
            <w:pPr>
              <w:jc w:val="left"/>
              <w:rPr>
                <w:b/>
                <w:noProof/>
              </w:rPr>
            </w:pPr>
            <w:r w:rsidRPr="00D91062">
              <w:rPr>
                <w:b/>
                <w:noProof/>
              </w:rPr>
              <w:t>Măsură (măsuri)</w:t>
            </w:r>
          </w:p>
        </w:tc>
        <w:tc>
          <w:tcPr>
            <w:tcW w:w="3645" w:type="dxa"/>
            <w:tcBorders>
              <w:top w:val="single" w:sz="6" w:space="0" w:color="auto"/>
              <w:left w:val="single" w:sz="6" w:space="0" w:color="auto"/>
              <w:bottom w:val="single" w:sz="6" w:space="0" w:color="auto"/>
              <w:right w:val="single" w:sz="6" w:space="0" w:color="auto"/>
            </w:tcBorders>
            <w:tcMar>
              <w:left w:w="105" w:type="dxa"/>
              <w:right w:w="105" w:type="dxa"/>
            </w:tcMar>
          </w:tcPr>
          <w:p w14:paraId="6966184D" w14:textId="77777777" w:rsidR="00D664CB" w:rsidRPr="00D91062" w:rsidRDefault="00D664CB" w:rsidP="00D664CB">
            <w:pPr>
              <w:jc w:val="left"/>
              <w:rPr>
                <w:b/>
                <w:noProof/>
              </w:rPr>
            </w:pPr>
            <w:r w:rsidRPr="00D91062">
              <w:rPr>
                <w:b/>
                <w:noProof/>
              </w:rPr>
              <w:t>Obstacole potențiale rămase (dacă este cazul)</w:t>
            </w:r>
          </w:p>
        </w:tc>
      </w:tr>
      <w:tr w:rsidR="00D664CB" w:rsidRPr="00D91062" w14:paraId="5D26455D" w14:textId="77777777" w:rsidTr="00A2361B">
        <w:trPr>
          <w:trHeight w:val="300"/>
        </w:trPr>
        <w:tc>
          <w:tcPr>
            <w:tcW w:w="2490" w:type="dxa"/>
            <w:tcBorders>
              <w:top w:val="single" w:sz="6" w:space="0" w:color="auto"/>
              <w:left w:val="single" w:sz="6" w:space="0" w:color="auto"/>
              <w:bottom w:val="single" w:sz="6" w:space="0" w:color="auto"/>
              <w:right w:val="single" w:sz="6" w:space="0" w:color="auto"/>
            </w:tcBorders>
            <w:tcMar>
              <w:left w:w="105" w:type="dxa"/>
              <w:right w:w="105" w:type="dxa"/>
            </w:tcMar>
          </w:tcPr>
          <w:p w14:paraId="1D63AC2A" w14:textId="77777777" w:rsidR="00D664CB" w:rsidRPr="00D91062" w:rsidRDefault="00D664CB" w:rsidP="00D664CB">
            <w:pPr>
              <w:spacing w:before="0"/>
              <w:jc w:val="left"/>
              <w:rPr>
                <w:b/>
                <w:noProof/>
              </w:rPr>
            </w:pPr>
            <w:r w:rsidRPr="00D91062">
              <w:rPr>
                <w:b/>
                <w:noProof/>
              </w:rPr>
              <w:t xml:space="preserve">Alinierea la politicile digitale și sectoriale existente </w:t>
            </w:r>
          </w:p>
          <w:p w14:paraId="13D08813" w14:textId="77777777" w:rsidR="00D664CB" w:rsidRPr="00D91062" w:rsidRDefault="00D664CB" w:rsidP="00D664CB">
            <w:pPr>
              <w:spacing w:before="0"/>
              <w:jc w:val="left"/>
              <w:rPr>
                <w:b/>
                <w:noProof/>
              </w:rPr>
            </w:pPr>
            <w:r w:rsidRPr="00D91062">
              <w:rPr>
                <w:b/>
                <w:noProof/>
              </w:rPr>
              <w:t>Vă rugăm să enumerați politicile digitale și sectoriale aplicabile identificate</w:t>
            </w:r>
          </w:p>
        </w:tc>
        <w:tc>
          <w:tcPr>
            <w:tcW w:w="2910" w:type="dxa"/>
            <w:tcBorders>
              <w:top w:val="single" w:sz="6" w:space="0" w:color="auto"/>
              <w:left w:val="single" w:sz="6" w:space="0" w:color="auto"/>
              <w:bottom w:val="single" w:sz="6" w:space="0" w:color="auto"/>
              <w:right w:val="single" w:sz="6" w:space="0" w:color="auto"/>
            </w:tcBorders>
            <w:tcMar>
              <w:left w:w="105" w:type="dxa"/>
              <w:right w:w="105" w:type="dxa"/>
            </w:tcMar>
          </w:tcPr>
          <w:p w14:paraId="4200F8F3" w14:textId="77777777" w:rsidR="00D664CB" w:rsidRPr="00D91062" w:rsidRDefault="00D664CB" w:rsidP="00D664CB">
            <w:pPr>
              <w:spacing w:before="0" w:after="0"/>
              <w:jc w:val="left"/>
              <w:rPr>
                <w:noProof/>
                <w:color w:val="0070C0"/>
              </w:rPr>
            </w:pPr>
            <w:r w:rsidRPr="00D91062">
              <w:rPr>
                <w:noProof/>
                <w:color w:val="0070C0"/>
              </w:rPr>
              <w:t>N/A</w:t>
            </w:r>
          </w:p>
        </w:tc>
        <w:tc>
          <w:tcPr>
            <w:tcW w:w="3645" w:type="dxa"/>
            <w:tcBorders>
              <w:top w:val="single" w:sz="6" w:space="0" w:color="auto"/>
              <w:left w:val="single" w:sz="6" w:space="0" w:color="auto"/>
              <w:bottom w:val="single" w:sz="6" w:space="0" w:color="auto"/>
              <w:right w:val="single" w:sz="6" w:space="0" w:color="auto"/>
            </w:tcBorders>
            <w:tcMar>
              <w:left w:w="105" w:type="dxa"/>
              <w:right w:w="105" w:type="dxa"/>
            </w:tcMar>
          </w:tcPr>
          <w:p w14:paraId="3A5B5706" w14:textId="77777777" w:rsidR="00D664CB" w:rsidRPr="00D91062" w:rsidRDefault="00D664CB" w:rsidP="00D664CB">
            <w:pPr>
              <w:spacing w:before="0" w:after="0"/>
              <w:jc w:val="left"/>
              <w:rPr>
                <w:noProof/>
                <w:color w:val="0070C0"/>
              </w:rPr>
            </w:pPr>
          </w:p>
        </w:tc>
      </w:tr>
      <w:tr w:rsidR="00D664CB" w:rsidRPr="00D91062" w14:paraId="2BAA5CAC" w14:textId="77777777" w:rsidTr="00A2361B">
        <w:trPr>
          <w:trHeight w:val="300"/>
        </w:trPr>
        <w:tc>
          <w:tcPr>
            <w:tcW w:w="2490" w:type="dxa"/>
            <w:tcBorders>
              <w:top w:val="single" w:sz="6" w:space="0" w:color="auto"/>
              <w:left w:val="single" w:sz="6" w:space="0" w:color="auto"/>
              <w:bottom w:val="single" w:sz="6" w:space="0" w:color="auto"/>
              <w:right w:val="single" w:sz="6" w:space="0" w:color="auto"/>
            </w:tcBorders>
            <w:tcMar>
              <w:left w:w="105" w:type="dxa"/>
              <w:right w:w="105" w:type="dxa"/>
            </w:tcMar>
          </w:tcPr>
          <w:p w14:paraId="203FE5DE" w14:textId="77777777" w:rsidR="00D664CB" w:rsidRPr="00D91062" w:rsidRDefault="00D664CB" w:rsidP="00D664CB">
            <w:pPr>
              <w:jc w:val="left"/>
              <w:rPr>
                <w:b/>
                <w:noProof/>
              </w:rPr>
            </w:pPr>
            <w:r w:rsidRPr="00D91062">
              <w:rPr>
                <w:b/>
                <w:noProof/>
              </w:rPr>
              <w:t>Măsurile organizatorice în vederea unei furnizări transfrontaliere fără probleme a serviciilor publice digitale</w:t>
            </w:r>
          </w:p>
          <w:p w14:paraId="4E622A66" w14:textId="77777777" w:rsidR="00D664CB" w:rsidRPr="00D91062" w:rsidRDefault="00D664CB" w:rsidP="00D664CB">
            <w:pPr>
              <w:jc w:val="left"/>
              <w:rPr>
                <w:b/>
                <w:noProof/>
              </w:rPr>
            </w:pPr>
            <w:r w:rsidRPr="00D91062">
              <w:rPr>
                <w:b/>
                <w:noProof/>
              </w:rPr>
              <w:t>Vă rugăm să enumerați măsurile de guvernanță prevăzute</w:t>
            </w:r>
          </w:p>
        </w:tc>
        <w:tc>
          <w:tcPr>
            <w:tcW w:w="2910" w:type="dxa"/>
            <w:tcBorders>
              <w:top w:val="single" w:sz="6" w:space="0" w:color="auto"/>
              <w:left w:val="single" w:sz="6" w:space="0" w:color="auto"/>
              <w:bottom w:val="single" w:sz="6" w:space="0" w:color="auto"/>
              <w:right w:val="single" w:sz="6" w:space="0" w:color="auto"/>
            </w:tcBorders>
            <w:tcMar>
              <w:left w:w="105" w:type="dxa"/>
              <w:right w:w="105" w:type="dxa"/>
            </w:tcMar>
          </w:tcPr>
          <w:p w14:paraId="2701601A" w14:textId="77777777" w:rsidR="00D664CB" w:rsidRPr="00D91062" w:rsidRDefault="00D664CB" w:rsidP="00D664CB">
            <w:pPr>
              <w:spacing w:before="0" w:after="0"/>
              <w:jc w:val="left"/>
              <w:rPr>
                <w:noProof/>
                <w:color w:val="0070C0"/>
              </w:rPr>
            </w:pPr>
            <w:r w:rsidRPr="00D91062">
              <w:rPr>
                <w:noProof/>
                <w:color w:val="0070C0"/>
              </w:rPr>
              <w:t>N/A</w:t>
            </w:r>
          </w:p>
        </w:tc>
        <w:tc>
          <w:tcPr>
            <w:tcW w:w="3645" w:type="dxa"/>
            <w:tcBorders>
              <w:top w:val="single" w:sz="6" w:space="0" w:color="auto"/>
              <w:left w:val="single" w:sz="6" w:space="0" w:color="auto"/>
              <w:bottom w:val="single" w:sz="6" w:space="0" w:color="auto"/>
              <w:right w:val="single" w:sz="6" w:space="0" w:color="auto"/>
            </w:tcBorders>
            <w:tcMar>
              <w:left w:w="105" w:type="dxa"/>
              <w:right w:w="105" w:type="dxa"/>
            </w:tcMar>
          </w:tcPr>
          <w:p w14:paraId="7AD07F23" w14:textId="77777777" w:rsidR="00D664CB" w:rsidRPr="00D91062" w:rsidRDefault="00D664CB" w:rsidP="00D664CB">
            <w:pPr>
              <w:spacing w:before="0" w:after="0"/>
              <w:ind w:left="360"/>
              <w:jc w:val="left"/>
              <w:rPr>
                <w:noProof/>
                <w:color w:val="0070C0"/>
              </w:rPr>
            </w:pPr>
          </w:p>
        </w:tc>
      </w:tr>
      <w:tr w:rsidR="00D664CB" w:rsidRPr="00D91062" w14:paraId="5D65BB7B" w14:textId="77777777" w:rsidTr="00A2361B">
        <w:trPr>
          <w:trHeight w:val="300"/>
        </w:trPr>
        <w:tc>
          <w:tcPr>
            <w:tcW w:w="2490" w:type="dxa"/>
            <w:tcBorders>
              <w:top w:val="single" w:sz="6" w:space="0" w:color="auto"/>
              <w:left w:val="single" w:sz="6" w:space="0" w:color="auto"/>
              <w:bottom w:val="single" w:sz="6" w:space="0" w:color="auto"/>
              <w:right w:val="single" w:sz="6" w:space="0" w:color="auto"/>
            </w:tcBorders>
            <w:tcMar>
              <w:left w:w="105" w:type="dxa"/>
              <w:right w:w="105" w:type="dxa"/>
            </w:tcMar>
          </w:tcPr>
          <w:p w14:paraId="41B20F2C" w14:textId="77777777" w:rsidR="00D664CB" w:rsidRPr="00D91062" w:rsidRDefault="00D664CB" w:rsidP="00D664CB">
            <w:pPr>
              <w:jc w:val="left"/>
              <w:rPr>
                <w:b/>
                <w:noProof/>
              </w:rPr>
            </w:pPr>
            <w:r w:rsidRPr="00D91062">
              <w:rPr>
                <w:b/>
                <w:noProof/>
              </w:rPr>
              <w:t>Măsurile luate pentru a asigura o înțelegere comună a datelor</w:t>
            </w:r>
          </w:p>
          <w:p w14:paraId="66FCD8E8" w14:textId="77777777" w:rsidR="00D664CB" w:rsidRPr="00D91062" w:rsidRDefault="00D664CB" w:rsidP="00D664CB">
            <w:pPr>
              <w:jc w:val="left"/>
              <w:rPr>
                <w:b/>
                <w:noProof/>
              </w:rPr>
            </w:pPr>
            <w:r w:rsidRPr="00D91062">
              <w:rPr>
                <w:b/>
                <w:noProof/>
              </w:rPr>
              <w:t>Vă rugăm să enumerați măsurile respective</w:t>
            </w:r>
          </w:p>
        </w:tc>
        <w:tc>
          <w:tcPr>
            <w:tcW w:w="2910" w:type="dxa"/>
            <w:tcBorders>
              <w:top w:val="single" w:sz="6" w:space="0" w:color="auto"/>
              <w:left w:val="single" w:sz="6" w:space="0" w:color="auto"/>
              <w:bottom w:val="single" w:sz="6" w:space="0" w:color="auto"/>
              <w:right w:val="single" w:sz="6" w:space="0" w:color="auto"/>
            </w:tcBorders>
            <w:tcMar>
              <w:left w:w="105" w:type="dxa"/>
              <w:right w:w="105" w:type="dxa"/>
            </w:tcMar>
          </w:tcPr>
          <w:p w14:paraId="0D1A38E4" w14:textId="77777777" w:rsidR="00D664CB" w:rsidRPr="00D91062" w:rsidRDefault="00D664CB" w:rsidP="00D664CB">
            <w:pPr>
              <w:spacing w:before="0" w:after="0"/>
              <w:jc w:val="left"/>
              <w:rPr>
                <w:noProof/>
                <w:color w:val="0070C0"/>
              </w:rPr>
            </w:pPr>
            <w:r w:rsidRPr="00D91062">
              <w:rPr>
                <w:noProof/>
                <w:color w:val="0070C0"/>
              </w:rPr>
              <w:t>N/A</w:t>
            </w:r>
          </w:p>
        </w:tc>
        <w:tc>
          <w:tcPr>
            <w:tcW w:w="3645" w:type="dxa"/>
            <w:tcBorders>
              <w:top w:val="single" w:sz="6" w:space="0" w:color="auto"/>
              <w:left w:val="single" w:sz="6" w:space="0" w:color="auto"/>
              <w:bottom w:val="single" w:sz="6" w:space="0" w:color="auto"/>
              <w:right w:val="single" w:sz="6" w:space="0" w:color="auto"/>
            </w:tcBorders>
            <w:tcMar>
              <w:left w:w="105" w:type="dxa"/>
              <w:right w:w="105" w:type="dxa"/>
            </w:tcMar>
          </w:tcPr>
          <w:p w14:paraId="420538ED" w14:textId="77777777" w:rsidR="00D664CB" w:rsidRPr="00D91062" w:rsidRDefault="00D664CB" w:rsidP="00D664CB">
            <w:pPr>
              <w:spacing w:before="0" w:after="0"/>
              <w:jc w:val="left"/>
              <w:rPr>
                <w:noProof/>
                <w:color w:val="0070C0"/>
              </w:rPr>
            </w:pPr>
          </w:p>
        </w:tc>
      </w:tr>
      <w:tr w:rsidR="00D664CB" w:rsidRPr="00D91062" w14:paraId="0CD0FB46" w14:textId="77777777" w:rsidTr="00A2361B">
        <w:trPr>
          <w:trHeight w:val="300"/>
        </w:trPr>
        <w:tc>
          <w:tcPr>
            <w:tcW w:w="2490" w:type="dxa"/>
            <w:tcBorders>
              <w:top w:val="single" w:sz="6" w:space="0" w:color="auto"/>
              <w:left w:val="single" w:sz="6" w:space="0" w:color="auto"/>
              <w:bottom w:val="single" w:sz="6" w:space="0" w:color="auto"/>
              <w:right w:val="single" w:sz="6" w:space="0" w:color="auto"/>
            </w:tcBorders>
            <w:tcMar>
              <w:left w:w="105" w:type="dxa"/>
              <w:right w:w="105" w:type="dxa"/>
            </w:tcMar>
          </w:tcPr>
          <w:p w14:paraId="22D6404B" w14:textId="77777777" w:rsidR="00D664CB" w:rsidRPr="00D91062" w:rsidRDefault="00D664CB" w:rsidP="00D664CB">
            <w:pPr>
              <w:jc w:val="left"/>
              <w:rPr>
                <w:b/>
                <w:noProof/>
              </w:rPr>
            </w:pPr>
            <w:r w:rsidRPr="00D91062">
              <w:rPr>
                <w:b/>
                <w:noProof/>
              </w:rPr>
              <w:t>Utilizarea specificațiilor și standardelor tehnice deschise stabilite de comun acord</w:t>
            </w:r>
          </w:p>
          <w:p w14:paraId="106D3239" w14:textId="77777777" w:rsidR="00D664CB" w:rsidRPr="00D91062" w:rsidRDefault="00D664CB" w:rsidP="00D664CB">
            <w:pPr>
              <w:jc w:val="left"/>
              <w:rPr>
                <w:b/>
                <w:noProof/>
              </w:rPr>
            </w:pPr>
            <w:r w:rsidRPr="00D91062">
              <w:rPr>
                <w:b/>
                <w:noProof/>
              </w:rPr>
              <w:t>Vă rugăm să enumerați măsurile respective</w:t>
            </w:r>
          </w:p>
        </w:tc>
        <w:tc>
          <w:tcPr>
            <w:tcW w:w="2910" w:type="dxa"/>
            <w:tcBorders>
              <w:top w:val="single" w:sz="6" w:space="0" w:color="auto"/>
              <w:left w:val="single" w:sz="6" w:space="0" w:color="auto"/>
              <w:bottom w:val="single" w:sz="6" w:space="0" w:color="auto"/>
              <w:right w:val="single" w:sz="6" w:space="0" w:color="auto"/>
            </w:tcBorders>
            <w:tcMar>
              <w:left w:w="105" w:type="dxa"/>
              <w:right w:w="105" w:type="dxa"/>
            </w:tcMar>
          </w:tcPr>
          <w:p w14:paraId="482C784B" w14:textId="77777777" w:rsidR="00D664CB" w:rsidRPr="00D91062" w:rsidRDefault="00D664CB" w:rsidP="00D664CB">
            <w:pPr>
              <w:spacing w:before="0" w:after="0"/>
              <w:jc w:val="left"/>
              <w:rPr>
                <w:noProof/>
                <w:color w:val="0070C0"/>
              </w:rPr>
            </w:pPr>
            <w:r w:rsidRPr="00D91062">
              <w:rPr>
                <w:noProof/>
                <w:color w:val="0070C0"/>
              </w:rPr>
              <w:t>N/A</w:t>
            </w:r>
          </w:p>
        </w:tc>
        <w:tc>
          <w:tcPr>
            <w:tcW w:w="3645" w:type="dxa"/>
            <w:tcBorders>
              <w:top w:val="single" w:sz="6" w:space="0" w:color="auto"/>
              <w:left w:val="single" w:sz="6" w:space="0" w:color="auto"/>
              <w:bottom w:val="single" w:sz="6" w:space="0" w:color="auto"/>
              <w:right w:val="single" w:sz="6" w:space="0" w:color="auto"/>
            </w:tcBorders>
            <w:tcMar>
              <w:left w:w="105" w:type="dxa"/>
              <w:right w:w="105" w:type="dxa"/>
            </w:tcMar>
          </w:tcPr>
          <w:p w14:paraId="6D0FA8F0" w14:textId="77777777" w:rsidR="00D664CB" w:rsidRPr="00D91062" w:rsidRDefault="00D664CB" w:rsidP="00D664CB">
            <w:pPr>
              <w:spacing w:before="0" w:after="0"/>
              <w:ind w:left="360"/>
              <w:jc w:val="left"/>
              <w:rPr>
                <w:noProof/>
                <w:color w:val="0070C0"/>
              </w:rPr>
            </w:pPr>
          </w:p>
        </w:tc>
      </w:tr>
    </w:tbl>
    <w:p w14:paraId="4844581D" w14:textId="77777777" w:rsidR="00D664CB" w:rsidRPr="00D91062" w:rsidRDefault="00D664CB" w:rsidP="007A5721">
      <w:pPr>
        <w:pStyle w:val="ManualHeading2"/>
        <w:rPr>
          <w:noProof/>
        </w:rPr>
      </w:pPr>
      <w:r w:rsidRPr="00D91062">
        <w:rPr>
          <w:noProof/>
        </w:rPr>
        <w:t>4.6.</w:t>
      </w:r>
      <w:r w:rsidRPr="00D91062">
        <w:rPr>
          <w:noProof/>
        </w:rPr>
        <w:tab/>
        <w:t>Măsuri de sprijinire a implementării digitale</w:t>
      </w:r>
    </w:p>
    <w:p w14:paraId="00F52668" w14:textId="77777777" w:rsidR="00D664CB" w:rsidRPr="00D91062" w:rsidRDefault="00D664CB" w:rsidP="00D664CB">
      <w:pPr>
        <w:keepNext/>
        <w:rPr>
          <w:rFonts w:eastAsia="Times New Roman"/>
          <w:noProof/>
          <w:color w:val="000000" w:themeColor="text1"/>
        </w:rPr>
      </w:pPr>
      <w:r w:rsidRPr="00D91062">
        <w:rPr>
          <w:i/>
          <w:noProof/>
          <w:color w:val="000000" w:themeColor="text1"/>
        </w:rPr>
        <w:t>Descriere la nivel înalt a măsurilor de sprijinire a implementării digitale</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340"/>
        <w:gridCol w:w="2160"/>
        <w:gridCol w:w="1710"/>
        <w:gridCol w:w="1530"/>
        <w:gridCol w:w="1530"/>
      </w:tblGrid>
      <w:tr w:rsidR="00D664CB" w:rsidRPr="00D91062" w14:paraId="540287FC" w14:textId="77777777" w:rsidTr="00A2361B">
        <w:trPr>
          <w:trHeight w:val="300"/>
        </w:trPr>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57CF1D66" w14:textId="77777777" w:rsidR="00D664CB" w:rsidRPr="00D91062" w:rsidRDefault="00D664CB" w:rsidP="00D664CB">
            <w:pPr>
              <w:jc w:val="left"/>
              <w:rPr>
                <w:noProof/>
                <w:color w:val="000000" w:themeColor="text1"/>
              </w:rPr>
            </w:pPr>
            <w:r w:rsidRPr="00D91062">
              <w:rPr>
                <w:b/>
                <w:noProof/>
              </w:rPr>
              <w:t>Descrierea</w:t>
            </w:r>
            <w:r w:rsidRPr="00D91062">
              <w:rPr>
                <w:b/>
                <w:noProof/>
                <w:color w:val="000000" w:themeColor="text1"/>
              </w:rPr>
              <w:t xml:space="preserve"> măsurii</w:t>
            </w:r>
          </w:p>
        </w:tc>
        <w:tc>
          <w:tcPr>
            <w:tcW w:w="2160" w:type="dxa"/>
            <w:tcBorders>
              <w:top w:val="single" w:sz="6" w:space="0" w:color="auto"/>
              <w:left w:val="single" w:sz="6" w:space="0" w:color="auto"/>
              <w:bottom w:val="single" w:sz="6" w:space="0" w:color="auto"/>
              <w:right w:val="single" w:sz="6" w:space="0" w:color="auto"/>
            </w:tcBorders>
            <w:tcMar>
              <w:left w:w="105" w:type="dxa"/>
              <w:right w:w="105" w:type="dxa"/>
            </w:tcMar>
          </w:tcPr>
          <w:p w14:paraId="3FA7C60C" w14:textId="77777777" w:rsidR="00D664CB" w:rsidRPr="00D91062" w:rsidRDefault="00D664CB" w:rsidP="00D664CB">
            <w:pPr>
              <w:jc w:val="left"/>
              <w:rPr>
                <w:b/>
                <w:noProof/>
              </w:rPr>
            </w:pPr>
            <w:r w:rsidRPr="00D91062">
              <w:rPr>
                <w:b/>
                <w:noProof/>
              </w:rPr>
              <w:t xml:space="preserve">Trimitere (trimiteri) la cerință (cerințe) </w:t>
            </w:r>
          </w:p>
        </w:tc>
        <w:tc>
          <w:tcPr>
            <w:tcW w:w="1710" w:type="dxa"/>
            <w:tcBorders>
              <w:top w:val="single" w:sz="6" w:space="0" w:color="auto"/>
              <w:left w:val="single" w:sz="6" w:space="0" w:color="auto"/>
              <w:bottom w:val="single" w:sz="6" w:space="0" w:color="auto"/>
              <w:right w:val="single" w:sz="6" w:space="0" w:color="auto"/>
            </w:tcBorders>
            <w:tcMar>
              <w:left w:w="105" w:type="dxa"/>
              <w:right w:w="105" w:type="dxa"/>
            </w:tcMar>
          </w:tcPr>
          <w:p w14:paraId="22658032" w14:textId="77777777" w:rsidR="00D664CB" w:rsidRPr="00D91062" w:rsidRDefault="00D664CB" w:rsidP="00D664CB">
            <w:pPr>
              <w:jc w:val="left"/>
              <w:rPr>
                <w:b/>
                <w:noProof/>
              </w:rPr>
            </w:pPr>
            <w:r w:rsidRPr="00D91062">
              <w:rPr>
                <w:b/>
                <w:noProof/>
              </w:rPr>
              <w:t xml:space="preserve">Rolul Comisiei </w:t>
            </w:r>
          </w:p>
          <w:p w14:paraId="2AF3BCBB" w14:textId="77777777" w:rsidR="00D664CB" w:rsidRPr="00D91062" w:rsidRDefault="00D664CB" w:rsidP="00D664CB">
            <w:pPr>
              <w:jc w:val="left"/>
              <w:rPr>
                <w:noProof/>
              </w:rPr>
            </w:pPr>
            <w:r w:rsidRPr="00D91062">
              <w:rPr>
                <w:noProof/>
              </w:rPr>
              <w:t>(dacă este cazul)</w:t>
            </w:r>
          </w:p>
        </w:tc>
        <w:tc>
          <w:tcPr>
            <w:tcW w:w="1530" w:type="dxa"/>
            <w:tcBorders>
              <w:top w:val="single" w:sz="6" w:space="0" w:color="auto"/>
              <w:left w:val="single" w:sz="6" w:space="0" w:color="auto"/>
              <w:bottom w:val="single" w:sz="6" w:space="0" w:color="auto"/>
              <w:right w:val="single" w:sz="6" w:space="0" w:color="auto"/>
            </w:tcBorders>
            <w:tcMar>
              <w:left w:w="105" w:type="dxa"/>
              <w:right w:w="105" w:type="dxa"/>
            </w:tcMar>
          </w:tcPr>
          <w:p w14:paraId="639C1F1C" w14:textId="77777777" w:rsidR="00D664CB" w:rsidRPr="00D91062" w:rsidRDefault="00D664CB" w:rsidP="00D664CB">
            <w:pPr>
              <w:jc w:val="left"/>
              <w:rPr>
                <w:b/>
                <w:noProof/>
              </w:rPr>
            </w:pPr>
            <w:r w:rsidRPr="00D91062">
              <w:rPr>
                <w:b/>
                <w:noProof/>
              </w:rPr>
              <w:t>Actorii care urmează să fie implicați</w:t>
            </w:r>
          </w:p>
          <w:p w14:paraId="77625274" w14:textId="77777777" w:rsidR="00D664CB" w:rsidRPr="00D91062" w:rsidRDefault="00D664CB" w:rsidP="00D664CB">
            <w:pPr>
              <w:jc w:val="left"/>
              <w:rPr>
                <w:noProof/>
              </w:rPr>
            </w:pPr>
            <w:r w:rsidRPr="00D91062">
              <w:rPr>
                <w:noProof/>
              </w:rPr>
              <w:t>(dacă este cazul)</w:t>
            </w:r>
          </w:p>
        </w:tc>
        <w:tc>
          <w:tcPr>
            <w:tcW w:w="1530" w:type="dxa"/>
            <w:tcBorders>
              <w:top w:val="single" w:sz="6" w:space="0" w:color="auto"/>
              <w:left w:val="single" w:sz="6" w:space="0" w:color="auto"/>
              <w:bottom w:val="single" w:sz="6" w:space="0" w:color="auto"/>
              <w:right w:val="single" w:sz="6" w:space="0" w:color="auto"/>
            </w:tcBorders>
            <w:tcMar>
              <w:left w:w="105" w:type="dxa"/>
              <w:right w:w="105" w:type="dxa"/>
            </w:tcMar>
          </w:tcPr>
          <w:p w14:paraId="120231D1" w14:textId="77777777" w:rsidR="00D664CB" w:rsidRPr="00D91062" w:rsidRDefault="00D664CB" w:rsidP="00D664CB">
            <w:pPr>
              <w:jc w:val="left"/>
              <w:rPr>
                <w:b/>
                <w:noProof/>
              </w:rPr>
            </w:pPr>
            <w:r w:rsidRPr="00D91062">
              <w:rPr>
                <w:b/>
                <w:noProof/>
              </w:rPr>
              <w:t>Calendarul preconizat</w:t>
            </w:r>
          </w:p>
          <w:p w14:paraId="793DD432" w14:textId="77777777" w:rsidR="00D664CB" w:rsidRPr="00D91062" w:rsidRDefault="00D664CB" w:rsidP="00D664CB">
            <w:pPr>
              <w:jc w:val="left"/>
              <w:rPr>
                <w:noProof/>
              </w:rPr>
            </w:pPr>
            <w:r w:rsidRPr="00D91062">
              <w:rPr>
                <w:noProof/>
              </w:rPr>
              <w:t>(dacă este cazul)</w:t>
            </w:r>
          </w:p>
        </w:tc>
      </w:tr>
      <w:tr w:rsidR="00D664CB" w:rsidRPr="00D91062" w14:paraId="45F37D53" w14:textId="77777777" w:rsidTr="00A2361B">
        <w:trPr>
          <w:trHeight w:val="300"/>
        </w:trPr>
        <w:tc>
          <w:tcPr>
            <w:tcW w:w="2340" w:type="dxa"/>
            <w:tcBorders>
              <w:top w:val="single" w:sz="6" w:space="0" w:color="auto"/>
              <w:left w:val="single" w:sz="6" w:space="0" w:color="auto"/>
              <w:bottom w:val="single" w:sz="6" w:space="0" w:color="auto"/>
              <w:right w:val="single" w:sz="6" w:space="0" w:color="auto"/>
            </w:tcBorders>
            <w:tcMar>
              <w:left w:w="105" w:type="dxa"/>
              <w:right w:w="105" w:type="dxa"/>
            </w:tcMar>
          </w:tcPr>
          <w:p w14:paraId="0027B846" w14:textId="77777777" w:rsidR="00D664CB" w:rsidRPr="00D91062" w:rsidRDefault="00D664CB" w:rsidP="00D664CB">
            <w:pPr>
              <w:jc w:val="left"/>
              <w:rPr>
                <w:noProof/>
              </w:rPr>
            </w:pPr>
            <w:r w:rsidRPr="00D91062">
              <w:rPr>
                <w:noProof/>
              </w:rPr>
              <w:t>N/A</w:t>
            </w:r>
          </w:p>
        </w:tc>
        <w:tc>
          <w:tcPr>
            <w:tcW w:w="2160" w:type="dxa"/>
            <w:tcBorders>
              <w:top w:val="single" w:sz="6" w:space="0" w:color="auto"/>
              <w:left w:val="single" w:sz="6" w:space="0" w:color="auto"/>
              <w:bottom w:val="single" w:sz="6" w:space="0" w:color="auto"/>
              <w:right w:val="single" w:sz="6" w:space="0" w:color="auto"/>
            </w:tcBorders>
            <w:tcMar>
              <w:left w:w="105" w:type="dxa"/>
              <w:right w:w="105" w:type="dxa"/>
            </w:tcMar>
          </w:tcPr>
          <w:p w14:paraId="0ED51439" w14:textId="77777777" w:rsidR="00D664CB" w:rsidRPr="00D91062" w:rsidRDefault="00D664CB" w:rsidP="00D664CB">
            <w:pPr>
              <w:jc w:val="left"/>
              <w:rPr>
                <w:noProof/>
              </w:rPr>
            </w:pPr>
          </w:p>
        </w:tc>
        <w:tc>
          <w:tcPr>
            <w:tcW w:w="1710" w:type="dxa"/>
            <w:tcBorders>
              <w:top w:val="single" w:sz="6" w:space="0" w:color="auto"/>
              <w:left w:val="single" w:sz="6" w:space="0" w:color="auto"/>
              <w:bottom w:val="single" w:sz="6" w:space="0" w:color="auto"/>
              <w:right w:val="single" w:sz="6" w:space="0" w:color="auto"/>
            </w:tcBorders>
            <w:tcMar>
              <w:left w:w="105" w:type="dxa"/>
              <w:right w:w="105" w:type="dxa"/>
            </w:tcMar>
          </w:tcPr>
          <w:p w14:paraId="1F758A6E" w14:textId="77777777" w:rsidR="00D664CB" w:rsidRPr="00D91062" w:rsidRDefault="00D664CB" w:rsidP="00D664CB">
            <w:pPr>
              <w:jc w:val="left"/>
              <w:rPr>
                <w:noProof/>
              </w:rPr>
            </w:pPr>
          </w:p>
        </w:tc>
        <w:tc>
          <w:tcPr>
            <w:tcW w:w="1530" w:type="dxa"/>
            <w:tcBorders>
              <w:top w:val="single" w:sz="6" w:space="0" w:color="auto"/>
              <w:left w:val="single" w:sz="6" w:space="0" w:color="auto"/>
              <w:bottom w:val="single" w:sz="6" w:space="0" w:color="auto"/>
              <w:right w:val="single" w:sz="6" w:space="0" w:color="auto"/>
            </w:tcBorders>
            <w:tcMar>
              <w:left w:w="105" w:type="dxa"/>
              <w:right w:w="105" w:type="dxa"/>
            </w:tcMar>
          </w:tcPr>
          <w:p w14:paraId="7B4C56E2" w14:textId="77777777" w:rsidR="00D664CB" w:rsidRPr="00D91062" w:rsidRDefault="00D664CB" w:rsidP="00D664CB">
            <w:pPr>
              <w:jc w:val="left"/>
              <w:rPr>
                <w:noProof/>
              </w:rPr>
            </w:pPr>
          </w:p>
        </w:tc>
        <w:tc>
          <w:tcPr>
            <w:tcW w:w="1530" w:type="dxa"/>
            <w:tcBorders>
              <w:top w:val="single" w:sz="6" w:space="0" w:color="auto"/>
              <w:left w:val="single" w:sz="6" w:space="0" w:color="auto"/>
              <w:bottom w:val="single" w:sz="6" w:space="0" w:color="auto"/>
              <w:right w:val="single" w:sz="6" w:space="0" w:color="auto"/>
            </w:tcBorders>
            <w:tcMar>
              <w:left w:w="105" w:type="dxa"/>
              <w:right w:w="105" w:type="dxa"/>
            </w:tcMar>
          </w:tcPr>
          <w:p w14:paraId="3AAE25F8" w14:textId="77777777" w:rsidR="00D664CB" w:rsidRPr="00D91062" w:rsidRDefault="00D664CB" w:rsidP="00D664CB">
            <w:pPr>
              <w:jc w:val="left"/>
              <w:rPr>
                <w:noProof/>
              </w:rPr>
            </w:pPr>
          </w:p>
        </w:tc>
      </w:tr>
    </w:tbl>
    <w:p w14:paraId="291BB803" w14:textId="77777777" w:rsidR="00B74715" w:rsidRPr="00D91062" w:rsidRDefault="00B74715" w:rsidP="007A5721">
      <w:pPr>
        <w:rPr>
          <w:noProof/>
        </w:rPr>
      </w:pPr>
    </w:p>
    <w:sectPr w:rsidR="00B74715" w:rsidRPr="00D91062" w:rsidSect="00A8433C">
      <w:headerReference w:type="default" r:id="rId24"/>
      <w:footerReference w:type="default" r:id="rId25"/>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1851F0" w14:textId="77777777" w:rsidR="00854454" w:rsidRDefault="00854454" w:rsidP="00B74715">
      <w:pPr>
        <w:spacing w:before="0" w:after="0"/>
      </w:pPr>
      <w:r>
        <w:separator/>
      </w:r>
    </w:p>
  </w:endnote>
  <w:endnote w:type="continuationSeparator" w:id="0">
    <w:p w14:paraId="141C8D9A" w14:textId="77777777" w:rsidR="00854454" w:rsidRDefault="00854454" w:rsidP="00B7471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Aptos">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EUAlbertina">
    <w:altName w:val="Calibri"/>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EF7E3" w14:textId="18D3977C" w:rsidR="00A8433C" w:rsidRPr="00A8433C" w:rsidRDefault="00A8433C" w:rsidP="00A8433C">
    <w:pPr>
      <w:pStyle w:val="Footer"/>
      <w:rPr>
        <w:rFonts w:ascii="Arial" w:hAnsi="Arial" w:cs="Arial"/>
        <w:b/>
        <w:sz w:val="48"/>
      </w:rPr>
    </w:pPr>
    <w:r w:rsidRPr="00A8433C">
      <w:rPr>
        <w:rFonts w:ascii="Arial" w:hAnsi="Arial" w:cs="Arial"/>
        <w:b/>
        <w:sz w:val="48"/>
      </w:rPr>
      <w:t>RO</w:t>
    </w:r>
    <w:r w:rsidRPr="00A8433C">
      <w:rPr>
        <w:rFonts w:ascii="Arial" w:hAnsi="Arial" w:cs="Arial"/>
        <w:b/>
        <w:sz w:val="48"/>
      </w:rPr>
      <w:tab/>
    </w:r>
    <w:r w:rsidRPr="00A8433C">
      <w:rPr>
        <w:rFonts w:ascii="Arial" w:hAnsi="Arial" w:cs="Arial"/>
        <w:b/>
        <w:sz w:val="48"/>
      </w:rPr>
      <w:tab/>
    </w:r>
    <w:r w:rsidRPr="00A8433C">
      <w:tab/>
    </w:r>
    <w:r w:rsidRPr="00A8433C">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E92EFE" w14:textId="5108A633" w:rsidR="00A8433C" w:rsidRPr="00A8433C" w:rsidRDefault="00A8433C" w:rsidP="00A8433C">
    <w:pPr>
      <w:pStyle w:val="Footer"/>
      <w:rPr>
        <w:rFonts w:ascii="Arial" w:hAnsi="Arial" w:cs="Arial"/>
        <w:b/>
        <w:sz w:val="48"/>
      </w:rPr>
    </w:pPr>
    <w:r w:rsidRPr="00A8433C">
      <w:rPr>
        <w:rFonts w:ascii="Arial" w:hAnsi="Arial" w:cs="Arial"/>
        <w:b/>
        <w:sz w:val="48"/>
      </w:rPr>
      <w:t>RO</w:t>
    </w:r>
    <w:r w:rsidRPr="00A8433C">
      <w:rPr>
        <w:rFonts w:ascii="Arial" w:hAnsi="Arial" w:cs="Arial"/>
        <w:b/>
        <w:sz w:val="48"/>
      </w:rPr>
      <w:tab/>
    </w:r>
    <w:r w:rsidRPr="00A8433C">
      <w:rPr>
        <w:rFonts w:ascii="Arial" w:hAnsi="Arial" w:cs="Arial"/>
        <w:b/>
        <w:sz w:val="48"/>
      </w:rPr>
      <w:tab/>
    </w:r>
    <w:r w:rsidRPr="00A8433C">
      <w:tab/>
    </w:r>
    <w:r w:rsidRPr="00A8433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61B2A" w14:textId="77777777" w:rsidR="00A8433C" w:rsidRDefault="00A8433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51F8A8" w14:textId="46804DE1" w:rsidR="00A8433C" w:rsidRPr="00A8433C" w:rsidRDefault="00A8433C" w:rsidP="00A8433C">
    <w:pPr>
      <w:pStyle w:val="Footer"/>
      <w:rPr>
        <w:rFonts w:ascii="Arial" w:hAnsi="Arial" w:cs="Arial"/>
        <w:b/>
        <w:sz w:val="48"/>
      </w:rPr>
    </w:pPr>
    <w:r w:rsidRPr="00A8433C">
      <w:rPr>
        <w:rFonts w:ascii="Arial" w:hAnsi="Arial" w:cs="Arial"/>
        <w:b/>
        <w:sz w:val="48"/>
      </w:rPr>
      <w:t>RO</w:t>
    </w:r>
    <w:r w:rsidRPr="00A8433C">
      <w:rPr>
        <w:rFonts w:ascii="Arial" w:hAnsi="Arial" w:cs="Arial"/>
        <w:b/>
        <w:sz w:val="48"/>
      </w:rPr>
      <w:tab/>
    </w:r>
    <w:r>
      <w:fldChar w:fldCharType="begin"/>
    </w:r>
    <w:r>
      <w:instrText xml:space="preserve"> PAGE  \* MERGEFORMAT </w:instrText>
    </w:r>
    <w:r>
      <w:fldChar w:fldCharType="separate"/>
    </w:r>
    <w:r w:rsidR="003352CB">
      <w:rPr>
        <w:noProof/>
      </w:rPr>
      <w:t>46</w:t>
    </w:r>
    <w:r>
      <w:fldChar w:fldCharType="end"/>
    </w:r>
    <w:r>
      <w:tab/>
    </w:r>
    <w:r w:rsidRPr="00A8433C">
      <w:tab/>
    </w:r>
    <w:r w:rsidRPr="00A8433C">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95DF1" w14:textId="77777777" w:rsidR="00A8433C" w:rsidRDefault="00A8433C" w:rsidP="00A8433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63732F" w14:textId="3F147C7E" w:rsidR="00A8433C" w:rsidRPr="00A8433C" w:rsidRDefault="00A8433C" w:rsidP="00A8433C">
    <w:pPr>
      <w:pStyle w:val="FooterLandscape"/>
      <w:rPr>
        <w:rFonts w:ascii="Arial" w:hAnsi="Arial" w:cs="Arial"/>
        <w:b/>
        <w:sz w:val="48"/>
      </w:rPr>
    </w:pPr>
    <w:r w:rsidRPr="00A8433C">
      <w:rPr>
        <w:rFonts w:ascii="Arial" w:hAnsi="Arial" w:cs="Arial"/>
        <w:b/>
        <w:sz w:val="48"/>
      </w:rPr>
      <w:t>RO</w:t>
    </w:r>
    <w:r w:rsidRPr="00A8433C">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A8433C">
      <w:tab/>
    </w:r>
    <w:r w:rsidRPr="00A8433C">
      <w:rPr>
        <w:rFonts w:ascii="Arial" w:hAnsi="Arial" w:cs="Arial"/>
        <w:b/>
        <w:sz w:val="48"/>
      </w:rPr>
      <w:t>RO</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E758D" w14:textId="508A8ACA" w:rsidR="00A8433C" w:rsidRPr="00A8433C" w:rsidRDefault="00A8433C" w:rsidP="00A8433C">
    <w:pPr>
      <w:pStyle w:val="Footer"/>
      <w:rPr>
        <w:rFonts w:ascii="Arial" w:hAnsi="Arial" w:cs="Arial"/>
        <w:b/>
        <w:sz w:val="48"/>
      </w:rPr>
    </w:pPr>
    <w:r w:rsidRPr="00A8433C">
      <w:rPr>
        <w:rFonts w:ascii="Arial" w:hAnsi="Arial" w:cs="Arial"/>
        <w:b/>
        <w:sz w:val="48"/>
      </w:rPr>
      <w:t>RO</w:t>
    </w:r>
    <w:r w:rsidRPr="00A8433C">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A8433C">
      <w:tab/>
    </w:r>
    <w:r w:rsidRPr="00A8433C">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7C8874" w14:textId="77777777" w:rsidR="00854454" w:rsidRDefault="00854454" w:rsidP="00B74715">
      <w:pPr>
        <w:spacing w:before="0" w:after="0"/>
      </w:pPr>
      <w:r>
        <w:separator/>
      </w:r>
    </w:p>
  </w:footnote>
  <w:footnote w:type="continuationSeparator" w:id="0">
    <w:p w14:paraId="35619C6F" w14:textId="77777777" w:rsidR="00854454" w:rsidRDefault="00854454" w:rsidP="00B74715">
      <w:pPr>
        <w:spacing w:before="0" w:after="0"/>
      </w:pPr>
      <w:r>
        <w:continuationSeparator/>
      </w:r>
    </w:p>
  </w:footnote>
  <w:footnote w:id="1">
    <w:p w14:paraId="2B3B1E2E" w14:textId="77777777" w:rsidR="00D664CB" w:rsidRPr="00240338" w:rsidRDefault="00D664CB" w:rsidP="00D664CB">
      <w:pPr>
        <w:pStyle w:val="FootnoteText"/>
      </w:pPr>
      <w:r>
        <w:rPr>
          <w:rStyle w:val="FootnoteReference"/>
        </w:rPr>
        <w:footnoteRef/>
      </w:r>
      <w:r>
        <w:tab/>
        <w:t>Decizia nr. 626/2008/CE a Parlamentului European și a Consiliului din 30 iunie 2008 privind selectarea și autorizarea sistemelor care furnizează servicii mobile de comunicații prin satelit (MSS) (JO L 172, p. 15, ELI: </w:t>
      </w:r>
      <w:hyperlink r:id="rId1" w:tooltip="Oferă acces la acest document prin identificatorul său uniform de resurse ELI." w:history="1">
        <w:r>
          <w:rPr>
            <w:rStyle w:val="Hyperlink"/>
          </w:rPr>
          <w:t>http://data.europa.eu/eli/dec/2008/626(2)/oj</w:t>
        </w:r>
      </w:hyperlink>
      <w:r>
        <w:t>).</w:t>
      </w:r>
    </w:p>
  </w:footnote>
  <w:footnote w:id="2">
    <w:p w14:paraId="16019A7A" w14:textId="77777777" w:rsidR="00D664CB" w:rsidRDefault="00D664CB" w:rsidP="00D664CB">
      <w:pPr>
        <w:pStyle w:val="FootnoteText"/>
        <w:rPr>
          <w:rFonts w:eastAsia="Times New Roman"/>
        </w:rPr>
      </w:pPr>
      <w:r>
        <w:rPr>
          <w:rStyle w:val="FootnoteReference"/>
        </w:rPr>
        <w:footnoteRef/>
      </w:r>
      <w:r>
        <w:tab/>
        <w:t>Constelațiile LEO pot oferi o acoperire globală, uniformă, cu latență redusă, deoarece se deplasează în mod constant în jurul Pământului, mulți sateliți în mișcare pot acoperi fiecare punct de pe Pământ în cele din urmă și își pot transfera reciproc acoperirea/serviciul.</w:t>
      </w:r>
    </w:p>
  </w:footnote>
  <w:footnote w:id="3">
    <w:p w14:paraId="568FE84A" w14:textId="77777777" w:rsidR="00D664CB" w:rsidRPr="00240338" w:rsidRDefault="00D664CB" w:rsidP="00D664CB">
      <w:pPr>
        <w:pStyle w:val="FootnoteText"/>
      </w:pPr>
      <w:r>
        <w:rPr>
          <w:rStyle w:val="FootnoteReference"/>
        </w:rPr>
        <w:footnoteRef/>
      </w:r>
      <w:r>
        <w:tab/>
        <w:t>Decizia (UE) 2022/2481 a Parlamentului European și a Consiliului din 14 decembrie 2022 de instituire a programului de politică pentru 2030 privind deceniul digital (JO L 323, 19.12.2022, p. 4, ELI: </w:t>
      </w:r>
      <w:hyperlink r:id="rId2">
        <w:r>
          <w:rPr>
            <w:rStyle w:val="Hyperlink"/>
          </w:rPr>
          <w:t>http://data.europa.eu/eli/dec/2022/2481/oj</w:t>
        </w:r>
      </w:hyperlink>
      <w:r>
        <w:t>).</w:t>
      </w:r>
    </w:p>
  </w:footnote>
  <w:footnote w:id="4">
    <w:p w14:paraId="69CF3649" w14:textId="77777777" w:rsidR="00D664CB" w:rsidRPr="00240338" w:rsidRDefault="00D664CB" w:rsidP="00D664CB">
      <w:pPr>
        <w:pStyle w:val="FootnoteText"/>
      </w:pPr>
      <w:r>
        <w:rPr>
          <w:rStyle w:val="FootnoteReference"/>
        </w:rPr>
        <w:footnoteRef/>
      </w:r>
      <w:r>
        <w:tab/>
        <w:t>Propunere de Regulament al Parlamentului European și al Consiliului privind rețelele digitale, de modificare a Regulamentului (UE) 2015/2120, a Directivei 2002/58/CE și a Deciziei 676/2002/CE și de abrogare a Regulamentului (UE) 2018/1971, a Directivei (UE) 2018/1972 și a Deciziei 243/2012/UE (Regulamentul privind rețelele digitale),2026, 21. 1. 2026, COM(2026)16 FINAL, 2026/0013 (COD).</w:t>
      </w:r>
    </w:p>
  </w:footnote>
  <w:footnote w:id="5">
    <w:p w14:paraId="4D62771E" w14:textId="3C0EFA1F" w:rsidR="00D664CB" w:rsidRPr="00240338" w:rsidRDefault="00D664CB" w:rsidP="00D664CB">
      <w:pPr>
        <w:pStyle w:val="FootnoteText"/>
      </w:pPr>
      <w:r>
        <w:rPr>
          <w:rStyle w:val="FootnoteReference"/>
        </w:rPr>
        <w:footnoteRef/>
      </w:r>
      <w:r>
        <w:tab/>
        <w:t>Comunicarea comună către Parlamentul European și Consiliu intitulată „Strategia spațială a Uniunii</w:t>
      </w:r>
      <w:r w:rsidR="00216996">
        <w:t> </w:t>
      </w:r>
      <w:r>
        <w:t>Europene pentru securitate și apărare”, 10. 3. 2023, JOIN(203) 9 final.</w:t>
      </w:r>
    </w:p>
  </w:footnote>
  <w:footnote w:id="6">
    <w:p w14:paraId="5580A99E" w14:textId="77777777" w:rsidR="00D664CB" w:rsidRPr="00953922" w:rsidRDefault="00D664CB" w:rsidP="00D664CB">
      <w:pPr>
        <w:pStyle w:val="FootnoteText"/>
      </w:pPr>
      <w:r>
        <w:rPr>
          <w:rStyle w:val="FootnoteReference"/>
        </w:rPr>
        <w:footnoteRef/>
      </w:r>
      <w:r>
        <w:tab/>
        <w:t>Regulamentul (UE) 2023/588 al Parlamentului European și al Consiliului din 15 martie 2023 de instituire a Programului Uniunii privind conectivitatea securizată pentru perioada 2023-2027 (JO L 79, 17.3.2023, pp. 1, ELI: </w:t>
      </w:r>
      <w:hyperlink r:id="rId3" w:tooltip="Oferă acces la acest document prin identificatorul său uniform de resurse ELI." w:history="1">
        <w:r>
          <w:rPr>
            <w:rStyle w:val="Hyperlink"/>
          </w:rPr>
          <w:t>http://data.europa.eu/eli/reg/2023/588/oj</w:t>
        </w:r>
      </w:hyperlink>
      <w:r>
        <w:t>).</w:t>
      </w:r>
    </w:p>
  </w:footnote>
  <w:footnote w:id="7">
    <w:p w14:paraId="43F7E592" w14:textId="77777777" w:rsidR="00D664CB" w:rsidRPr="00240338" w:rsidRDefault="00D664CB" w:rsidP="00D664CB">
      <w:pPr>
        <w:pStyle w:val="FootnoteText"/>
      </w:pPr>
      <w:r>
        <w:rPr>
          <w:rStyle w:val="FootnoteReference"/>
        </w:rPr>
        <w:footnoteRef/>
      </w:r>
      <w:r>
        <w:tab/>
        <w:t xml:space="preserve">Comunicare a Comisiei către Parlamentul European, Consiliul European, Consiliu, Comitetul Economic și Social European și Comitetul Regiunilor, „O Busolă pentru competitivitatea UE”, 29. 1. 2025, COM(2025) 30 final. </w:t>
      </w:r>
    </w:p>
  </w:footnote>
  <w:footnote w:id="8">
    <w:p w14:paraId="182EDD58" w14:textId="77777777" w:rsidR="00D664CB" w:rsidRPr="00240338" w:rsidRDefault="00D664CB" w:rsidP="00D664CB">
      <w:pPr>
        <w:pStyle w:val="FootnoteText"/>
      </w:pPr>
      <w:r>
        <w:rPr>
          <w:rStyle w:val="FootnoteReference"/>
        </w:rPr>
        <w:footnoteRef/>
      </w:r>
      <w:r>
        <w:tab/>
        <w:t>Comunicare a Comisiei către Parlamentul European, Consiliu, Comitetul Economic și Social European și Comitetul Regiunilor, „O viziune pentru economia spațială europeană”, 25. 6. 2025, COM(2025) 336 final.</w:t>
      </w:r>
    </w:p>
  </w:footnote>
  <w:footnote w:id="9">
    <w:p w14:paraId="58EE4180" w14:textId="77777777" w:rsidR="00D664CB" w:rsidRPr="00DD3A5E" w:rsidRDefault="00D664CB" w:rsidP="00D664CB">
      <w:pPr>
        <w:pStyle w:val="FootnoteText"/>
      </w:pPr>
      <w:r>
        <w:rPr>
          <w:rStyle w:val="FootnoteReference"/>
        </w:rPr>
        <w:footnoteRef/>
      </w:r>
      <w:r>
        <w:tab/>
        <w:t>Comunicare comună către Parlamentul European, Consiliul European și Consiliu intitulată „Strategia europeană pentru securitate economică”, 20. 6. 2023, JOIN(2023) 20 final.</w:t>
      </w:r>
    </w:p>
  </w:footnote>
  <w:footnote w:id="10">
    <w:p w14:paraId="47539EBF" w14:textId="77777777" w:rsidR="00D664CB" w:rsidRPr="00DD3A5E" w:rsidRDefault="00D664CB" w:rsidP="00D664CB">
      <w:pPr>
        <w:pStyle w:val="FootnoteText"/>
      </w:pPr>
      <w:r>
        <w:rPr>
          <w:rStyle w:val="FootnoteReference"/>
        </w:rPr>
        <w:footnoteRef/>
      </w:r>
      <w:r>
        <w:tab/>
        <w:t>Comunicare comună către Parlamentul European și Consiliu, Consolidarea securității economice a UE, 3. 12. 2025, JOIN(2025) 977 final.</w:t>
      </w:r>
    </w:p>
  </w:footnote>
  <w:footnote w:id="11">
    <w:p w14:paraId="6DFDD7A8" w14:textId="77777777" w:rsidR="00D664CB" w:rsidRPr="00997A61" w:rsidRDefault="00D664CB" w:rsidP="00D664CB">
      <w:pPr>
        <w:pStyle w:val="FootnoteText"/>
      </w:pPr>
      <w:r>
        <w:rPr>
          <w:rStyle w:val="FootnoteReference"/>
        </w:rPr>
        <w:footnoteRef/>
      </w:r>
      <w:r>
        <w:tab/>
        <w:t>Evaluare – Revizuirea funcționării Codului european al comunicațiilor electronice (CECE), a Regulamentului OAREC, a Regulamentului privind internetul deschis și a anumitor aspecte ale Directivei asupra confidențialității și comunicațiilor electronice, anexa 11 la Evaluarea impactului propunerii DNA, SWD(2026) 13 final, partea 3/3.</w:t>
      </w:r>
    </w:p>
  </w:footnote>
  <w:footnote w:id="12">
    <w:p w14:paraId="3E4732CE" w14:textId="77777777" w:rsidR="00D664CB" w:rsidRPr="00240338" w:rsidRDefault="00D664CB" w:rsidP="00D664CB">
      <w:pPr>
        <w:pStyle w:val="FootnoteText"/>
      </w:pPr>
      <w:r>
        <w:rPr>
          <w:rStyle w:val="FootnoteReference"/>
        </w:rPr>
        <w:footnoteRef/>
      </w:r>
      <w:r>
        <w:tab/>
        <w:t xml:space="preserve">COM(2024) 81 final - </w:t>
      </w:r>
      <w:hyperlink r:id="rId4" w:history="1">
        <w:r>
          <w:rPr>
            <w:rStyle w:val="Hyperlink"/>
          </w:rPr>
          <w:t>https://eur-lex.europa.eu/legal-content/RO/TXT/?uri=celex:52024DC0081</w:t>
        </w:r>
      </w:hyperlink>
      <w:r>
        <w:t xml:space="preserve">. </w:t>
      </w:r>
    </w:p>
  </w:footnote>
  <w:footnote w:id="13">
    <w:p w14:paraId="4C74DC88" w14:textId="77777777" w:rsidR="00D664CB" w:rsidRPr="00240338" w:rsidRDefault="00D664CB" w:rsidP="00D664CB">
      <w:pPr>
        <w:pStyle w:val="FootnoteText"/>
      </w:pPr>
      <w:r>
        <w:rPr>
          <w:rStyle w:val="FootnoteReference"/>
        </w:rPr>
        <w:footnoteRef/>
      </w:r>
      <w:r w:rsidRPr="00216996">
        <w:tab/>
      </w:r>
      <w:hyperlink r:id="rId5" w:history="1">
        <w:r w:rsidRPr="00216996">
          <w:rPr>
            <w:rStyle w:val="Hyperlink"/>
          </w:rPr>
          <w:t>https://digital-strategy.ec.europa.eu/ro/news/commission-gathers-feedback-upcoming-digital-networks-act</w:t>
        </w:r>
      </w:hyperlink>
      <w:r>
        <w:t>.</w:t>
      </w:r>
    </w:p>
  </w:footnote>
  <w:footnote w:id="14">
    <w:p w14:paraId="3A3D2320" w14:textId="77777777" w:rsidR="00D664CB" w:rsidRPr="003C5840" w:rsidRDefault="00D664CB" w:rsidP="00D664CB">
      <w:pPr>
        <w:pStyle w:val="FootnoteText"/>
      </w:pPr>
      <w:r>
        <w:rPr>
          <w:rStyle w:val="FootnoteReference"/>
        </w:rPr>
        <w:footnoteRef/>
      </w:r>
      <w:r w:rsidRPr="00216996">
        <w:tab/>
      </w:r>
      <w:hyperlink r:id="rId6" w:history="1">
        <w:r>
          <w:rPr>
            <w:rStyle w:val="Hyperlink"/>
          </w:rPr>
          <w:t>Raport de sinteză al consultării specifice privind serviciile mobile prin satelit |</w:t>
        </w:r>
      </w:hyperlink>
      <w:hyperlink r:id="rId7" w:history="1">
        <w:r>
          <w:rPr>
            <w:rStyle w:val="Hyperlink"/>
          </w:rPr>
          <w:t xml:space="preserve"> Conturarea viitorului digital al Europei</w:t>
        </w:r>
      </w:hyperlink>
      <w:r>
        <w:t>.</w:t>
      </w:r>
    </w:p>
  </w:footnote>
  <w:footnote w:id="15">
    <w:p w14:paraId="567954AC" w14:textId="77777777" w:rsidR="00D664CB" w:rsidRPr="000A2A00" w:rsidRDefault="00D664CB" w:rsidP="00D664CB">
      <w:pPr>
        <w:pStyle w:val="FootnoteText"/>
      </w:pPr>
      <w:r>
        <w:rPr>
          <w:rStyle w:val="FootnoteReference"/>
        </w:rPr>
        <w:footnoteRef/>
      </w:r>
      <w:r>
        <w:tab/>
        <w:t>Importanța capitală a serviciilor prin satelit D2D a fost, de asemenea, subliniată în avizul RSPG și în studiul Comisiei.</w:t>
      </w:r>
    </w:p>
  </w:footnote>
  <w:footnote w:id="16">
    <w:p w14:paraId="07B2205B" w14:textId="03040BF4" w:rsidR="00D664CB" w:rsidRPr="008449AA" w:rsidRDefault="00D664CB" w:rsidP="00D664CB">
      <w:pPr>
        <w:pStyle w:val="FootnoteText"/>
      </w:pPr>
      <w:r>
        <w:rPr>
          <w:rStyle w:val="FootnoteReference"/>
        </w:rPr>
        <w:footnoteRef/>
      </w:r>
      <w:r>
        <w:tab/>
        <w:t>Avizul RSPG privind evaluarea diferitelor scenarii posibile pentru utilizarea benzilor de frecvențe de 1 980-2 010 MHz și 2 170-2 200 MHz de către serviciile mobile prin satelit după 2027 (RSPG24</w:t>
      </w:r>
      <w:r w:rsidR="00216996">
        <w:t>­</w:t>
      </w:r>
      <w:r>
        <w:t>007Final).</w:t>
      </w:r>
    </w:p>
  </w:footnote>
  <w:footnote w:id="17">
    <w:p w14:paraId="578FFCAD" w14:textId="77777777" w:rsidR="00D664CB" w:rsidRPr="008449AA" w:rsidRDefault="00D664CB" w:rsidP="00D664CB">
      <w:pPr>
        <w:pStyle w:val="FootnoteText"/>
      </w:pPr>
      <w:r>
        <w:rPr>
          <w:rStyle w:val="FootnoteReference"/>
        </w:rPr>
        <w:footnoteRef/>
      </w:r>
      <w:r>
        <w:tab/>
        <w:t>Avizul RSPG privind abordarea politică la nivelul UE a conectivității directe de la satelit la dispozitiv și aspectele conexe legate de piața unică (RSPG25-020Final).</w:t>
      </w:r>
    </w:p>
  </w:footnote>
  <w:footnote w:id="18">
    <w:p w14:paraId="49DD6CD6" w14:textId="77777777" w:rsidR="00D664CB" w:rsidRPr="00240338" w:rsidRDefault="00D664CB" w:rsidP="00D664CB">
      <w:pPr>
        <w:pStyle w:val="FootnoteText"/>
      </w:pPr>
      <w:r>
        <w:rPr>
          <w:rStyle w:val="FootnoteReference"/>
        </w:rPr>
        <w:footnoteRef/>
      </w:r>
      <w:r>
        <w:tab/>
        <w:t xml:space="preserve">Comisia Europeană: Direcția Generală Rețele de Comunicare, Conținut și Tehnologie și Idate Digiworld, </w:t>
      </w:r>
      <w:r>
        <w:rPr>
          <w:i/>
        </w:rPr>
        <w:t>Mobile Satellite Services (MSS) authorisation regimes, authorisations and enforcement in the EU Member States – Final report</w:t>
      </w:r>
      <w:r>
        <w:t xml:space="preserve"> [Regimuri de autorizare, autorizații și punerea în aplicare a serviciilor mobile prin satelit (MSS) în statele membre ale UE - Raport final], Oficiul pentru Publicații, 2019, https://data.europa.eu/doi/10.2759/974409.</w:t>
      </w:r>
    </w:p>
  </w:footnote>
  <w:footnote w:id="19">
    <w:p w14:paraId="4EA52E79" w14:textId="77777777" w:rsidR="00D664CB" w:rsidRPr="00240338" w:rsidRDefault="00D664CB" w:rsidP="00D664CB">
      <w:pPr>
        <w:pStyle w:val="FootnoteText"/>
      </w:pPr>
      <w:r>
        <w:rPr>
          <w:rStyle w:val="FootnoteReference"/>
        </w:rPr>
        <w:footnoteRef/>
      </w:r>
      <w:r>
        <w:tab/>
        <w:t xml:space="preserve">Comisia Europeană: Direcția Generală Rețele de Comunicare, Conținut și Tehnologie și DETECON, </w:t>
      </w:r>
      <w:r>
        <w:rPr>
          <w:i/>
        </w:rPr>
        <w:t>Study on mobile satellite services (MSS) in the 2 GHz band in the EU – Implementation of the current regulatory framework and an overview of the satellite connectivity market – Final report</w:t>
      </w:r>
      <w:r>
        <w:t xml:space="preserve"> [Studiu privind serviciile mobile prin satelit (MSS) în banda de 2 GHz în UE – Punerea în aplicare a cadrului de reglementare actual și prezentare generală a pieței conectivității prin satelit – Raport final], Oficiul pentru Publicații al Uniunii Europene, 2025, https://data.europa.eu/doi/10.2759/5764760.</w:t>
      </w:r>
    </w:p>
  </w:footnote>
  <w:footnote w:id="20">
    <w:p w14:paraId="31F4C4E7" w14:textId="77777777" w:rsidR="00D664CB" w:rsidRDefault="00D664CB" w:rsidP="00D664CB">
      <w:pPr>
        <w:pStyle w:val="FootnoteText"/>
      </w:pPr>
      <w:r>
        <w:rPr>
          <w:rStyle w:val="FootnoteReference"/>
        </w:rPr>
        <w:footnoteRef/>
      </w:r>
      <w:r>
        <w:tab/>
        <w:t>JO C , , p. .</w:t>
      </w:r>
    </w:p>
  </w:footnote>
  <w:footnote w:id="21">
    <w:p w14:paraId="1632AFCE" w14:textId="77777777" w:rsidR="00D664CB" w:rsidRDefault="00D664CB" w:rsidP="00D664CB">
      <w:pPr>
        <w:pStyle w:val="FootnoteText"/>
      </w:pPr>
      <w:r>
        <w:rPr>
          <w:rStyle w:val="FootnoteReference"/>
        </w:rPr>
        <w:footnoteRef/>
      </w:r>
      <w:r>
        <w:tab/>
        <w:t>JO C , , p. […].</w:t>
      </w:r>
    </w:p>
  </w:footnote>
  <w:footnote w:id="22">
    <w:p w14:paraId="318F3C2A" w14:textId="77777777" w:rsidR="00D664CB" w:rsidRPr="005A369B" w:rsidRDefault="00D664CB" w:rsidP="00D664CB">
      <w:pPr>
        <w:pStyle w:val="FootnoteText"/>
      </w:pPr>
      <w:r>
        <w:rPr>
          <w:rStyle w:val="FootnoteReference"/>
        </w:rPr>
        <w:footnoteRef/>
      </w:r>
      <w:r>
        <w:tab/>
        <w:t xml:space="preserve">Observatorul 5G: </w:t>
      </w:r>
      <w:hyperlink r:id="rId8" w:history="1">
        <w:r>
          <w:rPr>
            <w:rStyle w:val="Hyperlink"/>
          </w:rPr>
          <w:t>Tabloul de bord</w:t>
        </w:r>
      </w:hyperlink>
      <w:r>
        <w:t xml:space="preserve"> al UE din 2025. A se vedea, de asemenea: </w:t>
      </w:r>
      <w:hyperlink r:id="rId9" w:history="1">
        <w:r>
          <w:rPr>
            <w:rStyle w:val="Hyperlink"/>
          </w:rPr>
          <w:t>Indicatori 5G:</w:t>
        </w:r>
      </w:hyperlink>
      <w:hyperlink r:id="rId10" w:history="1">
        <w:r>
          <w:rPr>
            <w:rStyle w:val="Hyperlink"/>
          </w:rPr>
          <w:t xml:space="preserve"> acoperire |</w:t>
        </w:r>
      </w:hyperlink>
      <w:hyperlink r:id="rId11" w:history="1">
        <w:r>
          <w:rPr>
            <w:rStyle w:val="Hyperlink"/>
          </w:rPr>
          <w:t xml:space="preserve"> Conturarea viitorului digital al Europei</w:t>
        </w:r>
      </w:hyperlink>
      <w:r>
        <w:t>.</w:t>
      </w:r>
    </w:p>
  </w:footnote>
  <w:footnote w:id="23">
    <w:p w14:paraId="5F03F84A" w14:textId="77777777" w:rsidR="00D664CB" w:rsidRPr="00240338" w:rsidRDefault="00D664CB" w:rsidP="00D664CB">
      <w:pPr>
        <w:pStyle w:val="FootnoteText"/>
        <w:rPr>
          <w:rFonts w:eastAsia="Times New Roman"/>
          <w:color w:val="333333"/>
        </w:rPr>
      </w:pPr>
      <w:r>
        <w:rPr>
          <w:rStyle w:val="FootnoteReference"/>
        </w:rPr>
        <w:footnoteRef/>
      </w:r>
      <w:r>
        <w:tab/>
        <w:t xml:space="preserve">Decizia </w:t>
      </w:r>
      <w:r>
        <w:rPr>
          <w:color w:val="333333"/>
        </w:rPr>
        <w:t>2007/98/CE a Comisiei din 14 februarie 2007 privind utilizarea armonizată a spectrului radio pentru benzile de frecvență de 2 GHz în vederea punerii în aplicare a sistemelor care furnizează servicii mobile prin satelit (</w:t>
      </w:r>
      <w:r>
        <w:t>JO L 43, 15.2.2007, p. 32, ELI: </w:t>
      </w:r>
      <w:hyperlink r:id="rId12" w:tooltip="Oferă acces la acest document prin identificatorul său uniform de resurse ELI." w:history="1">
        <w:r>
          <w:rPr>
            <w:rStyle w:val="Hyperlink"/>
          </w:rPr>
          <w:t>http://data.europa.eu/eli/dec/2007/98(1)/oj</w:t>
        </w:r>
      </w:hyperlink>
      <w:r>
        <w:t xml:space="preserve">). </w:t>
      </w:r>
    </w:p>
  </w:footnote>
  <w:footnote w:id="24">
    <w:p w14:paraId="36591157" w14:textId="77777777" w:rsidR="00D664CB" w:rsidRPr="00240338" w:rsidRDefault="00D664CB" w:rsidP="00D664CB">
      <w:pPr>
        <w:pStyle w:val="FootnoteText"/>
      </w:pPr>
      <w:r>
        <w:rPr>
          <w:rStyle w:val="FootnoteReference"/>
        </w:rPr>
        <w:footnoteRef/>
      </w:r>
      <w:r>
        <w:tab/>
        <w:t>Decizia nr. 626/2008/CE a Parlamentului European și a Consiliului din 30 iunie 2008 privind selectarea și autorizarea sistemelor care furnizează servicii mobile de comunicații prin satelit (MSS) (JO L 172, 2.7.2008, p. 15, ELI: </w:t>
      </w:r>
      <w:hyperlink r:id="rId13" w:tooltip="Oferă acces la acest document prin identificatorul său uniform de resurse ELI." w:history="1">
        <w:r>
          <w:rPr>
            <w:rStyle w:val="Hyperlink"/>
          </w:rPr>
          <w:t>http://data.europa.eu/eli/dec/2008/626(2)/oj</w:t>
        </w:r>
      </w:hyperlink>
      <w:r>
        <w:t>).</w:t>
      </w:r>
    </w:p>
  </w:footnote>
  <w:footnote w:id="25">
    <w:p w14:paraId="11FB0402" w14:textId="77777777" w:rsidR="00D664CB" w:rsidRPr="00367EFA" w:rsidRDefault="00D664CB" w:rsidP="00D664CB">
      <w:pPr>
        <w:pStyle w:val="FootnoteText"/>
      </w:pPr>
      <w:r>
        <w:rPr>
          <w:rStyle w:val="FootnoteReference"/>
        </w:rPr>
        <w:footnoteRef/>
      </w:r>
      <w:r>
        <w:tab/>
        <w:t>Comunicarea comună către Parlamentul European și Consiliu, JOIN(2023) 9 final.</w:t>
      </w:r>
    </w:p>
  </w:footnote>
  <w:footnote w:id="26">
    <w:p w14:paraId="65D58C8D" w14:textId="77777777" w:rsidR="00D664CB" w:rsidRPr="00DD3A5E" w:rsidRDefault="00D664CB" w:rsidP="00D664CB">
      <w:pPr>
        <w:pStyle w:val="FootnoteText"/>
      </w:pPr>
      <w:r>
        <w:rPr>
          <w:rStyle w:val="FootnoteReference"/>
        </w:rPr>
        <w:footnoteRef/>
      </w:r>
      <w:r>
        <w:tab/>
      </w:r>
      <w:r>
        <w:rPr>
          <w:i/>
        </w:rPr>
        <w:t>Study on Mobile satellite services (MSS) in the 2 GHz band in the EU:</w:t>
      </w:r>
      <w:r>
        <w:t xml:space="preserve"> </w:t>
      </w:r>
      <w:r>
        <w:rPr>
          <w:i/>
        </w:rPr>
        <w:t>Implementation of the current regulatory framework and an overview of the satellite connectivity market</w:t>
      </w:r>
      <w:r>
        <w:t xml:space="preserve"> [Studiu privind serviciile mobile prin satelit (MSS) în banda de 2 GHz în UE – Punerea în aplicare a cadrului de reglementare actual și prezentare generală a pieței conectivității prin satelit], pagina 16. </w:t>
      </w:r>
      <w:hyperlink r:id="rId14" w:history="1">
        <w:r>
          <w:rPr>
            <w:rStyle w:val="Hyperlink"/>
          </w:rPr>
          <w:t>https://op.europa.eu/en/publication-detail/-/publication/5c28e25b-41b3-11f0-b9f2-01aa75ed71a1</w:t>
        </w:r>
      </w:hyperlink>
      <w:r>
        <w:t xml:space="preserve">. </w:t>
      </w:r>
    </w:p>
  </w:footnote>
  <w:footnote w:id="27">
    <w:p w14:paraId="4C7DF688" w14:textId="77777777" w:rsidR="00D664CB" w:rsidRPr="00314310" w:rsidRDefault="00D664CB" w:rsidP="00D664CB">
      <w:pPr>
        <w:pStyle w:val="FootnoteText"/>
      </w:pPr>
      <w:r>
        <w:rPr>
          <w:rStyle w:val="FootnoteReference"/>
        </w:rPr>
        <w:footnoteRef/>
      </w:r>
      <w:r>
        <w:tab/>
        <w:t>Comunicare comună către Parlamentul European, Consiliul European, Consiliu, Comitetul Economic și Social European și Comitetul Regiunilor referitoare la Strategia europeană privind o Uniune a pregătirii, 26 martie 2025, JOIN(2025) 130 final.</w:t>
      </w:r>
    </w:p>
  </w:footnote>
  <w:footnote w:id="28">
    <w:p w14:paraId="17679C2C" w14:textId="77777777" w:rsidR="00D664CB" w:rsidRPr="00240338" w:rsidRDefault="00D664CB" w:rsidP="00D664CB">
      <w:pPr>
        <w:pStyle w:val="FootnoteText"/>
      </w:pPr>
      <w:r>
        <w:rPr>
          <w:rStyle w:val="FootnoteReference"/>
        </w:rPr>
        <w:footnoteRef/>
      </w:r>
      <w:r>
        <w:tab/>
        <w:t>Regulamentul (UE) 2023/588 al Parlamentului European și al Consiliului din 15 martie 2023 de instituire a Programului Uniunii privind conectivitatea securizată pentru perioada 2023-2027 (JO L 79, 17.3.2023, p. 1, ELI: http://data.europa.eu/eli/reg/2023/588/oj).</w:t>
      </w:r>
    </w:p>
  </w:footnote>
  <w:footnote w:id="29">
    <w:p w14:paraId="7CDEF283" w14:textId="77777777" w:rsidR="00D664CB" w:rsidRPr="00DD3A5E" w:rsidRDefault="00D664CB" w:rsidP="00D664CB">
      <w:pPr>
        <w:pStyle w:val="FootnoteText"/>
      </w:pPr>
      <w:r>
        <w:rPr>
          <w:rStyle w:val="FootnoteReference"/>
        </w:rPr>
        <w:footnoteRef/>
      </w:r>
      <w:r>
        <w:tab/>
        <w:t>Carte albă „Cum se pot gestiona nevoile Europei în materie de infrastructură digitală?”, 21. 2. 2024, COM(2024) 81 final.</w:t>
      </w:r>
    </w:p>
  </w:footnote>
  <w:footnote w:id="30">
    <w:p w14:paraId="100A8414" w14:textId="77777777" w:rsidR="00D664CB" w:rsidRDefault="00D664CB" w:rsidP="00D664CB">
      <w:r>
        <w:rPr>
          <w:rStyle w:val="FootnoteReference"/>
        </w:rPr>
        <w:footnoteRef/>
      </w:r>
      <w:r>
        <w:tab/>
      </w:r>
      <w:r>
        <w:rPr>
          <w:sz w:val="20"/>
        </w:rPr>
        <w:t>Comunicare comună către Parlamentul European, Consiliul European și Consiliu privind „Strategia europeană pentru securitate economică”, JOIN(2023) 20 final.</w:t>
      </w:r>
    </w:p>
  </w:footnote>
  <w:footnote w:id="31">
    <w:p w14:paraId="7E79A9BC" w14:textId="57BC4AF7" w:rsidR="00D664CB" w:rsidRPr="00240338" w:rsidRDefault="00D664CB" w:rsidP="00D664CB">
      <w:pPr>
        <w:pStyle w:val="FootnoteText"/>
      </w:pPr>
      <w:r>
        <w:rPr>
          <w:rStyle w:val="FootnoteReference"/>
        </w:rPr>
        <w:footnoteRef/>
      </w:r>
      <w:r>
        <w:tab/>
        <w:t>Directiva (UE) 2018/1972 a Parlamentului European și a Consiliului din 11 decembrie 2018 de instituire a Codului european al comunicațiilor electronice (JO L 321, 17.12.2018, p. 36, ELI:</w:t>
      </w:r>
      <w:r w:rsidR="00216996">
        <w:t> </w:t>
      </w:r>
      <w:r>
        <w:t>http://data.europa.eu/eli/dir/2018/1972/oj).</w:t>
      </w:r>
    </w:p>
  </w:footnote>
  <w:footnote w:id="32">
    <w:p w14:paraId="1C719386" w14:textId="408BA7B4" w:rsidR="00D664CB" w:rsidRPr="00E31811" w:rsidRDefault="00D664CB" w:rsidP="00D664CB">
      <w:pPr>
        <w:pStyle w:val="FootnoteText"/>
      </w:pPr>
      <w:r>
        <w:rPr>
          <w:rStyle w:val="FootnoteReference"/>
        </w:rPr>
        <w:footnoteRef/>
      </w:r>
      <w:r>
        <w:tab/>
        <w:t>Avizul RSPG privind evaluarea diferitelor scenarii posibile pentru utilizarea benzilor de frecvențe de 1 980-2 010 MHz și 2 170-2 200 MHz de către serviciile mobile prin satelit după 2027 (RSPG24</w:t>
      </w:r>
      <w:r w:rsidR="003F69E7">
        <w:t>­</w:t>
      </w:r>
      <w:r>
        <w:t>007Final) și Avizul RSPG privind abordarea politică la nivelul UE a conectivității directe de la satelit la dispozitiv și aspectele conexe legate de piața unică (RSPG25-020Final).</w:t>
      </w:r>
    </w:p>
  </w:footnote>
  <w:footnote w:id="33">
    <w:p w14:paraId="4C3549D4" w14:textId="77777777" w:rsidR="00D664CB" w:rsidRPr="00240338" w:rsidRDefault="00D664CB" w:rsidP="00D664CB">
      <w:pPr>
        <w:pStyle w:val="FootnoteText"/>
      </w:pPr>
      <w:r>
        <w:rPr>
          <w:rStyle w:val="FootnoteReference"/>
        </w:rPr>
        <w:footnoteRef/>
      </w:r>
      <w:r>
        <w:tab/>
        <w:t>Decizia nr. 676/2002/CE a Parlamentului European și a Consiliului din 7 martie 2002 privind un cadrul de reglementare pentru politica de gestionare a spectrului de frecvențe radio în Comunitatea Europeană (JO L 108, 24.4.2002, p. 1, ELI: </w:t>
      </w:r>
      <w:hyperlink r:id="rId15" w:tooltip="Oferă acces la acest document prin identificatorul său uniform de resurse ELI." w:history="1">
        <w:r>
          <w:rPr>
            <w:rStyle w:val="Hyperlink"/>
          </w:rPr>
          <w:t>http://data.europa.eu/eli/dec/2002/676(1)/oj</w:t>
        </w:r>
      </w:hyperlink>
      <w:r>
        <w:t>).</w:t>
      </w:r>
    </w:p>
  </w:footnote>
  <w:footnote w:id="34">
    <w:p w14:paraId="335E352A" w14:textId="77777777" w:rsidR="00D664CB" w:rsidRPr="00C44F39" w:rsidRDefault="00D664CB" w:rsidP="00D664CB">
      <w:pPr>
        <w:pStyle w:val="FootnoteText"/>
      </w:pPr>
      <w:r>
        <w:rPr>
          <w:rStyle w:val="FootnoteReference"/>
        </w:rPr>
        <w:footnoteRef/>
      </w:r>
      <w:r>
        <w:tab/>
        <w:t xml:space="preserve">Decizia Comisiei din 13 mai 2009 privind selectarea operatorilor de sisteme paneuropene care furnizează servicii mobile prin satelit (MSS), JO L 149, 12.6.2009, p. 65, ELI: </w:t>
      </w:r>
      <w:hyperlink r:id="rId16" w:history="1">
        <w:r>
          <w:rPr>
            <w:rStyle w:val="Hyperlink"/>
          </w:rPr>
          <w:t>http://data.europa.eu/eli/dec/2009/449/oj</w:t>
        </w:r>
      </w:hyperlink>
      <w:r>
        <w:t xml:space="preserve">. </w:t>
      </w:r>
    </w:p>
  </w:footnote>
  <w:footnote w:id="35">
    <w:p w14:paraId="402A5C5B" w14:textId="77777777" w:rsidR="004640A2" w:rsidRPr="0034430D" w:rsidRDefault="004640A2" w:rsidP="00FC70B7">
      <w:pPr>
        <w:pStyle w:val="FootnoteText"/>
      </w:pPr>
      <w:r>
        <w:rPr>
          <w:rStyle w:val="FootnoteReference"/>
        </w:rPr>
        <w:footnoteRef/>
      </w:r>
      <w:r>
        <w:tab/>
        <w:t>Regulamentul (UE) 2023/1543 al Parlamentului European și al Consiliului din 12 iulie 2023 privind ordinele europene de divulgare a probelor electronice și ordinele europene de păstrare a probelor electronice în cadrul procedurilor penale și pentru executarea pedepselor privative de libertate în urma unor proceduri penale, JO L 191, 28.7.2023, p. 118, ELI: </w:t>
      </w:r>
      <w:hyperlink r:id="rId17" w:tooltip="Oferă acces la acest document prin identificatorul său uniform de resurse ELI." w:history="1">
        <w:r>
          <w:rPr>
            <w:rStyle w:val="Hyperlink"/>
          </w:rPr>
          <w:t>http://data.europa.eu/eli/reg/2023/1543/oj</w:t>
        </w:r>
      </w:hyperlink>
      <w:r>
        <w:t xml:space="preserve">. </w:t>
      </w:r>
    </w:p>
  </w:footnote>
  <w:footnote w:id="36">
    <w:p w14:paraId="2E6465B8" w14:textId="02E3922E" w:rsidR="009C2287" w:rsidRPr="009C2287" w:rsidRDefault="009C2287">
      <w:pPr>
        <w:pStyle w:val="FootnoteText"/>
      </w:pPr>
      <w:r>
        <w:rPr>
          <w:rStyle w:val="FootnoteReference"/>
        </w:rPr>
        <w:footnoteRef/>
      </w:r>
      <w:r>
        <w:tab/>
        <w:t>Directiva (UE) 2023/1544 a Parlamentului European și a Consiliului din 12 iulie 2023 de stabilire a unor norme armonizate privind desemnarea sediilor desemnate și numirea reprezentanților legali în scopul obținerii de probe electronice în cadrul procedurilor penale, JO L 191, 28.7.2023, p. 181, ELI: </w:t>
      </w:r>
      <w:hyperlink r:id="rId18" w:tooltip="Oferă acces la acest document prin identificatorul său uniform de resurse ELI." w:history="1">
        <w:r>
          <w:rPr>
            <w:rStyle w:val="Hyperlink"/>
          </w:rPr>
          <w:t>http://data.europa.eu/eli/dir/2023/1544/oj</w:t>
        </w:r>
      </w:hyperlink>
      <w:r>
        <w:t>.</w:t>
      </w:r>
    </w:p>
  </w:footnote>
  <w:footnote w:id="37">
    <w:p w14:paraId="5C9F07BA" w14:textId="57E2AFC4" w:rsidR="00CB3C37" w:rsidRPr="003D07F0" w:rsidRDefault="00CB3C37">
      <w:pPr>
        <w:pStyle w:val="FootnoteText"/>
      </w:pPr>
      <w:r>
        <w:rPr>
          <w:rStyle w:val="FootnoteReference"/>
        </w:rPr>
        <w:footnoteRef/>
      </w:r>
      <w:r>
        <w:tab/>
        <w:t>Regulamentul (UE, Euratom) 2024/2509 al Parlamentului European și al Consiliului din 23</w:t>
      </w:r>
      <w:r w:rsidR="002D79FA">
        <w:t> </w:t>
      </w:r>
      <w:r>
        <w:t>septembrie</w:t>
      </w:r>
      <w:r w:rsidR="002D79FA">
        <w:t> </w:t>
      </w:r>
      <w:r>
        <w:t xml:space="preserve">2024 privind normele financiare aplicabile bugetului general al Uniunii, JO L, 2024/2509, ELI: http://data.europa.eu/eli/reg/2024/2509/oj. </w:t>
      </w:r>
    </w:p>
  </w:footnote>
  <w:footnote w:id="38">
    <w:p w14:paraId="5BF85A23" w14:textId="77777777" w:rsidR="00D664CB" w:rsidRPr="00DD3A5E" w:rsidRDefault="00D664CB" w:rsidP="00D664CB">
      <w:pPr>
        <w:pStyle w:val="FootnoteText"/>
      </w:pPr>
      <w:r>
        <w:rPr>
          <w:rStyle w:val="FootnoteReference"/>
        </w:rPr>
        <w:footnoteRef/>
      </w:r>
      <w:r>
        <w:tab/>
        <w:t>Decizia Comisiei din 10 octombrie 2011 privind modalități pentru aplicarea coordonată a normelor privind punerea în aplicare în ceea ce privește serviciile mobile de comunicații prin satelit (MSS), în conformitate cu articolul 9 alineatul (3) din Decizia nr. 626/2008/CE a Parlamentului European și a Consiliului, JO L 265, 11.10.2011, p. 25, ELI: http://data.europa.eu/eli/dec/2011/667/oj.</w:t>
      </w:r>
    </w:p>
  </w:footnote>
  <w:footnote w:id="39">
    <w:p w14:paraId="61A6DC4F" w14:textId="77777777" w:rsidR="00D664CB" w:rsidRDefault="00D664CB" w:rsidP="00D664CB">
      <w:pPr>
        <w:pStyle w:val="FootnoteText"/>
      </w:pPr>
      <w:r>
        <w:rPr>
          <w:rStyle w:val="FootnoteReference"/>
        </w:rPr>
        <w:footnoteRef/>
      </w:r>
      <w:r>
        <w:tab/>
        <w:t>Astfel cum se menționează la articolul 58 alineatul (2) litera (a) sau (b) din Regulamentul financiar.</w:t>
      </w:r>
    </w:p>
  </w:footnote>
  <w:footnote w:id="40">
    <w:p w14:paraId="595EBC9B" w14:textId="77777777" w:rsidR="00D664CB" w:rsidRDefault="00D664CB" w:rsidP="00D664CB">
      <w:pPr>
        <w:pStyle w:val="FootnoteText"/>
        <w:rPr>
          <w:szCs w:val="24"/>
        </w:rPr>
      </w:pPr>
      <w:r>
        <w:rPr>
          <w:rStyle w:val="FootnoteReference"/>
        </w:rPr>
        <w:footnoteRef/>
      </w:r>
      <w:r>
        <w:tab/>
        <w:t>Dif. = credite diferențiate/Nedif. = credite nediferențiate.</w:t>
      </w:r>
    </w:p>
  </w:footnote>
  <w:footnote w:id="41">
    <w:p w14:paraId="22767475" w14:textId="77777777" w:rsidR="00D664CB" w:rsidRDefault="00D664CB" w:rsidP="00D664CB">
      <w:pPr>
        <w:pStyle w:val="FootnoteText"/>
        <w:rPr>
          <w:szCs w:val="24"/>
        </w:rPr>
      </w:pPr>
      <w:r>
        <w:rPr>
          <w:rStyle w:val="FootnoteReference"/>
        </w:rPr>
        <w:footnoteRef/>
      </w:r>
      <w:r>
        <w:tab/>
        <w:t>AELS: Asociația Europeană a Liberului Schimb.</w:t>
      </w:r>
    </w:p>
  </w:footnote>
  <w:footnote w:id="42">
    <w:p w14:paraId="355E606E" w14:textId="77777777" w:rsidR="00D664CB" w:rsidRDefault="00D664CB" w:rsidP="00D664CB">
      <w:pPr>
        <w:pStyle w:val="FootnoteText"/>
        <w:rPr>
          <w:szCs w:val="24"/>
        </w:rPr>
      </w:pPr>
      <w:r>
        <w:rPr>
          <w:rStyle w:val="FootnoteReference"/>
        </w:rPr>
        <w:footnoteRef/>
      </w:r>
      <w:r>
        <w:tab/>
        <w:t>Țările candidate și, după caz, candidații potențiali din Balcanii de Vest.</w:t>
      </w:r>
    </w:p>
  </w:footnote>
  <w:footnote w:id="43">
    <w:p w14:paraId="00A63115" w14:textId="77777777" w:rsidR="00D664CB" w:rsidRDefault="00D664CB" w:rsidP="00D664CB">
      <w:pPr>
        <w:pStyle w:val="FootnoteText"/>
      </w:pPr>
      <w:r>
        <w:rPr>
          <w:rStyle w:val="FootnoteReference"/>
        </w:rPr>
        <w:footnoteRef/>
      </w:r>
      <w:r>
        <w:tab/>
        <w:t>eComm.</w:t>
      </w:r>
    </w:p>
  </w:footnote>
  <w:footnote w:id="44">
    <w:p w14:paraId="02B5B34C" w14:textId="77777777" w:rsidR="00D664CB" w:rsidRPr="001A37C8" w:rsidRDefault="00D664CB" w:rsidP="00D664CB">
      <w:pPr>
        <w:pStyle w:val="FootnoteText"/>
      </w:pPr>
      <w:r>
        <w:rPr>
          <w:rStyle w:val="FootnoteReference"/>
        </w:rPr>
        <w:footnoteRef/>
      </w:r>
      <w:r>
        <w:tab/>
      </w:r>
      <w:r>
        <w:rPr>
          <w:color w:val="000000"/>
          <w:sz w:val="18"/>
        </w:rPr>
        <w:t>Asistență tehnică și/sau administrativă și cheltuieli de sprijin pentru punerea în aplicare a programelor și/sau a acțiunilor UE (fostele linii „BA”), cercetare indirectă și cercetare directă.</w:t>
      </w:r>
    </w:p>
  </w:footnote>
  <w:footnote w:id="45">
    <w:p w14:paraId="0FAC14B9" w14:textId="77777777" w:rsidR="00D664CB" w:rsidRPr="000621AC" w:rsidRDefault="00D664CB" w:rsidP="00D664CB">
      <w:pPr>
        <w:pStyle w:val="FootnoteText"/>
      </w:pPr>
      <w:r>
        <w:rPr>
          <w:rStyle w:val="FootnoteReference"/>
        </w:rPr>
        <w:footnoteRef/>
      </w:r>
      <w:r>
        <w:tab/>
      </w:r>
      <w:r>
        <w:rPr>
          <w:color w:val="374151"/>
          <w:sz w:val="18"/>
        </w:rPr>
        <w:t>Pentru determinarea creditelor necesare, ar trebui utilizate cifrele anuale privind costurile medii disponibile pe pagina web BUDGpedia</w:t>
      </w:r>
      <w:r>
        <w:rPr>
          <w:color w:val="374151"/>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18931" w14:textId="77777777" w:rsidR="00A8433C" w:rsidRDefault="00A843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CA0D7" w14:textId="77777777" w:rsidR="00A8433C" w:rsidRDefault="00A8433C" w:rsidP="00A843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BBFF9" w14:textId="77777777" w:rsidR="00A8433C" w:rsidRPr="00A8433C" w:rsidRDefault="00A8433C" w:rsidP="00A8433C">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B960FD" w14:textId="77777777" w:rsidR="00A8433C" w:rsidRPr="00A8433C" w:rsidRDefault="00A8433C" w:rsidP="00A843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0729B52"/>
    <w:multiLevelType w:val="multilevel"/>
    <w:tmpl w:val="16FE72A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709"/>
        </w:tabs>
        <w:ind w:left="709"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5D85A9C"/>
    <w:multiLevelType w:val="hybridMultilevel"/>
    <w:tmpl w:val="753CFA80"/>
    <w:lvl w:ilvl="0" w:tplc="B7469440">
      <w:start w:val="1"/>
      <w:numFmt w:val="lowerLetter"/>
      <w:pStyle w:val="a"/>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1"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1"/>
  </w:num>
  <w:num w:numId="3">
    <w:abstractNumId w:val="8"/>
  </w:num>
  <w:num w:numId="4">
    <w:abstractNumId w:val="17"/>
  </w:num>
  <w:num w:numId="5">
    <w:abstractNumId w:val="16"/>
  </w:num>
  <w:num w:numId="6">
    <w:abstractNumId w:val="29"/>
  </w:num>
  <w:num w:numId="7">
    <w:abstractNumId w:val="25"/>
  </w:num>
  <w:num w:numId="8">
    <w:abstractNumId w:val="30"/>
  </w:num>
  <w:num w:numId="9">
    <w:abstractNumId w:val="31"/>
  </w:num>
  <w:num w:numId="10">
    <w:abstractNumId w:val="1"/>
  </w:num>
  <w:num w:numId="11">
    <w:abstractNumId w:val="10"/>
  </w:num>
  <w:num w:numId="12">
    <w:abstractNumId w:val="2"/>
  </w:num>
  <w:num w:numId="13">
    <w:abstractNumId w:val="11"/>
  </w:num>
  <w:num w:numId="14">
    <w:abstractNumId w:val="9"/>
  </w:num>
  <w:num w:numId="15">
    <w:abstractNumId w:val="19"/>
  </w:num>
  <w:num w:numId="16">
    <w:abstractNumId w:val="7"/>
  </w:num>
  <w:num w:numId="17">
    <w:abstractNumId w:val="27"/>
  </w:num>
  <w:num w:numId="18">
    <w:abstractNumId w:val="18"/>
  </w:num>
  <w:num w:numId="19">
    <w:abstractNumId w:val="24"/>
    <w:lvlOverride w:ilvl="0">
      <w:startOverride w:val="1"/>
    </w:lvlOverride>
  </w:num>
  <w:num w:numId="20">
    <w:abstractNumId w:val="15"/>
    <w:lvlOverride w:ilvl="0">
      <w:startOverride w:val="1"/>
    </w:lvlOverride>
  </w:num>
  <w:num w:numId="21">
    <w:abstractNumId w:val="24"/>
  </w:num>
  <w:num w:numId="22">
    <w:abstractNumId w:val="12"/>
  </w:num>
  <w:num w:numId="23">
    <w:abstractNumId w:val="28"/>
  </w:num>
  <w:num w:numId="24">
    <w:abstractNumId w:val="6"/>
  </w:num>
  <w:num w:numId="25">
    <w:abstractNumId w:val="13"/>
  </w:num>
  <w:num w:numId="26">
    <w:abstractNumId w:val="14"/>
  </w:num>
  <w:num w:numId="27">
    <w:abstractNumId w:val="4"/>
  </w:num>
  <w:num w:numId="28">
    <w:abstractNumId w:val="26"/>
  </w:num>
  <w:num w:numId="29">
    <w:abstractNumId w:val="3"/>
  </w:num>
  <w:num w:numId="30">
    <w:abstractNumId w:val="15"/>
  </w:num>
  <w:num w:numId="31">
    <w:abstractNumId w:val="22"/>
  </w:num>
  <w:num w:numId="32">
    <w:abstractNumId w:val="23"/>
  </w:num>
  <w:num w:numId="33">
    <w:abstractNumId w:val="5"/>
  </w:num>
  <w:num w:numId="34">
    <w:abstractNumId w:val="20"/>
  </w:num>
  <w:num w:numId="35">
    <w:abstractNumId w:val="3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13 14:27:3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A72E767-8777-473D-840E-5D0FC2EFD2EE"/>
    <w:docVar w:name="LW_COVERPAGE_TYPE" w:val="1"/>
    <w:docVar w:name="LW_CreatedUtc" w:val="2026-05-19T08:35:50.4892621Z"/>
    <w:docVar w:name="LW_CROSSREFERENCE" w:val="&lt;UNUSED&gt;"/>
    <w:docVar w:name="LW_DocType" w:val="COM"/>
    <w:docVar w:name="LW_EMISSION" w:val="27.5.2026"/>
    <w:docVar w:name="LW_EMISSION_ISODATE" w:val="2026-05-27"/>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134"/>
    <w:docVar w:name="LW_REF.II.NEW.CP_YEAR" w:val="2026"/>
    <w:docVar w:name="LW_REF.INST.NEW" w:val="COM"/>
    <w:docVar w:name="LW_REF.INST.NEW_ADOPTED" w:val="final"/>
    <w:docVar w:name="LW_REF.INST.NEW_TEXT" w:val="(2026) 31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rocedura de autorizare a sistemelor care furnizeaz\u259? servicii mobile prin satelit utilizând banda de frecven\u539?e armonizat\u259? de 2 GHz \u537?i de abrogare a Deciziei nr. 626/2008/CE"/>
    <w:docVar w:name="LW_TYPE.DOC.CP" w:val="REGULAMENT AL PARLAMENTULUI EUROPEAN \u536?I AL CONSILIULUI"/>
    <w:docVar w:name="LwApiVersions" w:val="LW4CoDe 1.24.5.0; LW 9.2, Build 20251112"/>
  </w:docVars>
  <w:rsids>
    <w:rsidRoot w:val="00B74715"/>
    <w:rsid w:val="0000002A"/>
    <w:rsid w:val="00000CFF"/>
    <w:rsid w:val="00002486"/>
    <w:rsid w:val="000025E0"/>
    <w:rsid w:val="0000414D"/>
    <w:rsid w:val="00004588"/>
    <w:rsid w:val="00004B7F"/>
    <w:rsid w:val="00006154"/>
    <w:rsid w:val="000062D5"/>
    <w:rsid w:val="0000713D"/>
    <w:rsid w:val="00007483"/>
    <w:rsid w:val="00007653"/>
    <w:rsid w:val="00007939"/>
    <w:rsid w:val="000103F6"/>
    <w:rsid w:val="00010FD1"/>
    <w:rsid w:val="0001128F"/>
    <w:rsid w:val="00011CAE"/>
    <w:rsid w:val="00012451"/>
    <w:rsid w:val="000128A6"/>
    <w:rsid w:val="00013203"/>
    <w:rsid w:val="00013876"/>
    <w:rsid w:val="00013A30"/>
    <w:rsid w:val="00013C6B"/>
    <w:rsid w:val="00013E67"/>
    <w:rsid w:val="000140AE"/>
    <w:rsid w:val="000141EE"/>
    <w:rsid w:val="000143CD"/>
    <w:rsid w:val="00014E49"/>
    <w:rsid w:val="000154A8"/>
    <w:rsid w:val="00016E9E"/>
    <w:rsid w:val="00017DF0"/>
    <w:rsid w:val="0002054F"/>
    <w:rsid w:val="00021B67"/>
    <w:rsid w:val="00021D80"/>
    <w:rsid w:val="00021F95"/>
    <w:rsid w:val="00022168"/>
    <w:rsid w:val="000225BA"/>
    <w:rsid w:val="000225E8"/>
    <w:rsid w:val="00022989"/>
    <w:rsid w:val="00022C8D"/>
    <w:rsid w:val="00022CE7"/>
    <w:rsid w:val="00022EEC"/>
    <w:rsid w:val="00023667"/>
    <w:rsid w:val="000236DC"/>
    <w:rsid w:val="000239CE"/>
    <w:rsid w:val="000240B7"/>
    <w:rsid w:val="000242B6"/>
    <w:rsid w:val="00025583"/>
    <w:rsid w:val="000257E2"/>
    <w:rsid w:val="00025EDE"/>
    <w:rsid w:val="00026000"/>
    <w:rsid w:val="0002604F"/>
    <w:rsid w:val="00026487"/>
    <w:rsid w:val="00026AAB"/>
    <w:rsid w:val="00026FEC"/>
    <w:rsid w:val="000271A1"/>
    <w:rsid w:val="00027570"/>
    <w:rsid w:val="00027A56"/>
    <w:rsid w:val="00030067"/>
    <w:rsid w:val="0003064E"/>
    <w:rsid w:val="000306A5"/>
    <w:rsid w:val="00030D41"/>
    <w:rsid w:val="00031702"/>
    <w:rsid w:val="000320CD"/>
    <w:rsid w:val="00032B3C"/>
    <w:rsid w:val="0003381B"/>
    <w:rsid w:val="00033C89"/>
    <w:rsid w:val="0003597C"/>
    <w:rsid w:val="000359D9"/>
    <w:rsid w:val="00035D31"/>
    <w:rsid w:val="00035D4B"/>
    <w:rsid w:val="00036226"/>
    <w:rsid w:val="00036434"/>
    <w:rsid w:val="00036D2A"/>
    <w:rsid w:val="000374F2"/>
    <w:rsid w:val="00037DD0"/>
    <w:rsid w:val="0004002E"/>
    <w:rsid w:val="000400A9"/>
    <w:rsid w:val="000406B1"/>
    <w:rsid w:val="00040A73"/>
    <w:rsid w:val="000410A9"/>
    <w:rsid w:val="0004200C"/>
    <w:rsid w:val="0004239E"/>
    <w:rsid w:val="000434C6"/>
    <w:rsid w:val="000436FD"/>
    <w:rsid w:val="00043E9E"/>
    <w:rsid w:val="0004433C"/>
    <w:rsid w:val="0004461E"/>
    <w:rsid w:val="0004482E"/>
    <w:rsid w:val="00044B87"/>
    <w:rsid w:val="00046E5C"/>
    <w:rsid w:val="00046FDA"/>
    <w:rsid w:val="00047118"/>
    <w:rsid w:val="00047369"/>
    <w:rsid w:val="00047CBB"/>
    <w:rsid w:val="00047E68"/>
    <w:rsid w:val="00047F14"/>
    <w:rsid w:val="000503BC"/>
    <w:rsid w:val="0005051D"/>
    <w:rsid w:val="000512E3"/>
    <w:rsid w:val="00052CA9"/>
    <w:rsid w:val="00053577"/>
    <w:rsid w:val="00053A29"/>
    <w:rsid w:val="00054522"/>
    <w:rsid w:val="00054B1C"/>
    <w:rsid w:val="00055523"/>
    <w:rsid w:val="00055DCA"/>
    <w:rsid w:val="000560B2"/>
    <w:rsid w:val="0005656D"/>
    <w:rsid w:val="0005760D"/>
    <w:rsid w:val="0005795C"/>
    <w:rsid w:val="00057FD8"/>
    <w:rsid w:val="000601B5"/>
    <w:rsid w:val="0006127E"/>
    <w:rsid w:val="00061A0B"/>
    <w:rsid w:val="00061E61"/>
    <w:rsid w:val="00062129"/>
    <w:rsid w:val="000621D1"/>
    <w:rsid w:val="000632AB"/>
    <w:rsid w:val="00064DAA"/>
    <w:rsid w:val="00065787"/>
    <w:rsid w:val="000658FB"/>
    <w:rsid w:val="00065D06"/>
    <w:rsid w:val="00066033"/>
    <w:rsid w:val="000664BD"/>
    <w:rsid w:val="0006681D"/>
    <w:rsid w:val="00066A51"/>
    <w:rsid w:val="00066B34"/>
    <w:rsid w:val="00067872"/>
    <w:rsid w:val="00067EA3"/>
    <w:rsid w:val="00070123"/>
    <w:rsid w:val="00070396"/>
    <w:rsid w:val="00070847"/>
    <w:rsid w:val="000709A8"/>
    <w:rsid w:val="000711A6"/>
    <w:rsid w:val="000712A7"/>
    <w:rsid w:val="000724AC"/>
    <w:rsid w:val="0007349D"/>
    <w:rsid w:val="000735BB"/>
    <w:rsid w:val="00073ABB"/>
    <w:rsid w:val="00074738"/>
    <w:rsid w:val="00074C15"/>
    <w:rsid w:val="000750A7"/>
    <w:rsid w:val="00076035"/>
    <w:rsid w:val="00076FE2"/>
    <w:rsid w:val="00077CB7"/>
    <w:rsid w:val="00077D38"/>
    <w:rsid w:val="000800E4"/>
    <w:rsid w:val="00081943"/>
    <w:rsid w:val="00082204"/>
    <w:rsid w:val="00082298"/>
    <w:rsid w:val="00083B22"/>
    <w:rsid w:val="00083D63"/>
    <w:rsid w:val="000840C6"/>
    <w:rsid w:val="00084739"/>
    <w:rsid w:val="00084D80"/>
    <w:rsid w:val="000850F9"/>
    <w:rsid w:val="0008563B"/>
    <w:rsid w:val="00085908"/>
    <w:rsid w:val="00085D26"/>
    <w:rsid w:val="0008640A"/>
    <w:rsid w:val="00086A49"/>
    <w:rsid w:val="00087210"/>
    <w:rsid w:val="00087F52"/>
    <w:rsid w:val="00090A9E"/>
    <w:rsid w:val="00090D89"/>
    <w:rsid w:val="00091172"/>
    <w:rsid w:val="00092147"/>
    <w:rsid w:val="0009231A"/>
    <w:rsid w:val="00092594"/>
    <w:rsid w:val="000929B8"/>
    <w:rsid w:val="0009355A"/>
    <w:rsid w:val="00093D1F"/>
    <w:rsid w:val="00093DCF"/>
    <w:rsid w:val="00094082"/>
    <w:rsid w:val="00094AE8"/>
    <w:rsid w:val="0009601D"/>
    <w:rsid w:val="0009627A"/>
    <w:rsid w:val="0009649E"/>
    <w:rsid w:val="00096A97"/>
    <w:rsid w:val="00097491"/>
    <w:rsid w:val="00097B82"/>
    <w:rsid w:val="000A1560"/>
    <w:rsid w:val="000A165A"/>
    <w:rsid w:val="000A17AC"/>
    <w:rsid w:val="000A1A3B"/>
    <w:rsid w:val="000A1DE0"/>
    <w:rsid w:val="000A2181"/>
    <w:rsid w:val="000A24F3"/>
    <w:rsid w:val="000A3545"/>
    <w:rsid w:val="000A42A8"/>
    <w:rsid w:val="000A439D"/>
    <w:rsid w:val="000A5FBA"/>
    <w:rsid w:val="000A615B"/>
    <w:rsid w:val="000A7B3B"/>
    <w:rsid w:val="000B1438"/>
    <w:rsid w:val="000B195F"/>
    <w:rsid w:val="000B1AED"/>
    <w:rsid w:val="000B1F02"/>
    <w:rsid w:val="000B1F2B"/>
    <w:rsid w:val="000B1F9C"/>
    <w:rsid w:val="000B330E"/>
    <w:rsid w:val="000B396A"/>
    <w:rsid w:val="000B3BF6"/>
    <w:rsid w:val="000B44E3"/>
    <w:rsid w:val="000B56A3"/>
    <w:rsid w:val="000B5AD6"/>
    <w:rsid w:val="000B5C6F"/>
    <w:rsid w:val="000B66C0"/>
    <w:rsid w:val="000B67EC"/>
    <w:rsid w:val="000B6945"/>
    <w:rsid w:val="000B6FDB"/>
    <w:rsid w:val="000B7F43"/>
    <w:rsid w:val="000C0FE1"/>
    <w:rsid w:val="000C1724"/>
    <w:rsid w:val="000C1CEF"/>
    <w:rsid w:val="000C1E14"/>
    <w:rsid w:val="000C1E1D"/>
    <w:rsid w:val="000C2191"/>
    <w:rsid w:val="000C21D4"/>
    <w:rsid w:val="000C276F"/>
    <w:rsid w:val="000C3359"/>
    <w:rsid w:val="000C4754"/>
    <w:rsid w:val="000C4A9A"/>
    <w:rsid w:val="000C4ADC"/>
    <w:rsid w:val="000C4D9A"/>
    <w:rsid w:val="000C5125"/>
    <w:rsid w:val="000C51DF"/>
    <w:rsid w:val="000C594E"/>
    <w:rsid w:val="000C5A49"/>
    <w:rsid w:val="000C5AC6"/>
    <w:rsid w:val="000C65DA"/>
    <w:rsid w:val="000C7609"/>
    <w:rsid w:val="000C7B57"/>
    <w:rsid w:val="000C7D5C"/>
    <w:rsid w:val="000D040A"/>
    <w:rsid w:val="000D059A"/>
    <w:rsid w:val="000D0BE1"/>
    <w:rsid w:val="000D1047"/>
    <w:rsid w:val="000D133E"/>
    <w:rsid w:val="000D152D"/>
    <w:rsid w:val="000D159E"/>
    <w:rsid w:val="000D15D7"/>
    <w:rsid w:val="000D1812"/>
    <w:rsid w:val="000D1F5C"/>
    <w:rsid w:val="000D332B"/>
    <w:rsid w:val="000D3823"/>
    <w:rsid w:val="000D3D44"/>
    <w:rsid w:val="000D4F3F"/>
    <w:rsid w:val="000D53D6"/>
    <w:rsid w:val="000D6125"/>
    <w:rsid w:val="000D6161"/>
    <w:rsid w:val="000D6211"/>
    <w:rsid w:val="000D7363"/>
    <w:rsid w:val="000D7C7E"/>
    <w:rsid w:val="000D7F07"/>
    <w:rsid w:val="000E12AC"/>
    <w:rsid w:val="000E1A32"/>
    <w:rsid w:val="000E2345"/>
    <w:rsid w:val="000E3334"/>
    <w:rsid w:val="000E38E6"/>
    <w:rsid w:val="000E419F"/>
    <w:rsid w:val="000E4488"/>
    <w:rsid w:val="000E45C7"/>
    <w:rsid w:val="000E4774"/>
    <w:rsid w:val="000E55C4"/>
    <w:rsid w:val="000E62E8"/>
    <w:rsid w:val="000E7009"/>
    <w:rsid w:val="000E7C8D"/>
    <w:rsid w:val="000F052D"/>
    <w:rsid w:val="000F099B"/>
    <w:rsid w:val="000F0CF4"/>
    <w:rsid w:val="000F0EA9"/>
    <w:rsid w:val="000F1A26"/>
    <w:rsid w:val="000F1B97"/>
    <w:rsid w:val="000F24DA"/>
    <w:rsid w:val="000F2A7D"/>
    <w:rsid w:val="000F375C"/>
    <w:rsid w:val="000F4400"/>
    <w:rsid w:val="000F48AE"/>
    <w:rsid w:val="000F4AC2"/>
    <w:rsid w:val="000F57A5"/>
    <w:rsid w:val="000F5F90"/>
    <w:rsid w:val="000F6284"/>
    <w:rsid w:val="000F6841"/>
    <w:rsid w:val="000F6B84"/>
    <w:rsid w:val="000F6DAD"/>
    <w:rsid w:val="000F7289"/>
    <w:rsid w:val="000F72A8"/>
    <w:rsid w:val="000F7C21"/>
    <w:rsid w:val="000F7CD2"/>
    <w:rsid w:val="000F7EF7"/>
    <w:rsid w:val="0010009B"/>
    <w:rsid w:val="0010030D"/>
    <w:rsid w:val="001004AF"/>
    <w:rsid w:val="00100BAD"/>
    <w:rsid w:val="0010103E"/>
    <w:rsid w:val="0010118F"/>
    <w:rsid w:val="0010151F"/>
    <w:rsid w:val="00101758"/>
    <w:rsid w:val="001018CF"/>
    <w:rsid w:val="001019EC"/>
    <w:rsid w:val="001025E1"/>
    <w:rsid w:val="00102A3B"/>
    <w:rsid w:val="00103393"/>
    <w:rsid w:val="00103DCE"/>
    <w:rsid w:val="00104B50"/>
    <w:rsid w:val="00105653"/>
    <w:rsid w:val="001057C5"/>
    <w:rsid w:val="00105A9C"/>
    <w:rsid w:val="00105DBD"/>
    <w:rsid w:val="00105EEC"/>
    <w:rsid w:val="00106363"/>
    <w:rsid w:val="001065F5"/>
    <w:rsid w:val="00106782"/>
    <w:rsid w:val="00106CD8"/>
    <w:rsid w:val="00106DE3"/>
    <w:rsid w:val="00106F13"/>
    <w:rsid w:val="00107ECD"/>
    <w:rsid w:val="001106FA"/>
    <w:rsid w:val="001118AC"/>
    <w:rsid w:val="00112628"/>
    <w:rsid w:val="00113551"/>
    <w:rsid w:val="001136EC"/>
    <w:rsid w:val="00113E51"/>
    <w:rsid w:val="00114588"/>
    <w:rsid w:val="001145B8"/>
    <w:rsid w:val="00114E11"/>
    <w:rsid w:val="00115635"/>
    <w:rsid w:val="00115BCD"/>
    <w:rsid w:val="00116AB7"/>
    <w:rsid w:val="00116C8A"/>
    <w:rsid w:val="00117365"/>
    <w:rsid w:val="00117CBE"/>
    <w:rsid w:val="00120731"/>
    <w:rsid w:val="001212E2"/>
    <w:rsid w:val="00121434"/>
    <w:rsid w:val="001227BE"/>
    <w:rsid w:val="0012294C"/>
    <w:rsid w:val="00122B95"/>
    <w:rsid w:val="00122F23"/>
    <w:rsid w:val="0012302B"/>
    <w:rsid w:val="001238EF"/>
    <w:rsid w:val="00123B09"/>
    <w:rsid w:val="00123B0F"/>
    <w:rsid w:val="00123DCD"/>
    <w:rsid w:val="001247FE"/>
    <w:rsid w:val="0012523C"/>
    <w:rsid w:val="001254AE"/>
    <w:rsid w:val="00125A4D"/>
    <w:rsid w:val="0012649C"/>
    <w:rsid w:val="001264E2"/>
    <w:rsid w:val="00126739"/>
    <w:rsid w:val="00126AB1"/>
    <w:rsid w:val="00126D62"/>
    <w:rsid w:val="00126EEA"/>
    <w:rsid w:val="001272D4"/>
    <w:rsid w:val="00127897"/>
    <w:rsid w:val="001278D2"/>
    <w:rsid w:val="00127FB0"/>
    <w:rsid w:val="0013047A"/>
    <w:rsid w:val="0013082F"/>
    <w:rsid w:val="00130913"/>
    <w:rsid w:val="001309A7"/>
    <w:rsid w:val="00131808"/>
    <w:rsid w:val="0013284B"/>
    <w:rsid w:val="00133153"/>
    <w:rsid w:val="00133180"/>
    <w:rsid w:val="001339EB"/>
    <w:rsid w:val="00134036"/>
    <w:rsid w:val="00134806"/>
    <w:rsid w:val="001353AD"/>
    <w:rsid w:val="0013549F"/>
    <w:rsid w:val="00135AAF"/>
    <w:rsid w:val="00136088"/>
    <w:rsid w:val="00136451"/>
    <w:rsid w:val="00136D6D"/>
    <w:rsid w:val="00137441"/>
    <w:rsid w:val="001375D6"/>
    <w:rsid w:val="00137F2D"/>
    <w:rsid w:val="001406E1"/>
    <w:rsid w:val="00142D68"/>
    <w:rsid w:val="00143FAB"/>
    <w:rsid w:val="001445DC"/>
    <w:rsid w:val="00144950"/>
    <w:rsid w:val="00144E6B"/>
    <w:rsid w:val="0014535B"/>
    <w:rsid w:val="00145C65"/>
    <w:rsid w:val="001466FF"/>
    <w:rsid w:val="001468C0"/>
    <w:rsid w:val="00146E16"/>
    <w:rsid w:val="00146F21"/>
    <w:rsid w:val="001472EE"/>
    <w:rsid w:val="00147494"/>
    <w:rsid w:val="00147AC1"/>
    <w:rsid w:val="00150940"/>
    <w:rsid w:val="0015121F"/>
    <w:rsid w:val="001521D6"/>
    <w:rsid w:val="001535F7"/>
    <w:rsid w:val="001539C0"/>
    <w:rsid w:val="001542F3"/>
    <w:rsid w:val="001548CB"/>
    <w:rsid w:val="00155957"/>
    <w:rsid w:val="00155E98"/>
    <w:rsid w:val="00156D72"/>
    <w:rsid w:val="00157B83"/>
    <w:rsid w:val="00160098"/>
    <w:rsid w:val="00160793"/>
    <w:rsid w:val="001609F9"/>
    <w:rsid w:val="00161305"/>
    <w:rsid w:val="00161387"/>
    <w:rsid w:val="001613F2"/>
    <w:rsid w:val="001619A3"/>
    <w:rsid w:val="0016238C"/>
    <w:rsid w:val="00162F38"/>
    <w:rsid w:val="00162F8C"/>
    <w:rsid w:val="001630EF"/>
    <w:rsid w:val="0016361F"/>
    <w:rsid w:val="0016367E"/>
    <w:rsid w:val="0016441A"/>
    <w:rsid w:val="00164540"/>
    <w:rsid w:val="001653DF"/>
    <w:rsid w:val="00165961"/>
    <w:rsid w:val="0016637C"/>
    <w:rsid w:val="00166D7F"/>
    <w:rsid w:val="00167300"/>
    <w:rsid w:val="00167877"/>
    <w:rsid w:val="00167A0D"/>
    <w:rsid w:val="00167FD3"/>
    <w:rsid w:val="001702F9"/>
    <w:rsid w:val="00170602"/>
    <w:rsid w:val="0017080F"/>
    <w:rsid w:val="00170ABE"/>
    <w:rsid w:val="00171EFF"/>
    <w:rsid w:val="001721A4"/>
    <w:rsid w:val="00172B53"/>
    <w:rsid w:val="001753FC"/>
    <w:rsid w:val="00175439"/>
    <w:rsid w:val="00176453"/>
    <w:rsid w:val="00176CC4"/>
    <w:rsid w:val="00176FB9"/>
    <w:rsid w:val="001770BE"/>
    <w:rsid w:val="00177390"/>
    <w:rsid w:val="00177840"/>
    <w:rsid w:val="001778C2"/>
    <w:rsid w:val="00177C3B"/>
    <w:rsid w:val="00180245"/>
    <w:rsid w:val="001807EF"/>
    <w:rsid w:val="001811A7"/>
    <w:rsid w:val="0018140D"/>
    <w:rsid w:val="00181433"/>
    <w:rsid w:val="00181864"/>
    <w:rsid w:val="00181B08"/>
    <w:rsid w:val="00183207"/>
    <w:rsid w:val="001846B2"/>
    <w:rsid w:val="00185141"/>
    <w:rsid w:val="001857DB"/>
    <w:rsid w:val="00185DD3"/>
    <w:rsid w:val="00185FF3"/>
    <w:rsid w:val="00186114"/>
    <w:rsid w:val="00186CF2"/>
    <w:rsid w:val="00186D70"/>
    <w:rsid w:val="0018729C"/>
    <w:rsid w:val="00187EAF"/>
    <w:rsid w:val="001901E9"/>
    <w:rsid w:val="0019031B"/>
    <w:rsid w:val="00190A8A"/>
    <w:rsid w:val="00190C93"/>
    <w:rsid w:val="00190E15"/>
    <w:rsid w:val="00191167"/>
    <w:rsid w:val="00191A0E"/>
    <w:rsid w:val="00191FDF"/>
    <w:rsid w:val="00192260"/>
    <w:rsid w:val="0019287A"/>
    <w:rsid w:val="00192994"/>
    <w:rsid w:val="00192B44"/>
    <w:rsid w:val="0019358A"/>
    <w:rsid w:val="0019444B"/>
    <w:rsid w:val="00195414"/>
    <w:rsid w:val="001955F8"/>
    <w:rsid w:val="00196E9F"/>
    <w:rsid w:val="00197333"/>
    <w:rsid w:val="0019733B"/>
    <w:rsid w:val="00197613"/>
    <w:rsid w:val="00197EED"/>
    <w:rsid w:val="00197FD1"/>
    <w:rsid w:val="001A0A97"/>
    <w:rsid w:val="001A123C"/>
    <w:rsid w:val="001A12C5"/>
    <w:rsid w:val="001A19EB"/>
    <w:rsid w:val="001A2E51"/>
    <w:rsid w:val="001A2FCF"/>
    <w:rsid w:val="001A354B"/>
    <w:rsid w:val="001A3C52"/>
    <w:rsid w:val="001A4AA9"/>
    <w:rsid w:val="001A4D8B"/>
    <w:rsid w:val="001A50E2"/>
    <w:rsid w:val="001A5493"/>
    <w:rsid w:val="001A5617"/>
    <w:rsid w:val="001A5EB2"/>
    <w:rsid w:val="001A5ED7"/>
    <w:rsid w:val="001A5F30"/>
    <w:rsid w:val="001A6889"/>
    <w:rsid w:val="001A799B"/>
    <w:rsid w:val="001B06CB"/>
    <w:rsid w:val="001B0D5B"/>
    <w:rsid w:val="001B0FD4"/>
    <w:rsid w:val="001B1250"/>
    <w:rsid w:val="001B1A9D"/>
    <w:rsid w:val="001B1C5E"/>
    <w:rsid w:val="001B1FD5"/>
    <w:rsid w:val="001B24ED"/>
    <w:rsid w:val="001B25D4"/>
    <w:rsid w:val="001B2A6B"/>
    <w:rsid w:val="001B3AED"/>
    <w:rsid w:val="001B3AF5"/>
    <w:rsid w:val="001B3C0F"/>
    <w:rsid w:val="001B42BF"/>
    <w:rsid w:val="001B50EF"/>
    <w:rsid w:val="001B5CC0"/>
    <w:rsid w:val="001B5DB8"/>
    <w:rsid w:val="001B60F5"/>
    <w:rsid w:val="001B624F"/>
    <w:rsid w:val="001B6466"/>
    <w:rsid w:val="001B66E5"/>
    <w:rsid w:val="001B6A76"/>
    <w:rsid w:val="001B6E29"/>
    <w:rsid w:val="001B70D1"/>
    <w:rsid w:val="001B7547"/>
    <w:rsid w:val="001C0780"/>
    <w:rsid w:val="001C0CDB"/>
    <w:rsid w:val="001C10C9"/>
    <w:rsid w:val="001C1A47"/>
    <w:rsid w:val="001C22AA"/>
    <w:rsid w:val="001C2427"/>
    <w:rsid w:val="001C2CB9"/>
    <w:rsid w:val="001C2DEB"/>
    <w:rsid w:val="001C3BD1"/>
    <w:rsid w:val="001C4197"/>
    <w:rsid w:val="001C4807"/>
    <w:rsid w:val="001C4D0F"/>
    <w:rsid w:val="001C68F8"/>
    <w:rsid w:val="001C6E94"/>
    <w:rsid w:val="001C79E7"/>
    <w:rsid w:val="001C7B70"/>
    <w:rsid w:val="001D026A"/>
    <w:rsid w:val="001D061E"/>
    <w:rsid w:val="001D0F9D"/>
    <w:rsid w:val="001D10F5"/>
    <w:rsid w:val="001D13FF"/>
    <w:rsid w:val="001D17CB"/>
    <w:rsid w:val="001D1917"/>
    <w:rsid w:val="001D25B1"/>
    <w:rsid w:val="001D26CF"/>
    <w:rsid w:val="001D2948"/>
    <w:rsid w:val="001D2CF4"/>
    <w:rsid w:val="001D30AF"/>
    <w:rsid w:val="001D38BB"/>
    <w:rsid w:val="001D52FC"/>
    <w:rsid w:val="001D7460"/>
    <w:rsid w:val="001E03F4"/>
    <w:rsid w:val="001E06FD"/>
    <w:rsid w:val="001E0B40"/>
    <w:rsid w:val="001E0CFE"/>
    <w:rsid w:val="001E0E88"/>
    <w:rsid w:val="001E1A50"/>
    <w:rsid w:val="001E22CB"/>
    <w:rsid w:val="001E3AB3"/>
    <w:rsid w:val="001E4494"/>
    <w:rsid w:val="001E470E"/>
    <w:rsid w:val="001E48E2"/>
    <w:rsid w:val="001E4D35"/>
    <w:rsid w:val="001E533B"/>
    <w:rsid w:val="001E5EF4"/>
    <w:rsid w:val="001E5EFA"/>
    <w:rsid w:val="001E6779"/>
    <w:rsid w:val="001E70E4"/>
    <w:rsid w:val="001F01D7"/>
    <w:rsid w:val="001F09D9"/>
    <w:rsid w:val="001F0C59"/>
    <w:rsid w:val="001F0EAB"/>
    <w:rsid w:val="001F18B5"/>
    <w:rsid w:val="001F28D9"/>
    <w:rsid w:val="001F2B40"/>
    <w:rsid w:val="001F2C3C"/>
    <w:rsid w:val="001F3E54"/>
    <w:rsid w:val="001F409D"/>
    <w:rsid w:val="001F497E"/>
    <w:rsid w:val="001F55B8"/>
    <w:rsid w:val="001F5B08"/>
    <w:rsid w:val="001F5EE7"/>
    <w:rsid w:val="001F5F45"/>
    <w:rsid w:val="001F67D4"/>
    <w:rsid w:val="001F6A8C"/>
    <w:rsid w:val="001F6C89"/>
    <w:rsid w:val="001F7645"/>
    <w:rsid w:val="001F7990"/>
    <w:rsid w:val="00200603"/>
    <w:rsid w:val="0020126D"/>
    <w:rsid w:val="002017EF"/>
    <w:rsid w:val="00202627"/>
    <w:rsid w:val="0020265F"/>
    <w:rsid w:val="00203272"/>
    <w:rsid w:val="002034A7"/>
    <w:rsid w:val="00203B42"/>
    <w:rsid w:val="00205491"/>
    <w:rsid w:val="00205940"/>
    <w:rsid w:val="00205EF9"/>
    <w:rsid w:val="00205F0D"/>
    <w:rsid w:val="00206D2D"/>
    <w:rsid w:val="00206D2F"/>
    <w:rsid w:val="00207037"/>
    <w:rsid w:val="00207262"/>
    <w:rsid w:val="0021100C"/>
    <w:rsid w:val="002110BD"/>
    <w:rsid w:val="00211EB9"/>
    <w:rsid w:val="00211F04"/>
    <w:rsid w:val="00212719"/>
    <w:rsid w:val="002130A9"/>
    <w:rsid w:val="00214B30"/>
    <w:rsid w:val="002150DB"/>
    <w:rsid w:val="00215F9B"/>
    <w:rsid w:val="00216918"/>
    <w:rsid w:val="00216996"/>
    <w:rsid w:val="00216EE7"/>
    <w:rsid w:val="00217025"/>
    <w:rsid w:val="0021792E"/>
    <w:rsid w:val="00220193"/>
    <w:rsid w:val="00220234"/>
    <w:rsid w:val="00220235"/>
    <w:rsid w:val="0022087F"/>
    <w:rsid w:val="00220A12"/>
    <w:rsid w:val="00220F3A"/>
    <w:rsid w:val="00222314"/>
    <w:rsid w:val="002224B0"/>
    <w:rsid w:val="00222BDB"/>
    <w:rsid w:val="00222CCB"/>
    <w:rsid w:val="00222CD7"/>
    <w:rsid w:val="00223561"/>
    <w:rsid w:val="00224790"/>
    <w:rsid w:val="00224816"/>
    <w:rsid w:val="00225DFF"/>
    <w:rsid w:val="00226789"/>
    <w:rsid w:val="00226A8D"/>
    <w:rsid w:val="002276A6"/>
    <w:rsid w:val="00227912"/>
    <w:rsid w:val="00227BF6"/>
    <w:rsid w:val="002300D2"/>
    <w:rsid w:val="002306BE"/>
    <w:rsid w:val="00231170"/>
    <w:rsid w:val="002315F5"/>
    <w:rsid w:val="002318A8"/>
    <w:rsid w:val="00231AEB"/>
    <w:rsid w:val="00231DDB"/>
    <w:rsid w:val="002322B5"/>
    <w:rsid w:val="002323E3"/>
    <w:rsid w:val="0023282D"/>
    <w:rsid w:val="002334B1"/>
    <w:rsid w:val="002339D2"/>
    <w:rsid w:val="00233ACA"/>
    <w:rsid w:val="00233DC7"/>
    <w:rsid w:val="002344D1"/>
    <w:rsid w:val="00235100"/>
    <w:rsid w:val="00235401"/>
    <w:rsid w:val="00235416"/>
    <w:rsid w:val="002355D4"/>
    <w:rsid w:val="0023584D"/>
    <w:rsid w:val="00236342"/>
    <w:rsid w:val="0023678F"/>
    <w:rsid w:val="002371F1"/>
    <w:rsid w:val="00237315"/>
    <w:rsid w:val="00237F40"/>
    <w:rsid w:val="0024018A"/>
    <w:rsid w:val="00240441"/>
    <w:rsid w:val="002405B5"/>
    <w:rsid w:val="00240A5B"/>
    <w:rsid w:val="0024139A"/>
    <w:rsid w:val="002415C3"/>
    <w:rsid w:val="002417EB"/>
    <w:rsid w:val="00241D76"/>
    <w:rsid w:val="00241D93"/>
    <w:rsid w:val="0024217C"/>
    <w:rsid w:val="0024237E"/>
    <w:rsid w:val="00242CC5"/>
    <w:rsid w:val="00243910"/>
    <w:rsid w:val="00243A3F"/>
    <w:rsid w:val="002441B1"/>
    <w:rsid w:val="00244D64"/>
    <w:rsid w:val="002463CB"/>
    <w:rsid w:val="00246EE3"/>
    <w:rsid w:val="00247779"/>
    <w:rsid w:val="002478A3"/>
    <w:rsid w:val="00247B5A"/>
    <w:rsid w:val="00247C08"/>
    <w:rsid w:val="00247D57"/>
    <w:rsid w:val="00247F8A"/>
    <w:rsid w:val="00247FAC"/>
    <w:rsid w:val="00251606"/>
    <w:rsid w:val="00251D75"/>
    <w:rsid w:val="00252C7A"/>
    <w:rsid w:val="00252C8E"/>
    <w:rsid w:val="00252DAA"/>
    <w:rsid w:val="00253525"/>
    <w:rsid w:val="00253C10"/>
    <w:rsid w:val="00254167"/>
    <w:rsid w:val="00255AE2"/>
    <w:rsid w:val="00255DDF"/>
    <w:rsid w:val="002565B4"/>
    <w:rsid w:val="00256DB7"/>
    <w:rsid w:val="002570FD"/>
    <w:rsid w:val="0025762A"/>
    <w:rsid w:val="002579D7"/>
    <w:rsid w:val="00257AD6"/>
    <w:rsid w:val="00257BA7"/>
    <w:rsid w:val="00257EAB"/>
    <w:rsid w:val="00257F4C"/>
    <w:rsid w:val="00260492"/>
    <w:rsid w:val="00260AE9"/>
    <w:rsid w:val="002611CE"/>
    <w:rsid w:val="002623B4"/>
    <w:rsid w:val="00262C22"/>
    <w:rsid w:val="00263DDD"/>
    <w:rsid w:val="00264304"/>
    <w:rsid w:val="0026445D"/>
    <w:rsid w:val="002646CF"/>
    <w:rsid w:val="00264A70"/>
    <w:rsid w:val="00264ACE"/>
    <w:rsid w:val="00264F83"/>
    <w:rsid w:val="00265D80"/>
    <w:rsid w:val="00265E8D"/>
    <w:rsid w:val="00266BE5"/>
    <w:rsid w:val="0026762C"/>
    <w:rsid w:val="00271A19"/>
    <w:rsid w:val="00271B8C"/>
    <w:rsid w:val="00271F12"/>
    <w:rsid w:val="00272AE1"/>
    <w:rsid w:val="00272D13"/>
    <w:rsid w:val="0027329D"/>
    <w:rsid w:val="00273BDE"/>
    <w:rsid w:val="00273EFB"/>
    <w:rsid w:val="002744DC"/>
    <w:rsid w:val="00274DD2"/>
    <w:rsid w:val="0027522D"/>
    <w:rsid w:val="002756FD"/>
    <w:rsid w:val="00275EAC"/>
    <w:rsid w:val="002768B3"/>
    <w:rsid w:val="00276C97"/>
    <w:rsid w:val="002774D5"/>
    <w:rsid w:val="002804B5"/>
    <w:rsid w:val="0028073D"/>
    <w:rsid w:val="00280C16"/>
    <w:rsid w:val="00280F82"/>
    <w:rsid w:val="002819DA"/>
    <w:rsid w:val="002828FA"/>
    <w:rsid w:val="00282CC4"/>
    <w:rsid w:val="00282FA4"/>
    <w:rsid w:val="002837A8"/>
    <w:rsid w:val="0028422A"/>
    <w:rsid w:val="00284EE2"/>
    <w:rsid w:val="00284F4A"/>
    <w:rsid w:val="00285BEE"/>
    <w:rsid w:val="00285EFB"/>
    <w:rsid w:val="0028676E"/>
    <w:rsid w:val="002871C4"/>
    <w:rsid w:val="002874F3"/>
    <w:rsid w:val="002879C5"/>
    <w:rsid w:val="00291CF0"/>
    <w:rsid w:val="00291DE2"/>
    <w:rsid w:val="00291EFC"/>
    <w:rsid w:val="00291F39"/>
    <w:rsid w:val="0029236F"/>
    <w:rsid w:val="002924F9"/>
    <w:rsid w:val="00292A27"/>
    <w:rsid w:val="00292DBE"/>
    <w:rsid w:val="002950FC"/>
    <w:rsid w:val="0029533F"/>
    <w:rsid w:val="002957A2"/>
    <w:rsid w:val="00296EDE"/>
    <w:rsid w:val="00297BF3"/>
    <w:rsid w:val="002A00A7"/>
    <w:rsid w:val="002A050E"/>
    <w:rsid w:val="002A0A82"/>
    <w:rsid w:val="002A1790"/>
    <w:rsid w:val="002A2265"/>
    <w:rsid w:val="002A2458"/>
    <w:rsid w:val="002A28EB"/>
    <w:rsid w:val="002A2A93"/>
    <w:rsid w:val="002A2AD4"/>
    <w:rsid w:val="002A35FC"/>
    <w:rsid w:val="002A3718"/>
    <w:rsid w:val="002A3A07"/>
    <w:rsid w:val="002A461F"/>
    <w:rsid w:val="002A4F3B"/>
    <w:rsid w:val="002A607E"/>
    <w:rsid w:val="002A6215"/>
    <w:rsid w:val="002A7A06"/>
    <w:rsid w:val="002A7BA5"/>
    <w:rsid w:val="002B0509"/>
    <w:rsid w:val="002B0D38"/>
    <w:rsid w:val="002B1349"/>
    <w:rsid w:val="002B1F68"/>
    <w:rsid w:val="002B1FCE"/>
    <w:rsid w:val="002B229A"/>
    <w:rsid w:val="002B26C8"/>
    <w:rsid w:val="002B2BEF"/>
    <w:rsid w:val="002B30AF"/>
    <w:rsid w:val="002B38B1"/>
    <w:rsid w:val="002B4198"/>
    <w:rsid w:val="002B4CC0"/>
    <w:rsid w:val="002B5284"/>
    <w:rsid w:val="002B54D8"/>
    <w:rsid w:val="002B5EA3"/>
    <w:rsid w:val="002B6679"/>
    <w:rsid w:val="002B6763"/>
    <w:rsid w:val="002B74CC"/>
    <w:rsid w:val="002B777A"/>
    <w:rsid w:val="002B7E80"/>
    <w:rsid w:val="002C1171"/>
    <w:rsid w:val="002C18C2"/>
    <w:rsid w:val="002C1D44"/>
    <w:rsid w:val="002C1D46"/>
    <w:rsid w:val="002C234A"/>
    <w:rsid w:val="002C2C08"/>
    <w:rsid w:val="002C308F"/>
    <w:rsid w:val="002C336B"/>
    <w:rsid w:val="002C5548"/>
    <w:rsid w:val="002C62AC"/>
    <w:rsid w:val="002C729E"/>
    <w:rsid w:val="002C7686"/>
    <w:rsid w:val="002C7E43"/>
    <w:rsid w:val="002D0946"/>
    <w:rsid w:val="002D11AF"/>
    <w:rsid w:val="002D1762"/>
    <w:rsid w:val="002D18BC"/>
    <w:rsid w:val="002D24D7"/>
    <w:rsid w:val="002D2F41"/>
    <w:rsid w:val="002D3BE5"/>
    <w:rsid w:val="002D3D1B"/>
    <w:rsid w:val="002D403D"/>
    <w:rsid w:val="002D40C8"/>
    <w:rsid w:val="002D41BA"/>
    <w:rsid w:val="002D466C"/>
    <w:rsid w:val="002D4884"/>
    <w:rsid w:val="002D5207"/>
    <w:rsid w:val="002D76E1"/>
    <w:rsid w:val="002D784D"/>
    <w:rsid w:val="002D79FA"/>
    <w:rsid w:val="002D7B99"/>
    <w:rsid w:val="002D7E32"/>
    <w:rsid w:val="002E0BCF"/>
    <w:rsid w:val="002E0DAA"/>
    <w:rsid w:val="002E1155"/>
    <w:rsid w:val="002E1960"/>
    <w:rsid w:val="002E2384"/>
    <w:rsid w:val="002E3068"/>
    <w:rsid w:val="002E3237"/>
    <w:rsid w:val="002E37A0"/>
    <w:rsid w:val="002E448B"/>
    <w:rsid w:val="002E4C7D"/>
    <w:rsid w:val="002E506E"/>
    <w:rsid w:val="002E55B0"/>
    <w:rsid w:val="002E55E8"/>
    <w:rsid w:val="002E5AAC"/>
    <w:rsid w:val="002E5DF7"/>
    <w:rsid w:val="002E61E7"/>
    <w:rsid w:val="002E6AD9"/>
    <w:rsid w:val="002E75C6"/>
    <w:rsid w:val="002E77E7"/>
    <w:rsid w:val="002E7AF5"/>
    <w:rsid w:val="002F008F"/>
    <w:rsid w:val="002F04C9"/>
    <w:rsid w:val="002F0675"/>
    <w:rsid w:val="002F0D4C"/>
    <w:rsid w:val="002F1999"/>
    <w:rsid w:val="002F1B03"/>
    <w:rsid w:val="002F1C73"/>
    <w:rsid w:val="002F1FFA"/>
    <w:rsid w:val="002F21BC"/>
    <w:rsid w:val="002F2F8F"/>
    <w:rsid w:val="002F31EF"/>
    <w:rsid w:val="002F4043"/>
    <w:rsid w:val="002F4B49"/>
    <w:rsid w:val="002F4CD9"/>
    <w:rsid w:val="002F4ED8"/>
    <w:rsid w:val="002F5659"/>
    <w:rsid w:val="002F5B1C"/>
    <w:rsid w:val="002F6AAC"/>
    <w:rsid w:val="002F6D28"/>
    <w:rsid w:val="002F76D5"/>
    <w:rsid w:val="00300908"/>
    <w:rsid w:val="003013C7"/>
    <w:rsid w:val="0030164C"/>
    <w:rsid w:val="00301BD0"/>
    <w:rsid w:val="003022B4"/>
    <w:rsid w:val="00302401"/>
    <w:rsid w:val="003025BB"/>
    <w:rsid w:val="00302BB4"/>
    <w:rsid w:val="0030321B"/>
    <w:rsid w:val="00303340"/>
    <w:rsid w:val="00304C2C"/>
    <w:rsid w:val="00304C83"/>
    <w:rsid w:val="00305A76"/>
    <w:rsid w:val="00306908"/>
    <w:rsid w:val="00306AAF"/>
    <w:rsid w:val="00307954"/>
    <w:rsid w:val="00307996"/>
    <w:rsid w:val="00307DD0"/>
    <w:rsid w:val="00310184"/>
    <w:rsid w:val="00310323"/>
    <w:rsid w:val="00310462"/>
    <w:rsid w:val="0031067F"/>
    <w:rsid w:val="00310B30"/>
    <w:rsid w:val="00311AC7"/>
    <w:rsid w:val="00311BBB"/>
    <w:rsid w:val="00312903"/>
    <w:rsid w:val="00312F28"/>
    <w:rsid w:val="00313094"/>
    <w:rsid w:val="00313182"/>
    <w:rsid w:val="003138B9"/>
    <w:rsid w:val="003140D1"/>
    <w:rsid w:val="00314654"/>
    <w:rsid w:val="0031493D"/>
    <w:rsid w:val="003149C7"/>
    <w:rsid w:val="00314F2E"/>
    <w:rsid w:val="00315422"/>
    <w:rsid w:val="00316B15"/>
    <w:rsid w:val="00320EDC"/>
    <w:rsid w:val="003210A5"/>
    <w:rsid w:val="003210C9"/>
    <w:rsid w:val="0032114D"/>
    <w:rsid w:val="0032150B"/>
    <w:rsid w:val="003218C5"/>
    <w:rsid w:val="003219FC"/>
    <w:rsid w:val="00323599"/>
    <w:rsid w:val="003237F7"/>
    <w:rsid w:val="00323B14"/>
    <w:rsid w:val="00324264"/>
    <w:rsid w:val="003254EB"/>
    <w:rsid w:val="0032556F"/>
    <w:rsid w:val="00326F99"/>
    <w:rsid w:val="00327106"/>
    <w:rsid w:val="003276E2"/>
    <w:rsid w:val="003279C8"/>
    <w:rsid w:val="0033078E"/>
    <w:rsid w:val="003308DC"/>
    <w:rsid w:val="0033093E"/>
    <w:rsid w:val="0033228A"/>
    <w:rsid w:val="00332293"/>
    <w:rsid w:val="003323C6"/>
    <w:rsid w:val="0033332C"/>
    <w:rsid w:val="00333445"/>
    <w:rsid w:val="0033344A"/>
    <w:rsid w:val="00333C18"/>
    <w:rsid w:val="003345FA"/>
    <w:rsid w:val="00334D06"/>
    <w:rsid w:val="003351F3"/>
    <w:rsid w:val="003352CB"/>
    <w:rsid w:val="00335BD9"/>
    <w:rsid w:val="00335DCA"/>
    <w:rsid w:val="003368B4"/>
    <w:rsid w:val="00336995"/>
    <w:rsid w:val="00337BD5"/>
    <w:rsid w:val="00337F30"/>
    <w:rsid w:val="00340151"/>
    <w:rsid w:val="0034033A"/>
    <w:rsid w:val="00340F27"/>
    <w:rsid w:val="00341353"/>
    <w:rsid w:val="00341417"/>
    <w:rsid w:val="00342370"/>
    <w:rsid w:val="00342E5B"/>
    <w:rsid w:val="003441DF"/>
    <w:rsid w:val="0034430D"/>
    <w:rsid w:val="003448D3"/>
    <w:rsid w:val="00344C4C"/>
    <w:rsid w:val="00344D7D"/>
    <w:rsid w:val="003451CB"/>
    <w:rsid w:val="00345AAB"/>
    <w:rsid w:val="003464DF"/>
    <w:rsid w:val="003468C9"/>
    <w:rsid w:val="003479FD"/>
    <w:rsid w:val="00347BD0"/>
    <w:rsid w:val="003500F9"/>
    <w:rsid w:val="0035083F"/>
    <w:rsid w:val="00350EF9"/>
    <w:rsid w:val="00350FF7"/>
    <w:rsid w:val="00351D20"/>
    <w:rsid w:val="00352825"/>
    <w:rsid w:val="00353CDD"/>
    <w:rsid w:val="00354501"/>
    <w:rsid w:val="00354EC4"/>
    <w:rsid w:val="00356261"/>
    <w:rsid w:val="003562A4"/>
    <w:rsid w:val="00356A6C"/>
    <w:rsid w:val="00356D76"/>
    <w:rsid w:val="00357011"/>
    <w:rsid w:val="00357EDC"/>
    <w:rsid w:val="00360122"/>
    <w:rsid w:val="00360A01"/>
    <w:rsid w:val="0036128D"/>
    <w:rsid w:val="00361D49"/>
    <w:rsid w:val="00362651"/>
    <w:rsid w:val="00362843"/>
    <w:rsid w:val="0036286A"/>
    <w:rsid w:val="00364176"/>
    <w:rsid w:val="00365079"/>
    <w:rsid w:val="003657F7"/>
    <w:rsid w:val="00365D23"/>
    <w:rsid w:val="00366E32"/>
    <w:rsid w:val="0037009E"/>
    <w:rsid w:val="003706C5"/>
    <w:rsid w:val="00371CAD"/>
    <w:rsid w:val="0037398F"/>
    <w:rsid w:val="0037465A"/>
    <w:rsid w:val="00375459"/>
    <w:rsid w:val="003765C0"/>
    <w:rsid w:val="003765DC"/>
    <w:rsid w:val="003768B0"/>
    <w:rsid w:val="00377142"/>
    <w:rsid w:val="00377819"/>
    <w:rsid w:val="00380689"/>
    <w:rsid w:val="00380A1D"/>
    <w:rsid w:val="00380D85"/>
    <w:rsid w:val="003818F0"/>
    <w:rsid w:val="00382175"/>
    <w:rsid w:val="00382B6D"/>
    <w:rsid w:val="003839D7"/>
    <w:rsid w:val="00383AF7"/>
    <w:rsid w:val="00383DBA"/>
    <w:rsid w:val="00383FC8"/>
    <w:rsid w:val="00387124"/>
    <w:rsid w:val="003877B6"/>
    <w:rsid w:val="003909B6"/>
    <w:rsid w:val="00390AA9"/>
    <w:rsid w:val="00390B71"/>
    <w:rsid w:val="00391FCF"/>
    <w:rsid w:val="0039209B"/>
    <w:rsid w:val="00392CBA"/>
    <w:rsid w:val="00393112"/>
    <w:rsid w:val="003931DB"/>
    <w:rsid w:val="0039328F"/>
    <w:rsid w:val="00394B5B"/>
    <w:rsid w:val="00394D7B"/>
    <w:rsid w:val="003962C2"/>
    <w:rsid w:val="00396CAA"/>
    <w:rsid w:val="00397184"/>
    <w:rsid w:val="003976E4"/>
    <w:rsid w:val="003977F0"/>
    <w:rsid w:val="00397B47"/>
    <w:rsid w:val="00397EDD"/>
    <w:rsid w:val="003A0132"/>
    <w:rsid w:val="003A0F9F"/>
    <w:rsid w:val="003A17E1"/>
    <w:rsid w:val="003A1968"/>
    <w:rsid w:val="003A2653"/>
    <w:rsid w:val="003A275A"/>
    <w:rsid w:val="003A2811"/>
    <w:rsid w:val="003A2819"/>
    <w:rsid w:val="003A2D58"/>
    <w:rsid w:val="003A2F1E"/>
    <w:rsid w:val="003A3612"/>
    <w:rsid w:val="003A47CC"/>
    <w:rsid w:val="003A5E96"/>
    <w:rsid w:val="003A6B58"/>
    <w:rsid w:val="003A754A"/>
    <w:rsid w:val="003A7692"/>
    <w:rsid w:val="003A7F2D"/>
    <w:rsid w:val="003B1415"/>
    <w:rsid w:val="003B14E0"/>
    <w:rsid w:val="003B1D5E"/>
    <w:rsid w:val="003B1E85"/>
    <w:rsid w:val="003B2562"/>
    <w:rsid w:val="003B278C"/>
    <w:rsid w:val="003B2ECE"/>
    <w:rsid w:val="003B349D"/>
    <w:rsid w:val="003B380A"/>
    <w:rsid w:val="003B3B6B"/>
    <w:rsid w:val="003B4922"/>
    <w:rsid w:val="003B51F3"/>
    <w:rsid w:val="003B5970"/>
    <w:rsid w:val="003B760E"/>
    <w:rsid w:val="003B76E8"/>
    <w:rsid w:val="003B76EA"/>
    <w:rsid w:val="003B788C"/>
    <w:rsid w:val="003C0709"/>
    <w:rsid w:val="003C0DF3"/>
    <w:rsid w:val="003C0EC9"/>
    <w:rsid w:val="003C135A"/>
    <w:rsid w:val="003C1D00"/>
    <w:rsid w:val="003C2192"/>
    <w:rsid w:val="003C34F1"/>
    <w:rsid w:val="003C35C3"/>
    <w:rsid w:val="003C3C05"/>
    <w:rsid w:val="003C4353"/>
    <w:rsid w:val="003C4F0E"/>
    <w:rsid w:val="003C5655"/>
    <w:rsid w:val="003C5AE4"/>
    <w:rsid w:val="003C5FA8"/>
    <w:rsid w:val="003C60D8"/>
    <w:rsid w:val="003C653F"/>
    <w:rsid w:val="003C7009"/>
    <w:rsid w:val="003C72D9"/>
    <w:rsid w:val="003C7E75"/>
    <w:rsid w:val="003D072D"/>
    <w:rsid w:val="003D07F0"/>
    <w:rsid w:val="003D20E1"/>
    <w:rsid w:val="003D3143"/>
    <w:rsid w:val="003D3231"/>
    <w:rsid w:val="003D3571"/>
    <w:rsid w:val="003D36D6"/>
    <w:rsid w:val="003D483F"/>
    <w:rsid w:val="003D4E90"/>
    <w:rsid w:val="003D5450"/>
    <w:rsid w:val="003D57A2"/>
    <w:rsid w:val="003D5DA9"/>
    <w:rsid w:val="003D65C7"/>
    <w:rsid w:val="003D691D"/>
    <w:rsid w:val="003D6DCB"/>
    <w:rsid w:val="003D73CB"/>
    <w:rsid w:val="003E0279"/>
    <w:rsid w:val="003E1496"/>
    <w:rsid w:val="003E1563"/>
    <w:rsid w:val="003E163C"/>
    <w:rsid w:val="003E18ED"/>
    <w:rsid w:val="003E1A26"/>
    <w:rsid w:val="003E2108"/>
    <w:rsid w:val="003E28B7"/>
    <w:rsid w:val="003E2CA9"/>
    <w:rsid w:val="003E2E73"/>
    <w:rsid w:val="003E2EE5"/>
    <w:rsid w:val="003E3564"/>
    <w:rsid w:val="003E3ED6"/>
    <w:rsid w:val="003E4862"/>
    <w:rsid w:val="003E5B19"/>
    <w:rsid w:val="003E5BA1"/>
    <w:rsid w:val="003E65FC"/>
    <w:rsid w:val="003E6862"/>
    <w:rsid w:val="003E6DD2"/>
    <w:rsid w:val="003E7811"/>
    <w:rsid w:val="003E7929"/>
    <w:rsid w:val="003E7F39"/>
    <w:rsid w:val="003F0DC5"/>
    <w:rsid w:val="003F19C7"/>
    <w:rsid w:val="003F1E8B"/>
    <w:rsid w:val="003F1FE3"/>
    <w:rsid w:val="003F2380"/>
    <w:rsid w:val="003F265D"/>
    <w:rsid w:val="003F2E8E"/>
    <w:rsid w:val="003F3321"/>
    <w:rsid w:val="003F3327"/>
    <w:rsid w:val="003F379B"/>
    <w:rsid w:val="003F4652"/>
    <w:rsid w:val="003F47DB"/>
    <w:rsid w:val="003F481A"/>
    <w:rsid w:val="003F4A67"/>
    <w:rsid w:val="003F4D57"/>
    <w:rsid w:val="003F5CC9"/>
    <w:rsid w:val="003F5EF5"/>
    <w:rsid w:val="003F6299"/>
    <w:rsid w:val="003F69E7"/>
    <w:rsid w:val="003F72EF"/>
    <w:rsid w:val="003F733F"/>
    <w:rsid w:val="003F7383"/>
    <w:rsid w:val="00400ABA"/>
    <w:rsid w:val="00400C0F"/>
    <w:rsid w:val="00401DEB"/>
    <w:rsid w:val="00402259"/>
    <w:rsid w:val="00402734"/>
    <w:rsid w:val="004029A0"/>
    <w:rsid w:val="00402DF4"/>
    <w:rsid w:val="00403DC4"/>
    <w:rsid w:val="00404208"/>
    <w:rsid w:val="00404328"/>
    <w:rsid w:val="004056FB"/>
    <w:rsid w:val="00406E8F"/>
    <w:rsid w:val="00407120"/>
    <w:rsid w:val="0040748F"/>
    <w:rsid w:val="00407543"/>
    <w:rsid w:val="00410DCF"/>
    <w:rsid w:val="00412011"/>
    <w:rsid w:val="00412F7C"/>
    <w:rsid w:val="004135B6"/>
    <w:rsid w:val="004136B1"/>
    <w:rsid w:val="00413D24"/>
    <w:rsid w:val="00413F62"/>
    <w:rsid w:val="0041414F"/>
    <w:rsid w:val="0041415D"/>
    <w:rsid w:val="004143D0"/>
    <w:rsid w:val="00414689"/>
    <w:rsid w:val="004153C6"/>
    <w:rsid w:val="00415C2F"/>
    <w:rsid w:val="00415D77"/>
    <w:rsid w:val="00416A95"/>
    <w:rsid w:val="004177CB"/>
    <w:rsid w:val="0042039D"/>
    <w:rsid w:val="00420435"/>
    <w:rsid w:val="00420642"/>
    <w:rsid w:val="004206A7"/>
    <w:rsid w:val="00420DE4"/>
    <w:rsid w:val="004214D9"/>
    <w:rsid w:val="00422AF6"/>
    <w:rsid w:val="00422F04"/>
    <w:rsid w:val="00423147"/>
    <w:rsid w:val="004243B2"/>
    <w:rsid w:val="00424514"/>
    <w:rsid w:val="0042460C"/>
    <w:rsid w:val="004246C0"/>
    <w:rsid w:val="00424F05"/>
    <w:rsid w:val="00425941"/>
    <w:rsid w:val="0042648E"/>
    <w:rsid w:val="00427367"/>
    <w:rsid w:val="004273FB"/>
    <w:rsid w:val="00427FA0"/>
    <w:rsid w:val="00430D26"/>
    <w:rsid w:val="004312DA"/>
    <w:rsid w:val="004313D7"/>
    <w:rsid w:val="00431423"/>
    <w:rsid w:val="0043390F"/>
    <w:rsid w:val="00433BD7"/>
    <w:rsid w:val="0043467B"/>
    <w:rsid w:val="00434916"/>
    <w:rsid w:val="004349D7"/>
    <w:rsid w:val="00434C2B"/>
    <w:rsid w:val="00435FB0"/>
    <w:rsid w:val="00435FC3"/>
    <w:rsid w:val="0043695E"/>
    <w:rsid w:val="00437127"/>
    <w:rsid w:val="00437485"/>
    <w:rsid w:val="0043759E"/>
    <w:rsid w:val="004378C0"/>
    <w:rsid w:val="00440232"/>
    <w:rsid w:val="00440273"/>
    <w:rsid w:val="00440860"/>
    <w:rsid w:val="00440F9F"/>
    <w:rsid w:val="00441415"/>
    <w:rsid w:val="00441CAE"/>
    <w:rsid w:val="004420E5"/>
    <w:rsid w:val="004420EC"/>
    <w:rsid w:val="004427A4"/>
    <w:rsid w:val="00443049"/>
    <w:rsid w:val="00443091"/>
    <w:rsid w:val="004441C7"/>
    <w:rsid w:val="0044447D"/>
    <w:rsid w:val="004447F9"/>
    <w:rsid w:val="00445236"/>
    <w:rsid w:val="00445482"/>
    <w:rsid w:val="004459EB"/>
    <w:rsid w:val="00445C16"/>
    <w:rsid w:val="00446302"/>
    <w:rsid w:val="00446C0F"/>
    <w:rsid w:val="00446F46"/>
    <w:rsid w:val="00447521"/>
    <w:rsid w:val="004479E3"/>
    <w:rsid w:val="00447BCE"/>
    <w:rsid w:val="00450024"/>
    <w:rsid w:val="00450120"/>
    <w:rsid w:val="00450EBF"/>
    <w:rsid w:val="0045105D"/>
    <w:rsid w:val="00451500"/>
    <w:rsid w:val="00453D04"/>
    <w:rsid w:val="00454A6D"/>
    <w:rsid w:val="004552E3"/>
    <w:rsid w:val="004563F7"/>
    <w:rsid w:val="00456789"/>
    <w:rsid w:val="004567D8"/>
    <w:rsid w:val="00456B31"/>
    <w:rsid w:val="00456ED8"/>
    <w:rsid w:val="004573F2"/>
    <w:rsid w:val="00457FA7"/>
    <w:rsid w:val="00460110"/>
    <w:rsid w:val="00460B77"/>
    <w:rsid w:val="00460C06"/>
    <w:rsid w:val="00460DA6"/>
    <w:rsid w:val="004611C6"/>
    <w:rsid w:val="0046166D"/>
    <w:rsid w:val="004640A2"/>
    <w:rsid w:val="004640FF"/>
    <w:rsid w:val="004641E7"/>
    <w:rsid w:val="00464410"/>
    <w:rsid w:val="00464591"/>
    <w:rsid w:val="004648A5"/>
    <w:rsid w:val="00464A1D"/>
    <w:rsid w:val="00464E2E"/>
    <w:rsid w:val="004651D9"/>
    <w:rsid w:val="004656E9"/>
    <w:rsid w:val="00465B0D"/>
    <w:rsid w:val="004662FA"/>
    <w:rsid w:val="00466BF9"/>
    <w:rsid w:val="004670A8"/>
    <w:rsid w:val="0047059D"/>
    <w:rsid w:val="00470BDE"/>
    <w:rsid w:val="004714D3"/>
    <w:rsid w:val="00471A1B"/>
    <w:rsid w:val="00472626"/>
    <w:rsid w:val="00472DB2"/>
    <w:rsid w:val="0047329B"/>
    <w:rsid w:val="0047415F"/>
    <w:rsid w:val="00474A93"/>
    <w:rsid w:val="00474B07"/>
    <w:rsid w:val="00476489"/>
    <w:rsid w:val="004775FA"/>
    <w:rsid w:val="00477B71"/>
    <w:rsid w:val="00477D40"/>
    <w:rsid w:val="00480859"/>
    <w:rsid w:val="004814BB"/>
    <w:rsid w:val="00482B18"/>
    <w:rsid w:val="00483C1B"/>
    <w:rsid w:val="0048422D"/>
    <w:rsid w:val="00484639"/>
    <w:rsid w:val="00484752"/>
    <w:rsid w:val="00484A3E"/>
    <w:rsid w:val="00484B33"/>
    <w:rsid w:val="00485850"/>
    <w:rsid w:val="00485A21"/>
    <w:rsid w:val="00486077"/>
    <w:rsid w:val="004864C7"/>
    <w:rsid w:val="00486D55"/>
    <w:rsid w:val="0048703D"/>
    <w:rsid w:val="004874FD"/>
    <w:rsid w:val="004877C0"/>
    <w:rsid w:val="00490505"/>
    <w:rsid w:val="00490A95"/>
    <w:rsid w:val="004915CE"/>
    <w:rsid w:val="004918CF"/>
    <w:rsid w:val="00491960"/>
    <w:rsid w:val="00491C6C"/>
    <w:rsid w:val="00491D95"/>
    <w:rsid w:val="004931A2"/>
    <w:rsid w:val="004936D2"/>
    <w:rsid w:val="004937F1"/>
    <w:rsid w:val="00493C84"/>
    <w:rsid w:val="00494395"/>
    <w:rsid w:val="0049488F"/>
    <w:rsid w:val="00494FAA"/>
    <w:rsid w:val="00495089"/>
    <w:rsid w:val="0049524B"/>
    <w:rsid w:val="004952E8"/>
    <w:rsid w:val="00495827"/>
    <w:rsid w:val="0049654F"/>
    <w:rsid w:val="00497103"/>
    <w:rsid w:val="004A0729"/>
    <w:rsid w:val="004A10E4"/>
    <w:rsid w:val="004A1880"/>
    <w:rsid w:val="004A1E3C"/>
    <w:rsid w:val="004A234D"/>
    <w:rsid w:val="004A27F4"/>
    <w:rsid w:val="004A328B"/>
    <w:rsid w:val="004A3407"/>
    <w:rsid w:val="004A39B5"/>
    <w:rsid w:val="004A3E5A"/>
    <w:rsid w:val="004A54E3"/>
    <w:rsid w:val="004A6851"/>
    <w:rsid w:val="004A6D0C"/>
    <w:rsid w:val="004A7BA1"/>
    <w:rsid w:val="004A7EA7"/>
    <w:rsid w:val="004A7ECA"/>
    <w:rsid w:val="004B0594"/>
    <w:rsid w:val="004B08F0"/>
    <w:rsid w:val="004B23CC"/>
    <w:rsid w:val="004B24F4"/>
    <w:rsid w:val="004B2A31"/>
    <w:rsid w:val="004B2BF7"/>
    <w:rsid w:val="004B2CCC"/>
    <w:rsid w:val="004B3B3E"/>
    <w:rsid w:val="004B422C"/>
    <w:rsid w:val="004B47E2"/>
    <w:rsid w:val="004B58EA"/>
    <w:rsid w:val="004B5B28"/>
    <w:rsid w:val="004B6244"/>
    <w:rsid w:val="004B65F0"/>
    <w:rsid w:val="004B792F"/>
    <w:rsid w:val="004B7D23"/>
    <w:rsid w:val="004C00C4"/>
    <w:rsid w:val="004C0996"/>
    <w:rsid w:val="004C0C8C"/>
    <w:rsid w:val="004C0CA0"/>
    <w:rsid w:val="004C0F2F"/>
    <w:rsid w:val="004C1521"/>
    <w:rsid w:val="004C19C7"/>
    <w:rsid w:val="004C1CEE"/>
    <w:rsid w:val="004C205A"/>
    <w:rsid w:val="004C26BA"/>
    <w:rsid w:val="004C2FBF"/>
    <w:rsid w:val="004C2FF7"/>
    <w:rsid w:val="004C3140"/>
    <w:rsid w:val="004C31A9"/>
    <w:rsid w:val="004C3E63"/>
    <w:rsid w:val="004C4301"/>
    <w:rsid w:val="004C4909"/>
    <w:rsid w:val="004C4A71"/>
    <w:rsid w:val="004C4CF4"/>
    <w:rsid w:val="004C5283"/>
    <w:rsid w:val="004C58E2"/>
    <w:rsid w:val="004C652C"/>
    <w:rsid w:val="004C66F8"/>
    <w:rsid w:val="004C73B6"/>
    <w:rsid w:val="004C79D9"/>
    <w:rsid w:val="004D0762"/>
    <w:rsid w:val="004D0A34"/>
    <w:rsid w:val="004D1A72"/>
    <w:rsid w:val="004D1D84"/>
    <w:rsid w:val="004D242A"/>
    <w:rsid w:val="004D2CFE"/>
    <w:rsid w:val="004D2E7D"/>
    <w:rsid w:val="004D31FC"/>
    <w:rsid w:val="004D53FF"/>
    <w:rsid w:val="004D54BA"/>
    <w:rsid w:val="004D5ED9"/>
    <w:rsid w:val="004D5FE7"/>
    <w:rsid w:val="004D67FC"/>
    <w:rsid w:val="004D6879"/>
    <w:rsid w:val="004D7019"/>
    <w:rsid w:val="004D741E"/>
    <w:rsid w:val="004D7A6D"/>
    <w:rsid w:val="004E007B"/>
    <w:rsid w:val="004E027F"/>
    <w:rsid w:val="004E0E5C"/>
    <w:rsid w:val="004E2254"/>
    <w:rsid w:val="004E2C14"/>
    <w:rsid w:val="004E2CB0"/>
    <w:rsid w:val="004E3015"/>
    <w:rsid w:val="004E30C3"/>
    <w:rsid w:val="004E3CDE"/>
    <w:rsid w:val="004E3EE8"/>
    <w:rsid w:val="004E43D2"/>
    <w:rsid w:val="004E4729"/>
    <w:rsid w:val="004E4758"/>
    <w:rsid w:val="004E5525"/>
    <w:rsid w:val="004E5745"/>
    <w:rsid w:val="004E5D44"/>
    <w:rsid w:val="004E5E6F"/>
    <w:rsid w:val="004E5FDB"/>
    <w:rsid w:val="004E613D"/>
    <w:rsid w:val="004E683B"/>
    <w:rsid w:val="004E69D6"/>
    <w:rsid w:val="004E6CAA"/>
    <w:rsid w:val="004E7DE5"/>
    <w:rsid w:val="004F1184"/>
    <w:rsid w:val="004F1505"/>
    <w:rsid w:val="004F1E62"/>
    <w:rsid w:val="004F261B"/>
    <w:rsid w:val="004F26CF"/>
    <w:rsid w:val="004F26FB"/>
    <w:rsid w:val="004F30CD"/>
    <w:rsid w:val="004F3226"/>
    <w:rsid w:val="004F335D"/>
    <w:rsid w:val="004F40C3"/>
    <w:rsid w:val="004F446B"/>
    <w:rsid w:val="004F52AF"/>
    <w:rsid w:val="004F5784"/>
    <w:rsid w:val="004F5C44"/>
    <w:rsid w:val="004F6D98"/>
    <w:rsid w:val="004F7495"/>
    <w:rsid w:val="004F7A1B"/>
    <w:rsid w:val="00500C2E"/>
    <w:rsid w:val="0050110C"/>
    <w:rsid w:val="005016E5"/>
    <w:rsid w:val="00501C66"/>
    <w:rsid w:val="005028D4"/>
    <w:rsid w:val="00503718"/>
    <w:rsid w:val="00503CC1"/>
    <w:rsid w:val="0050428C"/>
    <w:rsid w:val="005042AD"/>
    <w:rsid w:val="005051A9"/>
    <w:rsid w:val="00505721"/>
    <w:rsid w:val="00505F5D"/>
    <w:rsid w:val="00506248"/>
    <w:rsid w:val="00506DED"/>
    <w:rsid w:val="00510849"/>
    <w:rsid w:val="005109BE"/>
    <w:rsid w:val="00511922"/>
    <w:rsid w:val="00512087"/>
    <w:rsid w:val="0051218C"/>
    <w:rsid w:val="00512DA2"/>
    <w:rsid w:val="00512F05"/>
    <w:rsid w:val="00513336"/>
    <w:rsid w:val="00513453"/>
    <w:rsid w:val="0051375E"/>
    <w:rsid w:val="005139AD"/>
    <w:rsid w:val="0051472D"/>
    <w:rsid w:val="00514AFE"/>
    <w:rsid w:val="00515B00"/>
    <w:rsid w:val="00516B6C"/>
    <w:rsid w:val="00516DE6"/>
    <w:rsid w:val="00516E63"/>
    <w:rsid w:val="005171E5"/>
    <w:rsid w:val="0052099F"/>
    <w:rsid w:val="00520C04"/>
    <w:rsid w:val="0052195C"/>
    <w:rsid w:val="00521B05"/>
    <w:rsid w:val="00523063"/>
    <w:rsid w:val="00523197"/>
    <w:rsid w:val="005232AA"/>
    <w:rsid w:val="00523705"/>
    <w:rsid w:val="00524562"/>
    <w:rsid w:val="00524F40"/>
    <w:rsid w:val="005251E8"/>
    <w:rsid w:val="005252E7"/>
    <w:rsid w:val="005258D3"/>
    <w:rsid w:val="00525E00"/>
    <w:rsid w:val="0052694C"/>
    <w:rsid w:val="00527151"/>
    <w:rsid w:val="00527231"/>
    <w:rsid w:val="00530774"/>
    <w:rsid w:val="00530AD5"/>
    <w:rsid w:val="005323CF"/>
    <w:rsid w:val="005326AF"/>
    <w:rsid w:val="00532BCA"/>
    <w:rsid w:val="00532C34"/>
    <w:rsid w:val="00532CF5"/>
    <w:rsid w:val="005335C2"/>
    <w:rsid w:val="005338CC"/>
    <w:rsid w:val="0053560C"/>
    <w:rsid w:val="0053576B"/>
    <w:rsid w:val="00535A67"/>
    <w:rsid w:val="00536265"/>
    <w:rsid w:val="00540010"/>
    <w:rsid w:val="005408DA"/>
    <w:rsid w:val="00540C1F"/>
    <w:rsid w:val="00540D8A"/>
    <w:rsid w:val="00540FBD"/>
    <w:rsid w:val="005414BE"/>
    <w:rsid w:val="0054266A"/>
    <w:rsid w:val="00542819"/>
    <w:rsid w:val="0054303A"/>
    <w:rsid w:val="0054414D"/>
    <w:rsid w:val="005443FA"/>
    <w:rsid w:val="00544755"/>
    <w:rsid w:val="005447D0"/>
    <w:rsid w:val="00544B4E"/>
    <w:rsid w:val="00544F98"/>
    <w:rsid w:val="00545E21"/>
    <w:rsid w:val="00546256"/>
    <w:rsid w:val="00546519"/>
    <w:rsid w:val="00546F73"/>
    <w:rsid w:val="005473C5"/>
    <w:rsid w:val="005476D1"/>
    <w:rsid w:val="00547B3D"/>
    <w:rsid w:val="00547E81"/>
    <w:rsid w:val="005506D0"/>
    <w:rsid w:val="00550865"/>
    <w:rsid w:val="00551425"/>
    <w:rsid w:val="0055146F"/>
    <w:rsid w:val="00551532"/>
    <w:rsid w:val="00551549"/>
    <w:rsid w:val="005515AD"/>
    <w:rsid w:val="00551DA1"/>
    <w:rsid w:val="00553260"/>
    <w:rsid w:val="00553E57"/>
    <w:rsid w:val="005543BB"/>
    <w:rsid w:val="00554831"/>
    <w:rsid w:val="00554956"/>
    <w:rsid w:val="0055562E"/>
    <w:rsid w:val="00555A69"/>
    <w:rsid w:val="00555BFB"/>
    <w:rsid w:val="00556157"/>
    <w:rsid w:val="00556315"/>
    <w:rsid w:val="0055669B"/>
    <w:rsid w:val="00560B32"/>
    <w:rsid w:val="00561192"/>
    <w:rsid w:val="005611EB"/>
    <w:rsid w:val="00561808"/>
    <w:rsid w:val="0056183A"/>
    <w:rsid w:val="00561A58"/>
    <w:rsid w:val="00562BF4"/>
    <w:rsid w:val="00562DD8"/>
    <w:rsid w:val="005631C2"/>
    <w:rsid w:val="00563347"/>
    <w:rsid w:val="005634CB"/>
    <w:rsid w:val="005636DB"/>
    <w:rsid w:val="00563AE8"/>
    <w:rsid w:val="005649BE"/>
    <w:rsid w:val="0056594D"/>
    <w:rsid w:val="00565E14"/>
    <w:rsid w:val="00566AC5"/>
    <w:rsid w:val="005678D7"/>
    <w:rsid w:val="00567A63"/>
    <w:rsid w:val="0057061A"/>
    <w:rsid w:val="005708AB"/>
    <w:rsid w:val="00571014"/>
    <w:rsid w:val="00571729"/>
    <w:rsid w:val="005719D2"/>
    <w:rsid w:val="00571A70"/>
    <w:rsid w:val="00572816"/>
    <w:rsid w:val="00572B55"/>
    <w:rsid w:val="00572EA8"/>
    <w:rsid w:val="00573972"/>
    <w:rsid w:val="00574070"/>
    <w:rsid w:val="0057472E"/>
    <w:rsid w:val="00574EE1"/>
    <w:rsid w:val="00575B2E"/>
    <w:rsid w:val="00575C8A"/>
    <w:rsid w:val="0057657B"/>
    <w:rsid w:val="005766D2"/>
    <w:rsid w:val="0057724A"/>
    <w:rsid w:val="00580368"/>
    <w:rsid w:val="00580574"/>
    <w:rsid w:val="00580586"/>
    <w:rsid w:val="00580B99"/>
    <w:rsid w:val="005820A3"/>
    <w:rsid w:val="00582946"/>
    <w:rsid w:val="00582C21"/>
    <w:rsid w:val="005830EF"/>
    <w:rsid w:val="00583DCB"/>
    <w:rsid w:val="00583F06"/>
    <w:rsid w:val="005840BB"/>
    <w:rsid w:val="005840CB"/>
    <w:rsid w:val="00584128"/>
    <w:rsid w:val="0058418C"/>
    <w:rsid w:val="00584A10"/>
    <w:rsid w:val="00584E34"/>
    <w:rsid w:val="0058642E"/>
    <w:rsid w:val="00586E65"/>
    <w:rsid w:val="00586F5D"/>
    <w:rsid w:val="00587018"/>
    <w:rsid w:val="0058726D"/>
    <w:rsid w:val="00587366"/>
    <w:rsid w:val="00587753"/>
    <w:rsid w:val="00591318"/>
    <w:rsid w:val="00591ADA"/>
    <w:rsid w:val="00591B1D"/>
    <w:rsid w:val="00591C3D"/>
    <w:rsid w:val="00591F6A"/>
    <w:rsid w:val="00591FFA"/>
    <w:rsid w:val="00592286"/>
    <w:rsid w:val="005922A9"/>
    <w:rsid w:val="00592462"/>
    <w:rsid w:val="00592AB7"/>
    <w:rsid w:val="00592DFB"/>
    <w:rsid w:val="00593170"/>
    <w:rsid w:val="0059381E"/>
    <w:rsid w:val="0059393E"/>
    <w:rsid w:val="0059430F"/>
    <w:rsid w:val="00594471"/>
    <w:rsid w:val="0059494D"/>
    <w:rsid w:val="00594C58"/>
    <w:rsid w:val="005959D0"/>
    <w:rsid w:val="00596623"/>
    <w:rsid w:val="005971E9"/>
    <w:rsid w:val="00597230"/>
    <w:rsid w:val="005979B1"/>
    <w:rsid w:val="00597B26"/>
    <w:rsid w:val="005A04E1"/>
    <w:rsid w:val="005A0748"/>
    <w:rsid w:val="005A07E4"/>
    <w:rsid w:val="005A1291"/>
    <w:rsid w:val="005A1461"/>
    <w:rsid w:val="005A1C36"/>
    <w:rsid w:val="005A1D99"/>
    <w:rsid w:val="005A2494"/>
    <w:rsid w:val="005A27B7"/>
    <w:rsid w:val="005A2AFB"/>
    <w:rsid w:val="005A2DB2"/>
    <w:rsid w:val="005A357B"/>
    <w:rsid w:val="005A3F3D"/>
    <w:rsid w:val="005A434B"/>
    <w:rsid w:val="005A47AB"/>
    <w:rsid w:val="005A4B8F"/>
    <w:rsid w:val="005A51C7"/>
    <w:rsid w:val="005A51DC"/>
    <w:rsid w:val="005A6551"/>
    <w:rsid w:val="005A6F4D"/>
    <w:rsid w:val="005A7C06"/>
    <w:rsid w:val="005B0003"/>
    <w:rsid w:val="005B045B"/>
    <w:rsid w:val="005B1EB6"/>
    <w:rsid w:val="005B2337"/>
    <w:rsid w:val="005B2BF6"/>
    <w:rsid w:val="005B2E79"/>
    <w:rsid w:val="005B3327"/>
    <w:rsid w:val="005B46BE"/>
    <w:rsid w:val="005B533A"/>
    <w:rsid w:val="005B65F4"/>
    <w:rsid w:val="005B6917"/>
    <w:rsid w:val="005B6BD0"/>
    <w:rsid w:val="005B6EAC"/>
    <w:rsid w:val="005B7003"/>
    <w:rsid w:val="005B781A"/>
    <w:rsid w:val="005B7AF0"/>
    <w:rsid w:val="005B7D50"/>
    <w:rsid w:val="005B7FF2"/>
    <w:rsid w:val="005C023B"/>
    <w:rsid w:val="005C07C6"/>
    <w:rsid w:val="005C2B83"/>
    <w:rsid w:val="005C2BE4"/>
    <w:rsid w:val="005C4185"/>
    <w:rsid w:val="005C5B03"/>
    <w:rsid w:val="005C64AF"/>
    <w:rsid w:val="005C65D1"/>
    <w:rsid w:val="005C6D2C"/>
    <w:rsid w:val="005C6FC9"/>
    <w:rsid w:val="005D1630"/>
    <w:rsid w:val="005D1A7D"/>
    <w:rsid w:val="005D1F90"/>
    <w:rsid w:val="005D1FD2"/>
    <w:rsid w:val="005D223C"/>
    <w:rsid w:val="005D2821"/>
    <w:rsid w:val="005D2D2E"/>
    <w:rsid w:val="005D4062"/>
    <w:rsid w:val="005D45BC"/>
    <w:rsid w:val="005D4853"/>
    <w:rsid w:val="005D4A36"/>
    <w:rsid w:val="005D52EF"/>
    <w:rsid w:val="005D5643"/>
    <w:rsid w:val="005D6D74"/>
    <w:rsid w:val="005D795D"/>
    <w:rsid w:val="005D7C74"/>
    <w:rsid w:val="005D7D6E"/>
    <w:rsid w:val="005E0567"/>
    <w:rsid w:val="005E0B27"/>
    <w:rsid w:val="005E1A0E"/>
    <w:rsid w:val="005E31B4"/>
    <w:rsid w:val="005E402D"/>
    <w:rsid w:val="005E455A"/>
    <w:rsid w:val="005E4A78"/>
    <w:rsid w:val="005E4D3A"/>
    <w:rsid w:val="005E5208"/>
    <w:rsid w:val="005E56F4"/>
    <w:rsid w:val="005E5BA2"/>
    <w:rsid w:val="005E5C84"/>
    <w:rsid w:val="005E5CEF"/>
    <w:rsid w:val="005E5FA2"/>
    <w:rsid w:val="005E68C7"/>
    <w:rsid w:val="005E6DE2"/>
    <w:rsid w:val="005E7EEE"/>
    <w:rsid w:val="005F06AB"/>
    <w:rsid w:val="005F0ADD"/>
    <w:rsid w:val="005F12DE"/>
    <w:rsid w:val="005F131A"/>
    <w:rsid w:val="005F13C1"/>
    <w:rsid w:val="005F177D"/>
    <w:rsid w:val="005F195E"/>
    <w:rsid w:val="005F19C4"/>
    <w:rsid w:val="005F1D35"/>
    <w:rsid w:val="005F1EF8"/>
    <w:rsid w:val="005F2519"/>
    <w:rsid w:val="005F2530"/>
    <w:rsid w:val="005F4700"/>
    <w:rsid w:val="005F47C1"/>
    <w:rsid w:val="005F4DB4"/>
    <w:rsid w:val="005F4F90"/>
    <w:rsid w:val="005F54F9"/>
    <w:rsid w:val="005F57BD"/>
    <w:rsid w:val="005F6264"/>
    <w:rsid w:val="005F646D"/>
    <w:rsid w:val="005F67D5"/>
    <w:rsid w:val="005F6AD9"/>
    <w:rsid w:val="005F6CEA"/>
    <w:rsid w:val="005F77CB"/>
    <w:rsid w:val="00600307"/>
    <w:rsid w:val="00600EE9"/>
    <w:rsid w:val="00601999"/>
    <w:rsid w:val="006023B0"/>
    <w:rsid w:val="0060293D"/>
    <w:rsid w:val="006029CC"/>
    <w:rsid w:val="006039CE"/>
    <w:rsid w:val="00604456"/>
    <w:rsid w:val="006054E9"/>
    <w:rsid w:val="00605AB7"/>
    <w:rsid w:val="00605DF5"/>
    <w:rsid w:val="00605ED4"/>
    <w:rsid w:val="0061002A"/>
    <w:rsid w:val="00610299"/>
    <w:rsid w:val="006104D3"/>
    <w:rsid w:val="00610C61"/>
    <w:rsid w:val="00610DFB"/>
    <w:rsid w:val="00611405"/>
    <w:rsid w:val="0061173C"/>
    <w:rsid w:val="00611EEB"/>
    <w:rsid w:val="006121A7"/>
    <w:rsid w:val="00612B88"/>
    <w:rsid w:val="0061395E"/>
    <w:rsid w:val="006142CD"/>
    <w:rsid w:val="00614A1B"/>
    <w:rsid w:val="00614DA6"/>
    <w:rsid w:val="006151CD"/>
    <w:rsid w:val="0061545D"/>
    <w:rsid w:val="006154DA"/>
    <w:rsid w:val="006156B1"/>
    <w:rsid w:val="00615856"/>
    <w:rsid w:val="006162EF"/>
    <w:rsid w:val="00616CBF"/>
    <w:rsid w:val="00617BA7"/>
    <w:rsid w:val="00617BBE"/>
    <w:rsid w:val="00617DF0"/>
    <w:rsid w:val="00617FAA"/>
    <w:rsid w:val="00620330"/>
    <w:rsid w:val="006203A5"/>
    <w:rsid w:val="0062069D"/>
    <w:rsid w:val="00620BC7"/>
    <w:rsid w:val="006211A7"/>
    <w:rsid w:val="00621276"/>
    <w:rsid w:val="00621287"/>
    <w:rsid w:val="0062156A"/>
    <w:rsid w:val="00621695"/>
    <w:rsid w:val="00621C96"/>
    <w:rsid w:val="006226A9"/>
    <w:rsid w:val="00622983"/>
    <w:rsid w:val="00622B27"/>
    <w:rsid w:val="00622B30"/>
    <w:rsid w:val="0062331E"/>
    <w:rsid w:val="006234B9"/>
    <w:rsid w:val="00623653"/>
    <w:rsid w:val="0062384C"/>
    <w:rsid w:val="00624D71"/>
    <w:rsid w:val="00625490"/>
    <w:rsid w:val="00625658"/>
    <w:rsid w:val="00625BEC"/>
    <w:rsid w:val="00626078"/>
    <w:rsid w:val="00626312"/>
    <w:rsid w:val="00626516"/>
    <w:rsid w:val="00626634"/>
    <w:rsid w:val="00626C68"/>
    <w:rsid w:val="00626CC7"/>
    <w:rsid w:val="0062740B"/>
    <w:rsid w:val="00627712"/>
    <w:rsid w:val="006278FF"/>
    <w:rsid w:val="00627B0F"/>
    <w:rsid w:val="00630080"/>
    <w:rsid w:val="0063009A"/>
    <w:rsid w:val="006303D4"/>
    <w:rsid w:val="006307C3"/>
    <w:rsid w:val="006316B2"/>
    <w:rsid w:val="00631704"/>
    <w:rsid w:val="00633630"/>
    <w:rsid w:val="00634137"/>
    <w:rsid w:val="006342A1"/>
    <w:rsid w:val="006342E9"/>
    <w:rsid w:val="00634713"/>
    <w:rsid w:val="0063502D"/>
    <w:rsid w:val="00635183"/>
    <w:rsid w:val="00635222"/>
    <w:rsid w:val="006352C1"/>
    <w:rsid w:val="00635D72"/>
    <w:rsid w:val="0063609E"/>
    <w:rsid w:val="0063648F"/>
    <w:rsid w:val="00637015"/>
    <w:rsid w:val="00637164"/>
    <w:rsid w:val="00637556"/>
    <w:rsid w:val="00637827"/>
    <w:rsid w:val="006379AA"/>
    <w:rsid w:val="00637E9E"/>
    <w:rsid w:val="00637FDE"/>
    <w:rsid w:val="00640663"/>
    <w:rsid w:val="00640804"/>
    <w:rsid w:val="00640A22"/>
    <w:rsid w:val="0064199D"/>
    <w:rsid w:val="006419D6"/>
    <w:rsid w:val="00641C4B"/>
    <w:rsid w:val="00641C5A"/>
    <w:rsid w:val="00641D5C"/>
    <w:rsid w:val="00642C99"/>
    <w:rsid w:val="0064321D"/>
    <w:rsid w:val="00643630"/>
    <w:rsid w:val="00643A6F"/>
    <w:rsid w:val="0064422A"/>
    <w:rsid w:val="00644D4A"/>
    <w:rsid w:val="00646126"/>
    <w:rsid w:val="00646659"/>
    <w:rsid w:val="00646A0D"/>
    <w:rsid w:val="0064722D"/>
    <w:rsid w:val="00650278"/>
    <w:rsid w:val="006509A7"/>
    <w:rsid w:val="00650A5C"/>
    <w:rsid w:val="0065100C"/>
    <w:rsid w:val="006512FE"/>
    <w:rsid w:val="006514CC"/>
    <w:rsid w:val="00651940"/>
    <w:rsid w:val="00652832"/>
    <w:rsid w:val="00652C8A"/>
    <w:rsid w:val="00653E0C"/>
    <w:rsid w:val="006548D1"/>
    <w:rsid w:val="006549BA"/>
    <w:rsid w:val="00654B3C"/>
    <w:rsid w:val="0065545A"/>
    <w:rsid w:val="006557F2"/>
    <w:rsid w:val="00655BDF"/>
    <w:rsid w:val="006567D5"/>
    <w:rsid w:val="00656A1B"/>
    <w:rsid w:val="00656E17"/>
    <w:rsid w:val="00657085"/>
    <w:rsid w:val="006573FF"/>
    <w:rsid w:val="00660F15"/>
    <w:rsid w:val="006623C7"/>
    <w:rsid w:val="0066259D"/>
    <w:rsid w:val="00663261"/>
    <w:rsid w:val="00663BAD"/>
    <w:rsid w:val="00663DFF"/>
    <w:rsid w:val="00663FBA"/>
    <w:rsid w:val="00664EF2"/>
    <w:rsid w:val="00665BCC"/>
    <w:rsid w:val="00666063"/>
    <w:rsid w:val="00670BE6"/>
    <w:rsid w:val="00672C80"/>
    <w:rsid w:val="006739ED"/>
    <w:rsid w:val="00673C31"/>
    <w:rsid w:val="006743C9"/>
    <w:rsid w:val="006746AB"/>
    <w:rsid w:val="006750E1"/>
    <w:rsid w:val="006750FF"/>
    <w:rsid w:val="006755FD"/>
    <w:rsid w:val="00675D2B"/>
    <w:rsid w:val="00676248"/>
    <w:rsid w:val="006762C9"/>
    <w:rsid w:val="00676424"/>
    <w:rsid w:val="0067686E"/>
    <w:rsid w:val="006779BE"/>
    <w:rsid w:val="00677F18"/>
    <w:rsid w:val="00677F6B"/>
    <w:rsid w:val="00680AA7"/>
    <w:rsid w:val="00680B4B"/>
    <w:rsid w:val="00680D9A"/>
    <w:rsid w:val="00680FE1"/>
    <w:rsid w:val="00680FF8"/>
    <w:rsid w:val="006812A8"/>
    <w:rsid w:val="00681D0F"/>
    <w:rsid w:val="00681EE8"/>
    <w:rsid w:val="00682927"/>
    <w:rsid w:val="00682D60"/>
    <w:rsid w:val="00682F96"/>
    <w:rsid w:val="00684203"/>
    <w:rsid w:val="00684C64"/>
    <w:rsid w:val="00684E55"/>
    <w:rsid w:val="0068750A"/>
    <w:rsid w:val="006877A9"/>
    <w:rsid w:val="00687958"/>
    <w:rsid w:val="00687A9F"/>
    <w:rsid w:val="00690F37"/>
    <w:rsid w:val="00691E32"/>
    <w:rsid w:val="0069250A"/>
    <w:rsid w:val="00692557"/>
    <w:rsid w:val="00693223"/>
    <w:rsid w:val="006943EE"/>
    <w:rsid w:val="00694839"/>
    <w:rsid w:val="006953DE"/>
    <w:rsid w:val="00695C7F"/>
    <w:rsid w:val="006961C0"/>
    <w:rsid w:val="00696280"/>
    <w:rsid w:val="006967D1"/>
    <w:rsid w:val="00696B83"/>
    <w:rsid w:val="00697908"/>
    <w:rsid w:val="006A04C6"/>
    <w:rsid w:val="006A0BEB"/>
    <w:rsid w:val="006A134A"/>
    <w:rsid w:val="006A13F3"/>
    <w:rsid w:val="006A1CBD"/>
    <w:rsid w:val="006A22FD"/>
    <w:rsid w:val="006A2CE0"/>
    <w:rsid w:val="006A370E"/>
    <w:rsid w:val="006A3B3B"/>
    <w:rsid w:val="006A3B87"/>
    <w:rsid w:val="006A45D9"/>
    <w:rsid w:val="006A4646"/>
    <w:rsid w:val="006A5E99"/>
    <w:rsid w:val="006A62E3"/>
    <w:rsid w:val="006A681A"/>
    <w:rsid w:val="006A6914"/>
    <w:rsid w:val="006A7070"/>
    <w:rsid w:val="006A7BA3"/>
    <w:rsid w:val="006A7BB0"/>
    <w:rsid w:val="006A7ED5"/>
    <w:rsid w:val="006B0384"/>
    <w:rsid w:val="006B082A"/>
    <w:rsid w:val="006B0857"/>
    <w:rsid w:val="006B0936"/>
    <w:rsid w:val="006B0CD0"/>
    <w:rsid w:val="006B0EC8"/>
    <w:rsid w:val="006B0F50"/>
    <w:rsid w:val="006B182C"/>
    <w:rsid w:val="006B1BCC"/>
    <w:rsid w:val="006B2D44"/>
    <w:rsid w:val="006B32A2"/>
    <w:rsid w:val="006B3422"/>
    <w:rsid w:val="006B34B7"/>
    <w:rsid w:val="006B3A4A"/>
    <w:rsid w:val="006B3E67"/>
    <w:rsid w:val="006B40BA"/>
    <w:rsid w:val="006B474F"/>
    <w:rsid w:val="006B5309"/>
    <w:rsid w:val="006B5591"/>
    <w:rsid w:val="006B5F31"/>
    <w:rsid w:val="006B64FE"/>
    <w:rsid w:val="006B6562"/>
    <w:rsid w:val="006B70E4"/>
    <w:rsid w:val="006B7891"/>
    <w:rsid w:val="006C0312"/>
    <w:rsid w:val="006C1458"/>
    <w:rsid w:val="006C1D34"/>
    <w:rsid w:val="006C2057"/>
    <w:rsid w:val="006C2450"/>
    <w:rsid w:val="006C263A"/>
    <w:rsid w:val="006C2BA2"/>
    <w:rsid w:val="006C301E"/>
    <w:rsid w:val="006C3585"/>
    <w:rsid w:val="006C4168"/>
    <w:rsid w:val="006C4A50"/>
    <w:rsid w:val="006C4DF2"/>
    <w:rsid w:val="006C50CB"/>
    <w:rsid w:val="006C5914"/>
    <w:rsid w:val="006C59D7"/>
    <w:rsid w:val="006C72FE"/>
    <w:rsid w:val="006C7C60"/>
    <w:rsid w:val="006D04FC"/>
    <w:rsid w:val="006D0571"/>
    <w:rsid w:val="006D0ECA"/>
    <w:rsid w:val="006D1923"/>
    <w:rsid w:val="006D1FA1"/>
    <w:rsid w:val="006D2523"/>
    <w:rsid w:val="006D2BB2"/>
    <w:rsid w:val="006D2E77"/>
    <w:rsid w:val="006D410C"/>
    <w:rsid w:val="006D56B5"/>
    <w:rsid w:val="006D58B6"/>
    <w:rsid w:val="006D6130"/>
    <w:rsid w:val="006D6808"/>
    <w:rsid w:val="006D69BB"/>
    <w:rsid w:val="006D6B2A"/>
    <w:rsid w:val="006D736C"/>
    <w:rsid w:val="006D74CE"/>
    <w:rsid w:val="006E0102"/>
    <w:rsid w:val="006E0586"/>
    <w:rsid w:val="006E0ED6"/>
    <w:rsid w:val="006E10A4"/>
    <w:rsid w:val="006E1BAE"/>
    <w:rsid w:val="006E1FA9"/>
    <w:rsid w:val="006E2169"/>
    <w:rsid w:val="006E24B6"/>
    <w:rsid w:val="006E2E50"/>
    <w:rsid w:val="006E3093"/>
    <w:rsid w:val="006E31B3"/>
    <w:rsid w:val="006E3928"/>
    <w:rsid w:val="006E3D6E"/>
    <w:rsid w:val="006E47AB"/>
    <w:rsid w:val="006E47D2"/>
    <w:rsid w:val="006E4A61"/>
    <w:rsid w:val="006E4BAC"/>
    <w:rsid w:val="006E5EDB"/>
    <w:rsid w:val="006E6260"/>
    <w:rsid w:val="006E6576"/>
    <w:rsid w:val="006E69EF"/>
    <w:rsid w:val="006E6B02"/>
    <w:rsid w:val="006E6F7D"/>
    <w:rsid w:val="006E76CC"/>
    <w:rsid w:val="006E7D64"/>
    <w:rsid w:val="006F041A"/>
    <w:rsid w:val="006F0D80"/>
    <w:rsid w:val="006F2367"/>
    <w:rsid w:val="006F2792"/>
    <w:rsid w:val="006F2795"/>
    <w:rsid w:val="006F41F4"/>
    <w:rsid w:val="006F50D7"/>
    <w:rsid w:val="006F5487"/>
    <w:rsid w:val="006F590B"/>
    <w:rsid w:val="006F7068"/>
    <w:rsid w:val="006F70AE"/>
    <w:rsid w:val="006F767E"/>
    <w:rsid w:val="006F7E97"/>
    <w:rsid w:val="00700A61"/>
    <w:rsid w:val="007012E4"/>
    <w:rsid w:val="007016D0"/>
    <w:rsid w:val="00701A09"/>
    <w:rsid w:val="007027C6"/>
    <w:rsid w:val="00702A42"/>
    <w:rsid w:val="00702FB0"/>
    <w:rsid w:val="007030F6"/>
    <w:rsid w:val="0070376B"/>
    <w:rsid w:val="007044C0"/>
    <w:rsid w:val="0070464B"/>
    <w:rsid w:val="007048A8"/>
    <w:rsid w:val="007048B0"/>
    <w:rsid w:val="007048EB"/>
    <w:rsid w:val="007055B6"/>
    <w:rsid w:val="007060C5"/>
    <w:rsid w:val="007061E4"/>
    <w:rsid w:val="007066E5"/>
    <w:rsid w:val="00706A95"/>
    <w:rsid w:val="00706B65"/>
    <w:rsid w:val="00706F77"/>
    <w:rsid w:val="00707137"/>
    <w:rsid w:val="00707E36"/>
    <w:rsid w:val="00707E9D"/>
    <w:rsid w:val="00707EEE"/>
    <w:rsid w:val="00711C9B"/>
    <w:rsid w:val="00712340"/>
    <w:rsid w:val="00712519"/>
    <w:rsid w:val="007126A4"/>
    <w:rsid w:val="00713013"/>
    <w:rsid w:val="007135BC"/>
    <w:rsid w:val="007139BB"/>
    <w:rsid w:val="00713A90"/>
    <w:rsid w:val="00713C3D"/>
    <w:rsid w:val="00713D67"/>
    <w:rsid w:val="00713D8B"/>
    <w:rsid w:val="00713DD6"/>
    <w:rsid w:val="00713E5E"/>
    <w:rsid w:val="00714C79"/>
    <w:rsid w:val="00714D66"/>
    <w:rsid w:val="00714EA5"/>
    <w:rsid w:val="00715060"/>
    <w:rsid w:val="00715101"/>
    <w:rsid w:val="00715717"/>
    <w:rsid w:val="007158C4"/>
    <w:rsid w:val="00715AAF"/>
    <w:rsid w:val="00715C2F"/>
    <w:rsid w:val="0071793A"/>
    <w:rsid w:val="00717BB1"/>
    <w:rsid w:val="00717DBB"/>
    <w:rsid w:val="00720454"/>
    <w:rsid w:val="00720B85"/>
    <w:rsid w:val="00721EDA"/>
    <w:rsid w:val="00722071"/>
    <w:rsid w:val="00722094"/>
    <w:rsid w:val="00722A6E"/>
    <w:rsid w:val="00722FB0"/>
    <w:rsid w:val="00723794"/>
    <w:rsid w:val="007237DD"/>
    <w:rsid w:val="00723AEE"/>
    <w:rsid w:val="00723C92"/>
    <w:rsid w:val="00724052"/>
    <w:rsid w:val="00724ABD"/>
    <w:rsid w:val="00724BFE"/>
    <w:rsid w:val="00724D5C"/>
    <w:rsid w:val="00724E8A"/>
    <w:rsid w:val="00725532"/>
    <w:rsid w:val="007255BB"/>
    <w:rsid w:val="00725C8B"/>
    <w:rsid w:val="0072606E"/>
    <w:rsid w:val="0072677E"/>
    <w:rsid w:val="00726AC3"/>
    <w:rsid w:val="00727CEA"/>
    <w:rsid w:val="00727FAA"/>
    <w:rsid w:val="0073069B"/>
    <w:rsid w:val="00730D61"/>
    <w:rsid w:val="00730E11"/>
    <w:rsid w:val="00731038"/>
    <w:rsid w:val="00731542"/>
    <w:rsid w:val="007317E2"/>
    <w:rsid w:val="00731921"/>
    <w:rsid w:val="0073223E"/>
    <w:rsid w:val="00732884"/>
    <w:rsid w:val="00732BC5"/>
    <w:rsid w:val="00733728"/>
    <w:rsid w:val="00733E72"/>
    <w:rsid w:val="0073454B"/>
    <w:rsid w:val="007347AE"/>
    <w:rsid w:val="00735AB1"/>
    <w:rsid w:val="00735B14"/>
    <w:rsid w:val="00735C78"/>
    <w:rsid w:val="00736281"/>
    <w:rsid w:val="007362E1"/>
    <w:rsid w:val="00736331"/>
    <w:rsid w:val="00736C9B"/>
    <w:rsid w:val="00737001"/>
    <w:rsid w:val="0073765D"/>
    <w:rsid w:val="00737AB9"/>
    <w:rsid w:val="00737D2D"/>
    <w:rsid w:val="00737EEF"/>
    <w:rsid w:val="00740CAF"/>
    <w:rsid w:val="00741B20"/>
    <w:rsid w:val="00742010"/>
    <w:rsid w:val="00742647"/>
    <w:rsid w:val="00742AD1"/>
    <w:rsid w:val="00742B09"/>
    <w:rsid w:val="0074362C"/>
    <w:rsid w:val="00743C3F"/>
    <w:rsid w:val="00743CAB"/>
    <w:rsid w:val="00745108"/>
    <w:rsid w:val="00745BF3"/>
    <w:rsid w:val="0074619D"/>
    <w:rsid w:val="007471CC"/>
    <w:rsid w:val="0074725E"/>
    <w:rsid w:val="00750277"/>
    <w:rsid w:val="007508CE"/>
    <w:rsid w:val="00750ED0"/>
    <w:rsid w:val="00751848"/>
    <w:rsid w:val="007519FA"/>
    <w:rsid w:val="00751CBE"/>
    <w:rsid w:val="00752343"/>
    <w:rsid w:val="00752AEC"/>
    <w:rsid w:val="00752BEA"/>
    <w:rsid w:val="00752C43"/>
    <w:rsid w:val="007530BC"/>
    <w:rsid w:val="0075387F"/>
    <w:rsid w:val="00753AAC"/>
    <w:rsid w:val="00753BE6"/>
    <w:rsid w:val="00753C90"/>
    <w:rsid w:val="00754E17"/>
    <w:rsid w:val="00756846"/>
    <w:rsid w:val="00756852"/>
    <w:rsid w:val="00757740"/>
    <w:rsid w:val="007578D0"/>
    <w:rsid w:val="0076008B"/>
    <w:rsid w:val="007606FC"/>
    <w:rsid w:val="00760813"/>
    <w:rsid w:val="007617CB"/>
    <w:rsid w:val="00761B49"/>
    <w:rsid w:val="00761B83"/>
    <w:rsid w:val="007624B7"/>
    <w:rsid w:val="00762524"/>
    <w:rsid w:val="00762628"/>
    <w:rsid w:val="0076397B"/>
    <w:rsid w:val="0076471B"/>
    <w:rsid w:val="00764BE2"/>
    <w:rsid w:val="00765089"/>
    <w:rsid w:val="00765665"/>
    <w:rsid w:val="0076587A"/>
    <w:rsid w:val="00765C52"/>
    <w:rsid w:val="00765D0E"/>
    <w:rsid w:val="00766624"/>
    <w:rsid w:val="00766AEA"/>
    <w:rsid w:val="007675DC"/>
    <w:rsid w:val="00767F9E"/>
    <w:rsid w:val="00770CC7"/>
    <w:rsid w:val="00770E44"/>
    <w:rsid w:val="00771053"/>
    <w:rsid w:val="00771EEB"/>
    <w:rsid w:val="00772550"/>
    <w:rsid w:val="00772E94"/>
    <w:rsid w:val="00772FA3"/>
    <w:rsid w:val="00773331"/>
    <w:rsid w:val="00773473"/>
    <w:rsid w:val="0077355E"/>
    <w:rsid w:val="007737D4"/>
    <w:rsid w:val="00773D16"/>
    <w:rsid w:val="00774547"/>
    <w:rsid w:val="007749C9"/>
    <w:rsid w:val="00774F06"/>
    <w:rsid w:val="00775D44"/>
    <w:rsid w:val="00776210"/>
    <w:rsid w:val="007762F9"/>
    <w:rsid w:val="00776CD4"/>
    <w:rsid w:val="00777059"/>
    <w:rsid w:val="0077737D"/>
    <w:rsid w:val="00777422"/>
    <w:rsid w:val="007804D9"/>
    <w:rsid w:val="007807AA"/>
    <w:rsid w:val="00780F41"/>
    <w:rsid w:val="00780F45"/>
    <w:rsid w:val="007827FF"/>
    <w:rsid w:val="00782F8C"/>
    <w:rsid w:val="00783755"/>
    <w:rsid w:val="00783F6C"/>
    <w:rsid w:val="0078545D"/>
    <w:rsid w:val="00785DB9"/>
    <w:rsid w:val="00786732"/>
    <w:rsid w:val="007868BF"/>
    <w:rsid w:val="0078775A"/>
    <w:rsid w:val="00787D03"/>
    <w:rsid w:val="0079025D"/>
    <w:rsid w:val="007903B1"/>
    <w:rsid w:val="00791C77"/>
    <w:rsid w:val="0079296A"/>
    <w:rsid w:val="007932EF"/>
    <w:rsid w:val="0079398D"/>
    <w:rsid w:val="0079405E"/>
    <w:rsid w:val="007945EA"/>
    <w:rsid w:val="00794710"/>
    <w:rsid w:val="007950F3"/>
    <w:rsid w:val="00795F5C"/>
    <w:rsid w:val="0079641F"/>
    <w:rsid w:val="00796440"/>
    <w:rsid w:val="007970DA"/>
    <w:rsid w:val="007974E6"/>
    <w:rsid w:val="007979FB"/>
    <w:rsid w:val="00797C85"/>
    <w:rsid w:val="00797D7A"/>
    <w:rsid w:val="00797DD3"/>
    <w:rsid w:val="007A0899"/>
    <w:rsid w:val="007A0BA3"/>
    <w:rsid w:val="007A15BB"/>
    <w:rsid w:val="007A175B"/>
    <w:rsid w:val="007A2158"/>
    <w:rsid w:val="007A229A"/>
    <w:rsid w:val="007A2B48"/>
    <w:rsid w:val="007A352E"/>
    <w:rsid w:val="007A385E"/>
    <w:rsid w:val="007A395B"/>
    <w:rsid w:val="007A3D36"/>
    <w:rsid w:val="007A43DA"/>
    <w:rsid w:val="007A50C5"/>
    <w:rsid w:val="007A54A4"/>
    <w:rsid w:val="007A5721"/>
    <w:rsid w:val="007A60F5"/>
    <w:rsid w:val="007A6507"/>
    <w:rsid w:val="007A66C3"/>
    <w:rsid w:val="007A74AD"/>
    <w:rsid w:val="007A76F2"/>
    <w:rsid w:val="007B00FA"/>
    <w:rsid w:val="007B08C8"/>
    <w:rsid w:val="007B0B43"/>
    <w:rsid w:val="007B0FF1"/>
    <w:rsid w:val="007B13E8"/>
    <w:rsid w:val="007B271D"/>
    <w:rsid w:val="007B2C78"/>
    <w:rsid w:val="007B30B5"/>
    <w:rsid w:val="007B3D63"/>
    <w:rsid w:val="007B40AA"/>
    <w:rsid w:val="007B4F8C"/>
    <w:rsid w:val="007B5D1F"/>
    <w:rsid w:val="007B5F02"/>
    <w:rsid w:val="007B6259"/>
    <w:rsid w:val="007B6BD9"/>
    <w:rsid w:val="007B7075"/>
    <w:rsid w:val="007B7511"/>
    <w:rsid w:val="007B75A7"/>
    <w:rsid w:val="007C0285"/>
    <w:rsid w:val="007C0572"/>
    <w:rsid w:val="007C1227"/>
    <w:rsid w:val="007C1A01"/>
    <w:rsid w:val="007C1F20"/>
    <w:rsid w:val="007C2084"/>
    <w:rsid w:val="007C23C8"/>
    <w:rsid w:val="007C25B2"/>
    <w:rsid w:val="007C295A"/>
    <w:rsid w:val="007C33E4"/>
    <w:rsid w:val="007C394B"/>
    <w:rsid w:val="007C3B67"/>
    <w:rsid w:val="007C4359"/>
    <w:rsid w:val="007C4F54"/>
    <w:rsid w:val="007C5662"/>
    <w:rsid w:val="007C73A1"/>
    <w:rsid w:val="007D0427"/>
    <w:rsid w:val="007D0D28"/>
    <w:rsid w:val="007D0F4F"/>
    <w:rsid w:val="007D12E7"/>
    <w:rsid w:val="007D1757"/>
    <w:rsid w:val="007D29EC"/>
    <w:rsid w:val="007D2B98"/>
    <w:rsid w:val="007D2D5C"/>
    <w:rsid w:val="007D3B42"/>
    <w:rsid w:val="007D3C28"/>
    <w:rsid w:val="007D4C1B"/>
    <w:rsid w:val="007D5B1E"/>
    <w:rsid w:val="007D5D1F"/>
    <w:rsid w:val="007D6918"/>
    <w:rsid w:val="007D695D"/>
    <w:rsid w:val="007D726B"/>
    <w:rsid w:val="007D7292"/>
    <w:rsid w:val="007D7508"/>
    <w:rsid w:val="007E05B0"/>
    <w:rsid w:val="007E0951"/>
    <w:rsid w:val="007E1767"/>
    <w:rsid w:val="007E1884"/>
    <w:rsid w:val="007E25FD"/>
    <w:rsid w:val="007E2A07"/>
    <w:rsid w:val="007E315A"/>
    <w:rsid w:val="007E3413"/>
    <w:rsid w:val="007E3B59"/>
    <w:rsid w:val="007E421B"/>
    <w:rsid w:val="007E4F6E"/>
    <w:rsid w:val="007E56BC"/>
    <w:rsid w:val="007E5B68"/>
    <w:rsid w:val="007E6C93"/>
    <w:rsid w:val="007E72A5"/>
    <w:rsid w:val="007E7C79"/>
    <w:rsid w:val="007E7EAA"/>
    <w:rsid w:val="007F04A3"/>
    <w:rsid w:val="007F0608"/>
    <w:rsid w:val="007F0D28"/>
    <w:rsid w:val="007F0ECF"/>
    <w:rsid w:val="007F1CA3"/>
    <w:rsid w:val="007F2456"/>
    <w:rsid w:val="007F26CA"/>
    <w:rsid w:val="007F2A53"/>
    <w:rsid w:val="007F2B62"/>
    <w:rsid w:val="007F307F"/>
    <w:rsid w:val="007F3767"/>
    <w:rsid w:val="007F376C"/>
    <w:rsid w:val="007F3DF3"/>
    <w:rsid w:val="007F3FAC"/>
    <w:rsid w:val="007F4973"/>
    <w:rsid w:val="007F53A4"/>
    <w:rsid w:val="007F5835"/>
    <w:rsid w:val="007F5A07"/>
    <w:rsid w:val="007F5A2F"/>
    <w:rsid w:val="007F5BFE"/>
    <w:rsid w:val="007F5EE6"/>
    <w:rsid w:val="007F63DB"/>
    <w:rsid w:val="007F67A5"/>
    <w:rsid w:val="007F7946"/>
    <w:rsid w:val="00800416"/>
    <w:rsid w:val="008004AC"/>
    <w:rsid w:val="0080064C"/>
    <w:rsid w:val="00800853"/>
    <w:rsid w:val="00800A68"/>
    <w:rsid w:val="00800CEE"/>
    <w:rsid w:val="00801413"/>
    <w:rsid w:val="008014C8"/>
    <w:rsid w:val="00801EAA"/>
    <w:rsid w:val="00802DE6"/>
    <w:rsid w:val="0080354B"/>
    <w:rsid w:val="008036BE"/>
    <w:rsid w:val="00803F69"/>
    <w:rsid w:val="008048DB"/>
    <w:rsid w:val="00804AE8"/>
    <w:rsid w:val="00804B58"/>
    <w:rsid w:val="0080552D"/>
    <w:rsid w:val="00805BE4"/>
    <w:rsid w:val="00805E7A"/>
    <w:rsid w:val="00806154"/>
    <w:rsid w:val="008065C4"/>
    <w:rsid w:val="00807122"/>
    <w:rsid w:val="0080731A"/>
    <w:rsid w:val="00807E68"/>
    <w:rsid w:val="00810C42"/>
    <w:rsid w:val="00810F73"/>
    <w:rsid w:val="00811153"/>
    <w:rsid w:val="00811564"/>
    <w:rsid w:val="0081192E"/>
    <w:rsid w:val="00811A61"/>
    <w:rsid w:val="00812FAB"/>
    <w:rsid w:val="008140E3"/>
    <w:rsid w:val="00814167"/>
    <w:rsid w:val="008147CB"/>
    <w:rsid w:val="0081499A"/>
    <w:rsid w:val="00814C8E"/>
    <w:rsid w:val="00814F29"/>
    <w:rsid w:val="0081531C"/>
    <w:rsid w:val="00815CE6"/>
    <w:rsid w:val="00816072"/>
    <w:rsid w:val="00816323"/>
    <w:rsid w:val="0081694B"/>
    <w:rsid w:val="00816A4A"/>
    <w:rsid w:val="00816C38"/>
    <w:rsid w:val="008171F9"/>
    <w:rsid w:val="0081767A"/>
    <w:rsid w:val="00817810"/>
    <w:rsid w:val="00820118"/>
    <w:rsid w:val="00820251"/>
    <w:rsid w:val="00820877"/>
    <w:rsid w:val="00820BF4"/>
    <w:rsid w:val="008215BB"/>
    <w:rsid w:val="00821F76"/>
    <w:rsid w:val="00822B4B"/>
    <w:rsid w:val="00822E25"/>
    <w:rsid w:val="008231C9"/>
    <w:rsid w:val="008234A1"/>
    <w:rsid w:val="00823E84"/>
    <w:rsid w:val="008248AA"/>
    <w:rsid w:val="00825979"/>
    <w:rsid w:val="00826286"/>
    <w:rsid w:val="00826641"/>
    <w:rsid w:val="00826E1F"/>
    <w:rsid w:val="00827C01"/>
    <w:rsid w:val="00830A72"/>
    <w:rsid w:val="008313EB"/>
    <w:rsid w:val="0083169E"/>
    <w:rsid w:val="0083179B"/>
    <w:rsid w:val="0083204F"/>
    <w:rsid w:val="0083313C"/>
    <w:rsid w:val="0083338E"/>
    <w:rsid w:val="00833617"/>
    <w:rsid w:val="00833887"/>
    <w:rsid w:val="00833DC8"/>
    <w:rsid w:val="008341C9"/>
    <w:rsid w:val="0083584A"/>
    <w:rsid w:val="00835927"/>
    <w:rsid w:val="00835E7C"/>
    <w:rsid w:val="00837195"/>
    <w:rsid w:val="008401CD"/>
    <w:rsid w:val="0084062C"/>
    <w:rsid w:val="00840DB1"/>
    <w:rsid w:val="00841573"/>
    <w:rsid w:val="00841C42"/>
    <w:rsid w:val="008420FE"/>
    <w:rsid w:val="00842113"/>
    <w:rsid w:val="008423B8"/>
    <w:rsid w:val="00842773"/>
    <w:rsid w:val="0084281A"/>
    <w:rsid w:val="00842BB3"/>
    <w:rsid w:val="008430DB"/>
    <w:rsid w:val="00843175"/>
    <w:rsid w:val="008433D7"/>
    <w:rsid w:val="008437E2"/>
    <w:rsid w:val="00843E4F"/>
    <w:rsid w:val="0084462A"/>
    <w:rsid w:val="0084489D"/>
    <w:rsid w:val="00844B47"/>
    <w:rsid w:val="00845742"/>
    <w:rsid w:val="00846910"/>
    <w:rsid w:val="00846BE6"/>
    <w:rsid w:val="00846D0F"/>
    <w:rsid w:val="00847142"/>
    <w:rsid w:val="0084716C"/>
    <w:rsid w:val="008473DE"/>
    <w:rsid w:val="0084788C"/>
    <w:rsid w:val="00847C27"/>
    <w:rsid w:val="0085001C"/>
    <w:rsid w:val="008508C2"/>
    <w:rsid w:val="00850A39"/>
    <w:rsid w:val="008510CA"/>
    <w:rsid w:val="00851441"/>
    <w:rsid w:val="00851BCC"/>
    <w:rsid w:val="0085228C"/>
    <w:rsid w:val="00852DB6"/>
    <w:rsid w:val="00853519"/>
    <w:rsid w:val="0085377D"/>
    <w:rsid w:val="00854454"/>
    <w:rsid w:val="00854F2D"/>
    <w:rsid w:val="0085504D"/>
    <w:rsid w:val="008560BE"/>
    <w:rsid w:val="00856942"/>
    <w:rsid w:val="00856BE7"/>
    <w:rsid w:val="0085732D"/>
    <w:rsid w:val="00857B08"/>
    <w:rsid w:val="008600F7"/>
    <w:rsid w:val="0086167B"/>
    <w:rsid w:val="00862723"/>
    <w:rsid w:val="00862963"/>
    <w:rsid w:val="00863D63"/>
    <w:rsid w:val="00863DAD"/>
    <w:rsid w:val="0086497D"/>
    <w:rsid w:val="00864AAC"/>
    <w:rsid w:val="00864B71"/>
    <w:rsid w:val="00864DAF"/>
    <w:rsid w:val="00865C6D"/>
    <w:rsid w:val="00866180"/>
    <w:rsid w:val="00866D74"/>
    <w:rsid w:val="00867759"/>
    <w:rsid w:val="00867C9E"/>
    <w:rsid w:val="00867D78"/>
    <w:rsid w:val="0087151B"/>
    <w:rsid w:val="0087166D"/>
    <w:rsid w:val="008722A2"/>
    <w:rsid w:val="00872B47"/>
    <w:rsid w:val="008730F1"/>
    <w:rsid w:val="00873525"/>
    <w:rsid w:val="00873702"/>
    <w:rsid w:val="00873CFD"/>
    <w:rsid w:val="00874A36"/>
    <w:rsid w:val="00874D22"/>
    <w:rsid w:val="00874DAF"/>
    <w:rsid w:val="00874DEB"/>
    <w:rsid w:val="00875761"/>
    <w:rsid w:val="00876610"/>
    <w:rsid w:val="00880DE1"/>
    <w:rsid w:val="008812E7"/>
    <w:rsid w:val="0088289D"/>
    <w:rsid w:val="008829F0"/>
    <w:rsid w:val="008830CE"/>
    <w:rsid w:val="008837B6"/>
    <w:rsid w:val="00884D6B"/>
    <w:rsid w:val="0088674C"/>
    <w:rsid w:val="00886F42"/>
    <w:rsid w:val="008870F7"/>
    <w:rsid w:val="0088747F"/>
    <w:rsid w:val="0088768B"/>
    <w:rsid w:val="00887797"/>
    <w:rsid w:val="00887AF3"/>
    <w:rsid w:val="008905E1"/>
    <w:rsid w:val="008906A6"/>
    <w:rsid w:val="00890A76"/>
    <w:rsid w:val="00890BC4"/>
    <w:rsid w:val="0089180A"/>
    <w:rsid w:val="00892200"/>
    <w:rsid w:val="00893203"/>
    <w:rsid w:val="00894455"/>
    <w:rsid w:val="008957C0"/>
    <w:rsid w:val="00896072"/>
    <w:rsid w:val="0089639D"/>
    <w:rsid w:val="00896DB6"/>
    <w:rsid w:val="008976D6"/>
    <w:rsid w:val="008A0118"/>
    <w:rsid w:val="008A0438"/>
    <w:rsid w:val="008A0AF9"/>
    <w:rsid w:val="008A0B80"/>
    <w:rsid w:val="008A1E29"/>
    <w:rsid w:val="008A26F7"/>
    <w:rsid w:val="008A2914"/>
    <w:rsid w:val="008A2A6E"/>
    <w:rsid w:val="008A3136"/>
    <w:rsid w:val="008A3FB7"/>
    <w:rsid w:val="008A45B8"/>
    <w:rsid w:val="008A58E0"/>
    <w:rsid w:val="008A5B30"/>
    <w:rsid w:val="008A5DB3"/>
    <w:rsid w:val="008A6165"/>
    <w:rsid w:val="008A647F"/>
    <w:rsid w:val="008A767C"/>
    <w:rsid w:val="008A7A74"/>
    <w:rsid w:val="008A7BA9"/>
    <w:rsid w:val="008A7D1B"/>
    <w:rsid w:val="008B00CA"/>
    <w:rsid w:val="008B0894"/>
    <w:rsid w:val="008B154F"/>
    <w:rsid w:val="008B1A2C"/>
    <w:rsid w:val="008B2137"/>
    <w:rsid w:val="008B2365"/>
    <w:rsid w:val="008B30B8"/>
    <w:rsid w:val="008B3C99"/>
    <w:rsid w:val="008B3F66"/>
    <w:rsid w:val="008B4C23"/>
    <w:rsid w:val="008B541F"/>
    <w:rsid w:val="008B58A8"/>
    <w:rsid w:val="008B5AAF"/>
    <w:rsid w:val="008B5D30"/>
    <w:rsid w:val="008B5E60"/>
    <w:rsid w:val="008B6C12"/>
    <w:rsid w:val="008B71ED"/>
    <w:rsid w:val="008C1328"/>
    <w:rsid w:val="008C35AD"/>
    <w:rsid w:val="008C44DE"/>
    <w:rsid w:val="008C573F"/>
    <w:rsid w:val="008C69D0"/>
    <w:rsid w:val="008C69D8"/>
    <w:rsid w:val="008C7189"/>
    <w:rsid w:val="008C72E4"/>
    <w:rsid w:val="008C768E"/>
    <w:rsid w:val="008C7A6F"/>
    <w:rsid w:val="008D0104"/>
    <w:rsid w:val="008D1CF6"/>
    <w:rsid w:val="008D274B"/>
    <w:rsid w:val="008D2E34"/>
    <w:rsid w:val="008D3E93"/>
    <w:rsid w:val="008D4526"/>
    <w:rsid w:val="008D45E9"/>
    <w:rsid w:val="008D49ED"/>
    <w:rsid w:val="008D6D16"/>
    <w:rsid w:val="008D6E3B"/>
    <w:rsid w:val="008D7098"/>
    <w:rsid w:val="008D7982"/>
    <w:rsid w:val="008D79A9"/>
    <w:rsid w:val="008D7A11"/>
    <w:rsid w:val="008D7B3E"/>
    <w:rsid w:val="008D7EF7"/>
    <w:rsid w:val="008D7F5A"/>
    <w:rsid w:val="008E095F"/>
    <w:rsid w:val="008E0A0C"/>
    <w:rsid w:val="008E17A7"/>
    <w:rsid w:val="008E19C0"/>
    <w:rsid w:val="008E1AFB"/>
    <w:rsid w:val="008E30E2"/>
    <w:rsid w:val="008E383B"/>
    <w:rsid w:val="008E3A13"/>
    <w:rsid w:val="008E3B8F"/>
    <w:rsid w:val="008E42A6"/>
    <w:rsid w:val="008E4931"/>
    <w:rsid w:val="008E49C5"/>
    <w:rsid w:val="008E4BF2"/>
    <w:rsid w:val="008E4C59"/>
    <w:rsid w:val="008E4D8E"/>
    <w:rsid w:val="008E5059"/>
    <w:rsid w:val="008E50C3"/>
    <w:rsid w:val="008E50CC"/>
    <w:rsid w:val="008E57A8"/>
    <w:rsid w:val="008E58A0"/>
    <w:rsid w:val="008E59C1"/>
    <w:rsid w:val="008E6C90"/>
    <w:rsid w:val="008E6FB9"/>
    <w:rsid w:val="008E7573"/>
    <w:rsid w:val="008E7816"/>
    <w:rsid w:val="008E7BDD"/>
    <w:rsid w:val="008E7D2E"/>
    <w:rsid w:val="008F02F1"/>
    <w:rsid w:val="008F0412"/>
    <w:rsid w:val="008F0647"/>
    <w:rsid w:val="008F0F1A"/>
    <w:rsid w:val="008F15FB"/>
    <w:rsid w:val="008F1AB9"/>
    <w:rsid w:val="008F1C16"/>
    <w:rsid w:val="008F2846"/>
    <w:rsid w:val="008F2C8D"/>
    <w:rsid w:val="008F2CB2"/>
    <w:rsid w:val="008F36BA"/>
    <w:rsid w:val="008F37B4"/>
    <w:rsid w:val="008F5F96"/>
    <w:rsid w:val="008F67EE"/>
    <w:rsid w:val="008F6F96"/>
    <w:rsid w:val="008F775A"/>
    <w:rsid w:val="008F7EDE"/>
    <w:rsid w:val="00900DAB"/>
    <w:rsid w:val="009013E6"/>
    <w:rsid w:val="00901DE5"/>
    <w:rsid w:val="009022DA"/>
    <w:rsid w:val="009024DE"/>
    <w:rsid w:val="00902B5A"/>
    <w:rsid w:val="0090333D"/>
    <w:rsid w:val="00903FA9"/>
    <w:rsid w:val="009042D3"/>
    <w:rsid w:val="00904AEC"/>
    <w:rsid w:val="0090630F"/>
    <w:rsid w:val="009071EE"/>
    <w:rsid w:val="00907A1B"/>
    <w:rsid w:val="00907ED7"/>
    <w:rsid w:val="00910129"/>
    <w:rsid w:val="00910CB4"/>
    <w:rsid w:val="00911237"/>
    <w:rsid w:val="00911359"/>
    <w:rsid w:val="00911D1B"/>
    <w:rsid w:val="00912AFA"/>
    <w:rsid w:val="00913C8B"/>
    <w:rsid w:val="009141D9"/>
    <w:rsid w:val="009143C8"/>
    <w:rsid w:val="00914946"/>
    <w:rsid w:val="009150ED"/>
    <w:rsid w:val="009154E7"/>
    <w:rsid w:val="00915804"/>
    <w:rsid w:val="009159DA"/>
    <w:rsid w:val="00915AF9"/>
    <w:rsid w:val="009168FF"/>
    <w:rsid w:val="00916C54"/>
    <w:rsid w:val="00917591"/>
    <w:rsid w:val="00917AAD"/>
    <w:rsid w:val="00917F28"/>
    <w:rsid w:val="00920307"/>
    <w:rsid w:val="009203E5"/>
    <w:rsid w:val="00920706"/>
    <w:rsid w:val="009213A4"/>
    <w:rsid w:val="009218EA"/>
    <w:rsid w:val="00921C44"/>
    <w:rsid w:val="00921EE3"/>
    <w:rsid w:val="00922215"/>
    <w:rsid w:val="00922233"/>
    <w:rsid w:val="00922549"/>
    <w:rsid w:val="00922598"/>
    <w:rsid w:val="00922972"/>
    <w:rsid w:val="009235B0"/>
    <w:rsid w:val="00923B40"/>
    <w:rsid w:val="00923DC0"/>
    <w:rsid w:val="00923F7B"/>
    <w:rsid w:val="009241E7"/>
    <w:rsid w:val="0092424C"/>
    <w:rsid w:val="00924AED"/>
    <w:rsid w:val="00924C83"/>
    <w:rsid w:val="00926002"/>
    <w:rsid w:val="00926389"/>
    <w:rsid w:val="009264E1"/>
    <w:rsid w:val="00926544"/>
    <w:rsid w:val="00926F25"/>
    <w:rsid w:val="00927275"/>
    <w:rsid w:val="009274AA"/>
    <w:rsid w:val="009276EF"/>
    <w:rsid w:val="00927BE0"/>
    <w:rsid w:val="00930016"/>
    <w:rsid w:val="00931614"/>
    <w:rsid w:val="009318E5"/>
    <w:rsid w:val="00931E63"/>
    <w:rsid w:val="00932064"/>
    <w:rsid w:val="00932351"/>
    <w:rsid w:val="00932734"/>
    <w:rsid w:val="00933697"/>
    <w:rsid w:val="009338FD"/>
    <w:rsid w:val="00933BA0"/>
    <w:rsid w:val="009341C4"/>
    <w:rsid w:val="0093453D"/>
    <w:rsid w:val="00934FD9"/>
    <w:rsid w:val="0093572A"/>
    <w:rsid w:val="009358E6"/>
    <w:rsid w:val="0093649A"/>
    <w:rsid w:val="009367EE"/>
    <w:rsid w:val="00937265"/>
    <w:rsid w:val="00937F77"/>
    <w:rsid w:val="009402B6"/>
    <w:rsid w:val="009402D5"/>
    <w:rsid w:val="00940ACE"/>
    <w:rsid w:val="00940D4F"/>
    <w:rsid w:val="0094160D"/>
    <w:rsid w:val="0094217C"/>
    <w:rsid w:val="009428AF"/>
    <w:rsid w:val="00942BA4"/>
    <w:rsid w:val="00943D26"/>
    <w:rsid w:val="00945845"/>
    <w:rsid w:val="00945B69"/>
    <w:rsid w:val="00945CCE"/>
    <w:rsid w:val="00946071"/>
    <w:rsid w:val="00946A18"/>
    <w:rsid w:val="00946B2C"/>
    <w:rsid w:val="00947347"/>
    <w:rsid w:val="0095051C"/>
    <w:rsid w:val="0095070C"/>
    <w:rsid w:val="0095178F"/>
    <w:rsid w:val="00951C5F"/>
    <w:rsid w:val="0095237B"/>
    <w:rsid w:val="0095299B"/>
    <w:rsid w:val="00953CE8"/>
    <w:rsid w:val="00954283"/>
    <w:rsid w:val="00954DD1"/>
    <w:rsid w:val="00954E3F"/>
    <w:rsid w:val="00955261"/>
    <w:rsid w:val="00955A15"/>
    <w:rsid w:val="00955CE5"/>
    <w:rsid w:val="00956273"/>
    <w:rsid w:val="00957A4B"/>
    <w:rsid w:val="00957B66"/>
    <w:rsid w:val="00960440"/>
    <w:rsid w:val="0096050F"/>
    <w:rsid w:val="00960787"/>
    <w:rsid w:val="00960A8B"/>
    <w:rsid w:val="009615B8"/>
    <w:rsid w:val="00961AEF"/>
    <w:rsid w:val="00961C01"/>
    <w:rsid w:val="00961F58"/>
    <w:rsid w:val="00962193"/>
    <w:rsid w:val="00962404"/>
    <w:rsid w:val="00962C76"/>
    <w:rsid w:val="00963045"/>
    <w:rsid w:val="0096318E"/>
    <w:rsid w:val="00963827"/>
    <w:rsid w:val="00963A3E"/>
    <w:rsid w:val="00963C71"/>
    <w:rsid w:val="00963DC3"/>
    <w:rsid w:val="0096469C"/>
    <w:rsid w:val="00964BB9"/>
    <w:rsid w:val="009655A2"/>
    <w:rsid w:val="009661EE"/>
    <w:rsid w:val="0096685E"/>
    <w:rsid w:val="009669D2"/>
    <w:rsid w:val="00966AC0"/>
    <w:rsid w:val="00967B46"/>
    <w:rsid w:val="00967C69"/>
    <w:rsid w:val="009701EA"/>
    <w:rsid w:val="0097129A"/>
    <w:rsid w:val="00971C41"/>
    <w:rsid w:val="00972B59"/>
    <w:rsid w:val="009731D3"/>
    <w:rsid w:val="009734E9"/>
    <w:rsid w:val="0097398D"/>
    <w:rsid w:val="00973CBA"/>
    <w:rsid w:val="009748DF"/>
    <w:rsid w:val="00974AC3"/>
    <w:rsid w:val="0097601D"/>
    <w:rsid w:val="009764D2"/>
    <w:rsid w:val="009765F5"/>
    <w:rsid w:val="009769D6"/>
    <w:rsid w:val="00976D57"/>
    <w:rsid w:val="00977AF6"/>
    <w:rsid w:val="00977C57"/>
    <w:rsid w:val="009803B8"/>
    <w:rsid w:val="00980958"/>
    <w:rsid w:val="00980B27"/>
    <w:rsid w:val="00980BE1"/>
    <w:rsid w:val="00980DC5"/>
    <w:rsid w:val="009813B6"/>
    <w:rsid w:val="00981425"/>
    <w:rsid w:val="00982184"/>
    <w:rsid w:val="009823FB"/>
    <w:rsid w:val="0098287B"/>
    <w:rsid w:val="00983504"/>
    <w:rsid w:val="00983C23"/>
    <w:rsid w:val="00983D44"/>
    <w:rsid w:val="00983D5D"/>
    <w:rsid w:val="0098413E"/>
    <w:rsid w:val="00984302"/>
    <w:rsid w:val="009849E1"/>
    <w:rsid w:val="00984D10"/>
    <w:rsid w:val="0098525A"/>
    <w:rsid w:val="00985969"/>
    <w:rsid w:val="00985D4A"/>
    <w:rsid w:val="009861D4"/>
    <w:rsid w:val="00986E46"/>
    <w:rsid w:val="00987257"/>
    <w:rsid w:val="00987344"/>
    <w:rsid w:val="00987561"/>
    <w:rsid w:val="009877A8"/>
    <w:rsid w:val="00987AA5"/>
    <w:rsid w:val="00990970"/>
    <w:rsid w:val="0099112D"/>
    <w:rsid w:val="009920AA"/>
    <w:rsid w:val="00993871"/>
    <w:rsid w:val="0099398D"/>
    <w:rsid w:val="00993C56"/>
    <w:rsid w:val="009948F1"/>
    <w:rsid w:val="00994C46"/>
    <w:rsid w:val="00994E99"/>
    <w:rsid w:val="00995471"/>
    <w:rsid w:val="00996199"/>
    <w:rsid w:val="009965AD"/>
    <w:rsid w:val="00997AE2"/>
    <w:rsid w:val="00997C3F"/>
    <w:rsid w:val="00997C7E"/>
    <w:rsid w:val="00997CA2"/>
    <w:rsid w:val="009A0798"/>
    <w:rsid w:val="009A0DEE"/>
    <w:rsid w:val="009A1816"/>
    <w:rsid w:val="009A19EA"/>
    <w:rsid w:val="009A219A"/>
    <w:rsid w:val="009A2AA8"/>
    <w:rsid w:val="009A2BEE"/>
    <w:rsid w:val="009A31DA"/>
    <w:rsid w:val="009A3411"/>
    <w:rsid w:val="009A3D63"/>
    <w:rsid w:val="009A3E60"/>
    <w:rsid w:val="009A4780"/>
    <w:rsid w:val="009A578E"/>
    <w:rsid w:val="009A6372"/>
    <w:rsid w:val="009A6F36"/>
    <w:rsid w:val="009A78FD"/>
    <w:rsid w:val="009B09D7"/>
    <w:rsid w:val="009B0C50"/>
    <w:rsid w:val="009B0E28"/>
    <w:rsid w:val="009B0E55"/>
    <w:rsid w:val="009B170E"/>
    <w:rsid w:val="009B2213"/>
    <w:rsid w:val="009B23DA"/>
    <w:rsid w:val="009B259F"/>
    <w:rsid w:val="009B35B0"/>
    <w:rsid w:val="009B372E"/>
    <w:rsid w:val="009B3E24"/>
    <w:rsid w:val="009B423F"/>
    <w:rsid w:val="009B43DF"/>
    <w:rsid w:val="009B4F93"/>
    <w:rsid w:val="009B4FC7"/>
    <w:rsid w:val="009B529B"/>
    <w:rsid w:val="009B5737"/>
    <w:rsid w:val="009B5A6D"/>
    <w:rsid w:val="009B5D81"/>
    <w:rsid w:val="009B6A26"/>
    <w:rsid w:val="009B72F0"/>
    <w:rsid w:val="009B7434"/>
    <w:rsid w:val="009B7C0A"/>
    <w:rsid w:val="009C04EA"/>
    <w:rsid w:val="009C1398"/>
    <w:rsid w:val="009C19B5"/>
    <w:rsid w:val="009C2287"/>
    <w:rsid w:val="009C22EC"/>
    <w:rsid w:val="009C260D"/>
    <w:rsid w:val="009C279A"/>
    <w:rsid w:val="009C2962"/>
    <w:rsid w:val="009C2ABA"/>
    <w:rsid w:val="009C2B78"/>
    <w:rsid w:val="009C2B84"/>
    <w:rsid w:val="009C329A"/>
    <w:rsid w:val="009C3BEA"/>
    <w:rsid w:val="009C4E68"/>
    <w:rsid w:val="009C5979"/>
    <w:rsid w:val="009C5FA8"/>
    <w:rsid w:val="009C62B0"/>
    <w:rsid w:val="009C65A6"/>
    <w:rsid w:val="009C7B2E"/>
    <w:rsid w:val="009D0482"/>
    <w:rsid w:val="009D06A9"/>
    <w:rsid w:val="009D0A43"/>
    <w:rsid w:val="009D1209"/>
    <w:rsid w:val="009D12AA"/>
    <w:rsid w:val="009D20B3"/>
    <w:rsid w:val="009D22B8"/>
    <w:rsid w:val="009D2711"/>
    <w:rsid w:val="009D3718"/>
    <w:rsid w:val="009D3A2D"/>
    <w:rsid w:val="009D41E4"/>
    <w:rsid w:val="009D443B"/>
    <w:rsid w:val="009D50D4"/>
    <w:rsid w:val="009D620C"/>
    <w:rsid w:val="009D65B5"/>
    <w:rsid w:val="009D6A7A"/>
    <w:rsid w:val="009D6A7F"/>
    <w:rsid w:val="009D6F98"/>
    <w:rsid w:val="009D7378"/>
    <w:rsid w:val="009D75B1"/>
    <w:rsid w:val="009D7758"/>
    <w:rsid w:val="009E1474"/>
    <w:rsid w:val="009E148A"/>
    <w:rsid w:val="009E1580"/>
    <w:rsid w:val="009E1A7E"/>
    <w:rsid w:val="009E1F70"/>
    <w:rsid w:val="009E35FD"/>
    <w:rsid w:val="009E5E3C"/>
    <w:rsid w:val="009E752B"/>
    <w:rsid w:val="009E7B20"/>
    <w:rsid w:val="009E7BD3"/>
    <w:rsid w:val="009F028D"/>
    <w:rsid w:val="009F0781"/>
    <w:rsid w:val="009F0B59"/>
    <w:rsid w:val="009F11A6"/>
    <w:rsid w:val="009F1EA0"/>
    <w:rsid w:val="009F1FD1"/>
    <w:rsid w:val="009F206E"/>
    <w:rsid w:val="009F21E4"/>
    <w:rsid w:val="009F23C4"/>
    <w:rsid w:val="009F2F2C"/>
    <w:rsid w:val="009F322A"/>
    <w:rsid w:val="009F3662"/>
    <w:rsid w:val="009F37CF"/>
    <w:rsid w:val="009F3865"/>
    <w:rsid w:val="009F51D3"/>
    <w:rsid w:val="009F5208"/>
    <w:rsid w:val="009F55E1"/>
    <w:rsid w:val="009F55FE"/>
    <w:rsid w:val="009F64CC"/>
    <w:rsid w:val="009F6F54"/>
    <w:rsid w:val="009F74CB"/>
    <w:rsid w:val="009F7BE8"/>
    <w:rsid w:val="009F7CC6"/>
    <w:rsid w:val="009F7ED0"/>
    <w:rsid w:val="00A010FF"/>
    <w:rsid w:val="00A02616"/>
    <w:rsid w:val="00A02948"/>
    <w:rsid w:val="00A02A43"/>
    <w:rsid w:val="00A02C8F"/>
    <w:rsid w:val="00A02E01"/>
    <w:rsid w:val="00A03293"/>
    <w:rsid w:val="00A03C87"/>
    <w:rsid w:val="00A044B0"/>
    <w:rsid w:val="00A04611"/>
    <w:rsid w:val="00A047CE"/>
    <w:rsid w:val="00A04D5E"/>
    <w:rsid w:val="00A051BD"/>
    <w:rsid w:val="00A05379"/>
    <w:rsid w:val="00A058A6"/>
    <w:rsid w:val="00A05958"/>
    <w:rsid w:val="00A05ACF"/>
    <w:rsid w:val="00A05CAE"/>
    <w:rsid w:val="00A05CD4"/>
    <w:rsid w:val="00A05D5B"/>
    <w:rsid w:val="00A0619B"/>
    <w:rsid w:val="00A068D2"/>
    <w:rsid w:val="00A078F1"/>
    <w:rsid w:val="00A1015C"/>
    <w:rsid w:val="00A10D2D"/>
    <w:rsid w:val="00A1154B"/>
    <w:rsid w:val="00A11C94"/>
    <w:rsid w:val="00A11E14"/>
    <w:rsid w:val="00A11E40"/>
    <w:rsid w:val="00A12EE6"/>
    <w:rsid w:val="00A1349A"/>
    <w:rsid w:val="00A137A6"/>
    <w:rsid w:val="00A13E43"/>
    <w:rsid w:val="00A146B3"/>
    <w:rsid w:val="00A1498A"/>
    <w:rsid w:val="00A15137"/>
    <w:rsid w:val="00A15981"/>
    <w:rsid w:val="00A1691A"/>
    <w:rsid w:val="00A16F6E"/>
    <w:rsid w:val="00A170CB"/>
    <w:rsid w:val="00A20873"/>
    <w:rsid w:val="00A20920"/>
    <w:rsid w:val="00A22162"/>
    <w:rsid w:val="00A224F1"/>
    <w:rsid w:val="00A22BA7"/>
    <w:rsid w:val="00A22DC6"/>
    <w:rsid w:val="00A232AE"/>
    <w:rsid w:val="00A2361B"/>
    <w:rsid w:val="00A23621"/>
    <w:rsid w:val="00A2392A"/>
    <w:rsid w:val="00A23B0C"/>
    <w:rsid w:val="00A23B4D"/>
    <w:rsid w:val="00A24CDD"/>
    <w:rsid w:val="00A24ED7"/>
    <w:rsid w:val="00A27431"/>
    <w:rsid w:val="00A276C3"/>
    <w:rsid w:val="00A27761"/>
    <w:rsid w:val="00A310BF"/>
    <w:rsid w:val="00A31A60"/>
    <w:rsid w:val="00A31C40"/>
    <w:rsid w:val="00A31FC0"/>
    <w:rsid w:val="00A328FA"/>
    <w:rsid w:val="00A32CC8"/>
    <w:rsid w:val="00A32E83"/>
    <w:rsid w:val="00A32F0D"/>
    <w:rsid w:val="00A32F89"/>
    <w:rsid w:val="00A33528"/>
    <w:rsid w:val="00A33BD1"/>
    <w:rsid w:val="00A34420"/>
    <w:rsid w:val="00A34C8F"/>
    <w:rsid w:val="00A354CE"/>
    <w:rsid w:val="00A35613"/>
    <w:rsid w:val="00A35868"/>
    <w:rsid w:val="00A35F5A"/>
    <w:rsid w:val="00A36321"/>
    <w:rsid w:val="00A36787"/>
    <w:rsid w:val="00A37351"/>
    <w:rsid w:val="00A375C7"/>
    <w:rsid w:val="00A37600"/>
    <w:rsid w:val="00A37C33"/>
    <w:rsid w:val="00A37EEA"/>
    <w:rsid w:val="00A409E8"/>
    <w:rsid w:val="00A4196E"/>
    <w:rsid w:val="00A420E5"/>
    <w:rsid w:val="00A42419"/>
    <w:rsid w:val="00A42426"/>
    <w:rsid w:val="00A42584"/>
    <w:rsid w:val="00A42AD3"/>
    <w:rsid w:val="00A42AED"/>
    <w:rsid w:val="00A43C26"/>
    <w:rsid w:val="00A453E8"/>
    <w:rsid w:val="00A46404"/>
    <w:rsid w:val="00A46E11"/>
    <w:rsid w:val="00A47CE2"/>
    <w:rsid w:val="00A50084"/>
    <w:rsid w:val="00A506C6"/>
    <w:rsid w:val="00A507E5"/>
    <w:rsid w:val="00A508BF"/>
    <w:rsid w:val="00A5095C"/>
    <w:rsid w:val="00A511FD"/>
    <w:rsid w:val="00A51307"/>
    <w:rsid w:val="00A5167C"/>
    <w:rsid w:val="00A51C89"/>
    <w:rsid w:val="00A525E4"/>
    <w:rsid w:val="00A52623"/>
    <w:rsid w:val="00A52C38"/>
    <w:rsid w:val="00A52F4A"/>
    <w:rsid w:val="00A532FE"/>
    <w:rsid w:val="00A536BA"/>
    <w:rsid w:val="00A538FB"/>
    <w:rsid w:val="00A539B4"/>
    <w:rsid w:val="00A56B74"/>
    <w:rsid w:val="00A57805"/>
    <w:rsid w:val="00A578C3"/>
    <w:rsid w:val="00A619C9"/>
    <w:rsid w:val="00A619F8"/>
    <w:rsid w:val="00A61D33"/>
    <w:rsid w:val="00A61F5E"/>
    <w:rsid w:val="00A62029"/>
    <w:rsid w:val="00A6209B"/>
    <w:rsid w:val="00A62815"/>
    <w:rsid w:val="00A62925"/>
    <w:rsid w:val="00A63334"/>
    <w:rsid w:val="00A63B9F"/>
    <w:rsid w:val="00A63C6D"/>
    <w:rsid w:val="00A64411"/>
    <w:rsid w:val="00A64489"/>
    <w:rsid w:val="00A64920"/>
    <w:rsid w:val="00A64C9E"/>
    <w:rsid w:val="00A65B1A"/>
    <w:rsid w:val="00A65E44"/>
    <w:rsid w:val="00A66070"/>
    <w:rsid w:val="00A674AB"/>
    <w:rsid w:val="00A67853"/>
    <w:rsid w:val="00A679E1"/>
    <w:rsid w:val="00A713F5"/>
    <w:rsid w:val="00A714EA"/>
    <w:rsid w:val="00A72621"/>
    <w:rsid w:val="00A72CCA"/>
    <w:rsid w:val="00A72FCC"/>
    <w:rsid w:val="00A74185"/>
    <w:rsid w:val="00A74C4A"/>
    <w:rsid w:val="00A750F6"/>
    <w:rsid w:val="00A759D5"/>
    <w:rsid w:val="00A76131"/>
    <w:rsid w:val="00A7676F"/>
    <w:rsid w:val="00A76835"/>
    <w:rsid w:val="00A7696F"/>
    <w:rsid w:val="00A7787E"/>
    <w:rsid w:val="00A778C0"/>
    <w:rsid w:val="00A77B38"/>
    <w:rsid w:val="00A77FC7"/>
    <w:rsid w:val="00A80CD7"/>
    <w:rsid w:val="00A81A9F"/>
    <w:rsid w:val="00A8226D"/>
    <w:rsid w:val="00A825D0"/>
    <w:rsid w:val="00A8385C"/>
    <w:rsid w:val="00A842D9"/>
    <w:rsid w:val="00A8433C"/>
    <w:rsid w:val="00A84758"/>
    <w:rsid w:val="00A84B79"/>
    <w:rsid w:val="00A84FDC"/>
    <w:rsid w:val="00A85AF8"/>
    <w:rsid w:val="00A86982"/>
    <w:rsid w:val="00A86D2D"/>
    <w:rsid w:val="00A877B4"/>
    <w:rsid w:val="00A9039D"/>
    <w:rsid w:val="00A904B2"/>
    <w:rsid w:val="00A90985"/>
    <w:rsid w:val="00A90A2B"/>
    <w:rsid w:val="00A91B0F"/>
    <w:rsid w:val="00A92721"/>
    <w:rsid w:val="00A927C3"/>
    <w:rsid w:val="00A92CEC"/>
    <w:rsid w:val="00A92DC9"/>
    <w:rsid w:val="00A946B0"/>
    <w:rsid w:val="00A949AC"/>
    <w:rsid w:val="00A973EC"/>
    <w:rsid w:val="00A97534"/>
    <w:rsid w:val="00A9758B"/>
    <w:rsid w:val="00AA047F"/>
    <w:rsid w:val="00AA098A"/>
    <w:rsid w:val="00AA103D"/>
    <w:rsid w:val="00AA177D"/>
    <w:rsid w:val="00AA1805"/>
    <w:rsid w:val="00AA19C9"/>
    <w:rsid w:val="00AA2790"/>
    <w:rsid w:val="00AA2DC8"/>
    <w:rsid w:val="00AA2F54"/>
    <w:rsid w:val="00AA2F61"/>
    <w:rsid w:val="00AA33C8"/>
    <w:rsid w:val="00AA3CED"/>
    <w:rsid w:val="00AA4369"/>
    <w:rsid w:val="00AA4386"/>
    <w:rsid w:val="00AA4AD0"/>
    <w:rsid w:val="00AA5564"/>
    <w:rsid w:val="00AA6675"/>
    <w:rsid w:val="00AA715E"/>
    <w:rsid w:val="00AB039C"/>
    <w:rsid w:val="00AB0A62"/>
    <w:rsid w:val="00AB11AB"/>
    <w:rsid w:val="00AB2450"/>
    <w:rsid w:val="00AB2872"/>
    <w:rsid w:val="00AB30BB"/>
    <w:rsid w:val="00AB3C59"/>
    <w:rsid w:val="00AB3CD2"/>
    <w:rsid w:val="00AB3F50"/>
    <w:rsid w:val="00AB4620"/>
    <w:rsid w:val="00AB47DE"/>
    <w:rsid w:val="00AB4C19"/>
    <w:rsid w:val="00AB4E63"/>
    <w:rsid w:val="00AB5CC7"/>
    <w:rsid w:val="00AB61B2"/>
    <w:rsid w:val="00AB6641"/>
    <w:rsid w:val="00AB6FAC"/>
    <w:rsid w:val="00AB701B"/>
    <w:rsid w:val="00AB798E"/>
    <w:rsid w:val="00AB7BDD"/>
    <w:rsid w:val="00AC001D"/>
    <w:rsid w:val="00AC0875"/>
    <w:rsid w:val="00AC1278"/>
    <w:rsid w:val="00AC173F"/>
    <w:rsid w:val="00AC1B56"/>
    <w:rsid w:val="00AC37D7"/>
    <w:rsid w:val="00AC3E98"/>
    <w:rsid w:val="00AC4C4F"/>
    <w:rsid w:val="00AC555B"/>
    <w:rsid w:val="00AC5BC9"/>
    <w:rsid w:val="00AC625D"/>
    <w:rsid w:val="00AC6764"/>
    <w:rsid w:val="00AC6D14"/>
    <w:rsid w:val="00AC7770"/>
    <w:rsid w:val="00AC7851"/>
    <w:rsid w:val="00AD0826"/>
    <w:rsid w:val="00AD1710"/>
    <w:rsid w:val="00AD19A1"/>
    <w:rsid w:val="00AD1FB3"/>
    <w:rsid w:val="00AD225F"/>
    <w:rsid w:val="00AD29F2"/>
    <w:rsid w:val="00AD2B06"/>
    <w:rsid w:val="00AD359B"/>
    <w:rsid w:val="00AD3947"/>
    <w:rsid w:val="00AD44FD"/>
    <w:rsid w:val="00AD485E"/>
    <w:rsid w:val="00AD5044"/>
    <w:rsid w:val="00AD5341"/>
    <w:rsid w:val="00AD550D"/>
    <w:rsid w:val="00AD5516"/>
    <w:rsid w:val="00AD5A49"/>
    <w:rsid w:val="00AD5D50"/>
    <w:rsid w:val="00AD67E6"/>
    <w:rsid w:val="00AD6941"/>
    <w:rsid w:val="00AD6FE9"/>
    <w:rsid w:val="00AD7933"/>
    <w:rsid w:val="00AD79F3"/>
    <w:rsid w:val="00AD7BB1"/>
    <w:rsid w:val="00AE08BB"/>
    <w:rsid w:val="00AE0F8C"/>
    <w:rsid w:val="00AE112D"/>
    <w:rsid w:val="00AE11F0"/>
    <w:rsid w:val="00AE1932"/>
    <w:rsid w:val="00AE19F7"/>
    <w:rsid w:val="00AE1BFE"/>
    <w:rsid w:val="00AE1C00"/>
    <w:rsid w:val="00AE1C5A"/>
    <w:rsid w:val="00AE1E3A"/>
    <w:rsid w:val="00AE2167"/>
    <w:rsid w:val="00AE37F7"/>
    <w:rsid w:val="00AE3A68"/>
    <w:rsid w:val="00AE3A9D"/>
    <w:rsid w:val="00AE4055"/>
    <w:rsid w:val="00AE41F8"/>
    <w:rsid w:val="00AE50BF"/>
    <w:rsid w:val="00AE5241"/>
    <w:rsid w:val="00AE5379"/>
    <w:rsid w:val="00AE5E31"/>
    <w:rsid w:val="00AE69E6"/>
    <w:rsid w:val="00AE79B3"/>
    <w:rsid w:val="00AF0E69"/>
    <w:rsid w:val="00AF19DC"/>
    <w:rsid w:val="00AF1E08"/>
    <w:rsid w:val="00AF218B"/>
    <w:rsid w:val="00AF2CC4"/>
    <w:rsid w:val="00AF2F14"/>
    <w:rsid w:val="00AF34EB"/>
    <w:rsid w:val="00AF37AA"/>
    <w:rsid w:val="00AF4587"/>
    <w:rsid w:val="00AF4C20"/>
    <w:rsid w:val="00AF4F69"/>
    <w:rsid w:val="00AF50C5"/>
    <w:rsid w:val="00AF51A5"/>
    <w:rsid w:val="00AF554F"/>
    <w:rsid w:val="00AF5A62"/>
    <w:rsid w:val="00AF5CA5"/>
    <w:rsid w:val="00AF5DCE"/>
    <w:rsid w:val="00AF5ED1"/>
    <w:rsid w:val="00AF6CB5"/>
    <w:rsid w:val="00AF6CE9"/>
    <w:rsid w:val="00B00542"/>
    <w:rsid w:val="00B00827"/>
    <w:rsid w:val="00B0118F"/>
    <w:rsid w:val="00B01241"/>
    <w:rsid w:val="00B01775"/>
    <w:rsid w:val="00B02195"/>
    <w:rsid w:val="00B02975"/>
    <w:rsid w:val="00B0368A"/>
    <w:rsid w:val="00B04831"/>
    <w:rsid w:val="00B05026"/>
    <w:rsid w:val="00B059AC"/>
    <w:rsid w:val="00B06032"/>
    <w:rsid w:val="00B06C2D"/>
    <w:rsid w:val="00B077A8"/>
    <w:rsid w:val="00B07910"/>
    <w:rsid w:val="00B1009B"/>
    <w:rsid w:val="00B1035B"/>
    <w:rsid w:val="00B10937"/>
    <w:rsid w:val="00B10A62"/>
    <w:rsid w:val="00B10C02"/>
    <w:rsid w:val="00B11727"/>
    <w:rsid w:val="00B11917"/>
    <w:rsid w:val="00B12B51"/>
    <w:rsid w:val="00B13153"/>
    <w:rsid w:val="00B134BF"/>
    <w:rsid w:val="00B13945"/>
    <w:rsid w:val="00B1470E"/>
    <w:rsid w:val="00B14D86"/>
    <w:rsid w:val="00B15096"/>
    <w:rsid w:val="00B162C2"/>
    <w:rsid w:val="00B16896"/>
    <w:rsid w:val="00B1747D"/>
    <w:rsid w:val="00B20092"/>
    <w:rsid w:val="00B20638"/>
    <w:rsid w:val="00B20B74"/>
    <w:rsid w:val="00B20C8D"/>
    <w:rsid w:val="00B21BDF"/>
    <w:rsid w:val="00B21E34"/>
    <w:rsid w:val="00B21E43"/>
    <w:rsid w:val="00B21EED"/>
    <w:rsid w:val="00B223AB"/>
    <w:rsid w:val="00B23063"/>
    <w:rsid w:val="00B2430C"/>
    <w:rsid w:val="00B24331"/>
    <w:rsid w:val="00B24B50"/>
    <w:rsid w:val="00B251D7"/>
    <w:rsid w:val="00B253A3"/>
    <w:rsid w:val="00B262CB"/>
    <w:rsid w:val="00B26447"/>
    <w:rsid w:val="00B26941"/>
    <w:rsid w:val="00B26B59"/>
    <w:rsid w:val="00B26F85"/>
    <w:rsid w:val="00B27E21"/>
    <w:rsid w:val="00B308FF"/>
    <w:rsid w:val="00B30AD8"/>
    <w:rsid w:val="00B30BC3"/>
    <w:rsid w:val="00B30BF7"/>
    <w:rsid w:val="00B30CB9"/>
    <w:rsid w:val="00B30F94"/>
    <w:rsid w:val="00B31548"/>
    <w:rsid w:val="00B31937"/>
    <w:rsid w:val="00B3198C"/>
    <w:rsid w:val="00B322C1"/>
    <w:rsid w:val="00B325CA"/>
    <w:rsid w:val="00B32729"/>
    <w:rsid w:val="00B32CED"/>
    <w:rsid w:val="00B332CA"/>
    <w:rsid w:val="00B33843"/>
    <w:rsid w:val="00B33AEB"/>
    <w:rsid w:val="00B33F82"/>
    <w:rsid w:val="00B35924"/>
    <w:rsid w:val="00B35FF7"/>
    <w:rsid w:val="00B36006"/>
    <w:rsid w:val="00B3725E"/>
    <w:rsid w:val="00B37835"/>
    <w:rsid w:val="00B406A1"/>
    <w:rsid w:val="00B406C5"/>
    <w:rsid w:val="00B407F0"/>
    <w:rsid w:val="00B416DF"/>
    <w:rsid w:val="00B417F9"/>
    <w:rsid w:val="00B41BFA"/>
    <w:rsid w:val="00B4262C"/>
    <w:rsid w:val="00B427C9"/>
    <w:rsid w:val="00B43677"/>
    <w:rsid w:val="00B43D82"/>
    <w:rsid w:val="00B44073"/>
    <w:rsid w:val="00B44468"/>
    <w:rsid w:val="00B44EDC"/>
    <w:rsid w:val="00B4537F"/>
    <w:rsid w:val="00B45503"/>
    <w:rsid w:val="00B462F5"/>
    <w:rsid w:val="00B466F4"/>
    <w:rsid w:val="00B46E4C"/>
    <w:rsid w:val="00B46F02"/>
    <w:rsid w:val="00B471D3"/>
    <w:rsid w:val="00B474FC"/>
    <w:rsid w:val="00B503B8"/>
    <w:rsid w:val="00B504BF"/>
    <w:rsid w:val="00B5114F"/>
    <w:rsid w:val="00B511D8"/>
    <w:rsid w:val="00B51FD2"/>
    <w:rsid w:val="00B523AC"/>
    <w:rsid w:val="00B523F6"/>
    <w:rsid w:val="00B52C45"/>
    <w:rsid w:val="00B5337B"/>
    <w:rsid w:val="00B5373C"/>
    <w:rsid w:val="00B53F72"/>
    <w:rsid w:val="00B5560A"/>
    <w:rsid w:val="00B55635"/>
    <w:rsid w:val="00B5659D"/>
    <w:rsid w:val="00B5688C"/>
    <w:rsid w:val="00B56F47"/>
    <w:rsid w:val="00B56FA1"/>
    <w:rsid w:val="00B5767A"/>
    <w:rsid w:val="00B576D7"/>
    <w:rsid w:val="00B57C8A"/>
    <w:rsid w:val="00B6217A"/>
    <w:rsid w:val="00B62C99"/>
    <w:rsid w:val="00B62CC3"/>
    <w:rsid w:val="00B62E42"/>
    <w:rsid w:val="00B635E4"/>
    <w:rsid w:val="00B63BD9"/>
    <w:rsid w:val="00B64378"/>
    <w:rsid w:val="00B65187"/>
    <w:rsid w:val="00B6562A"/>
    <w:rsid w:val="00B65807"/>
    <w:rsid w:val="00B65AE1"/>
    <w:rsid w:val="00B65B80"/>
    <w:rsid w:val="00B65ED4"/>
    <w:rsid w:val="00B66A30"/>
    <w:rsid w:val="00B66CC8"/>
    <w:rsid w:val="00B67E37"/>
    <w:rsid w:val="00B704E9"/>
    <w:rsid w:val="00B70A66"/>
    <w:rsid w:val="00B7166D"/>
    <w:rsid w:val="00B71862"/>
    <w:rsid w:val="00B71934"/>
    <w:rsid w:val="00B71F5A"/>
    <w:rsid w:val="00B72324"/>
    <w:rsid w:val="00B72C35"/>
    <w:rsid w:val="00B72D3E"/>
    <w:rsid w:val="00B72D62"/>
    <w:rsid w:val="00B72FCD"/>
    <w:rsid w:val="00B735E8"/>
    <w:rsid w:val="00B73A8C"/>
    <w:rsid w:val="00B73DED"/>
    <w:rsid w:val="00B73E40"/>
    <w:rsid w:val="00B74715"/>
    <w:rsid w:val="00B75C62"/>
    <w:rsid w:val="00B769E4"/>
    <w:rsid w:val="00B769EF"/>
    <w:rsid w:val="00B77FAD"/>
    <w:rsid w:val="00B81CB0"/>
    <w:rsid w:val="00B82837"/>
    <w:rsid w:val="00B833C3"/>
    <w:rsid w:val="00B83A49"/>
    <w:rsid w:val="00B83CDD"/>
    <w:rsid w:val="00B850EA"/>
    <w:rsid w:val="00B85BF5"/>
    <w:rsid w:val="00B86132"/>
    <w:rsid w:val="00B86206"/>
    <w:rsid w:val="00B86515"/>
    <w:rsid w:val="00B86B56"/>
    <w:rsid w:val="00B87DC2"/>
    <w:rsid w:val="00B904B8"/>
    <w:rsid w:val="00B91174"/>
    <w:rsid w:val="00B91672"/>
    <w:rsid w:val="00B91783"/>
    <w:rsid w:val="00B91795"/>
    <w:rsid w:val="00B924DA"/>
    <w:rsid w:val="00B93020"/>
    <w:rsid w:val="00B936CC"/>
    <w:rsid w:val="00B93A7C"/>
    <w:rsid w:val="00B93CBB"/>
    <w:rsid w:val="00B94846"/>
    <w:rsid w:val="00B94A46"/>
    <w:rsid w:val="00B95774"/>
    <w:rsid w:val="00B95C9D"/>
    <w:rsid w:val="00B967BB"/>
    <w:rsid w:val="00B97A5C"/>
    <w:rsid w:val="00BA0001"/>
    <w:rsid w:val="00BA0788"/>
    <w:rsid w:val="00BA1212"/>
    <w:rsid w:val="00BA2855"/>
    <w:rsid w:val="00BA28A2"/>
    <w:rsid w:val="00BA47FB"/>
    <w:rsid w:val="00BA4A51"/>
    <w:rsid w:val="00BA4D7A"/>
    <w:rsid w:val="00BA52AF"/>
    <w:rsid w:val="00BA5F7E"/>
    <w:rsid w:val="00BA65E3"/>
    <w:rsid w:val="00BA6932"/>
    <w:rsid w:val="00BA6CAC"/>
    <w:rsid w:val="00BA6FF7"/>
    <w:rsid w:val="00BA7A17"/>
    <w:rsid w:val="00BB0259"/>
    <w:rsid w:val="00BB0BA5"/>
    <w:rsid w:val="00BB0EF6"/>
    <w:rsid w:val="00BB16AF"/>
    <w:rsid w:val="00BB1DBE"/>
    <w:rsid w:val="00BB1FF5"/>
    <w:rsid w:val="00BB3D53"/>
    <w:rsid w:val="00BB4F34"/>
    <w:rsid w:val="00BB5E64"/>
    <w:rsid w:val="00BB655A"/>
    <w:rsid w:val="00BB752D"/>
    <w:rsid w:val="00BC0847"/>
    <w:rsid w:val="00BC0954"/>
    <w:rsid w:val="00BC0AE5"/>
    <w:rsid w:val="00BC25E2"/>
    <w:rsid w:val="00BC3124"/>
    <w:rsid w:val="00BC39D1"/>
    <w:rsid w:val="00BC3D2C"/>
    <w:rsid w:val="00BC3D96"/>
    <w:rsid w:val="00BC4E24"/>
    <w:rsid w:val="00BC506C"/>
    <w:rsid w:val="00BC5479"/>
    <w:rsid w:val="00BC599D"/>
    <w:rsid w:val="00BC5B82"/>
    <w:rsid w:val="00BC5F62"/>
    <w:rsid w:val="00BC6087"/>
    <w:rsid w:val="00BC6764"/>
    <w:rsid w:val="00BC6B5D"/>
    <w:rsid w:val="00BC6CD7"/>
    <w:rsid w:val="00BC7E24"/>
    <w:rsid w:val="00BD0020"/>
    <w:rsid w:val="00BD0044"/>
    <w:rsid w:val="00BD0253"/>
    <w:rsid w:val="00BD06F4"/>
    <w:rsid w:val="00BD1B6D"/>
    <w:rsid w:val="00BD261A"/>
    <w:rsid w:val="00BD315D"/>
    <w:rsid w:val="00BD455B"/>
    <w:rsid w:val="00BD51BB"/>
    <w:rsid w:val="00BD5647"/>
    <w:rsid w:val="00BD61A2"/>
    <w:rsid w:val="00BD61F8"/>
    <w:rsid w:val="00BD6880"/>
    <w:rsid w:val="00BD6960"/>
    <w:rsid w:val="00BD77EF"/>
    <w:rsid w:val="00BD7F1A"/>
    <w:rsid w:val="00BE01A2"/>
    <w:rsid w:val="00BE04EB"/>
    <w:rsid w:val="00BE0AC1"/>
    <w:rsid w:val="00BE0B9B"/>
    <w:rsid w:val="00BE15BA"/>
    <w:rsid w:val="00BE1760"/>
    <w:rsid w:val="00BE19CD"/>
    <w:rsid w:val="00BE2111"/>
    <w:rsid w:val="00BE299B"/>
    <w:rsid w:val="00BE2F26"/>
    <w:rsid w:val="00BE40A2"/>
    <w:rsid w:val="00BE44B8"/>
    <w:rsid w:val="00BE469C"/>
    <w:rsid w:val="00BE483E"/>
    <w:rsid w:val="00BE53E0"/>
    <w:rsid w:val="00BE6AC9"/>
    <w:rsid w:val="00BE6D1E"/>
    <w:rsid w:val="00BE7A8E"/>
    <w:rsid w:val="00BE7D27"/>
    <w:rsid w:val="00BE7F7C"/>
    <w:rsid w:val="00BF03BC"/>
    <w:rsid w:val="00BF14FD"/>
    <w:rsid w:val="00BF1FC1"/>
    <w:rsid w:val="00BF26ED"/>
    <w:rsid w:val="00BF2AED"/>
    <w:rsid w:val="00BF318B"/>
    <w:rsid w:val="00BF46AC"/>
    <w:rsid w:val="00BF49E1"/>
    <w:rsid w:val="00BF4DEE"/>
    <w:rsid w:val="00BF4E11"/>
    <w:rsid w:val="00BF508E"/>
    <w:rsid w:val="00BF5735"/>
    <w:rsid w:val="00BF5ABB"/>
    <w:rsid w:val="00BF623F"/>
    <w:rsid w:val="00BF6FDB"/>
    <w:rsid w:val="00BF7D8E"/>
    <w:rsid w:val="00C009C6"/>
    <w:rsid w:val="00C01875"/>
    <w:rsid w:val="00C020A5"/>
    <w:rsid w:val="00C0272A"/>
    <w:rsid w:val="00C03438"/>
    <w:rsid w:val="00C04E89"/>
    <w:rsid w:val="00C059D6"/>
    <w:rsid w:val="00C061A7"/>
    <w:rsid w:val="00C064B1"/>
    <w:rsid w:val="00C06848"/>
    <w:rsid w:val="00C06CEE"/>
    <w:rsid w:val="00C07DD4"/>
    <w:rsid w:val="00C07DFB"/>
    <w:rsid w:val="00C10533"/>
    <w:rsid w:val="00C1055F"/>
    <w:rsid w:val="00C106E9"/>
    <w:rsid w:val="00C10A5E"/>
    <w:rsid w:val="00C10E7B"/>
    <w:rsid w:val="00C1190E"/>
    <w:rsid w:val="00C11D92"/>
    <w:rsid w:val="00C11EFD"/>
    <w:rsid w:val="00C12301"/>
    <w:rsid w:val="00C12337"/>
    <w:rsid w:val="00C142FD"/>
    <w:rsid w:val="00C14A5F"/>
    <w:rsid w:val="00C14CE2"/>
    <w:rsid w:val="00C157D7"/>
    <w:rsid w:val="00C15D43"/>
    <w:rsid w:val="00C16002"/>
    <w:rsid w:val="00C171B9"/>
    <w:rsid w:val="00C17352"/>
    <w:rsid w:val="00C1757A"/>
    <w:rsid w:val="00C17AEC"/>
    <w:rsid w:val="00C206BF"/>
    <w:rsid w:val="00C208B9"/>
    <w:rsid w:val="00C209C4"/>
    <w:rsid w:val="00C210A9"/>
    <w:rsid w:val="00C21A2D"/>
    <w:rsid w:val="00C21A40"/>
    <w:rsid w:val="00C22036"/>
    <w:rsid w:val="00C2236D"/>
    <w:rsid w:val="00C229BE"/>
    <w:rsid w:val="00C239C6"/>
    <w:rsid w:val="00C23A54"/>
    <w:rsid w:val="00C2447C"/>
    <w:rsid w:val="00C24585"/>
    <w:rsid w:val="00C24931"/>
    <w:rsid w:val="00C25034"/>
    <w:rsid w:val="00C259C6"/>
    <w:rsid w:val="00C25DB7"/>
    <w:rsid w:val="00C25F0B"/>
    <w:rsid w:val="00C26100"/>
    <w:rsid w:val="00C27405"/>
    <w:rsid w:val="00C27660"/>
    <w:rsid w:val="00C30710"/>
    <w:rsid w:val="00C3108E"/>
    <w:rsid w:val="00C31C3E"/>
    <w:rsid w:val="00C32186"/>
    <w:rsid w:val="00C321A7"/>
    <w:rsid w:val="00C32512"/>
    <w:rsid w:val="00C326E8"/>
    <w:rsid w:val="00C32E38"/>
    <w:rsid w:val="00C32F6E"/>
    <w:rsid w:val="00C33715"/>
    <w:rsid w:val="00C33DF6"/>
    <w:rsid w:val="00C346B7"/>
    <w:rsid w:val="00C349A1"/>
    <w:rsid w:val="00C36F6B"/>
    <w:rsid w:val="00C37246"/>
    <w:rsid w:val="00C37D68"/>
    <w:rsid w:val="00C40A79"/>
    <w:rsid w:val="00C40DE8"/>
    <w:rsid w:val="00C412F8"/>
    <w:rsid w:val="00C4143C"/>
    <w:rsid w:val="00C41F1F"/>
    <w:rsid w:val="00C422D5"/>
    <w:rsid w:val="00C43285"/>
    <w:rsid w:val="00C437BC"/>
    <w:rsid w:val="00C44345"/>
    <w:rsid w:val="00C44A06"/>
    <w:rsid w:val="00C44E36"/>
    <w:rsid w:val="00C45335"/>
    <w:rsid w:val="00C45878"/>
    <w:rsid w:val="00C45959"/>
    <w:rsid w:val="00C45BAD"/>
    <w:rsid w:val="00C45D11"/>
    <w:rsid w:val="00C45E0C"/>
    <w:rsid w:val="00C47048"/>
    <w:rsid w:val="00C470BD"/>
    <w:rsid w:val="00C473B1"/>
    <w:rsid w:val="00C47425"/>
    <w:rsid w:val="00C476EB"/>
    <w:rsid w:val="00C47A2E"/>
    <w:rsid w:val="00C47A9C"/>
    <w:rsid w:val="00C50D58"/>
    <w:rsid w:val="00C50E35"/>
    <w:rsid w:val="00C5170F"/>
    <w:rsid w:val="00C5209D"/>
    <w:rsid w:val="00C52220"/>
    <w:rsid w:val="00C52263"/>
    <w:rsid w:val="00C52E43"/>
    <w:rsid w:val="00C53FD2"/>
    <w:rsid w:val="00C54231"/>
    <w:rsid w:val="00C55438"/>
    <w:rsid w:val="00C554E2"/>
    <w:rsid w:val="00C56234"/>
    <w:rsid w:val="00C565D0"/>
    <w:rsid w:val="00C56C1A"/>
    <w:rsid w:val="00C56DC4"/>
    <w:rsid w:val="00C57499"/>
    <w:rsid w:val="00C574CC"/>
    <w:rsid w:val="00C57D2B"/>
    <w:rsid w:val="00C57DB0"/>
    <w:rsid w:val="00C6000E"/>
    <w:rsid w:val="00C6042A"/>
    <w:rsid w:val="00C607D4"/>
    <w:rsid w:val="00C60810"/>
    <w:rsid w:val="00C612D2"/>
    <w:rsid w:val="00C617FD"/>
    <w:rsid w:val="00C6226C"/>
    <w:rsid w:val="00C62493"/>
    <w:rsid w:val="00C6322C"/>
    <w:rsid w:val="00C63A5B"/>
    <w:rsid w:val="00C6409A"/>
    <w:rsid w:val="00C64499"/>
    <w:rsid w:val="00C645DA"/>
    <w:rsid w:val="00C64AA8"/>
    <w:rsid w:val="00C65175"/>
    <w:rsid w:val="00C65301"/>
    <w:rsid w:val="00C65742"/>
    <w:rsid w:val="00C65C67"/>
    <w:rsid w:val="00C65CF8"/>
    <w:rsid w:val="00C6619A"/>
    <w:rsid w:val="00C669F8"/>
    <w:rsid w:val="00C67390"/>
    <w:rsid w:val="00C6762E"/>
    <w:rsid w:val="00C677A3"/>
    <w:rsid w:val="00C67DCE"/>
    <w:rsid w:val="00C67EAE"/>
    <w:rsid w:val="00C706DD"/>
    <w:rsid w:val="00C70A5B"/>
    <w:rsid w:val="00C71DEE"/>
    <w:rsid w:val="00C72EFE"/>
    <w:rsid w:val="00C731CE"/>
    <w:rsid w:val="00C73359"/>
    <w:rsid w:val="00C74209"/>
    <w:rsid w:val="00C7491A"/>
    <w:rsid w:val="00C74ED8"/>
    <w:rsid w:val="00C80AE2"/>
    <w:rsid w:val="00C80BF1"/>
    <w:rsid w:val="00C80FDD"/>
    <w:rsid w:val="00C813B3"/>
    <w:rsid w:val="00C813F9"/>
    <w:rsid w:val="00C8172C"/>
    <w:rsid w:val="00C824FE"/>
    <w:rsid w:val="00C82644"/>
    <w:rsid w:val="00C828D1"/>
    <w:rsid w:val="00C830AA"/>
    <w:rsid w:val="00C8334A"/>
    <w:rsid w:val="00C83E7D"/>
    <w:rsid w:val="00C844CB"/>
    <w:rsid w:val="00C846C3"/>
    <w:rsid w:val="00C8470B"/>
    <w:rsid w:val="00C8506B"/>
    <w:rsid w:val="00C851C6"/>
    <w:rsid w:val="00C85831"/>
    <w:rsid w:val="00C85891"/>
    <w:rsid w:val="00C85E4A"/>
    <w:rsid w:val="00C8616B"/>
    <w:rsid w:val="00C87A60"/>
    <w:rsid w:val="00C90132"/>
    <w:rsid w:val="00C9054C"/>
    <w:rsid w:val="00C91873"/>
    <w:rsid w:val="00C91ADC"/>
    <w:rsid w:val="00C91E78"/>
    <w:rsid w:val="00C929E3"/>
    <w:rsid w:val="00C92D45"/>
    <w:rsid w:val="00C93AC1"/>
    <w:rsid w:val="00C94542"/>
    <w:rsid w:val="00C94BDF"/>
    <w:rsid w:val="00C94DE4"/>
    <w:rsid w:val="00C955F8"/>
    <w:rsid w:val="00C96077"/>
    <w:rsid w:val="00C96868"/>
    <w:rsid w:val="00C971A2"/>
    <w:rsid w:val="00C972FC"/>
    <w:rsid w:val="00C978B4"/>
    <w:rsid w:val="00CA0AD6"/>
    <w:rsid w:val="00CA1A02"/>
    <w:rsid w:val="00CA1E0B"/>
    <w:rsid w:val="00CA27BC"/>
    <w:rsid w:val="00CA37CA"/>
    <w:rsid w:val="00CA47DD"/>
    <w:rsid w:val="00CA48C3"/>
    <w:rsid w:val="00CA5701"/>
    <w:rsid w:val="00CA5BB1"/>
    <w:rsid w:val="00CA6048"/>
    <w:rsid w:val="00CA6926"/>
    <w:rsid w:val="00CA76C9"/>
    <w:rsid w:val="00CA77AC"/>
    <w:rsid w:val="00CB0EC8"/>
    <w:rsid w:val="00CB178D"/>
    <w:rsid w:val="00CB17D7"/>
    <w:rsid w:val="00CB17E4"/>
    <w:rsid w:val="00CB203D"/>
    <w:rsid w:val="00CB2E5E"/>
    <w:rsid w:val="00CB306E"/>
    <w:rsid w:val="00CB3C37"/>
    <w:rsid w:val="00CB4B4A"/>
    <w:rsid w:val="00CB555C"/>
    <w:rsid w:val="00CB568E"/>
    <w:rsid w:val="00CB6634"/>
    <w:rsid w:val="00CB6B71"/>
    <w:rsid w:val="00CB70B1"/>
    <w:rsid w:val="00CB70DD"/>
    <w:rsid w:val="00CB7363"/>
    <w:rsid w:val="00CB7467"/>
    <w:rsid w:val="00CB7C94"/>
    <w:rsid w:val="00CB7D0E"/>
    <w:rsid w:val="00CC028F"/>
    <w:rsid w:val="00CC029A"/>
    <w:rsid w:val="00CC064A"/>
    <w:rsid w:val="00CC0CAB"/>
    <w:rsid w:val="00CC129C"/>
    <w:rsid w:val="00CC13C6"/>
    <w:rsid w:val="00CC157A"/>
    <w:rsid w:val="00CC1919"/>
    <w:rsid w:val="00CC2139"/>
    <w:rsid w:val="00CC219F"/>
    <w:rsid w:val="00CC2303"/>
    <w:rsid w:val="00CC2778"/>
    <w:rsid w:val="00CC2FA0"/>
    <w:rsid w:val="00CC2FC4"/>
    <w:rsid w:val="00CC31A4"/>
    <w:rsid w:val="00CC335F"/>
    <w:rsid w:val="00CC344A"/>
    <w:rsid w:val="00CC3617"/>
    <w:rsid w:val="00CC3BC9"/>
    <w:rsid w:val="00CC496D"/>
    <w:rsid w:val="00CC4B85"/>
    <w:rsid w:val="00CC4CC3"/>
    <w:rsid w:val="00CC508D"/>
    <w:rsid w:val="00CC5A1D"/>
    <w:rsid w:val="00CC6C85"/>
    <w:rsid w:val="00CC6F5D"/>
    <w:rsid w:val="00CC74EC"/>
    <w:rsid w:val="00CC7557"/>
    <w:rsid w:val="00CC7905"/>
    <w:rsid w:val="00CD0B7C"/>
    <w:rsid w:val="00CD0DC9"/>
    <w:rsid w:val="00CD0DD5"/>
    <w:rsid w:val="00CD128F"/>
    <w:rsid w:val="00CD18E1"/>
    <w:rsid w:val="00CD1E6A"/>
    <w:rsid w:val="00CD3063"/>
    <w:rsid w:val="00CD33B5"/>
    <w:rsid w:val="00CD51BE"/>
    <w:rsid w:val="00CD5348"/>
    <w:rsid w:val="00CD5EBB"/>
    <w:rsid w:val="00CD713A"/>
    <w:rsid w:val="00CD72F4"/>
    <w:rsid w:val="00CD77A1"/>
    <w:rsid w:val="00CD7F81"/>
    <w:rsid w:val="00CE00A4"/>
    <w:rsid w:val="00CE0290"/>
    <w:rsid w:val="00CE0321"/>
    <w:rsid w:val="00CE15BD"/>
    <w:rsid w:val="00CE1E0B"/>
    <w:rsid w:val="00CE22E4"/>
    <w:rsid w:val="00CE25F8"/>
    <w:rsid w:val="00CE297E"/>
    <w:rsid w:val="00CE5B09"/>
    <w:rsid w:val="00CE638D"/>
    <w:rsid w:val="00CE7CB7"/>
    <w:rsid w:val="00CF04E6"/>
    <w:rsid w:val="00CF0CA7"/>
    <w:rsid w:val="00CF12DB"/>
    <w:rsid w:val="00CF18C9"/>
    <w:rsid w:val="00CF1FEE"/>
    <w:rsid w:val="00CF279F"/>
    <w:rsid w:val="00CF42CC"/>
    <w:rsid w:val="00CF444F"/>
    <w:rsid w:val="00CF562F"/>
    <w:rsid w:val="00CF5671"/>
    <w:rsid w:val="00CF5790"/>
    <w:rsid w:val="00CF5DBA"/>
    <w:rsid w:val="00CF5E21"/>
    <w:rsid w:val="00CF624B"/>
    <w:rsid w:val="00CF6460"/>
    <w:rsid w:val="00CF682A"/>
    <w:rsid w:val="00CF68F8"/>
    <w:rsid w:val="00CF7278"/>
    <w:rsid w:val="00CF760D"/>
    <w:rsid w:val="00D007FC"/>
    <w:rsid w:val="00D00EE0"/>
    <w:rsid w:val="00D01654"/>
    <w:rsid w:val="00D02088"/>
    <w:rsid w:val="00D02C58"/>
    <w:rsid w:val="00D03866"/>
    <w:rsid w:val="00D04350"/>
    <w:rsid w:val="00D04734"/>
    <w:rsid w:val="00D05148"/>
    <w:rsid w:val="00D05425"/>
    <w:rsid w:val="00D056FB"/>
    <w:rsid w:val="00D05A3C"/>
    <w:rsid w:val="00D05BBB"/>
    <w:rsid w:val="00D05EC2"/>
    <w:rsid w:val="00D061C2"/>
    <w:rsid w:val="00D065F1"/>
    <w:rsid w:val="00D06E9F"/>
    <w:rsid w:val="00D07D01"/>
    <w:rsid w:val="00D103B5"/>
    <w:rsid w:val="00D103CB"/>
    <w:rsid w:val="00D1070C"/>
    <w:rsid w:val="00D109B3"/>
    <w:rsid w:val="00D1104C"/>
    <w:rsid w:val="00D117C8"/>
    <w:rsid w:val="00D11CBE"/>
    <w:rsid w:val="00D11EEA"/>
    <w:rsid w:val="00D12017"/>
    <w:rsid w:val="00D12076"/>
    <w:rsid w:val="00D14323"/>
    <w:rsid w:val="00D150F7"/>
    <w:rsid w:val="00D15E7F"/>
    <w:rsid w:val="00D167B2"/>
    <w:rsid w:val="00D168DB"/>
    <w:rsid w:val="00D16BF6"/>
    <w:rsid w:val="00D1733C"/>
    <w:rsid w:val="00D17BCB"/>
    <w:rsid w:val="00D17F4D"/>
    <w:rsid w:val="00D20096"/>
    <w:rsid w:val="00D20381"/>
    <w:rsid w:val="00D2092D"/>
    <w:rsid w:val="00D21162"/>
    <w:rsid w:val="00D214CB"/>
    <w:rsid w:val="00D21A42"/>
    <w:rsid w:val="00D22D16"/>
    <w:rsid w:val="00D241E8"/>
    <w:rsid w:val="00D24602"/>
    <w:rsid w:val="00D24CC0"/>
    <w:rsid w:val="00D25A6F"/>
    <w:rsid w:val="00D25D56"/>
    <w:rsid w:val="00D26253"/>
    <w:rsid w:val="00D2744C"/>
    <w:rsid w:val="00D2748D"/>
    <w:rsid w:val="00D2773E"/>
    <w:rsid w:val="00D27861"/>
    <w:rsid w:val="00D2790C"/>
    <w:rsid w:val="00D304B3"/>
    <w:rsid w:val="00D3064B"/>
    <w:rsid w:val="00D31560"/>
    <w:rsid w:val="00D31622"/>
    <w:rsid w:val="00D32712"/>
    <w:rsid w:val="00D32B4C"/>
    <w:rsid w:val="00D32EA5"/>
    <w:rsid w:val="00D3329A"/>
    <w:rsid w:val="00D33FED"/>
    <w:rsid w:val="00D35071"/>
    <w:rsid w:val="00D3529F"/>
    <w:rsid w:val="00D359CF"/>
    <w:rsid w:val="00D36A15"/>
    <w:rsid w:val="00D372C4"/>
    <w:rsid w:val="00D37768"/>
    <w:rsid w:val="00D37F9B"/>
    <w:rsid w:val="00D405D9"/>
    <w:rsid w:val="00D40A97"/>
    <w:rsid w:val="00D40DE5"/>
    <w:rsid w:val="00D41910"/>
    <w:rsid w:val="00D421D1"/>
    <w:rsid w:val="00D428A9"/>
    <w:rsid w:val="00D4358E"/>
    <w:rsid w:val="00D439E9"/>
    <w:rsid w:val="00D43AFF"/>
    <w:rsid w:val="00D43B7B"/>
    <w:rsid w:val="00D44222"/>
    <w:rsid w:val="00D455D1"/>
    <w:rsid w:val="00D456A3"/>
    <w:rsid w:val="00D4656C"/>
    <w:rsid w:val="00D46A6E"/>
    <w:rsid w:val="00D46AA5"/>
    <w:rsid w:val="00D47424"/>
    <w:rsid w:val="00D47BBF"/>
    <w:rsid w:val="00D47D92"/>
    <w:rsid w:val="00D50101"/>
    <w:rsid w:val="00D529EB"/>
    <w:rsid w:val="00D53802"/>
    <w:rsid w:val="00D55B1F"/>
    <w:rsid w:val="00D55B59"/>
    <w:rsid w:val="00D55D24"/>
    <w:rsid w:val="00D55F85"/>
    <w:rsid w:val="00D568E1"/>
    <w:rsid w:val="00D573A6"/>
    <w:rsid w:val="00D574D2"/>
    <w:rsid w:val="00D57D51"/>
    <w:rsid w:val="00D60194"/>
    <w:rsid w:val="00D60B6E"/>
    <w:rsid w:val="00D616D0"/>
    <w:rsid w:val="00D61932"/>
    <w:rsid w:val="00D61EED"/>
    <w:rsid w:val="00D62D9F"/>
    <w:rsid w:val="00D63641"/>
    <w:rsid w:val="00D6367B"/>
    <w:rsid w:val="00D639A1"/>
    <w:rsid w:val="00D640CC"/>
    <w:rsid w:val="00D64A85"/>
    <w:rsid w:val="00D64B11"/>
    <w:rsid w:val="00D64C45"/>
    <w:rsid w:val="00D653CE"/>
    <w:rsid w:val="00D657CE"/>
    <w:rsid w:val="00D657E0"/>
    <w:rsid w:val="00D65ED5"/>
    <w:rsid w:val="00D6624A"/>
    <w:rsid w:val="00D664CB"/>
    <w:rsid w:val="00D6680C"/>
    <w:rsid w:val="00D66945"/>
    <w:rsid w:val="00D66BCB"/>
    <w:rsid w:val="00D70785"/>
    <w:rsid w:val="00D70CA8"/>
    <w:rsid w:val="00D71544"/>
    <w:rsid w:val="00D71609"/>
    <w:rsid w:val="00D7171E"/>
    <w:rsid w:val="00D71B14"/>
    <w:rsid w:val="00D7239C"/>
    <w:rsid w:val="00D723AC"/>
    <w:rsid w:val="00D72529"/>
    <w:rsid w:val="00D7253A"/>
    <w:rsid w:val="00D72AFA"/>
    <w:rsid w:val="00D73EE9"/>
    <w:rsid w:val="00D74294"/>
    <w:rsid w:val="00D74AD2"/>
    <w:rsid w:val="00D74F68"/>
    <w:rsid w:val="00D76154"/>
    <w:rsid w:val="00D7669C"/>
    <w:rsid w:val="00D779CC"/>
    <w:rsid w:val="00D801A4"/>
    <w:rsid w:val="00D81939"/>
    <w:rsid w:val="00D81C20"/>
    <w:rsid w:val="00D82372"/>
    <w:rsid w:val="00D836D3"/>
    <w:rsid w:val="00D83EA9"/>
    <w:rsid w:val="00D8484E"/>
    <w:rsid w:val="00D8491F"/>
    <w:rsid w:val="00D8756C"/>
    <w:rsid w:val="00D8783E"/>
    <w:rsid w:val="00D9017F"/>
    <w:rsid w:val="00D90584"/>
    <w:rsid w:val="00D90838"/>
    <w:rsid w:val="00D90BFC"/>
    <w:rsid w:val="00D90CE6"/>
    <w:rsid w:val="00D91062"/>
    <w:rsid w:val="00D9161C"/>
    <w:rsid w:val="00D921F8"/>
    <w:rsid w:val="00D92A70"/>
    <w:rsid w:val="00D92AB3"/>
    <w:rsid w:val="00D92F21"/>
    <w:rsid w:val="00D93198"/>
    <w:rsid w:val="00D93F6E"/>
    <w:rsid w:val="00D93FCE"/>
    <w:rsid w:val="00D94971"/>
    <w:rsid w:val="00D95DEF"/>
    <w:rsid w:val="00D95F6B"/>
    <w:rsid w:val="00D96F47"/>
    <w:rsid w:val="00D976C5"/>
    <w:rsid w:val="00D97928"/>
    <w:rsid w:val="00DA04B0"/>
    <w:rsid w:val="00DA0BF4"/>
    <w:rsid w:val="00DA16C8"/>
    <w:rsid w:val="00DA17CF"/>
    <w:rsid w:val="00DA1AE5"/>
    <w:rsid w:val="00DA2BDC"/>
    <w:rsid w:val="00DA323A"/>
    <w:rsid w:val="00DA50C6"/>
    <w:rsid w:val="00DA5756"/>
    <w:rsid w:val="00DA5896"/>
    <w:rsid w:val="00DA5961"/>
    <w:rsid w:val="00DA612B"/>
    <w:rsid w:val="00DA63EA"/>
    <w:rsid w:val="00DA70FD"/>
    <w:rsid w:val="00DA7588"/>
    <w:rsid w:val="00DA7ED7"/>
    <w:rsid w:val="00DB0D2E"/>
    <w:rsid w:val="00DB1322"/>
    <w:rsid w:val="00DB145E"/>
    <w:rsid w:val="00DB2931"/>
    <w:rsid w:val="00DB29A9"/>
    <w:rsid w:val="00DB375D"/>
    <w:rsid w:val="00DB451F"/>
    <w:rsid w:val="00DB5787"/>
    <w:rsid w:val="00DB57B7"/>
    <w:rsid w:val="00DB6012"/>
    <w:rsid w:val="00DB607B"/>
    <w:rsid w:val="00DB6B32"/>
    <w:rsid w:val="00DB77FE"/>
    <w:rsid w:val="00DB7BCA"/>
    <w:rsid w:val="00DC039F"/>
    <w:rsid w:val="00DC0B9E"/>
    <w:rsid w:val="00DC1495"/>
    <w:rsid w:val="00DC15C2"/>
    <w:rsid w:val="00DC1CC4"/>
    <w:rsid w:val="00DC32FB"/>
    <w:rsid w:val="00DC3912"/>
    <w:rsid w:val="00DC4CEC"/>
    <w:rsid w:val="00DC5956"/>
    <w:rsid w:val="00DC5F7B"/>
    <w:rsid w:val="00DC5FEA"/>
    <w:rsid w:val="00DC6A95"/>
    <w:rsid w:val="00DC6B02"/>
    <w:rsid w:val="00DC7294"/>
    <w:rsid w:val="00DC7458"/>
    <w:rsid w:val="00DD00A9"/>
    <w:rsid w:val="00DD06AF"/>
    <w:rsid w:val="00DD0B73"/>
    <w:rsid w:val="00DD12DD"/>
    <w:rsid w:val="00DD15BE"/>
    <w:rsid w:val="00DD211F"/>
    <w:rsid w:val="00DD278B"/>
    <w:rsid w:val="00DD4014"/>
    <w:rsid w:val="00DD4A06"/>
    <w:rsid w:val="00DD52F9"/>
    <w:rsid w:val="00DD6E6E"/>
    <w:rsid w:val="00DD6E8B"/>
    <w:rsid w:val="00DD73A7"/>
    <w:rsid w:val="00DD7930"/>
    <w:rsid w:val="00DE02AD"/>
    <w:rsid w:val="00DE077A"/>
    <w:rsid w:val="00DE0D4C"/>
    <w:rsid w:val="00DE1238"/>
    <w:rsid w:val="00DE171B"/>
    <w:rsid w:val="00DE1BDA"/>
    <w:rsid w:val="00DE1F44"/>
    <w:rsid w:val="00DE1F79"/>
    <w:rsid w:val="00DE207A"/>
    <w:rsid w:val="00DE31B3"/>
    <w:rsid w:val="00DE333F"/>
    <w:rsid w:val="00DE3E41"/>
    <w:rsid w:val="00DE3FD5"/>
    <w:rsid w:val="00DE5E3D"/>
    <w:rsid w:val="00DE5E67"/>
    <w:rsid w:val="00DE64D1"/>
    <w:rsid w:val="00DE77C4"/>
    <w:rsid w:val="00DE7A59"/>
    <w:rsid w:val="00DE7F9F"/>
    <w:rsid w:val="00DF140A"/>
    <w:rsid w:val="00DF1CFA"/>
    <w:rsid w:val="00DF2ED7"/>
    <w:rsid w:val="00DF305F"/>
    <w:rsid w:val="00DF40AA"/>
    <w:rsid w:val="00DF4260"/>
    <w:rsid w:val="00DF5BF5"/>
    <w:rsid w:val="00DF5EBF"/>
    <w:rsid w:val="00DF7B43"/>
    <w:rsid w:val="00E00186"/>
    <w:rsid w:val="00E00DD6"/>
    <w:rsid w:val="00E01A23"/>
    <w:rsid w:val="00E01D3C"/>
    <w:rsid w:val="00E0230D"/>
    <w:rsid w:val="00E030BE"/>
    <w:rsid w:val="00E0325B"/>
    <w:rsid w:val="00E04103"/>
    <w:rsid w:val="00E0415E"/>
    <w:rsid w:val="00E04396"/>
    <w:rsid w:val="00E04526"/>
    <w:rsid w:val="00E05BCE"/>
    <w:rsid w:val="00E06180"/>
    <w:rsid w:val="00E07325"/>
    <w:rsid w:val="00E07676"/>
    <w:rsid w:val="00E07A95"/>
    <w:rsid w:val="00E07FF2"/>
    <w:rsid w:val="00E105A3"/>
    <w:rsid w:val="00E10EC2"/>
    <w:rsid w:val="00E11230"/>
    <w:rsid w:val="00E11529"/>
    <w:rsid w:val="00E11B7E"/>
    <w:rsid w:val="00E11C58"/>
    <w:rsid w:val="00E11D1F"/>
    <w:rsid w:val="00E11D56"/>
    <w:rsid w:val="00E11DAA"/>
    <w:rsid w:val="00E120E4"/>
    <w:rsid w:val="00E12455"/>
    <w:rsid w:val="00E12636"/>
    <w:rsid w:val="00E126D4"/>
    <w:rsid w:val="00E12874"/>
    <w:rsid w:val="00E14074"/>
    <w:rsid w:val="00E1427B"/>
    <w:rsid w:val="00E1510A"/>
    <w:rsid w:val="00E163D5"/>
    <w:rsid w:val="00E169FE"/>
    <w:rsid w:val="00E179E9"/>
    <w:rsid w:val="00E17D9F"/>
    <w:rsid w:val="00E20432"/>
    <w:rsid w:val="00E20577"/>
    <w:rsid w:val="00E21519"/>
    <w:rsid w:val="00E21FC8"/>
    <w:rsid w:val="00E22241"/>
    <w:rsid w:val="00E22B3F"/>
    <w:rsid w:val="00E22BE1"/>
    <w:rsid w:val="00E22CE9"/>
    <w:rsid w:val="00E22D98"/>
    <w:rsid w:val="00E23078"/>
    <w:rsid w:val="00E23143"/>
    <w:rsid w:val="00E23975"/>
    <w:rsid w:val="00E23A38"/>
    <w:rsid w:val="00E23BDD"/>
    <w:rsid w:val="00E23DE8"/>
    <w:rsid w:val="00E24493"/>
    <w:rsid w:val="00E262C8"/>
    <w:rsid w:val="00E262DF"/>
    <w:rsid w:val="00E267FC"/>
    <w:rsid w:val="00E26B86"/>
    <w:rsid w:val="00E27808"/>
    <w:rsid w:val="00E30664"/>
    <w:rsid w:val="00E31297"/>
    <w:rsid w:val="00E31686"/>
    <w:rsid w:val="00E31C50"/>
    <w:rsid w:val="00E32422"/>
    <w:rsid w:val="00E32539"/>
    <w:rsid w:val="00E3294F"/>
    <w:rsid w:val="00E32E26"/>
    <w:rsid w:val="00E32EC7"/>
    <w:rsid w:val="00E33764"/>
    <w:rsid w:val="00E340C9"/>
    <w:rsid w:val="00E34A29"/>
    <w:rsid w:val="00E34B3E"/>
    <w:rsid w:val="00E34F8F"/>
    <w:rsid w:val="00E35090"/>
    <w:rsid w:val="00E360A8"/>
    <w:rsid w:val="00E365CF"/>
    <w:rsid w:val="00E37C3F"/>
    <w:rsid w:val="00E41067"/>
    <w:rsid w:val="00E4145C"/>
    <w:rsid w:val="00E414B8"/>
    <w:rsid w:val="00E42920"/>
    <w:rsid w:val="00E43799"/>
    <w:rsid w:val="00E43983"/>
    <w:rsid w:val="00E43DA8"/>
    <w:rsid w:val="00E4517F"/>
    <w:rsid w:val="00E454FC"/>
    <w:rsid w:val="00E455F8"/>
    <w:rsid w:val="00E46538"/>
    <w:rsid w:val="00E46911"/>
    <w:rsid w:val="00E46C0C"/>
    <w:rsid w:val="00E47AA6"/>
    <w:rsid w:val="00E50294"/>
    <w:rsid w:val="00E502B8"/>
    <w:rsid w:val="00E503F8"/>
    <w:rsid w:val="00E50767"/>
    <w:rsid w:val="00E5086B"/>
    <w:rsid w:val="00E50E32"/>
    <w:rsid w:val="00E51373"/>
    <w:rsid w:val="00E5291E"/>
    <w:rsid w:val="00E52963"/>
    <w:rsid w:val="00E52EF4"/>
    <w:rsid w:val="00E52F35"/>
    <w:rsid w:val="00E536B9"/>
    <w:rsid w:val="00E5386D"/>
    <w:rsid w:val="00E53AED"/>
    <w:rsid w:val="00E53B46"/>
    <w:rsid w:val="00E53B7B"/>
    <w:rsid w:val="00E54BFB"/>
    <w:rsid w:val="00E55548"/>
    <w:rsid w:val="00E55647"/>
    <w:rsid w:val="00E560AB"/>
    <w:rsid w:val="00E56310"/>
    <w:rsid w:val="00E56590"/>
    <w:rsid w:val="00E5668F"/>
    <w:rsid w:val="00E5670D"/>
    <w:rsid w:val="00E56B73"/>
    <w:rsid w:val="00E56C31"/>
    <w:rsid w:val="00E56D6A"/>
    <w:rsid w:val="00E57A00"/>
    <w:rsid w:val="00E601CE"/>
    <w:rsid w:val="00E60A67"/>
    <w:rsid w:val="00E60E7A"/>
    <w:rsid w:val="00E61F4C"/>
    <w:rsid w:val="00E632A7"/>
    <w:rsid w:val="00E640FB"/>
    <w:rsid w:val="00E64202"/>
    <w:rsid w:val="00E643F5"/>
    <w:rsid w:val="00E6446D"/>
    <w:rsid w:val="00E65B43"/>
    <w:rsid w:val="00E65BD8"/>
    <w:rsid w:val="00E664ED"/>
    <w:rsid w:val="00E6681E"/>
    <w:rsid w:val="00E66A4E"/>
    <w:rsid w:val="00E66CD5"/>
    <w:rsid w:val="00E6783B"/>
    <w:rsid w:val="00E67BB9"/>
    <w:rsid w:val="00E7020F"/>
    <w:rsid w:val="00E703C5"/>
    <w:rsid w:val="00E70BD1"/>
    <w:rsid w:val="00E711EB"/>
    <w:rsid w:val="00E71A85"/>
    <w:rsid w:val="00E72B82"/>
    <w:rsid w:val="00E73E69"/>
    <w:rsid w:val="00E73FD4"/>
    <w:rsid w:val="00E74037"/>
    <w:rsid w:val="00E74497"/>
    <w:rsid w:val="00E744DA"/>
    <w:rsid w:val="00E74E2F"/>
    <w:rsid w:val="00E754BA"/>
    <w:rsid w:val="00E75CDC"/>
    <w:rsid w:val="00E7646D"/>
    <w:rsid w:val="00E7744B"/>
    <w:rsid w:val="00E80617"/>
    <w:rsid w:val="00E8066A"/>
    <w:rsid w:val="00E810E4"/>
    <w:rsid w:val="00E814F7"/>
    <w:rsid w:val="00E81DD9"/>
    <w:rsid w:val="00E8365A"/>
    <w:rsid w:val="00E8374F"/>
    <w:rsid w:val="00E84036"/>
    <w:rsid w:val="00E84138"/>
    <w:rsid w:val="00E844A9"/>
    <w:rsid w:val="00E85551"/>
    <w:rsid w:val="00E85932"/>
    <w:rsid w:val="00E85F9A"/>
    <w:rsid w:val="00E868DC"/>
    <w:rsid w:val="00E86ABF"/>
    <w:rsid w:val="00E86B84"/>
    <w:rsid w:val="00E87530"/>
    <w:rsid w:val="00E87E4A"/>
    <w:rsid w:val="00E900F5"/>
    <w:rsid w:val="00E9032D"/>
    <w:rsid w:val="00E915E3"/>
    <w:rsid w:val="00E915E7"/>
    <w:rsid w:val="00E9161F"/>
    <w:rsid w:val="00E91893"/>
    <w:rsid w:val="00E9189E"/>
    <w:rsid w:val="00E91910"/>
    <w:rsid w:val="00E92907"/>
    <w:rsid w:val="00E9290B"/>
    <w:rsid w:val="00E92C7E"/>
    <w:rsid w:val="00E93274"/>
    <w:rsid w:val="00E94784"/>
    <w:rsid w:val="00E95978"/>
    <w:rsid w:val="00E95EFE"/>
    <w:rsid w:val="00E9609F"/>
    <w:rsid w:val="00E97C8D"/>
    <w:rsid w:val="00EA053C"/>
    <w:rsid w:val="00EA073C"/>
    <w:rsid w:val="00EA084E"/>
    <w:rsid w:val="00EA08FA"/>
    <w:rsid w:val="00EA0910"/>
    <w:rsid w:val="00EA0D3A"/>
    <w:rsid w:val="00EA158D"/>
    <w:rsid w:val="00EA1B3A"/>
    <w:rsid w:val="00EA23EF"/>
    <w:rsid w:val="00EA2621"/>
    <w:rsid w:val="00EA2AF9"/>
    <w:rsid w:val="00EA2CB3"/>
    <w:rsid w:val="00EA2D40"/>
    <w:rsid w:val="00EA35A2"/>
    <w:rsid w:val="00EA4003"/>
    <w:rsid w:val="00EA5992"/>
    <w:rsid w:val="00EA6325"/>
    <w:rsid w:val="00EA639A"/>
    <w:rsid w:val="00EA790C"/>
    <w:rsid w:val="00EA7D4F"/>
    <w:rsid w:val="00EB1D7D"/>
    <w:rsid w:val="00EB3103"/>
    <w:rsid w:val="00EB41A3"/>
    <w:rsid w:val="00EB4682"/>
    <w:rsid w:val="00EB4B92"/>
    <w:rsid w:val="00EB4CFC"/>
    <w:rsid w:val="00EB5C68"/>
    <w:rsid w:val="00EB64EA"/>
    <w:rsid w:val="00EB670D"/>
    <w:rsid w:val="00EB67D7"/>
    <w:rsid w:val="00EB7A79"/>
    <w:rsid w:val="00EB7F07"/>
    <w:rsid w:val="00EC061E"/>
    <w:rsid w:val="00EC0698"/>
    <w:rsid w:val="00EC080D"/>
    <w:rsid w:val="00EC0A03"/>
    <w:rsid w:val="00EC0E7E"/>
    <w:rsid w:val="00EC1CE0"/>
    <w:rsid w:val="00EC238F"/>
    <w:rsid w:val="00EC2E94"/>
    <w:rsid w:val="00EC2ECE"/>
    <w:rsid w:val="00EC35F3"/>
    <w:rsid w:val="00EC367A"/>
    <w:rsid w:val="00EC4971"/>
    <w:rsid w:val="00EC51E3"/>
    <w:rsid w:val="00EC55D2"/>
    <w:rsid w:val="00EC6610"/>
    <w:rsid w:val="00EC7655"/>
    <w:rsid w:val="00ED007E"/>
    <w:rsid w:val="00ED0217"/>
    <w:rsid w:val="00ED1DE0"/>
    <w:rsid w:val="00ED24CD"/>
    <w:rsid w:val="00ED267A"/>
    <w:rsid w:val="00ED29CA"/>
    <w:rsid w:val="00ED36C6"/>
    <w:rsid w:val="00ED394E"/>
    <w:rsid w:val="00ED40C5"/>
    <w:rsid w:val="00ED456F"/>
    <w:rsid w:val="00ED492B"/>
    <w:rsid w:val="00ED5C6A"/>
    <w:rsid w:val="00ED6C34"/>
    <w:rsid w:val="00ED6D4A"/>
    <w:rsid w:val="00ED7A62"/>
    <w:rsid w:val="00ED7CB3"/>
    <w:rsid w:val="00EE04DE"/>
    <w:rsid w:val="00EE0B0E"/>
    <w:rsid w:val="00EE1877"/>
    <w:rsid w:val="00EE1A7A"/>
    <w:rsid w:val="00EE2965"/>
    <w:rsid w:val="00EE3030"/>
    <w:rsid w:val="00EE3696"/>
    <w:rsid w:val="00EE3916"/>
    <w:rsid w:val="00EE3C09"/>
    <w:rsid w:val="00EE439F"/>
    <w:rsid w:val="00EE4C54"/>
    <w:rsid w:val="00EE525D"/>
    <w:rsid w:val="00EE59D2"/>
    <w:rsid w:val="00EE5F8F"/>
    <w:rsid w:val="00EE7236"/>
    <w:rsid w:val="00EE7383"/>
    <w:rsid w:val="00EF028E"/>
    <w:rsid w:val="00EF0C82"/>
    <w:rsid w:val="00EF10F1"/>
    <w:rsid w:val="00EF1655"/>
    <w:rsid w:val="00EF1857"/>
    <w:rsid w:val="00EF1B93"/>
    <w:rsid w:val="00EF2803"/>
    <w:rsid w:val="00EF4064"/>
    <w:rsid w:val="00EF40AB"/>
    <w:rsid w:val="00EF417A"/>
    <w:rsid w:val="00EF4CCB"/>
    <w:rsid w:val="00EF5126"/>
    <w:rsid w:val="00EF5DEF"/>
    <w:rsid w:val="00EF5E41"/>
    <w:rsid w:val="00EF6DE0"/>
    <w:rsid w:val="00EF6EB9"/>
    <w:rsid w:val="00F00C3F"/>
    <w:rsid w:val="00F0140E"/>
    <w:rsid w:val="00F01A5A"/>
    <w:rsid w:val="00F02CC4"/>
    <w:rsid w:val="00F03A1C"/>
    <w:rsid w:val="00F03B71"/>
    <w:rsid w:val="00F03D7A"/>
    <w:rsid w:val="00F04115"/>
    <w:rsid w:val="00F04542"/>
    <w:rsid w:val="00F053A2"/>
    <w:rsid w:val="00F05663"/>
    <w:rsid w:val="00F05D18"/>
    <w:rsid w:val="00F05D32"/>
    <w:rsid w:val="00F06363"/>
    <w:rsid w:val="00F105CB"/>
    <w:rsid w:val="00F10C19"/>
    <w:rsid w:val="00F1145C"/>
    <w:rsid w:val="00F11C8A"/>
    <w:rsid w:val="00F11D00"/>
    <w:rsid w:val="00F1256C"/>
    <w:rsid w:val="00F127E6"/>
    <w:rsid w:val="00F13FD3"/>
    <w:rsid w:val="00F1436D"/>
    <w:rsid w:val="00F14775"/>
    <w:rsid w:val="00F15E20"/>
    <w:rsid w:val="00F17AF4"/>
    <w:rsid w:val="00F17F9F"/>
    <w:rsid w:val="00F17FF1"/>
    <w:rsid w:val="00F2036E"/>
    <w:rsid w:val="00F210C4"/>
    <w:rsid w:val="00F21920"/>
    <w:rsid w:val="00F21BE5"/>
    <w:rsid w:val="00F225B6"/>
    <w:rsid w:val="00F2260D"/>
    <w:rsid w:val="00F235D2"/>
    <w:rsid w:val="00F242CA"/>
    <w:rsid w:val="00F25141"/>
    <w:rsid w:val="00F25218"/>
    <w:rsid w:val="00F2589F"/>
    <w:rsid w:val="00F25AFB"/>
    <w:rsid w:val="00F25C3D"/>
    <w:rsid w:val="00F25D3A"/>
    <w:rsid w:val="00F25E06"/>
    <w:rsid w:val="00F26717"/>
    <w:rsid w:val="00F267C1"/>
    <w:rsid w:val="00F26B3C"/>
    <w:rsid w:val="00F27AEB"/>
    <w:rsid w:val="00F27F29"/>
    <w:rsid w:val="00F30412"/>
    <w:rsid w:val="00F308B2"/>
    <w:rsid w:val="00F3134E"/>
    <w:rsid w:val="00F3178B"/>
    <w:rsid w:val="00F317BE"/>
    <w:rsid w:val="00F31ECC"/>
    <w:rsid w:val="00F32594"/>
    <w:rsid w:val="00F332DD"/>
    <w:rsid w:val="00F33FF3"/>
    <w:rsid w:val="00F34256"/>
    <w:rsid w:val="00F34CE8"/>
    <w:rsid w:val="00F34D47"/>
    <w:rsid w:val="00F35123"/>
    <w:rsid w:val="00F35262"/>
    <w:rsid w:val="00F358B1"/>
    <w:rsid w:val="00F361EA"/>
    <w:rsid w:val="00F36A17"/>
    <w:rsid w:val="00F37996"/>
    <w:rsid w:val="00F40412"/>
    <w:rsid w:val="00F40B6B"/>
    <w:rsid w:val="00F40BE2"/>
    <w:rsid w:val="00F40CFF"/>
    <w:rsid w:val="00F41395"/>
    <w:rsid w:val="00F41479"/>
    <w:rsid w:val="00F4158C"/>
    <w:rsid w:val="00F41C8F"/>
    <w:rsid w:val="00F4205A"/>
    <w:rsid w:val="00F42894"/>
    <w:rsid w:val="00F43A70"/>
    <w:rsid w:val="00F441AD"/>
    <w:rsid w:val="00F447BB"/>
    <w:rsid w:val="00F44958"/>
    <w:rsid w:val="00F44BF8"/>
    <w:rsid w:val="00F44D69"/>
    <w:rsid w:val="00F44F37"/>
    <w:rsid w:val="00F464E4"/>
    <w:rsid w:val="00F46674"/>
    <w:rsid w:val="00F50238"/>
    <w:rsid w:val="00F50378"/>
    <w:rsid w:val="00F504E2"/>
    <w:rsid w:val="00F51099"/>
    <w:rsid w:val="00F511C0"/>
    <w:rsid w:val="00F51348"/>
    <w:rsid w:val="00F51664"/>
    <w:rsid w:val="00F52576"/>
    <w:rsid w:val="00F52FBB"/>
    <w:rsid w:val="00F537FB"/>
    <w:rsid w:val="00F5384F"/>
    <w:rsid w:val="00F5422E"/>
    <w:rsid w:val="00F542BA"/>
    <w:rsid w:val="00F54B31"/>
    <w:rsid w:val="00F54EE3"/>
    <w:rsid w:val="00F5541E"/>
    <w:rsid w:val="00F55599"/>
    <w:rsid w:val="00F55B9E"/>
    <w:rsid w:val="00F55BFE"/>
    <w:rsid w:val="00F563BF"/>
    <w:rsid w:val="00F56953"/>
    <w:rsid w:val="00F57AAF"/>
    <w:rsid w:val="00F57C80"/>
    <w:rsid w:val="00F57FCB"/>
    <w:rsid w:val="00F6013A"/>
    <w:rsid w:val="00F6050D"/>
    <w:rsid w:val="00F60D1C"/>
    <w:rsid w:val="00F60DBD"/>
    <w:rsid w:val="00F61C47"/>
    <w:rsid w:val="00F625DC"/>
    <w:rsid w:val="00F62978"/>
    <w:rsid w:val="00F62CA0"/>
    <w:rsid w:val="00F6304E"/>
    <w:rsid w:val="00F6358D"/>
    <w:rsid w:val="00F636EE"/>
    <w:rsid w:val="00F6390D"/>
    <w:rsid w:val="00F63951"/>
    <w:rsid w:val="00F63C7A"/>
    <w:rsid w:val="00F64D2B"/>
    <w:rsid w:val="00F667C5"/>
    <w:rsid w:val="00F707BD"/>
    <w:rsid w:val="00F71336"/>
    <w:rsid w:val="00F71AB3"/>
    <w:rsid w:val="00F721E5"/>
    <w:rsid w:val="00F7326C"/>
    <w:rsid w:val="00F73571"/>
    <w:rsid w:val="00F73716"/>
    <w:rsid w:val="00F73B85"/>
    <w:rsid w:val="00F73CEB"/>
    <w:rsid w:val="00F742D6"/>
    <w:rsid w:val="00F75331"/>
    <w:rsid w:val="00F75EA7"/>
    <w:rsid w:val="00F76136"/>
    <w:rsid w:val="00F764EE"/>
    <w:rsid w:val="00F76805"/>
    <w:rsid w:val="00F76F00"/>
    <w:rsid w:val="00F77458"/>
    <w:rsid w:val="00F77815"/>
    <w:rsid w:val="00F77AC8"/>
    <w:rsid w:val="00F80A35"/>
    <w:rsid w:val="00F80B59"/>
    <w:rsid w:val="00F80EB4"/>
    <w:rsid w:val="00F81EA2"/>
    <w:rsid w:val="00F8247F"/>
    <w:rsid w:val="00F8428F"/>
    <w:rsid w:val="00F842B1"/>
    <w:rsid w:val="00F8443E"/>
    <w:rsid w:val="00F848E6"/>
    <w:rsid w:val="00F84D66"/>
    <w:rsid w:val="00F85DCF"/>
    <w:rsid w:val="00F872EA"/>
    <w:rsid w:val="00F874DA"/>
    <w:rsid w:val="00F917E6"/>
    <w:rsid w:val="00F91B5B"/>
    <w:rsid w:val="00F92055"/>
    <w:rsid w:val="00F922A6"/>
    <w:rsid w:val="00F924E9"/>
    <w:rsid w:val="00F9254C"/>
    <w:rsid w:val="00F92E78"/>
    <w:rsid w:val="00F93AB0"/>
    <w:rsid w:val="00F93B13"/>
    <w:rsid w:val="00F94419"/>
    <w:rsid w:val="00F94491"/>
    <w:rsid w:val="00F945FE"/>
    <w:rsid w:val="00F94DC5"/>
    <w:rsid w:val="00F9674B"/>
    <w:rsid w:val="00F97F55"/>
    <w:rsid w:val="00FA020A"/>
    <w:rsid w:val="00FA0680"/>
    <w:rsid w:val="00FA1D18"/>
    <w:rsid w:val="00FA1D9E"/>
    <w:rsid w:val="00FA36FF"/>
    <w:rsid w:val="00FA3D15"/>
    <w:rsid w:val="00FA4624"/>
    <w:rsid w:val="00FA46A6"/>
    <w:rsid w:val="00FA49D7"/>
    <w:rsid w:val="00FA589C"/>
    <w:rsid w:val="00FA6BD6"/>
    <w:rsid w:val="00FA7CC5"/>
    <w:rsid w:val="00FB0756"/>
    <w:rsid w:val="00FB0C0B"/>
    <w:rsid w:val="00FB2291"/>
    <w:rsid w:val="00FB2996"/>
    <w:rsid w:val="00FB327F"/>
    <w:rsid w:val="00FB3433"/>
    <w:rsid w:val="00FB3A9F"/>
    <w:rsid w:val="00FB3FEA"/>
    <w:rsid w:val="00FB4B44"/>
    <w:rsid w:val="00FB4F36"/>
    <w:rsid w:val="00FB53F0"/>
    <w:rsid w:val="00FB5BE9"/>
    <w:rsid w:val="00FB651F"/>
    <w:rsid w:val="00FB73AC"/>
    <w:rsid w:val="00FC0125"/>
    <w:rsid w:val="00FC0769"/>
    <w:rsid w:val="00FC0854"/>
    <w:rsid w:val="00FC0F71"/>
    <w:rsid w:val="00FC199C"/>
    <w:rsid w:val="00FC296B"/>
    <w:rsid w:val="00FC2DEA"/>
    <w:rsid w:val="00FC38F8"/>
    <w:rsid w:val="00FC3E06"/>
    <w:rsid w:val="00FC5247"/>
    <w:rsid w:val="00FC555B"/>
    <w:rsid w:val="00FC6820"/>
    <w:rsid w:val="00FC6A78"/>
    <w:rsid w:val="00FC6D2A"/>
    <w:rsid w:val="00FC6EB3"/>
    <w:rsid w:val="00FC70B7"/>
    <w:rsid w:val="00FC76DF"/>
    <w:rsid w:val="00FC7AB1"/>
    <w:rsid w:val="00FC7E71"/>
    <w:rsid w:val="00FD02B1"/>
    <w:rsid w:val="00FD0B70"/>
    <w:rsid w:val="00FD0E27"/>
    <w:rsid w:val="00FD1A7D"/>
    <w:rsid w:val="00FD1EBD"/>
    <w:rsid w:val="00FD22E1"/>
    <w:rsid w:val="00FD296A"/>
    <w:rsid w:val="00FD330F"/>
    <w:rsid w:val="00FD352D"/>
    <w:rsid w:val="00FD3689"/>
    <w:rsid w:val="00FD3913"/>
    <w:rsid w:val="00FD3B76"/>
    <w:rsid w:val="00FD41BF"/>
    <w:rsid w:val="00FD42EA"/>
    <w:rsid w:val="00FD4529"/>
    <w:rsid w:val="00FD4852"/>
    <w:rsid w:val="00FD4C11"/>
    <w:rsid w:val="00FD4ECF"/>
    <w:rsid w:val="00FD5697"/>
    <w:rsid w:val="00FD56B2"/>
    <w:rsid w:val="00FD573F"/>
    <w:rsid w:val="00FD582A"/>
    <w:rsid w:val="00FD5857"/>
    <w:rsid w:val="00FD60F6"/>
    <w:rsid w:val="00FD62E8"/>
    <w:rsid w:val="00FD72FC"/>
    <w:rsid w:val="00FD7754"/>
    <w:rsid w:val="00FD77DA"/>
    <w:rsid w:val="00FD7E4E"/>
    <w:rsid w:val="00FE0AB3"/>
    <w:rsid w:val="00FE16BF"/>
    <w:rsid w:val="00FE170A"/>
    <w:rsid w:val="00FE26DB"/>
    <w:rsid w:val="00FE36C3"/>
    <w:rsid w:val="00FE3966"/>
    <w:rsid w:val="00FE3D65"/>
    <w:rsid w:val="00FE460D"/>
    <w:rsid w:val="00FE488A"/>
    <w:rsid w:val="00FE4D2A"/>
    <w:rsid w:val="00FE50A0"/>
    <w:rsid w:val="00FE5300"/>
    <w:rsid w:val="00FE5975"/>
    <w:rsid w:val="00FE5E3B"/>
    <w:rsid w:val="00FE6234"/>
    <w:rsid w:val="00FE68B2"/>
    <w:rsid w:val="00FE726F"/>
    <w:rsid w:val="00FE7BAE"/>
    <w:rsid w:val="00FE7C4A"/>
    <w:rsid w:val="00FE7F42"/>
    <w:rsid w:val="00FF0BF9"/>
    <w:rsid w:val="00FF0D35"/>
    <w:rsid w:val="00FF1D15"/>
    <w:rsid w:val="00FF2463"/>
    <w:rsid w:val="00FF259D"/>
    <w:rsid w:val="00FF2BE0"/>
    <w:rsid w:val="00FF399D"/>
    <w:rsid w:val="00FF3D2A"/>
    <w:rsid w:val="00FF473A"/>
    <w:rsid w:val="00FF64DD"/>
    <w:rsid w:val="00FF681B"/>
    <w:rsid w:val="00FF7109"/>
    <w:rsid w:val="02F72223"/>
    <w:rsid w:val="0D1C008E"/>
    <w:rsid w:val="13415EEE"/>
    <w:rsid w:val="13D8F251"/>
    <w:rsid w:val="1451EFB7"/>
    <w:rsid w:val="20600144"/>
    <w:rsid w:val="23565D26"/>
    <w:rsid w:val="2B3F02A6"/>
    <w:rsid w:val="2F8542CE"/>
    <w:rsid w:val="3B633EC1"/>
    <w:rsid w:val="3D0B78FB"/>
    <w:rsid w:val="503DEE06"/>
    <w:rsid w:val="65C945AE"/>
    <w:rsid w:val="66A1609D"/>
    <w:rsid w:val="6787A977"/>
    <w:rsid w:val="68FBE464"/>
    <w:rsid w:val="6B39F145"/>
    <w:rsid w:val="6F1CF2E5"/>
    <w:rsid w:val="785BAD08"/>
    <w:rsid w:val="79DDEE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E798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B74715"/>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B74715"/>
    <w:pPr>
      <w:numPr>
        <w:numId w:val="6"/>
      </w:numPr>
      <w:tabs>
        <w:tab w:val="clear" w:pos="709"/>
      </w:tabs>
      <w:ind w:left="0" w:firstLine="0"/>
    </w:pPr>
    <w:rPr>
      <w:rFonts w:eastAsia="Times New Roman"/>
      <w:lang w:eastAsia="de-DE"/>
    </w:rPr>
  </w:style>
  <w:style w:type="paragraph" w:customStyle="1" w:styleId="ListBullet1">
    <w:name w:val="List Bullet 1"/>
    <w:basedOn w:val="Normal"/>
    <w:rsid w:val="00B74715"/>
    <w:pPr>
      <w:numPr>
        <w:numId w:val="1"/>
      </w:numPr>
      <w:tabs>
        <w:tab w:val="clear" w:pos="1134"/>
      </w:tabs>
      <w:ind w:left="0" w:firstLine="0"/>
    </w:pPr>
    <w:rPr>
      <w:rFonts w:eastAsia="Times New Roman"/>
      <w:lang w:eastAsia="de-DE"/>
    </w:rPr>
  </w:style>
  <w:style w:type="paragraph" w:customStyle="1" w:styleId="ListDash">
    <w:name w:val="List Dash"/>
    <w:basedOn w:val="Normal"/>
    <w:rsid w:val="00B74715"/>
    <w:pPr>
      <w:numPr>
        <w:numId w:val="3"/>
      </w:numPr>
      <w:tabs>
        <w:tab w:val="clear" w:pos="283"/>
      </w:tabs>
      <w:ind w:left="0" w:firstLine="0"/>
    </w:pPr>
    <w:rPr>
      <w:rFonts w:eastAsia="Times New Roman"/>
      <w:lang w:eastAsia="de-DE"/>
    </w:rPr>
  </w:style>
  <w:style w:type="paragraph" w:customStyle="1" w:styleId="ListDash1">
    <w:name w:val="List Dash 1"/>
    <w:basedOn w:val="Normal"/>
    <w:rsid w:val="00B74715"/>
    <w:pPr>
      <w:numPr>
        <w:numId w:val="4"/>
      </w:numPr>
      <w:tabs>
        <w:tab w:val="clear" w:pos="1134"/>
      </w:tabs>
      <w:ind w:left="0" w:firstLine="0"/>
    </w:pPr>
    <w:rPr>
      <w:rFonts w:eastAsia="Times New Roman"/>
      <w:lang w:eastAsia="de-DE"/>
    </w:rPr>
  </w:style>
  <w:style w:type="paragraph" w:customStyle="1" w:styleId="ListDash2">
    <w:name w:val="List Dash 2"/>
    <w:basedOn w:val="Normal"/>
    <w:rsid w:val="00B74715"/>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B74715"/>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B74715"/>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B74715"/>
    <w:pPr>
      <w:numPr>
        <w:ilvl w:val="3"/>
        <w:numId w:val="6"/>
      </w:numPr>
      <w:tabs>
        <w:tab w:val="clear" w:pos="2835"/>
      </w:tabs>
      <w:ind w:left="0" w:firstLine="0"/>
    </w:pPr>
    <w:rPr>
      <w:rFonts w:eastAsia="Times New Roman"/>
      <w:lang w:eastAsia="de-DE"/>
    </w:rPr>
  </w:style>
  <w:style w:type="table" w:styleId="TableGrid">
    <w:name w:val="Table Grid"/>
    <w:basedOn w:val="TableNormal"/>
    <w:rsid w:val="00B74715"/>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74715"/>
    <w:rPr>
      <w:color w:val="0000FF"/>
      <w:u w:val="single"/>
    </w:rPr>
  </w:style>
  <w:style w:type="paragraph" w:styleId="ListBullet">
    <w:name w:val="List Bullet"/>
    <w:basedOn w:val="Normal"/>
    <w:rsid w:val="00B74715"/>
    <w:pPr>
      <w:numPr>
        <w:numId w:val="7"/>
      </w:numPr>
      <w:tabs>
        <w:tab w:val="clear" w:pos="283"/>
      </w:tabs>
      <w:ind w:left="0" w:firstLine="0"/>
    </w:pPr>
    <w:rPr>
      <w:rFonts w:eastAsia="Times New Roman"/>
      <w:lang w:eastAsia="en-GB"/>
    </w:rPr>
  </w:style>
  <w:style w:type="paragraph" w:styleId="ListBullet2">
    <w:name w:val="List Bullet 2"/>
    <w:basedOn w:val="Normal"/>
    <w:rsid w:val="00B74715"/>
    <w:pPr>
      <w:numPr>
        <w:numId w:val="8"/>
      </w:numPr>
      <w:tabs>
        <w:tab w:val="clear" w:pos="1134"/>
      </w:tabs>
      <w:ind w:left="0" w:firstLine="0"/>
    </w:pPr>
    <w:rPr>
      <w:rFonts w:eastAsia="Times New Roman"/>
      <w:lang w:eastAsia="en-GB"/>
    </w:rPr>
  </w:style>
  <w:style w:type="paragraph" w:styleId="ListBullet3">
    <w:name w:val="List Bullet 3"/>
    <w:basedOn w:val="Normal"/>
    <w:rsid w:val="00B74715"/>
    <w:pPr>
      <w:numPr>
        <w:numId w:val="9"/>
      </w:numPr>
      <w:tabs>
        <w:tab w:val="clear" w:pos="1134"/>
      </w:tabs>
      <w:ind w:left="0" w:firstLine="0"/>
    </w:pPr>
    <w:rPr>
      <w:rFonts w:eastAsia="Times New Roman"/>
      <w:lang w:eastAsia="en-GB"/>
    </w:rPr>
  </w:style>
  <w:style w:type="paragraph" w:styleId="ListNumber2">
    <w:name w:val="List Number 2"/>
    <w:basedOn w:val="Normal"/>
    <w:rsid w:val="00B74715"/>
    <w:pPr>
      <w:numPr>
        <w:numId w:val="13"/>
      </w:numPr>
      <w:tabs>
        <w:tab w:val="clear" w:pos="1560"/>
      </w:tabs>
      <w:ind w:left="0" w:firstLine="0"/>
    </w:pPr>
    <w:rPr>
      <w:rFonts w:eastAsia="Times New Roman"/>
      <w:lang w:eastAsia="en-GB"/>
    </w:rPr>
  </w:style>
  <w:style w:type="paragraph" w:styleId="ListNumber3">
    <w:name w:val="List Number 3"/>
    <w:basedOn w:val="Normal"/>
    <w:rsid w:val="00B74715"/>
    <w:pPr>
      <w:numPr>
        <w:numId w:val="14"/>
      </w:numPr>
      <w:tabs>
        <w:tab w:val="clear" w:pos="1560"/>
      </w:tabs>
      <w:ind w:left="0" w:firstLine="0"/>
    </w:pPr>
    <w:rPr>
      <w:rFonts w:eastAsia="Times New Roman"/>
      <w:lang w:eastAsia="en-GB"/>
    </w:rPr>
  </w:style>
  <w:style w:type="paragraph" w:styleId="ListNumber4">
    <w:name w:val="List Number 4"/>
    <w:basedOn w:val="Normal"/>
    <w:rsid w:val="00B74715"/>
    <w:pPr>
      <w:numPr>
        <w:numId w:val="15"/>
      </w:numPr>
      <w:tabs>
        <w:tab w:val="clear" w:pos="1560"/>
      </w:tabs>
    </w:pPr>
    <w:rPr>
      <w:rFonts w:eastAsia="Times New Roman"/>
      <w:lang w:eastAsia="en-GB"/>
    </w:rPr>
  </w:style>
  <w:style w:type="paragraph" w:customStyle="1" w:styleId="ListDash3">
    <w:name w:val="List Dash 3"/>
    <w:basedOn w:val="Normal"/>
    <w:rsid w:val="00B74715"/>
    <w:pPr>
      <w:numPr>
        <w:numId w:val="10"/>
      </w:numPr>
      <w:tabs>
        <w:tab w:val="clear" w:pos="1134"/>
      </w:tabs>
      <w:ind w:left="0" w:firstLine="0"/>
    </w:pPr>
    <w:rPr>
      <w:rFonts w:eastAsia="Times New Roman"/>
      <w:lang w:eastAsia="en-GB"/>
    </w:rPr>
  </w:style>
  <w:style w:type="paragraph" w:customStyle="1" w:styleId="ListDash4">
    <w:name w:val="List Dash 4"/>
    <w:basedOn w:val="Normal"/>
    <w:rsid w:val="00B74715"/>
    <w:pPr>
      <w:numPr>
        <w:numId w:val="11"/>
      </w:numPr>
      <w:tabs>
        <w:tab w:val="clear" w:pos="1134"/>
      </w:tabs>
      <w:ind w:left="0" w:firstLine="0"/>
    </w:pPr>
    <w:rPr>
      <w:rFonts w:eastAsia="Times New Roman"/>
      <w:lang w:eastAsia="en-GB"/>
    </w:rPr>
  </w:style>
  <w:style w:type="paragraph" w:customStyle="1" w:styleId="ListNumber1">
    <w:name w:val="List Number 1"/>
    <w:basedOn w:val="Text1"/>
    <w:rsid w:val="00B74715"/>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rsid w:val="00B74715"/>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rsid w:val="00B74715"/>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rsid w:val="00B74715"/>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rsid w:val="00B74715"/>
    <w:pPr>
      <w:numPr>
        <w:ilvl w:val="1"/>
        <w:numId w:val="15"/>
      </w:numPr>
      <w:tabs>
        <w:tab w:val="clear" w:pos="2268"/>
      </w:tabs>
    </w:pPr>
    <w:rPr>
      <w:rFonts w:eastAsia="Times New Roman"/>
      <w:lang w:eastAsia="en-GB"/>
    </w:rPr>
  </w:style>
  <w:style w:type="paragraph" w:customStyle="1" w:styleId="ListNumber1Level3">
    <w:name w:val="List Number 1 (Level 3)"/>
    <w:basedOn w:val="Text1"/>
    <w:rsid w:val="00B74715"/>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rsid w:val="00B74715"/>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rsid w:val="00B74715"/>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rsid w:val="00B74715"/>
    <w:pPr>
      <w:numPr>
        <w:ilvl w:val="2"/>
        <w:numId w:val="15"/>
      </w:numPr>
      <w:tabs>
        <w:tab w:val="clear" w:pos="2977"/>
      </w:tabs>
    </w:pPr>
    <w:rPr>
      <w:rFonts w:eastAsia="Times New Roman"/>
      <w:lang w:eastAsia="en-GB"/>
    </w:rPr>
  </w:style>
  <w:style w:type="paragraph" w:customStyle="1" w:styleId="ListNumber1Level4">
    <w:name w:val="List Number 1 (Level 4)"/>
    <w:basedOn w:val="Text1"/>
    <w:rsid w:val="00B74715"/>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rsid w:val="00B74715"/>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rsid w:val="00B74715"/>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rsid w:val="00B74715"/>
    <w:pPr>
      <w:numPr>
        <w:ilvl w:val="3"/>
        <w:numId w:val="15"/>
      </w:numPr>
    </w:pPr>
    <w:rPr>
      <w:rFonts w:eastAsia="Times New Roman"/>
      <w:lang w:eastAsia="en-GB"/>
    </w:rPr>
  </w:style>
  <w:style w:type="paragraph" w:customStyle="1" w:styleId="Annexetitreacte">
    <w:name w:val="Annexe titre (acte)"/>
    <w:basedOn w:val="Normal"/>
    <w:next w:val="Normal"/>
    <w:rsid w:val="00B74715"/>
    <w:pPr>
      <w:jc w:val="center"/>
    </w:pPr>
    <w:rPr>
      <w:rFonts w:eastAsia="Times New Roman"/>
      <w:b/>
      <w:u w:val="single"/>
      <w:lang w:eastAsia="en-GB"/>
    </w:rPr>
  </w:style>
  <w:style w:type="paragraph" w:customStyle="1" w:styleId="Annexetitreexposglobal">
    <w:name w:val="Annexe titre (exposé global)"/>
    <w:basedOn w:val="Normal"/>
    <w:next w:val="Normal"/>
    <w:rsid w:val="00B74715"/>
    <w:pPr>
      <w:jc w:val="center"/>
    </w:pPr>
    <w:rPr>
      <w:rFonts w:eastAsia="Times New Roman"/>
      <w:b/>
      <w:u w:val="single"/>
      <w:lang w:eastAsia="en-GB"/>
    </w:rPr>
  </w:style>
  <w:style w:type="paragraph" w:customStyle="1" w:styleId="Annexetitrefichefinacte">
    <w:name w:val="Annexe titre (fiche fin. acte)"/>
    <w:basedOn w:val="Normal"/>
    <w:next w:val="Normal"/>
    <w:rsid w:val="00B74715"/>
    <w:pPr>
      <w:jc w:val="center"/>
    </w:pPr>
    <w:rPr>
      <w:rFonts w:eastAsia="Times New Roman"/>
      <w:b/>
      <w:u w:val="single"/>
      <w:lang w:eastAsia="en-GB"/>
    </w:rPr>
  </w:style>
  <w:style w:type="paragraph" w:customStyle="1" w:styleId="Annexetitrefichefinglobale">
    <w:name w:val="Annexe titre (fiche fin. globale)"/>
    <w:basedOn w:val="Normal"/>
    <w:next w:val="Normal"/>
    <w:rsid w:val="00B74715"/>
    <w:pPr>
      <w:jc w:val="center"/>
    </w:pPr>
    <w:rPr>
      <w:rFonts w:eastAsia="Times New Roman"/>
      <w:b/>
      <w:u w:val="single"/>
      <w:lang w:eastAsia="en-GB"/>
    </w:rPr>
  </w:style>
  <w:style w:type="paragraph" w:customStyle="1" w:styleId="Annexetitreglobale">
    <w:name w:val="Annexe titre (globale)"/>
    <w:basedOn w:val="Normal"/>
    <w:next w:val="Normal"/>
    <w:rsid w:val="00B74715"/>
    <w:pPr>
      <w:jc w:val="center"/>
    </w:pPr>
    <w:rPr>
      <w:rFonts w:eastAsia="Times New Roman"/>
      <w:b/>
      <w:u w:val="single"/>
      <w:lang w:eastAsia="en-GB"/>
    </w:rPr>
  </w:style>
  <w:style w:type="paragraph" w:customStyle="1" w:styleId="Exposdesmotifstitreglobal">
    <w:name w:val="Exposé des motifs titre (global)"/>
    <w:basedOn w:val="Normal"/>
    <w:next w:val="Normal"/>
    <w:rsid w:val="00B74715"/>
    <w:pPr>
      <w:jc w:val="center"/>
    </w:pPr>
    <w:rPr>
      <w:rFonts w:eastAsia="Times New Roman"/>
      <w:b/>
      <w:u w:val="single"/>
      <w:lang w:eastAsia="en-GB"/>
    </w:rPr>
  </w:style>
  <w:style w:type="paragraph" w:customStyle="1" w:styleId="Langueoriginale">
    <w:name w:val="Langue originale"/>
    <w:basedOn w:val="Normal"/>
    <w:rsid w:val="00B74715"/>
    <w:pPr>
      <w:spacing w:before="360"/>
      <w:jc w:val="center"/>
    </w:pPr>
    <w:rPr>
      <w:rFonts w:eastAsia="Times New Roman"/>
      <w:caps/>
      <w:lang w:eastAsia="en-GB"/>
    </w:rPr>
  </w:style>
  <w:style w:type="paragraph" w:customStyle="1" w:styleId="Phrasefinale">
    <w:name w:val="Phrase finale"/>
    <w:basedOn w:val="Normal"/>
    <w:next w:val="Normal"/>
    <w:rsid w:val="00B74715"/>
    <w:pPr>
      <w:spacing w:before="360" w:after="0"/>
      <w:jc w:val="center"/>
    </w:pPr>
    <w:rPr>
      <w:rFonts w:eastAsia="Times New Roman"/>
      <w:lang w:eastAsia="en-GB"/>
    </w:rPr>
  </w:style>
  <w:style w:type="paragraph" w:customStyle="1" w:styleId="Prliminairetitre">
    <w:name w:val="Préliminaire titre"/>
    <w:basedOn w:val="Normal"/>
    <w:next w:val="Normal"/>
    <w:rsid w:val="00B74715"/>
    <w:pPr>
      <w:spacing w:before="360" w:after="360"/>
      <w:jc w:val="center"/>
    </w:pPr>
    <w:rPr>
      <w:rFonts w:eastAsia="Times New Roman"/>
      <w:b/>
      <w:lang w:eastAsia="en-GB"/>
    </w:rPr>
  </w:style>
  <w:style w:type="paragraph" w:customStyle="1" w:styleId="Prliminairetype">
    <w:name w:val="Préliminaire type"/>
    <w:basedOn w:val="Normal"/>
    <w:next w:val="Normal"/>
    <w:rsid w:val="00B74715"/>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B74715"/>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B74715"/>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B74715"/>
    <w:pPr>
      <w:spacing w:before="0" w:after="0"/>
      <w:ind w:left="5103"/>
      <w:jc w:val="left"/>
    </w:pPr>
    <w:rPr>
      <w:rFonts w:eastAsia="Times New Roman"/>
      <w:lang w:eastAsia="en-GB"/>
    </w:rPr>
  </w:style>
  <w:style w:type="paragraph" w:customStyle="1" w:styleId="Sous-titreobjetprliminaire">
    <w:name w:val="Sous-titre objet (préliminaire)"/>
    <w:basedOn w:val="Normal"/>
    <w:rsid w:val="00B74715"/>
    <w:pPr>
      <w:spacing w:before="0" w:after="0"/>
      <w:jc w:val="center"/>
    </w:pPr>
    <w:rPr>
      <w:rFonts w:eastAsia="Times New Roman"/>
      <w:b/>
      <w:lang w:eastAsia="en-GB"/>
    </w:rPr>
  </w:style>
  <w:style w:type="paragraph" w:customStyle="1" w:styleId="Statutprliminaire">
    <w:name w:val="Statut (préliminaire)"/>
    <w:basedOn w:val="Normal"/>
    <w:next w:val="Normal"/>
    <w:rsid w:val="00B74715"/>
    <w:pPr>
      <w:spacing w:before="360" w:after="0"/>
      <w:jc w:val="center"/>
    </w:pPr>
    <w:rPr>
      <w:rFonts w:eastAsia="Times New Roman"/>
      <w:lang w:eastAsia="en-GB"/>
    </w:rPr>
  </w:style>
  <w:style w:type="paragraph" w:customStyle="1" w:styleId="Titreobjetprliminaire">
    <w:name w:val="Titre objet (préliminaire)"/>
    <w:basedOn w:val="Normal"/>
    <w:next w:val="Normal"/>
    <w:rsid w:val="00B74715"/>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B74715"/>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B74715"/>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B74715"/>
    <w:pPr>
      <w:jc w:val="center"/>
    </w:pPr>
    <w:rPr>
      <w:rFonts w:eastAsia="Times New Roman"/>
      <w:b/>
      <w:u w:val="single"/>
      <w:lang w:eastAsia="en-GB"/>
    </w:rPr>
  </w:style>
  <w:style w:type="paragraph" w:customStyle="1" w:styleId="Fichefinanciretravailtitre">
    <w:name w:val="Fiche financière (travail) titre"/>
    <w:basedOn w:val="Normal"/>
    <w:next w:val="Normal"/>
    <w:rsid w:val="00B74715"/>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B74715"/>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B74715"/>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B74715"/>
    <w:pPr>
      <w:jc w:val="center"/>
    </w:pPr>
    <w:rPr>
      <w:rFonts w:eastAsia="Times New Roman"/>
      <w:b/>
      <w:u w:val="single"/>
      <w:lang w:eastAsia="en-GB"/>
    </w:rPr>
  </w:style>
  <w:style w:type="character" w:styleId="CommentReference">
    <w:name w:val="annotation reference"/>
    <w:rsid w:val="00B74715"/>
    <w:rPr>
      <w:rFonts w:cs="Times New Roman"/>
      <w:sz w:val="16"/>
      <w:szCs w:val="16"/>
    </w:rPr>
  </w:style>
  <w:style w:type="paragraph" w:styleId="CommentText">
    <w:name w:val="annotation text"/>
    <w:basedOn w:val="Normal"/>
    <w:link w:val="CommentTextChar"/>
    <w:rsid w:val="00B74715"/>
    <w:rPr>
      <w:rFonts w:eastAsia="Times New Roman"/>
      <w:sz w:val="20"/>
      <w:szCs w:val="20"/>
      <w:lang w:eastAsia="en-GB"/>
    </w:rPr>
  </w:style>
  <w:style w:type="character" w:customStyle="1" w:styleId="CommentTextChar">
    <w:name w:val="Comment Text Char"/>
    <w:basedOn w:val="DefaultParagraphFont"/>
    <w:link w:val="CommentText"/>
    <w:rsid w:val="00B74715"/>
    <w:rPr>
      <w:rFonts w:ascii="Times New Roman" w:eastAsia="Times New Roman" w:hAnsi="Times New Roman" w:cs="Times New Roman"/>
      <w:sz w:val="20"/>
      <w:szCs w:val="20"/>
      <w:lang w:val="ro-RO" w:eastAsia="en-GB"/>
    </w:rPr>
  </w:style>
  <w:style w:type="paragraph" w:styleId="CommentSubject">
    <w:name w:val="annotation subject"/>
    <w:basedOn w:val="CommentText"/>
    <w:next w:val="CommentText"/>
    <w:link w:val="CommentSubjectChar"/>
    <w:rsid w:val="00B74715"/>
    <w:rPr>
      <w:b/>
      <w:bCs/>
    </w:rPr>
  </w:style>
  <w:style w:type="character" w:customStyle="1" w:styleId="CommentSubjectChar">
    <w:name w:val="Comment Subject Char"/>
    <w:basedOn w:val="CommentTextChar"/>
    <w:link w:val="CommentSubject"/>
    <w:rsid w:val="00B74715"/>
    <w:rPr>
      <w:rFonts w:ascii="Times New Roman" w:eastAsia="Times New Roman" w:hAnsi="Times New Roman" w:cs="Times New Roman"/>
      <w:b/>
      <w:bCs/>
      <w:sz w:val="20"/>
      <w:szCs w:val="20"/>
      <w:lang w:val="ro-RO" w:eastAsia="en-GB"/>
    </w:rPr>
  </w:style>
  <w:style w:type="paragraph" w:styleId="BalloonText">
    <w:name w:val="Balloon Text"/>
    <w:basedOn w:val="Normal"/>
    <w:link w:val="BalloonTextChar"/>
    <w:rsid w:val="00B74715"/>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B74715"/>
    <w:rPr>
      <w:rFonts w:ascii="Tahoma" w:eastAsia="Times New Roman" w:hAnsi="Tahoma" w:cs="Tahoma"/>
      <w:sz w:val="16"/>
      <w:szCs w:val="16"/>
      <w:lang w:val="ro-RO" w:eastAsia="en-GB"/>
    </w:rPr>
  </w:style>
  <w:style w:type="paragraph" w:styleId="Caption">
    <w:name w:val="caption"/>
    <w:basedOn w:val="Normal"/>
    <w:next w:val="Normal"/>
    <w:qFormat/>
    <w:rsid w:val="00B74715"/>
    <w:rPr>
      <w:rFonts w:eastAsia="Times New Roman"/>
      <w:b/>
      <w:bCs/>
      <w:sz w:val="20"/>
      <w:szCs w:val="20"/>
      <w:lang w:eastAsia="en-GB"/>
    </w:rPr>
  </w:style>
  <w:style w:type="paragraph" w:styleId="TableofFigures">
    <w:name w:val="table of figures"/>
    <w:basedOn w:val="Normal"/>
    <w:next w:val="Normal"/>
    <w:rsid w:val="00B74715"/>
    <w:rPr>
      <w:rFonts w:eastAsia="Times New Roman"/>
      <w:lang w:eastAsia="en-GB"/>
    </w:rPr>
  </w:style>
  <w:style w:type="character" w:styleId="PageNumber">
    <w:name w:val="page number"/>
    <w:rsid w:val="00B74715"/>
  </w:style>
  <w:style w:type="character" w:customStyle="1" w:styleId="tw4winMark">
    <w:name w:val="tw4winMark"/>
    <w:rsid w:val="00B74715"/>
    <w:rPr>
      <w:vanish/>
      <w:color w:val="800080"/>
      <w:vertAlign w:val="subscript"/>
    </w:rPr>
  </w:style>
  <w:style w:type="character" w:styleId="FollowedHyperlink">
    <w:name w:val="FollowedHyperlink"/>
    <w:rsid w:val="00B74715"/>
    <w:rPr>
      <w:color w:val="800080"/>
      <w:u w:val="single"/>
    </w:rPr>
  </w:style>
  <w:style w:type="paragraph" w:customStyle="1" w:styleId="Sous-titreobjet">
    <w:name w:val="Sous-titre objet"/>
    <w:basedOn w:val="Normal"/>
    <w:rsid w:val="00B74715"/>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B74715"/>
  </w:style>
  <w:style w:type="paragraph" w:styleId="Revision">
    <w:name w:val="Revision"/>
    <w:hidden/>
    <w:uiPriority w:val="99"/>
    <w:semiHidden/>
    <w:rsid w:val="00B74715"/>
    <w:rPr>
      <w:rFonts w:ascii="Calibri" w:eastAsia="Calibri" w:hAnsi="Calibri" w:cs="Times New Roman"/>
      <w:sz w:val="24"/>
      <w:lang w:eastAsia="en-GB"/>
    </w:rPr>
  </w:style>
  <w:style w:type="paragraph" w:customStyle="1" w:styleId="FooterCoverPage">
    <w:name w:val="Footer Cover Page"/>
    <w:basedOn w:val="Normal"/>
    <w:link w:val="FooterCoverPageChar"/>
    <w:rsid w:val="00B74715"/>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B74715"/>
    <w:rPr>
      <w:rFonts w:ascii="Times New Roman" w:hAnsi="Times New Roman" w:cs="Times New Roman"/>
      <w:b/>
      <w:sz w:val="28"/>
      <w:lang w:val="ro-RO"/>
    </w:rPr>
  </w:style>
  <w:style w:type="character" w:customStyle="1" w:styleId="FooterCoverPageChar">
    <w:name w:val="Footer Cover Page Char"/>
    <w:link w:val="FooterCoverPage"/>
    <w:rsid w:val="00B74715"/>
    <w:rPr>
      <w:rFonts w:ascii="Times New Roman" w:eastAsia="Calibri" w:hAnsi="Times New Roman" w:cs="Times New Roman"/>
      <w:sz w:val="24"/>
      <w:lang w:val="ro-RO" w:eastAsia="en-GB"/>
    </w:rPr>
  </w:style>
  <w:style w:type="paragraph" w:customStyle="1" w:styleId="HeaderCoverPage">
    <w:name w:val="Header Cover Page"/>
    <w:basedOn w:val="Normal"/>
    <w:link w:val="HeaderCoverPageChar"/>
    <w:rsid w:val="00B74715"/>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B74715"/>
    <w:rPr>
      <w:rFonts w:ascii="Times New Roman" w:eastAsia="Calibri" w:hAnsi="Times New Roman" w:cs="Times New Roman"/>
      <w:sz w:val="24"/>
      <w:lang w:val="ro-RO" w:eastAsia="en-GB"/>
    </w:rPr>
  </w:style>
  <w:style w:type="character" w:customStyle="1" w:styleId="FooterSensitivityChar">
    <w:name w:val="Footer Sensitivity Char"/>
    <w:rsid w:val="00B74715"/>
    <w:rPr>
      <w:rFonts w:ascii="Times New Roman" w:hAnsi="Times New Roman" w:cs="Times New Roman"/>
      <w:b/>
      <w:sz w:val="32"/>
      <w:lang w:val="ro-RO"/>
    </w:rPr>
  </w:style>
  <w:style w:type="character" w:customStyle="1" w:styleId="HeaderSensitivityChar">
    <w:name w:val="Header Sensitivity Char"/>
    <w:rsid w:val="00B74715"/>
    <w:rPr>
      <w:rFonts w:ascii="Times New Roman" w:hAnsi="Times New Roman" w:cs="Times New Roman"/>
      <w:b/>
      <w:sz w:val="32"/>
      <w:lang w:val="ro-RO"/>
    </w:rPr>
  </w:style>
  <w:style w:type="character" w:customStyle="1" w:styleId="HeaderSensitivityRightChar">
    <w:name w:val="Header Sensitivity Right Char"/>
    <w:rsid w:val="00B74715"/>
    <w:rPr>
      <w:rFonts w:ascii="Times New Roman" w:hAnsi="Times New Roman" w:cs="Times New Roman"/>
      <w:sz w:val="28"/>
      <w:lang w:val="ro-RO"/>
    </w:rPr>
  </w:style>
  <w:style w:type="paragraph" w:customStyle="1" w:styleId="LegalNumPar">
    <w:name w:val="LegalNumPar"/>
    <w:basedOn w:val="Normal"/>
    <w:rsid w:val="00B74715"/>
    <w:pPr>
      <w:numPr>
        <w:numId w:val="16"/>
      </w:numPr>
      <w:spacing w:line="360" w:lineRule="auto"/>
      <w:ind w:left="0" w:firstLine="0"/>
    </w:pPr>
    <w:rPr>
      <w:rFonts w:eastAsia="Times New Roman"/>
      <w:lang w:eastAsia="en-GB"/>
    </w:rPr>
  </w:style>
  <w:style w:type="paragraph" w:customStyle="1" w:styleId="LegalNumPar2">
    <w:name w:val="LegalNumPar2"/>
    <w:basedOn w:val="Normal"/>
    <w:rsid w:val="00B74715"/>
    <w:pPr>
      <w:spacing w:line="360" w:lineRule="auto"/>
    </w:pPr>
    <w:rPr>
      <w:rFonts w:eastAsia="Times New Roman"/>
      <w:lang w:eastAsia="en-GB"/>
    </w:rPr>
  </w:style>
  <w:style w:type="paragraph" w:customStyle="1" w:styleId="LegalNumPar3">
    <w:name w:val="LegalNumPar3"/>
    <w:basedOn w:val="Normal"/>
    <w:rsid w:val="00B74715"/>
    <w:pPr>
      <w:spacing w:line="360" w:lineRule="auto"/>
    </w:pPr>
    <w:rPr>
      <w:rFonts w:eastAsia="Times New Roman"/>
      <w:lang w:eastAsia="en-GB"/>
    </w:rPr>
  </w:style>
  <w:style w:type="paragraph" w:styleId="ListParagraph">
    <w:name w:val="List Paragraph"/>
    <w:basedOn w:val="Normal"/>
    <w:uiPriority w:val="34"/>
    <w:qFormat/>
    <w:rsid w:val="00B74715"/>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B74715"/>
    <w:rPr>
      <w:color w:val="605E5C"/>
      <w:shd w:val="clear" w:color="auto" w:fill="E1DFDD"/>
    </w:rPr>
  </w:style>
  <w:style w:type="character" w:styleId="Strong">
    <w:name w:val="Strong"/>
    <w:basedOn w:val="DefaultParagraphFont"/>
    <w:uiPriority w:val="22"/>
    <w:qFormat/>
    <w:rsid w:val="00B74715"/>
    <w:rPr>
      <w:b/>
      <w:bCs/>
    </w:rPr>
  </w:style>
  <w:style w:type="character" w:styleId="Emphasis">
    <w:name w:val="Emphasis"/>
    <w:basedOn w:val="DefaultParagraphFont"/>
    <w:qFormat/>
    <w:rsid w:val="00B74715"/>
    <w:rPr>
      <w:i/>
      <w:iCs/>
    </w:rPr>
  </w:style>
  <w:style w:type="character" w:customStyle="1" w:styleId="Mention1">
    <w:name w:val="Mention1"/>
    <w:basedOn w:val="DefaultParagraphFont"/>
    <w:uiPriority w:val="99"/>
    <w:unhideWhenUsed/>
    <w:rsid w:val="00B74715"/>
    <w:rPr>
      <w:color w:val="2B579A"/>
      <w:shd w:val="clear" w:color="auto" w:fill="E1DFDD"/>
    </w:rPr>
  </w:style>
  <w:style w:type="character" w:customStyle="1" w:styleId="normaltextrun">
    <w:name w:val="normaltextrun"/>
    <w:basedOn w:val="DefaultParagraphFont"/>
    <w:rsid w:val="00B74715"/>
  </w:style>
  <w:style w:type="character" w:customStyle="1" w:styleId="eop">
    <w:name w:val="eop"/>
    <w:basedOn w:val="DefaultParagraphFont"/>
    <w:rsid w:val="00B74715"/>
  </w:style>
  <w:style w:type="paragraph" w:customStyle="1" w:styleId="a">
    <w:name w:val="(a)"/>
    <w:basedOn w:val="ListParagraph"/>
    <w:rsid w:val="00D664CB"/>
    <w:pPr>
      <w:numPr>
        <w:numId w:val="17"/>
      </w:numPr>
      <w:spacing w:before="0" w:after="160" w:line="259" w:lineRule="auto"/>
    </w:pPr>
    <w:rPr>
      <w:rFonts w:eastAsiaTheme="minorHAnsi"/>
      <w:kern w:val="2"/>
      <w:szCs w:val="24"/>
      <w:lang w:eastAsia="en-US"/>
      <w14:ligatures w14:val="standardContextual"/>
    </w:rPr>
  </w:style>
  <w:style w:type="paragraph" w:customStyle="1" w:styleId="NumPara">
    <w:name w:val="NumPara"/>
    <w:basedOn w:val="Point0number"/>
    <w:rsid w:val="00D664CB"/>
    <w:pPr>
      <w:numPr>
        <w:numId w:val="0"/>
      </w:numPr>
      <w:tabs>
        <w:tab w:val="num" w:pos="850"/>
      </w:tabs>
      <w:ind w:left="850" w:hanging="850"/>
    </w:pPr>
  </w:style>
  <w:style w:type="paragraph" w:customStyle="1" w:styleId="oj-doc-ti">
    <w:name w:val="oj-doc-ti"/>
    <w:basedOn w:val="Normal"/>
    <w:rsid w:val="00D664CB"/>
    <w:pPr>
      <w:spacing w:before="100" w:beforeAutospacing="1" w:after="100" w:afterAutospacing="1"/>
      <w:jc w:val="left"/>
    </w:pPr>
    <w:rPr>
      <w:rFonts w:eastAsia="Times New Roman"/>
      <w:szCs w:val="24"/>
      <w:lang w:eastAsia="en-IE"/>
    </w:rPr>
  </w:style>
  <w:style w:type="paragraph" w:customStyle="1" w:styleId="oj-ti-grseq-1">
    <w:name w:val="oj-ti-grseq-1"/>
    <w:basedOn w:val="Normal"/>
    <w:rsid w:val="00D664CB"/>
    <w:pPr>
      <w:spacing w:before="100" w:beforeAutospacing="1" w:after="100" w:afterAutospacing="1"/>
      <w:jc w:val="left"/>
    </w:pPr>
    <w:rPr>
      <w:rFonts w:eastAsia="Times New Roman"/>
      <w:szCs w:val="24"/>
      <w:lang w:eastAsia="en-IE"/>
    </w:rPr>
  </w:style>
  <w:style w:type="paragraph" w:customStyle="1" w:styleId="oj-normal">
    <w:name w:val="oj-normal"/>
    <w:basedOn w:val="Normal"/>
    <w:rsid w:val="00D664CB"/>
    <w:pPr>
      <w:spacing w:before="100" w:beforeAutospacing="1" w:after="100" w:afterAutospacing="1"/>
      <w:jc w:val="left"/>
    </w:pPr>
    <w:rPr>
      <w:rFonts w:eastAsia="Times New Roman"/>
      <w:szCs w:val="24"/>
      <w:lang w:eastAsia="en-IE"/>
    </w:rPr>
  </w:style>
  <w:style w:type="paragraph" w:customStyle="1" w:styleId="pf0">
    <w:name w:val="pf0"/>
    <w:basedOn w:val="Normal"/>
    <w:rsid w:val="00D664CB"/>
    <w:pPr>
      <w:spacing w:before="100" w:beforeAutospacing="1" w:after="100" w:afterAutospacing="1"/>
      <w:jc w:val="left"/>
    </w:pPr>
    <w:rPr>
      <w:rFonts w:eastAsia="Times New Roman"/>
      <w:szCs w:val="24"/>
      <w:lang w:eastAsia="en-IE"/>
    </w:rPr>
  </w:style>
  <w:style w:type="character" w:customStyle="1" w:styleId="cf01">
    <w:name w:val="cf01"/>
    <w:basedOn w:val="DefaultParagraphFont"/>
    <w:rsid w:val="00D664CB"/>
    <w:rPr>
      <w:rFonts w:ascii="Segoe UI" w:hAnsi="Segoe UI" w:cs="Segoe UI" w:hint="default"/>
      <w:sz w:val="18"/>
      <w:szCs w:val="18"/>
    </w:rPr>
  </w:style>
  <w:style w:type="character" w:customStyle="1" w:styleId="cf11">
    <w:name w:val="cf11"/>
    <w:basedOn w:val="DefaultParagraphFont"/>
    <w:rsid w:val="00D664CB"/>
    <w:rPr>
      <w:rFonts w:ascii="Segoe UI" w:hAnsi="Segoe UI" w:cs="Segoe UI" w:hint="default"/>
      <w:sz w:val="18"/>
      <w:szCs w:val="18"/>
    </w:rPr>
  </w:style>
  <w:style w:type="paragraph" w:customStyle="1" w:styleId="paragraph">
    <w:name w:val="paragraph"/>
    <w:basedOn w:val="Normal"/>
    <w:rsid w:val="00D664CB"/>
    <w:pPr>
      <w:spacing w:before="100" w:beforeAutospacing="1" w:after="100" w:afterAutospacing="1"/>
      <w:jc w:val="left"/>
    </w:pPr>
    <w:rPr>
      <w:rFonts w:eastAsia="Times New Roman"/>
      <w:szCs w:val="24"/>
      <w:lang w:eastAsia="de-DE"/>
    </w:rPr>
  </w:style>
  <w:style w:type="paragraph" w:customStyle="1" w:styleId="TableListDash">
    <w:name w:val="Table List Dash"/>
    <w:basedOn w:val="Normal"/>
    <w:uiPriority w:val="55"/>
    <w:rsid w:val="00D664CB"/>
    <w:pPr>
      <w:numPr>
        <w:numId w:val="18"/>
      </w:numPr>
      <w:spacing w:before="60" w:after="60"/>
      <w:ind w:left="0" w:firstLine="0"/>
      <w:jc w:val="left"/>
    </w:pPr>
    <w:rPr>
      <w:rFonts w:eastAsia="Times New Roman"/>
      <w:szCs w:val="20"/>
      <w:lang w:eastAsia="en-IE"/>
    </w:rPr>
  </w:style>
  <w:style w:type="paragraph" w:customStyle="1" w:styleId="TableListDashLevel2">
    <w:name w:val="Table List Dash (Level 2)"/>
    <w:basedOn w:val="Normal"/>
    <w:uiPriority w:val="55"/>
    <w:rsid w:val="00D664CB"/>
    <w:pPr>
      <w:numPr>
        <w:ilvl w:val="1"/>
        <w:numId w:val="18"/>
      </w:numPr>
      <w:tabs>
        <w:tab w:val="clear" w:pos="567"/>
      </w:tabs>
      <w:spacing w:before="60" w:after="60"/>
      <w:ind w:left="0" w:firstLine="0"/>
      <w:jc w:val="left"/>
    </w:pPr>
    <w:rPr>
      <w:rFonts w:eastAsia="Times New Roman"/>
      <w:szCs w:val="20"/>
      <w:lang w:eastAsia="en-IE"/>
    </w:rPr>
  </w:style>
  <w:style w:type="paragraph" w:customStyle="1" w:styleId="TableListDashLevel3">
    <w:name w:val="Table List Dash (Level 3)"/>
    <w:basedOn w:val="Normal"/>
    <w:uiPriority w:val="55"/>
    <w:semiHidden/>
    <w:unhideWhenUsed/>
    <w:rsid w:val="00D664CB"/>
    <w:pPr>
      <w:numPr>
        <w:ilvl w:val="2"/>
        <w:numId w:val="18"/>
      </w:numPr>
      <w:tabs>
        <w:tab w:val="clear" w:pos="850"/>
      </w:tabs>
      <w:spacing w:before="60" w:after="60"/>
      <w:ind w:left="0" w:firstLine="0"/>
      <w:jc w:val="left"/>
    </w:pPr>
    <w:rPr>
      <w:rFonts w:eastAsia="Times New Roman"/>
      <w:szCs w:val="20"/>
      <w:lang w:eastAsia="en-IE"/>
    </w:rPr>
  </w:style>
  <w:style w:type="paragraph" w:customStyle="1" w:styleId="TableListDashLevel4">
    <w:name w:val="Table List Dash (Level 4)"/>
    <w:basedOn w:val="Normal"/>
    <w:uiPriority w:val="55"/>
    <w:semiHidden/>
    <w:unhideWhenUsed/>
    <w:rsid w:val="00D664CB"/>
    <w:pPr>
      <w:numPr>
        <w:ilvl w:val="3"/>
        <w:numId w:val="18"/>
      </w:numPr>
      <w:tabs>
        <w:tab w:val="clear" w:pos="1134"/>
      </w:tabs>
      <w:spacing w:before="60" w:after="60"/>
      <w:ind w:left="0" w:firstLine="0"/>
      <w:jc w:val="left"/>
    </w:pPr>
    <w:rPr>
      <w:rFonts w:eastAsia="Times New Roman"/>
      <w:szCs w:val="20"/>
      <w:lang w:eastAsia="en-IE"/>
    </w:rPr>
  </w:style>
  <w:style w:type="paragraph" w:styleId="NormalWeb">
    <w:name w:val="Normal (Web)"/>
    <w:basedOn w:val="Normal"/>
    <w:uiPriority w:val="99"/>
    <w:unhideWhenUsed/>
    <w:rsid w:val="00D664CB"/>
    <w:pPr>
      <w:spacing w:before="100" w:beforeAutospacing="1" w:after="100" w:afterAutospacing="1"/>
      <w:jc w:val="left"/>
    </w:pPr>
    <w:rPr>
      <w:rFonts w:eastAsia="Times New Roman"/>
      <w:szCs w:val="24"/>
      <w:lang w:eastAsia="en-IE"/>
    </w:rPr>
  </w:style>
  <w:style w:type="paragraph" w:customStyle="1" w:styleId="CharCharChar1">
    <w:name w:val="Char Char Char1"/>
    <w:basedOn w:val="Normal"/>
    <w:link w:val="FootnoteReference"/>
    <w:uiPriority w:val="99"/>
    <w:rsid w:val="00D664CB"/>
    <w:pPr>
      <w:spacing w:before="0" w:after="160" w:line="276" w:lineRule="auto"/>
    </w:pPr>
    <w:rPr>
      <w:rFonts w:asciiTheme="minorHAnsi" w:hAnsiTheme="minorHAnsi" w:cstheme="minorBidi"/>
      <w:sz w:val="22"/>
      <w:vertAlign w:val="superscript"/>
    </w:rPr>
  </w:style>
  <w:style w:type="paragraph" w:customStyle="1" w:styleId="Default">
    <w:name w:val="Default"/>
    <w:rsid w:val="00D664C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Legnum">
    <w:name w:val="Legnum"/>
    <w:basedOn w:val="Point2number"/>
    <w:rsid w:val="00D664CB"/>
    <w:pPr>
      <w:numPr>
        <w:ilvl w:val="0"/>
        <w:numId w:val="0"/>
      </w:numPr>
      <w:tabs>
        <w:tab w:val="num" w:pos="1984"/>
      </w:tabs>
      <w:ind w:left="1984" w:hanging="567"/>
    </w:pPr>
    <w:rPr>
      <w:lang w:eastAsia="en-IE"/>
    </w:rPr>
  </w:style>
  <w:style w:type="paragraph" w:customStyle="1" w:styleId="LegNumPa">
    <w:name w:val="LegNumPa"/>
    <w:basedOn w:val="Normal"/>
    <w:rsid w:val="00D664CB"/>
  </w:style>
  <w:style w:type="paragraph" w:customStyle="1" w:styleId="title-bold">
    <w:name w:val="title-bold"/>
    <w:basedOn w:val="Normal"/>
    <w:rsid w:val="00D664CB"/>
    <w:pPr>
      <w:spacing w:before="100" w:beforeAutospacing="1" w:after="100" w:afterAutospacing="1"/>
      <w:jc w:val="left"/>
    </w:pPr>
    <w:rPr>
      <w:rFonts w:eastAsia="Times New Roman"/>
      <w:szCs w:val="24"/>
      <w:lang w:eastAsia="en-IE"/>
    </w:rPr>
  </w:style>
  <w:style w:type="paragraph" w:customStyle="1" w:styleId="TitreA">
    <w:name w:val="TitreA"/>
    <w:basedOn w:val="Normal"/>
    <w:rsid w:val="00D664CB"/>
    <w:pPr>
      <w:spacing w:before="0" w:after="160" w:line="278" w:lineRule="auto"/>
      <w:jc w:val="left"/>
    </w:pPr>
    <w:rPr>
      <w:kern w:val="2"/>
      <w:szCs w:val="24"/>
      <w14:ligatures w14:val="standardContextual"/>
    </w:rPr>
  </w:style>
  <w:style w:type="paragraph" w:customStyle="1" w:styleId="Text10">
    <w:name w:val="Text1"/>
    <w:basedOn w:val="NumPar1"/>
    <w:rsid w:val="00D664CB"/>
    <w:pPr>
      <w:numPr>
        <w:numId w:val="0"/>
      </w:numPr>
      <w:tabs>
        <w:tab w:val="num" w:pos="850"/>
      </w:tabs>
      <w:ind w:left="850" w:hanging="850"/>
    </w:pPr>
  </w:style>
  <w:style w:type="paragraph" w:customStyle="1" w:styleId="R">
    <w:name w:val="R"/>
    <w:basedOn w:val="Text10"/>
    <w:rsid w:val="00D664CB"/>
  </w:style>
  <w:style w:type="paragraph" w:customStyle="1" w:styleId="TOC">
    <w:name w:val="TOC"/>
    <w:basedOn w:val="Normal"/>
    <w:rsid w:val="006967D1"/>
    <w:pPr>
      <w:tabs>
        <w:tab w:val="right" w:leader="dot" w:pos="9071"/>
      </w:tabs>
      <w:spacing w:before="60"/>
      <w:ind w:left="850" w:hanging="850"/>
      <w:jc w:val="left"/>
    </w:pPr>
    <w:rPr>
      <w:noProof/>
    </w:rPr>
  </w:style>
  <w:style w:type="table" w:customStyle="1" w:styleId="TableGrid1">
    <w:name w:val="Table Grid1"/>
    <w:basedOn w:val="TableNormal"/>
    <w:next w:val="TableGrid"/>
    <w:uiPriority w:val="59"/>
    <w:rsid w:val="00524F40"/>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F199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A8433C"/>
    <w:rPr>
      <w:rFonts w:ascii="Times New Roman" w:hAnsi="Times New Roman" w:cs="Times New Roman"/>
      <w:sz w:val="24"/>
      <w:lang w:val="ro-RO"/>
    </w:rPr>
  </w:style>
  <w:style w:type="character" w:customStyle="1" w:styleId="FooterChar">
    <w:name w:val="Footer Char"/>
    <w:basedOn w:val="DefaultParagraphFont"/>
    <w:link w:val="Footer"/>
    <w:uiPriority w:val="99"/>
    <w:rsid w:val="00A8433C"/>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rsid w:val="00A8433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8433C"/>
    <w:pPr>
      <w:spacing w:before="0"/>
      <w:jc w:val="right"/>
    </w:pPr>
    <w:rPr>
      <w:sz w:val="28"/>
    </w:rPr>
  </w:style>
  <w:style w:type="paragraph" w:customStyle="1" w:styleId="FooterSensitivity">
    <w:name w:val="Footer Sensitivity"/>
    <w:basedOn w:val="Normal"/>
    <w:rsid w:val="00A8433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1"/>
      </w:numPr>
    </w:pPr>
  </w:style>
  <w:style w:type="paragraph" w:customStyle="1" w:styleId="Tiret1">
    <w:name w:val="Tiret 1"/>
    <w:basedOn w:val="Point1"/>
    <w:pPr>
      <w:numPr>
        <w:numId w:val="22"/>
      </w:numPr>
    </w:pPr>
  </w:style>
  <w:style w:type="paragraph" w:customStyle="1" w:styleId="Tiret2">
    <w:name w:val="Tiret 2"/>
    <w:basedOn w:val="Point2"/>
    <w:pPr>
      <w:numPr>
        <w:numId w:val="23"/>
      </w:numPr>
    </w:pPr>
  </w:style>
  <w:style w:type="paragraph" w:customStyle="1" w:styleId="Tiret3">
    <w:name w:val="Tiret 3"/>
    <w:basedOn w:val="Point3"/>
    <w:pPr>
      <w:numPr>
        <w:numId w:val="24"/>
      </w:numPr>
    </w:pPr>
  </w:style>
  <w:style w:type="paragraph" w:customStyle="1" w:styleId="Tiret4">
    <w:name w:val="Tiret 4"/>
    <w:basedOn w:val="Point4"/>
    <w:pPr>
      <w:numPr>
        <w:numId w:val="25"/>
      </w:numPr>
    </w:pPr>
  </w:style>
  <w:style w:type="paragraph" w:customStyle="1" w:styleId="Tiret5">
    <w:name w:val="Tiret 5"/>
    <w:basedOn w:val="Point5"/>
    <w:pPr>
      <w:numPr>
        <w:numId w:val="2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7"/>
      </w:numPr>
    </w:pPr>
  </w:style>
  <w:style w:type="paragraph" w:customStyle="1" w:styleId="NumPar2">
    <w:name w:val="NumPar 2"/>
    <w:basedOn w:val="Normal"/>
    <w:next w:val="Text1"/>
    <w:pPr>
      <w:numPr>
        <w:ilvl w:val="1"/>
        <w:numId w:val="27"/>
      </w:numPr>
    </w:pPr>
  </w:style>
  <w:style w:type="paragraph" w:customStyle="1" w:styleId="NumPar3">
    <w:name w:val="NumPar 3"/>
    <w:basedOn w:val="Normal"/>
    <w:next w:val="Text1"/>
    <w:pPr>
      <w:numPr>
        <w:ilvl w:val="2"/>
        <w:numId w:val="27"/>
      </w:numPr>
    </w:pPr>
  </w:style>
  <w:style w:type="paragraph" w:customStyle="1" w:styleId="NumPar4">
    <w:name w:val="NumPar 4"/>
    <w:basedOn w:val="Normal"/>
    <w:next w:val="Text1"/>
    <w:pPr>
      <w:numPr>
        <w:ilvl w:val="3"/>
        <w:numId w:val="27"/>
      </w:numPr>
    </w:pPr>
  </w:style>
  <w:style w:type="paragraph" w:customStyle="1" w:styleId="NumPar5">
    <w:name w:val="NumPar 5"/>
    <w:basedOn w:val="Normal"/>
    <w:next w:val="Text2"/>
    <w:pPr>
      <w:numPr>
        <w:ilvl w:val="4"/>
        <w:numId w:val="27"/>
      </w:numPr>
    </w:pPr>
  </w:style>
  <w:style w:type="paragraph" w:customStyle="1" w:styleId="NumPar6">
    <w:name w:val="NumPar 6"/>
    <w:basedOn w:val="Normal"/>
    <w:next w:val="Text2"/>
    <w:pPr>
      <w:numPr>
        <w:ilvl w:val="5"/>
        <w:numId w:val="27"/>
      </w:numPr>
    </w:pPr>
  </w:style>
  <w:style w:type="paragraph" w:customStyle="1" w:styleId="NumPar7">
    <w:name w:val="NumPar 7"/>
    <w:basedOn w:val="Normal"/>
    <w:next w:val="Text2"/>
    <w:pPr>
      <w:numPr>
        <w:ilvl w:val="6"/>
        <w:numId w:val="2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9"/>
      </w:numPr>
    </w:pPr>
  </w:style>
  <w:style w:type="paragraph" w:customStyle="1" w:styleId="Point1number">
    <w:name w:val="Point 1 (number)"/>
    <w:basedOn w:val="Normal"/>
    <w:pPr>
      <w:numPr>
        <w:ilvl w:val="2"/>
        <w:numId w:val="29"/>
      </w:numPr>
    </w:pPr>
  </w:style>
  <w:style w:type="paragraph" w:customStyle="1" w:styleId="Point2number">
    <w:name w:val="Point 2 (number)"/>
    <w:basedOn w:val="Normal"/>
    <w:pPr>
      <w:numPr>
        <w:ilvl w:val="4"/>
        <w:numId w:val="29"/>
      </w:numPr>
    </w:pPr>
  </w:style>
  <w:style w:type="paragraph" w:customStyle="1" w:styleId="Point3number">
    <w:name w:val="Point 3 (number)"/>
    <w:basedOn w:val="Normal"/>
    <w:pPr>
      <w:numPr>
        <w:ilvl w:val="6"/>
        <w:numId w:val="29"/>
      </w:numPr>
    </w:pPr>
  </w:style>
  <w:style w:type="paragraph" w:customStyle="1" w:styleId="Point0letter">
    <w:name w:val="Point 0 (letter)"/>
    <w:basedOn w:val="Normal"/>
    <w:pPr>
      <w:numPr>
        <w:ilvl w:val="1"/>
        <w:numId w:val="29"/>
      </w:numPr>
    </w:pPr>
  </w:style>
  <w:style w:type="paragraph" w:customStyle="1" w:styleId="Point1letter">
    <w:name w:val="Point 1 (letter)"/>
    <w:basedOn w:val="Normal"/>
    <w:pPr>
      <w:numPr>
        <w:ilvl w:val="3"/>
        <w:numId w:val="29"/>
      </w:numPr>
    </w:pPr>
  </w:style>
  <w:style w:type="paragraph" w:customStyle="1" w:styleId="Point2letter">
    <w:name w:val="Point 2 (letter)"/>
    <w:basedOn w:val="Normal"/>
    <w:pPr>
      <w:numPr>
        <w:ilvl w:val="5"/>
        <w:numId w:val="29"/>
      </w:numPr>
    </w:pPr>
  </w:style>
  <w:style w:type="paragraph" w:customStyle="1" w:styleId="Point3letter">
    <w:name w:val="Point 3 (letter)"/>
    <w:basedOn w:val="Normal"/>
    <w:pPr>
      <w:numPr>
        <w:ilvl w:val="7"/>
        <w:numId w:val="29"/>
      </w:numPr>
    </w:pPr>
  </w:style>
  <w:style w:type="paragraph" w:customStyle="1" w:styleId="Point4letter">
    <w:name w:val="Point 4 (letter)"/>
    <w:basedOn w:val="Normal"/>
    <w:pPr>
      <w:numPr>
        <w:ilvl w:val="8"/>
        <w:numId w:val="29"/>
      </w:numPr>
    </w:pPr>
  </w:style>
  <w:style w:type="paragraph" w:customStyle="1" w:styleId="Bullet0">
    <w:name w:val="Bullet 0"/>
    <w:basedOn w:val="Normal"/>
    <w:pPr>
      <w:numPr>
        <w:numId w:val="30"/>
      </w:numPr>
    </w:pPr>
  </w:style>
  <w:style w:type="paragraph" w:customStyle="1" w:styleId="Bullet1">
    <w:name w:val="Bullet 1"/>
    <w:basedOn w:val="Normal"/>
    <w:pPr>
      <w:numPr>
        <w:numId w:val="31"/>
      </w:numPr>
    </w:pPr>
  </w:style>
  <w:style w:type="paragraph" w:customStyle="1" w:styleId="Bullet2">
    <w:name w:val="Bullet 2"/>
    <w:basedOn w:val="Normal"/>
    <w:pPr>
      <w:numPr>
        <w:numId w:val="32"/>
      </w:numPr>
    </w:pPr>
  </w:style>
  <w:style w:type="paragraph" w:customStyle="1" w:styleId="Bullet3">
    <w:name w:val="Bullet 3"/>
    <w:basedOn w:val="Normal"/>
    <w:pPr>
      <w:numPr>
        <w:numId w:val="33"/>
      </w:numPr>
    </w:pPr>
  </w:style>
  <w:style w:type="paragraph" w:customStyle="1" w:styleId="Bullet4">
    <w:name w:val="Bullet 4"/>
    <w:basedOn w:val="Normal"/>
    <w:pPr>
      <w:numPr>
        <w:numId w:val="3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8433C"/>
    <w:pPr>
      <w:tabs>
        <w:tab w:val="center" w:pos="4535"/>
        <w:tab w:val="right" w:pos="9071"/>
      </w:tabs>
      <w:spacing w:before="0"/>
    </w:pPr>
  </w:style>
  <w:style w:type="paragraph" w:customStyle="1" w:styleId="HeaderLandscape">
    <w:name w:val="HeaderLandscape"/>
    <w:basedOn w:val="Normal"/>
    <w:rsid w:val="00A8433C"/>
    <w:pPr>
      <w:tabs>
        <w:tab w:val="center" w:pos="7285"/>
        <w:tab w:val="right" w:pos="14003"/>
      </w:tabs>
      <w:spacing w:before="0"/>
    </w:pPr>
  </w:style>
  <w:style w:type="paragraph" w:styleId="Footer">
    <w:name w:val="footer"/>
    <w:basedOn w:val="Normal"/>
    <w:link w:val="FooterChar"/>
    <w:uiPriority w:val="99"/>
    <w:unhideWhenUsed/>
    <w:rsid w:val="00A8433C"/>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8433C"/>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7268686">
      <w:bodyDiv w:val="1"/>
      <w:marLeft w:val="0"/>
      <w:marRight w:val="0"/>
      <w:marTop w:val="0"/>
      <w:marBottom w:val="0"/>
      <w:divBdr>
        <w:top w:val="none" w:sz="0" w:space="0" w:color="auto"/>
        <w:left w:val="none" w:sz="0" w:space="0" w:color="auto"/>
        <w:bottom w:val="none" w:sz="0" w:space="0" w:color="auto"/>
        <w:right w:val="none" w:sz="0" w:space="0" w:color="auto"/>
      </w:divBdr>
    </w:div>
    <w:div w:id="504981316">
      <w:bodyDiv w:val="1"/>
      <w:marLeft w:val="0"/>
      <w:marRight w:val="0"/>
      <w:marTop w:val="0"/>
      <w:marBottom w:val="0"/>
      <w:divBdr>
        <w:top w:val="none" w:sz="0" w:space="0" w:color="auto"/>
        <w:left w:val="none" w:sz="0" w:space="0" w:color="auto"/>
        <w:bottom w:val="none" w:sz="0" w:space="0" w:color="auto"/>
        <w:right w:val="none" w:sz="0" w:space="0" w:color="auto"/>
      </w:divBdr>
    </w:div>
    <w:div w:id="750278834">
      <w:bodyDiv w:val="1"/>
      <w:marLeft w:val="0"/>
      <w:marRight w:val="0"/>
      <w:marTop w:val="0"/>
      <w:marBottom w:val="0"/>
      <w:divBdr>
        <w:top w:val="none" w:sz="0" w:space="0" w:color="auto"/>
        <w:left w:val="none" w:sz="0" w:space="0" w:color="auto"/>
        <w:bottom w:val="none" w:sz="0" w:space="0" w:color="auto"/>
        <w:right w:val="none" w:sz="0" w:space="0" w:color="auto"/>
      </w:divBdr>
    </w:div>
    <w:div w:id="960720047">
      <w:bodyDiv w:val="1"/>
      <w:marLeft w:val="0"/>
      <w:marRight w:val="0"/>
      <w:marTop w:val="0"/>
      <w:marBottom w:val="0"/>
      <w:divBdr>
        <w:top w:val="none" w:sz="0" w:space="0" w:color="auto"/>
        <w:left w:val="none" w:sz="0" w:space="0" w:color="auto"/>
        <w:bottom w:val="none" w:sz="0" w:space="0" w:color="auto"/>
        <w:right w:val="none" w:sz="0" w:space="0" w:color="auto"/>
      </w:divBdr>
    </w:div>
    <w:div w:id="1187401208">
      <w:bodyDiv w:val="1"/>
      <w:marLeft w:val="0"/>
      <w:marRight w:val="0"/>
      <w:marTop w:val="0"/>
      <w:marBottom w:val="0"/>
      <w:divBdr>
        <w:top w:val="none" w:sz="0" w:space="0" w:color="auto"/>
        <w:left w:val="none" w:sz="0" w:space="0" w:color="auto"/>
        <w:bottom w:val="none" w:sz="0" w:space="0" w:color="auto"/>
        <w:right w:val="none" w:sz="0" w:space="0" w:color="auto"/>
      </w:divBdr>
    </w:div>
    <w:div w:id="1338457265">
      <w:bodyDiv w:val="1"/>
      <w:marLeft w:val="0"/>
      <w:marRight w:val="0"/>
      <w:marTop w:val="0"/>
      <w:marBottom w:val="0"/>
      <w:divBdr>
        <w:top w:val="none" w:sz="0" w:space="0" w:color="auto"/>
        <w:left w:val="none" w:sz="0" w:space="0" w:color="auto"/>
        <w:bottom w:val="none" w:sz="0" w:space="0" w:color="auto"/>
        <w:right w:val="none" w:sz="0" w:space="0" w:color="auto"/>
      </w:divBdr>
    </w:div>
    <w:div w:id="1371346887">
      <w:bodyDiv w:val="1"/>
      <w:marLeft w:val="0"/>
      <w:marRight w:val="0"/>
      <w:marTop w:val="0"/>
      <w:marBottom w:val="0"/>
      <w:divBdr>
        <w:top w:val="none" w:sz="0" w:space="0" w:color="auto"/>
        <w:left w:val="none" w:sz="0" w:space="0" w:color="auto"/>
        <w:bottom w:val="none" w:sz="0" w:space="0" w:color="auto"/>
        <w:right w:val="none" w:sz="0" w:space="0" w:color="auto"/>
      </w:divBdr>
    </w:div>
    <w:div w:id="1454246675">
      <w:bodyDiv w:val="1"/>
      <w:marLeft w:val="0"/>
      <w:marRight w:val="0"/>
      <w:marTop w:val="0"/>
      <w:marBottom w:val="0"/>
      <w:divBdr>
        <w:top w:val="none" w:sz="0" w:space="0" w:color="auto"/>
        <w:left w:val="none" w:sz="0" w:space="0" w:color="auto"/>
        <w:bottom w:val="none" w:sz="0" w:space="0" w:color="auto"/>
        <w:right w:val="none" w:sz="0" w:space="0" w:color="auto"/>
      </w:divBdr>
    </w:div>
    <w:div w:id="1463496879">
      <w:bodyDiv w:val="1"/>
      <w:marLeft w:val="0"/>
      <w:marRight w:val="0"/>
      <w:marTop w:val="0"/>
      <w:marBottom w:val="0"/>
      <w:divBdr>
        <w:top w:val="none" w:sz="0" w:space="0" w:color="auto"/>
        <w:left w:val="none" w:sz="0" w:space="0" w:color="auto"/>
        <w:bottom w:val="none" w:sz="0" w:space="0" w:color="auto"/>
        <w:right w:val="none" w:sz="0" w:space="0" w:color="auto"/>
      </w:divBdr>
    </w:div>
    <w:div w:id="1533689877">
      <w:bodyDiv w:val="1"/>
      <w:marLeft w:val="0"/>
      <w:marRight w:val="0"/>
      <w:marTop w:val="0"/>
      <w:marBottom w:val="0"/>
      <w:divBdr>
        <w:top w:val="none" w:sz="0" w:space="0" w:color="auto"/>
        <w:left w:val="none" w:sz="0" w:space="0" w:color="auto"/>
        <w:bottom w:val="none" w:sz="0" w:space="0" w:color="auto"/>
        <w:right w:val="none" w:sz="0" w:space="0" w:color="auto"/>
      </w:divBdr>
    </w:div>
    <w:div w:id="1658724567">
      <w:bodyDiv w:val="1"/>
      <w:marLeft w:val="0"/>
      <w:marRight w:val="0"/>
      <w:marTop w:val="0"/>
      <w:marBottom w:val="0"/>
      <w:divBdr>
        <w:top w:val="none" w:sz="0" w:space="0" w:color="auto"/>
        <w:left w:val="none" w:sz="0" w:space="0" w:color="auto"/>
        <w:bottom w:val="none" w:sz="0" w:space="0" w:color="auto"/>
        <w:right w:val="none" w:sz="0" w:space="0" w:color="auto"/>
      </w:divBdr>
    </w:div>
    <w:div w:id="1714503869">
      <w:bodyDiv w:val="1"/>
      <w:marLeft w:val="0"/>
      <w:marRight w:val="0"/>
      <w:marTop w:val="0"/>
      <w:marBottom w:val="0"/>
      <w:divBdr>
        <w:top w:val="none" w:sz="0" w:space="0" w:color="auto"/>
        <w:left w:val="none" w:sz="0" w:space="0" w:color="auto"/>
        <w:bottom w:val="none" w:sz="0" w:space="0" w:color="auto"/>
        <w:right w:val="none" w:sz="0" w:space="0" w:color="auto"/>
      </w:divBdr>
    </w:div>
    <w:div w:id="1731922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yperlink" Target="https://euc-word-edit.officeapps.live.com/we/wordeditorframe.aspx?ui=en-US&amp;rs=en-IE&amp;wopisrc=https%3A%2F%2Feceuropaeu.sharepoint.com%2Fteams%2FGRP-2GHzMSS%2F_vti_bin%2Fwopi.ashx%2Ffiles%2Fa414733cd7e74d738916e3c29a5195f8&amp;wdlor=cA4F3065E-77BD-4A03-A8F4-510FCA32142D&amp;wdenableroaming=1&amp;mscc=1&amp;hid=F80BFFA1-50E2-0000-01A1-FC8C42480868.0&amp;uih=sharepointcom&amp;wdlcid=en-US&amp;jsapi=1&amp;jsapiver=v2&amp;corrid=321e0652-bde1-b1c9-3657-cb38d27e2ff3&amp;usid=321e0652-bde1-b1c9-3657-cb38d27e2ff3&amp;newsession=1&amp;sftc=1&amp;uihit=docaspx&amp;muv=1&amp;ats=PairwiseBroker&amp;cac=1&amp;sams=1&amp;mtf=1&amp;sfp=1&amp;sdp=1&amp;hch=1&amp;hwfh=1&amp;dchat=1&amp;sc=%7B%22pmo%22%3A%22https%3A%2F%2Feceuropaeu.sharepoint.com%22%2C%22pmshare%22%3Atrue%7D&amp;ctp=LeastProtected&amp;rct=Normal&amp;wdorigin=Outlook-Body.Sharing.DirectLink.Copy&amp;wdhostclicktime=1773260681400&amp;afdflight=88&amp;csiro=1&amp;instantedit=1&amp;wopicomplete=1&amp;wdredirectionreason=Unified_SingleFlush"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uc-word-edit.officeapps.live.com/we/wordeditorframe.aspx?ui=en-US&amp;rs=en-IE&amp;wopisrc=https%3A%2F%2Feceuropaeu.sharepoint.com%2Fteams%2FGRP-2GHzMSS%2F_vti_bin%2Fwopi.ashx%2Ffiles%2Fa414733cd7e74d738916e3c29a5195f8&amp;wdlor=cA4F3065E-77BD-4A03-A8F4-510FCA32142D&amp;wdenableroaming=1&amp;mscc=1&amp;hid=F80BFFA1-50E2-0000-01A1-FC8C42480868.0&amp;uih=sharepointcom&amp;wdlcid=en-US&amp;jsapi=1&amp;jsapiver=v2&amp;corrid=321e0652-bde1-b1c9-3657-cb38d27e2ff3&amp;usid=321e0652-bde1-b1c9-3657-cb38d27e2ff3&amp;newsession=1&amp;sftc=1&amp;uihit=docaspx&amp;muv=1&amp;ats=PairwiseBroker&amp;cac=1&amp;sams=1&amp;mtf=1&amp;sfp=1&amp;sdp=1&amp;hch=1&amp;hwfh=1&amp;dchat=1&amp;sc=%7B%22pmo%22%3A%22https%3A%2F%2Feceuropaeu.sharepoint.com%22%2C%22pmshare%22%3Atrue%7D&amp;ctp=LeastProtected&amp;rct=Normal&amp;wdorigin=Outlook-Body.Sharing.DirectLink.Copy&amp;wdhostclicktime=1773260681400&amp;afdflight=88&amp;csiro=1&amp;instantedit=1&amp;wopicomplete=1&amp;wdredirectionreason=Unified_SingleFlush"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yperlink" Target="https://euc-word-edit.officeapps.live.com/we/wordeditorframe.aspx?ui=en-US&amp;rs=en-IE&amp;wopisrc=https%3A%2F%2Feceuropaeu.sharepoint.com%2Fteams%2FGRP-2GHzMSS%2F_vti_bin%2Fwopi.ashx%2Ffiles%2Fa414733cd7e74d738916e3c29a5195f8&amp;wdlor=cA4F3065E-77BD-4A03-A8F4-510FCA32142D&amp;wdenableroaming=1&amp;mscc=1&amp;hid=F80BFFA1-50E2-0000-01A1-FC8C42480868.0&amp;uih=sharepointcom&amp;wdlcid=en-US&amp;jsapi=1&amp;jsapiver=v2&amp;corrid=321e0652-bde1-b1c9-3657-cb38d27e2ff3&amp;usid=321e0652-bde1-b1c9-3657-cb38d27e2ff3&amp;newsession=1&amp;sftc=1&amp;uihit=docaspx&amp;muv=1&amp;ats=PairwiseBroker&amp;cac=1&amp;sams=1&amp;mtf=1&amp;sfp=1&amp;sdp=1&amp;hch=1&amp;hwfh=1&amp;dchat=1&amp;sc=%7B%22pmo%22%3A%22https%3A%2F%2Feceuropaeu.sharepoint.com%22%2C%22pmshare%22%3Atrue%7D&amp;ctp=LeastProtected&amp;rct=Normal&amp;wdorigin=Outlook-Body.Sharing.DirectLink.Copy&amp;wdhostclicktime=1773260681400&amp;afdflight=88&amp;csiro=1&amp;instantedit=1&amp;wopicomplete=1&amp;wdredirectionreason=Unified_SingleFlus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hyperlink" Target="https://eur-lex.europa.eu/legal-content/RO/TXT/?uri=celex:52025PC0335" TargetMode="External"/><Relationship Id="rId10" Type="http://schemas.openxmlformats.org/officeDocument/2006/relationships/footer" Target="footer2.xml"/><Relationship Id="rId19" Type="http://schemas.openxmlformats.org/officeDocument/2006/relationships/hyperlink" Target="https://euc-word-edit.officeapps.live.com/we/wordeditorframe.aspx?ui=en-US&amp;rs=en-IE&amp;wopisrc=https%3A%2F%2Feceuropaeu.sharepoint.com%2Fteams%2FGRP-2GHzMSS%2F_vti_bin%2Fwopi.ashx%2Ffiles%2Fa414733cd7e74d738916e3c29a5195f8&amp;wdlor=cA4F3065E-77BD-4A03-A8F4-510FCA32142D&amp;wdenableroaming=1&amp;mscc=1&amp;hid=F80BFFA1-50E2-0000-01A1-FC8C42480868.0&amp;uih=sharepointcom&amp;wdlcid=en-US&amp;jsapi=1&amp;jsapiver=v2&amp;corrid=321e0652-bde1-b1c9-3657-cb38d27e2ff3&amp;usid=321e0652-bde1-b1c9-3657-cb38d27e2ff3&amp;newsession=1&amp;sftc=1&amp;uihit=docaspx&amp;muv=1&amp;ats=PairwiseBroker&amp;cac=1&amp;sams=1&amp;mtf=1&amp;sfp=1&amp;sdp=1&amp;hch=1&amp;hwfh=1&amp;dchat=1&amp;sc=%7B%22pmo%22%3A%22https%3A%2F%2Feceuropaeu.sharepoint.com%22%2C%22pmshare%22%3Atrue%7D&amp;ctp=LeastProtected&amp;rct=Normal&amp;wdorigin=Outlook-Body.Sharing.DirectLink.Copy&amp;wdhostclicktime=1773260681400&amp;afdflight=88&amp;csiro=1&amp;instantedit=1&amp;wopicomplete=1&amp;wdredirectionreason=Unified_SingleFlush"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hyperlink" Target="https://defence-industry-space.ec.europa.eu/eu-space-act_en"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newsroom/dae/redirection/document/117051" TargetMode="External"/><Relationship Id="rId13" Type="http://schemas.openxmlformats.org/officeDocument/2006/relationships/hyperlink" Target="http://data.europa.eu/eli/dec/2008/626(2)/oj" TargetMode="External"/><Relationship Id="rId18" Type="http://schemas.openxmlformats.org/officeDocument/2006/relationships/hyperlink" Target="http://data.europa.eu/eli/dir/2023/1544/oj" TargetMode="External"/><Relationship Id="rId3" Type="http://schemas.openxmlformats.org/officeDocument/2006/relationships/hyperlink" Target="http://data.europa.eu/eli/reg/2023/588/oj" TargetMode="External"/><Relationship Id="rId7" Type="http://schemas.openxmlformats.org/officeDocument/2006/relationships/hyperlink" Target="https://digital-strategy.ec.europa.eu/ro/library/summary-report-targeted-consultation-mobile-satellite-services" TargetMode="External"/><Relationship Id="rId12" Type="http://schemas.openxmlformats.org/officeDocument/2006/relationships/hyperlink" Target="http://data.europa.eu/eli/dec/2007/98(1)/oj" TargetMode="External"/><Relationship Id="rId17" Type="http://schemas.openxmlformats.org/officeDocument/2006/relationships/hyperlink" Target="http://data.europa.eu/eli/reg/2023/1543/oj" TargetMode="External"/><Relationship Id="rId2" Type="http://schemas.openxmlformats.org/officeDocument/2006/relationships/hyperlink" Target="http://data.europa.eu/eli/dec/2022/2481/oj" TargetMode="External"/><Relationship Id="rId16" Type="http://schemas.openxmlformats.org/officeDocument/2006/relationships/hyperlink" Target="http://data.europa.eu/eli/dec/2009/449/oj" TargetMode="External"/><Relationship Id="rId1" Type="http://schemas.openxmlformats.org/officeDocument/2006/relationships/hyperlink" Target="http://data.europa.eu/eli/dec/2008/626(2)/oj" TargetMode="External"/><Relationship Id="rId6" Type="http://schemas.openxmlformats.org/officeDocument/2006/relationships/hyperlink" Target="https://digital-strategy.ec.europa.eu/ro/library/summary-report-targeted-consultation-mobile-satellite-services" TargetMode="External"/><Relationship Id="rId11" Type="http://schemas.openxmlformats.org/officeDocument/2006/relationships/hyperlink" Target="https://digital-strategy.ec.europa.eu/en/policies/5g-indicators-coverage" TargetMode="External"/><Relationship Id="rId5" Type="http://schemas.openxmlformats.org/officeDocument/2006/relationships/hyperlink" Target="https://digital-strategy.ec.europa.eu/ro/news/commission-gathers-feedback-upcoming-digital-networks-act" TargetMode="External"/><Relationship Id="rId15" Type="http://schemas.openxmlformats.org/officeDocument/2006/relationships/hyperlink" Target="http://data.europa.eu/eli/dec/2002/676(1)/oj" TargetMode="External"/><Relationship Id="rId10" Type="http://schemas.openxmlformats.org/officeDocument/2006/relationships/hyperlink" Target="https://digital-strategy.ec.europa.eu/en/policies/5g-indicators-coverage" TargetMode="External"/><Relationship Id="rId4" Type="http://schemas.openxmlformats.org/officeDocument/2006/relationships/hyperlink" Target="https://eur-lex.europa.eu/legal-content/RO/TXT/?uri=celex:52024DC0081" TargetMode="External"/><Relationship Id="rId9" Type="http://schemas.openxmlformats.org/officeDocument/2006/relationships/hyperlink" Target="https://digital-strategy.ec.europa.eu/en/policies/5g-indicators-coverage" TargetMode="External"/><Relationship Id="rId14" Type="http://schemas.openxmlformats.org/officeDocument/2006/relationships/hyperlink" Target="https://op.europa.eu/en/publication-detail/-/publication/5c28e25b-41b3-11f0-b9f2-01aa75ed71a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B4407E-2B74-4CD2-92A3-8607420507D4}">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COM.dotm</Template>
  <TotalTime>0</TotalTime>
  <Pages>39</Pages>
  <Words>31996</Words>
  <Characters>182378</Characters>
  <Application>Microsoft Office Word</Application>
  <DocSecurity>0</DocSecurity>
  <Lines>1519</Lines>
  <Paragraphs>427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213947</CharactersWithSpaces>
  <SharedDoc>false</SharedDoc>
  <HLinks>
    <vt:vector size="132" baseType="variant">
      <vt:variant>
        <vt:i4>1507346</vt:i4>
      </vt:variant>
      <vt:variant>
        <vt:i4>18</vt:i4>
      </vt:variant>
      <vt:variant>
        <vt:i4>0</vt:i4>
      </vt:variant>
      <vt:variant>
        <vt:i4>5</vt:i4>
      </vt:variant>
      <vt:variant>
        <vt:lpwstr>https://eur-lex.europa.eu/legal-content/EN/TXT/?uri=celex:52025PC0335</vt:lpwstr>
      </vt:variant>
      <vt:variant>
        <vt:lpwstr/>
      </vt:variant>
      <vt:variant>
        <vt:i4>3539008</vt:i4>
      </vt:variant>
      <vt:variant>
        <vt:i4>15</vt:i4>
      </vt:variant>
      <vt:variant>
        <vt:i4>0</vt:i4>
      </vt:variant>
      <vt:variant>
        <vt:i4>5</vt:i4>
      </vt:variant>
      <vt:variant>
        <vt:lpwstr>https://defence-industry-space.ec.europa.eu/eu-space-act_en</vt:lpwstr>
      </vt:variant>
      <vt:variant>
        <vt:lpwstr/>
      </vt:variant>
      <vt:variant>
        <vt:i4>6946914</vt:i4>
      </vt:variant>
      <vt:variant>
        <vt:i4>12</vt:i4>
      </vt:variant>
      <vt:variant>
        <vt:i4>0</vt:i4>
      </vt:variant>
      <vt:variant>
        <vt:i4>5</vt:i4>
      </vt:variant>
      <vt:variant>
        <vt:lpwstr>https://euc-word-edit.officeapps.live.com/we/wordeditorframe.aspx?ui=en-US&amp;rs=en-IE&amp;wopisrc=https%3A%2F%2Feceuropaeu.sharepoint.com%2Fteams%2FGRP-2GHzMSS%2F_vti_bin%2Fwopi.ashx%2Ffiles%2Fa414733cd7e74d738916e3c29a5195f8&amp;wdlor=cA4F3065E-77BD-4A03-A8F4-510FCA32142D&amp;wdenableroaming=1&amp;mscc=1&amp;hid=F80BFFA1-50E2-0000-01A1-FC8C42480868.0&amp;uih=sharepointcom&amp;wdlcid=en-US&amp;jsapi=1&amp;jsapiver=v2&amp;corrid=321e0652-bde1-b1c9-3657-cb38d27e2ff3&amp;usid=321e0652-bde1-b1c9-3657-cb38d27e2ff3&amp;newsession=1&amp;sftc=1&amp;uihit=docaspx&amp;muv=1&amp;ats=PairwiseBroker&amp;cac=1&amp;sams=1&amp;mtf=1&amp;sfp=1&amp;sdp=1&amp;hch=1&amp;hwfh=1&amp;dchat=1&amp;sc=%7B%22pmo%22%3A%22https%3A%2F%2Feceuropaeu.sharepoint.com%22%2C%22pmshare%22%3Atrue%7D&amp;ctp=LeastProtected&amp;rct=Normal&amp;wdorigin=Outlook-Body.Sharing.DirectLink.Copy&amp;wdhostclicktime=1773260681400&amp;afdflight=88&amp;csiro=1&amp;instantedit=1&amp;wopicomplete=1&amp;wdredirectionreason=Unified_SingleFlush</vt:lpwstr>
      </vt:variant>
      <vt:variant>
        <vt:lpwstr/>
      </vt:variant>
      <vt:variant>
        <vt:i4>6946914</vt:i4>
      </vt:variant>
      <vt:variant>
        <vt:i4>9</vt:i4>
      </vt:variant>
      <vt:variant>
        <vt:i4>0</vt:i4>
      </vt:variant>
      <vt:variant>
        <vt:i4>5</vt:i4>
      </vt:variant>
      <vt:variant>
        <vt:lpwstr>https://euc-word-edit.officeapps.live.com/we/wordeditorframe.aspx?ui=en-US&amp;rs=en-IE&amp;wopisrc=https%3A%2F%2Feceuropaeu.sharepoint.com%2Fteams%2FGRP-2GHzMSS%2F_vti_bin%2Fwopi.ashx%2Ffiles%2Fa414733cd7e74d738916e3c29a5195f8&amp;wdlor=cA4F3065E-77BD-4A03-A8F4-510FCA32142D&amp;wdenableroaming=1&amp;mscc=1&amp;hid=F80BFFA1-50E2-0000-01A1-FC8C42480868.0&amp;uih=sharepointcom&amp;wdlcid=en-US&amp;jsapi=1&amp;jsapiver=v2&amp;corrid=321e0652-bde1-b1c9-3657-cb38d27e2ff3&amp;usid=321e0652-bde1-b1c9-3657-cb38d27e2ff3&amp;newsession=1&amp;sftc=1&amp;uihit=docaspx&amp;muv=1&amp;ats=PairwiseBroker&amp;cac=1&amp;sams=1&amp;mtf=1&amp;sfp=1&amp;sdp=1&amp;hch=1&amp;hwfh=1&amp;dchat=1&amp;sc=%7B%22pmo%22%3A%22https%3A%2F%2Feceuropaeu.sharepoint.com%22%2C%22pmshare%22%3Atrue%7D&amp;ctp=LeastProtected&amp;rct=Normal&amp;wdorigin=Outlook-Body.Sharing.DirectLink.Copy&amp;wdhostclicktime=1773260681400&amp;afdflight=88&amp;csiro=1&amp;instantedit=1&amp;wopicomplete=1&amp;wdredirectionreason=Unified_SingleFlush</vt:lpwstr>
      </vt:variant>
      <vt:variant>
        <vt:lpwstr/>
      </vt:variant>
      <vt:variant>
        <vt:i4>6422601</vt:i4>
      </vt:variant>
      <vt:variant>
        <vt:i4>6</vt:i4>
      </vt:variant>
      <vt:variant>
        <vt:i4>0</vt:i4>
      </vt:variant>
      <vt:variant>
        <vt:i4>5</vt:i4>
      </vt:variant>
      <vt:variant>
        <vt:lpwstr>https://euc-word-edit.officeapps.live.com/we/wordeditorframe.aspx?ui=en-US&amp;rs=en-IE&amp;wopisrc=https%3A%2F%2Feceuropaeu.sharepoint.com%2Fteams%2FGRP-2GHzMSS%2F_vti_bin%2Fwopi.ashx%2Ffiles%2Fa414733cd7e74d738916e3c29a5195f8&amp;wdlor=cA4F3065E-77BD-4A03-A8F4-510FCA32142D&amp;wdenableroaming=1&amp;mscc=1&amp;hid=F80BFFA1-50E2-0000-01A1-FC8C42480868.0&amp;uih=sharepointcom&amp;wdlcid=en-US&amp;jsapi=1&amp;jsapiver=v2&amp;corrid=321e0652-bde1-b1c9-3657-cb38d27e2ff3&amp;usid=321e0652-bde1-b1c9-3657-cb38d27e2ff3&amp;newsession=1&amp;sftc=1&amp;uihit=docaspx&amp;muv=1&amp;ats=PairwiseBroker&amp;cac=1&amp;sams=1&amp;mtf=1&amp;sfp=1&amp;sdp=1&amp;hch=1&amp;hwfh=1&amp;dchat=1&amp;sc=%7B%22pmo%22%3A%22https%3A%2F%2Feceuropaeu.sharepoint.com%22%2C%22pmshare%22%3Atrue%7D&amp;ctp=LeastProtected&amp;rct=Normal&amp;wdorigin=Outlook-Body.Sharing.DirectLink.Copy&amp;wdhostclicktime=1773260681400&amp;afdflight=88&amp;csiro=1&amp;instantedit=1&amp;wopicomplete=1&amp;wdredirectionreason=Unified_SingleFlush</vt:lpwstr>
      </vt:variant>
      <vt:variant>
        <vt:lpwstr>_ftn2</vt:lpwstr>
      </vt:variant>
      <vt:variant>
        <vt:i4>6422601</vt:i4>
      </vt:variant>
      <vt:variant>
        <vt:i4>3</vt:i4>
      </vt:variant>
      <vt:variant>
        <vt:i4>0</vt:i4>
      </vt:variant>
      <vt:variant>
        <vt:i4>5</vt:i4>
      </vt:variant>
      <vt:variant>
        <vt:lpwstr>https://euc-word-edit.officeapps.live.com/we/wordeditorframe.aspx?ui=en-US&amp;rs=en-IE&amp;wopisrc=https%3A%2F%2Feceuropaeu.sharepoint.com%2Fteams%2FGRP-2GHzMSS%2F_vti_bin%2Fwopi.ashx%2Ffiles%2Fa414733cd7e74d738916e3c29a5195f8&amp;wdlor=cA4F3065E-77BD-4A03-A8F4-510FCA32142D&amp;wdenableroaming=1&amp;mscc=1&amp;hid=F80BFFA1-50E2-0000-01A1-FC8C42480868.0&amp;uih=sharepointcom&amp;wdlcid=en-US&amp;jsapi=1&amp;jsapiver=v2&amp;corrid=321e0652-bde1-b1c9-3657-cb38d27e2ff3&amp;usid=321e0652-bde1-b1c9-3657-cb38d27e2ff3&amp;newsession=1&amp;sftc=1&amp;uihit=docaspx&amp;muv=1&amp;ats=PairwiseBroker&amp;cac=1&amp;sams=1&amp;mtf=1&amp;sfp=1&amp;sdp=1&amp;hch=1&amp;hwfh=1&amp;dchat=1&amp;sc=%7B%22pmo%22%3A%22https%3A%2F%2Feceuropaeu.sharepoint.com%22%2C%22pmshare%22%3Atrue%7D&amp;ctp=LeastProtected&amp;rct=Normal&amp;wdorigin=Outlook-Body.Sharing.DirectLink.Copy&amp;wdhostclicktime=1773260681400&amp;afdflight=88&amp;csiro=1&amp;instantedit=1&amp;wopicomplete=1&amp;wdredirectionreason=Unified_SingleFlush</vt:lpwstr>
      </vt:variant>
      <vt:variant>
        <vt:lpwstr>_ftn1</vt:lpwstr>
      </vt:variant>
      <vt:variant>
        <vt:i4>458767</vt:i4>
      </vt:variant>
      <vt:variant>
        <vt:i4>0</vt:i4>
      </vt:variant>
      <vt:variant>
        <vt:i4>0</vt:i4>
      </vt:variant>
      <vt:variant>
        <vt:i4>5</vt:i4>
      </vt:variant>
      <vt:variant>
        <vt:lpwstr>https://myintracomm.ec.europa.eu/corp/budget/financial-rules/budget-implementation/Pages/financial-statement.aspx</vt:lpwstr>
      </vt:variant>
      <vt:variant>
        <vt:lpwstr/>
      </vt:variant>
      <vt:variant>
        <vt:i4>6422638</vt:i4>
      </vt:variant>
      <vt:variant>
        <vt:i4>42</vt:i4>
      </vt:variant>
      <vt:variant>
        <vt:i4>0</vt:i4>
      </vt:variant>
      <vt:variant>
        <vt:i4>5</vt:i4>
      </vt:variant>
      <vt:variant>
        <vt:lpwstr>http://data.europa.eu/eli/dir/2023/1544/oj</vt:lpwstr>
      </vt:variant>
      <vt:variant>
        <vt:lpwstr/>
      </vt:variant>
      <vt:variant>
        <vt:i4>7209066</vt:i4>
      </vt:variant>
      <vt:variant>
        <vt:i4>39</vt:i4>
      </vt:variant>
      <vt:variant>
        <vt:i4>0</vt:i4>
      </vt:variant>
      <vt:variant>
        <vt:i4>5</vt:i4>
      </vt:variant>
      <vt:variant>
        <vt:lpwstr>http://data.europa.eu/eli/reg/2023/1543/oj</vt:lpwstr>
      </vt:variant>
      <vt:variant>
        <vt:lpwstr/>
      </vt:variant>
      <vt:variant>
        <vt:i4>4587528</vt:i4>
      </vt:variant>
      <vt:variant>
        <vt:i4>36</vt:i4>
      </vt:variant>
      <vt:variant>
        <vt:i4>0</vt:i4>
      </vt:variant>
      <vt:variant>
        <vt:i4>5</vt:i4>
      </vt:variant>
      <vt:variant>
        <vt:lpwstr>http://data.europa.eu/eli/dec/2009/449/oj</vt:lpwstr>
      </vt:variant>
      <vt:variant>
        <vt:lpwstr/>
      </vt:variant>
      <vt:variant>
        <vt:i4>5963850</vt:i4>
      </vt:variant>
      <vt:variant>
        <vt:i4>33</vt:i4>
      </vt:variant>
      <vt:variant>
        <vt:i4>0</vt:i4>
      </vt:variant>
      <vt:variant>
        <vt:i4>5</vt:i4>
      </vt:variant>
      <vt:variant>
        <vt:lpwstr>http://data.europa.eu/eli/dec/2002/676(1)/oj</vt:lpwstr>
      </vt:variant>
      <vt:variant>
        <vt:lpwstr/>
      </vt:variant>
      <vt:variant>
        <vt:i4>6225948</vt:i4>
      </vt:variant>
      <vt:variant>
        <vt:i4>30</vt:i4>
      </vt:variant>
      <vt:variant>
        <vt:i4>0</vt:i4>
      </vt:variant>
      <vt:variant>
        <vt:i4>5</vt:i4>
      </vt:variant>
      <vt:variant>
        <vt:lpwstr>https://op.europa.eu/en/publication-detail/-/publication/5c28e25b-41b3-11f0-b9f2-01aa75ed71a1</vt:lpwstr>
      </vt:variant>
      <vt:variant>
        <vt:lpwstr/>
      </vt:variant>
      <vt:variant>
        <vt:i4>5374031</vt:i4>
      </vt:variant>
      <vt:variant>
        <vt:i4>27</vt:i4>
      </vt:variant>
      <vt:variant>
        <vt:i4>0</vt:i4>
      </vt:variant>
      <vt:variant>
        <vt:i4>5</vt:i4>
      </vt:variant>
      <vt:variant>
        <vt:lpwstr>http://data.europa.eu/eli/dec/2008/626(2)/oj</vt:lpwstr>
      </vt:variant>
      <vt:variant>
        <vt:lpwstr/>
      </vt:variant>
      <vt:variant>
        <vt:i4>8192053</vt:i4>
      </vt:variant>
      <vt:variant>
        <vt:i4>24</vt:i4>
      </vt:variant>
      <vt:variant>
        <vt:i4>0</vt:i4>
      </vt:variant>
      <vt:variant>
        <vt:i4>5</vt:i4>
      </vt:variant>
      <vt:variant>
        <vt:lpwstr>http://data.europa.eu/eli/dec/2007/98(1)/oj</vt:lpwstr>
      </vt:variant>
      <vt:variant>
        <vt:lpwstr/>
      </vt:variant>
      <vt:variant>
        <vt:i4>5832716</vt:i4>
      </vt:variant>
      <vt:variant>
        <vt:i4>21</vt:i4>
      </vt:variant>
      <vt:variant>
        <vt:i4>0</vt:i4>
      </vt:variant>
      <vt:variant>
        <vt:i4>5</vt:i4>
      </vt:variant>
      <vt:variant>
        <vt:lpwstr>https://digital-strategy.ec.europa.eu/en/policies/5g-indicators-coverage</vt:lpwstr>
      </vt:variant>
      <vt:variant>
        <vt:lpwstr/>
      </vt:variant>
      <vt:variant>
        <vt:i4>5111813</vt:i4>
      </vt:variant>
      <vt:variant>
        <vt:i4>18</vt:i4>
      </vt:variant>
      <vt:variant>
        <vt:i4>0</vt:i4>
      </vt:variant>
      <vt:variant>
        <vt:i4>5</vt:i4>
      </vt:variant>
      <vt:variant>
        <vt:lpwstr>https://ec.europa.eu/newsroom/dae/redirection/document/117051</vt:lpwstr>
      </vt:variant>
      <vt:variant>
        <vt:lpwstr/>
      </vt:variant>
      <vt:variant>
        <vt:i4>2621503</vt:i4>
      </vt:variant>
      <vt:variant>
        <vt:i4>15</vt:i4>
      </vt:variant>
      <vt:variant>
        <vt:i4>0</vt:i4>
      </vt:variant>
      <vt:variant>
        <vt:i4>5</vt:i4>
      </vt:variant>
      <vt:variant>
        <vt:lpwstr>https://digital-strategy.ec.europa.eu/en/library/summary-report-targeted-consultation-mobile-satellite-services</vt:lpwstr>
      </vt:variant>
      <vt:variant>
        <vt:lpwstr/>
      </vt:variant>
      <vt:variant>
        <vt:i4>7340137</vt:i4>
      </vt:variant>
      <vt:variant>
        <vt:i4>12</vt:i4>
      </vt:variant>
      <vt:variant>
        <vt:i4>0</vt:i4>
      </vt:variant>
      <vt:variant>
        <vt:i4>5</vt:i4>
      </vt:variant>
      <vt:variant>
        <vt:lpwstr>https://digital-strategy.ec.europa.eu/en/news/commission-gathers-feedback-upcoming-digital-networks-act</vt:lpwstr>
      </vt:variant>
      <vt:variant>
        <vt:lpwstr/>
      </vt:variant>
      <vt:variant>
        <vt:i4>524304</vt:i4>
      </vt:variant>
      <vt:variant>
        <vt:i4>9</vt:i4>
      </vt:variant>
      <vt:variant>
        <vt:i4>0</vt:i4>
      </vt:variant>
      <vt:variant>
        <vt:i4>5</vt:i4>
      </vt:variant>
      <vt:variant>
        <vt:lpwstr>https://eur-lex.europa.eu/legal-content/EN/TXT/?uri=celex:52024DC0081</vt:lpwstr>
      </vt:variant>
      <vt:variant>
        <vt:lpwstr/>
      </vt:variant>
      <vt:variant>
        <vt:i4>4980756</vt:i4>
      </vt:variant>
      <vt:variant>
        <vt:i4>6</vt:i4>
      </vt:variant>
      <vt:variant>
        <vt:i4>0</vt:i4>
      </vt:variant>
      <vt:variant>
        <vt:i4>5</vt:i4>
      </vt:variant>
      <vt:variant>
        <vt:lpwstr>http://data.europa.eu/eli/reg/2023/588/oj</vt:lpwstr>
      </vt:variant>
      <vt:variant>
        <vt:lpwstr/>
      </vt:variant>
      <vt:variant>
        <vt:i4>6291579</vt:i4>
      </vt:variant>
      <vt:variant>
        <vt:i4>3</vt:i4>
      </vt:variant>
      <vt:variant>
        <vt:i4>0</vt:i4>
      </vt:variant>
      <vt:variant>
        <vt:i4>5</vt:i4>
      </vt:variant>
      <vt:variant>
        <vt:lpwstr>http://data.europa.eu/eli/dec/2022/2481/oj</vt:lpwstr>
      </vt:variant>
      <vt:variant>
        <vt:lpwstr/>
      </vt:variant>
      <vt:variant>
        <vt:i4>5374031</vt:i4>
      </vt:variant>
      <vt:variant>
        <vt:i4>0</vt:i4>
      </vt:variant>
      <vt:variant>
        <vt:i4>0</vt:i4>
      </vt:variant>
      <vt:variant>
        <vt:i4>5</vt:i4>
      </vt:variant>
      <vt:variant>
        <vt:lpwstr>http://data.europa.eu/eli/dec/2008/626(2)/oj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2026-05-26T19:40:00Z</dcterms:created>
  <dcterms:modified xsi:type="dcterms:W3CDTF">2026-07-13T12:27:00Z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2026-05-26T17:26:30Z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0060eb4c-2255-4df2-8faa-752da0615b45</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DQCStatus">
    <vt:lpwstr>Green (DQC version 03)</vt:lpwstr>
  </property>
</Properties>
</file>