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670916" w14:textId="136E00A6" w:rsidR="007A5D8D" w:rsidRDefault="00BE554E" w:rsidP="00BE554E">
      <w:pPr>
        <w:pStyle w:val="Pagedecouverture"/>
        <w:rPr>
          <w:noProof/>
        </w:rPr>
      </w:pPr>
      <w:bookmarkStart w:id="0" w:name="LW_BM_COVERPAGE"/>
      <w:r>
        <w:rPr>
          <w:noProof/>
        </w:rPr>
        <w:pict w14:anchorId="223A22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7B9FC1E-7918-42B8-8DE9-CBCEB62CC033" style="width:455.25pt;height:387pt">
            <v:imagedata r:id="rId11" o:title=""/>
          </v:shape>
        </w:pict>
      </w:r>
    </w:p>
    <w:bookmarkEnd w:id="0"/>
    <w:p w14:paraId="29163972" w14:textId="77777777" w:rsidR="007A5D8D" w:rsidRDefault="007A5D8D" w:rsidP="007A5D8D">
      <w:pPr>
        <w:rPr>
          <w:noProof/>
        </w:rPr>
        <w:sectPr w:rsidR="007A5D8D" w:rsidSect="00BE554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708CBC" w14:textId="79E4C503" w:rsidR="00B87D4C" w:rsidRPr="000F04FA" w:rsidRDefault="0647E7F1" w:rsidP="1430363B">
      <w:pPr>
        <w:spacing w:before="360" w:after="120"/>
        <w:jc w:val="center"/>
        <w:rPr>
          <w:rFonts w:ascii="Times New Roman" w:eastAsia="Times New Roman" w:hAnsi="Times New Roman" w:cs="Times New Roman"/>
          <w:b/>
          <w:smallCaps/>
          <w:noProof/>
          <w:u w:val="single"/>
        </w:rPr>
      </w:pPr>
      <w:bookmarkStart w:id="1" w:name="_GoBack"/>
      <w:bookmarkEnd w:id="1"/>
      <w:r w:rsidRPr="000F04FA">
        <w:rPr>
          <w:rFonts w:ascii="Times New Roman" w:eastAsia="Times New Roman" w:hAnsi="Times New Roman" w:cs="Times New Roman"/>
          <w:b/>
          <w:bCs/>
          <w:smallCaps/>
          <w:noProof/>
          <w:u w:val="single"/>
        </w:rPr>
        <w:lastRenderedPageBreak/>
        <w:t>ANNEX</w:t>
      </w:r>
    </w:p>
    <w:p w14:paraId="217F82A2" w14:textId="28063D20" w:rsidR="00B87D4C" w:rsidRPr="000F04FA" w:rsidRDefault="0647E7F1" w:rsidP="1430363B">
      <w:pPr>
        <w:spacing w:before="360" w:after="120"/>
        <w:jc w:val="both"/>
        <w:rPr>
          <w:rFonts w:ascii="Times New Roman" w:eastAsia="Times New Roman" w:hAnsi="Times New Roman" w:cs="Times New Roman"/>
          <w:noProof/>
          <w:sz w:val="22"/>
          <w:szCs w:val="22"/>
        </w:rPr>
      </w:pPr>
      <w:r w:rsidRPr="000F04FA">
        <w:rPr>
          <w:rFonts w:ascii="Times New Roman" w:eastAsia="Times New Roman" w:hAnsi="Times New Roman" w:cs="Times New Roman"/>
          <w:b/>
          <w:bCs/>
          <w:smallCaps/>
          <w:noProof/>
        </w:rPr>
        <w:t>SECTION 1: REFORMS AND INVESTMENTS UNDER THE RECOVERY AND RESILIENCE PLAN</w:t>
      </w:r>
      <w:r w:rsidRPr="000F04FA">
        <w:rPr>
          <w:rFonts w:ascii="Times New Roman" w:eastAsia="Times New Roman" w:hAnsi="Times New Roman" w:cs="Times New Roman"/>
          <w:noProof/>
          <w:sz w:val="22"/>
          <w:szCs w:val="22"/>
        </w:rPr>
        <w:t xml:space="preserve"> </w:t>
      </w:r>
    </w:p>
    <w:p w14:paraId="13532622" w14:textId="3E123630" w:rsidR="00B87D4C" w:rsidRPr="000F04FA" w:rsidRDefault="0647E7F1" w:rsidP="1430363B">
      <w:pPr>
        <w:spacing w:before="360" w:after="120"/>
        <w:jc w:val="both"/>
        <w:rPr>
          <w:rFonts w:ascii="Times New Roman" w:eastAsia="Times New Roman" w:hAnsi="Times New Roman" w:cs="Times New Roman"/>
          <w:b/>
          <w:smallCaps/>
          <w:noProof/>
        </w:rPr>
      </w:pPr>
      <w:r w:rsidRPr="000F04FA">
        <w:rPr>
          <w:rFonts w:ascii="Times New Roman" w:eastAsia="Times New Roman" w:hAnsi="Times New Roman" w:cs="Times New Roman"/>
          <w:b/>
          <w:bCs/>
          <w:smallCaps/>
          <w:noProof/>
        </w:rPr>
        <w:t>A. COMPONENT 1.1: Resilient and effective health system, enhanced civil protection</w:t>
      </w:r>
    </w:p>
    <w:p w14:paraId="3936DFB4" w14:textId="13A16CCF" w:rsidR="00B87D4C" w:rsidRPr="000F04FA" w:rsidRDefault="0647E7F1" w:rsidP="1430363B">
      <w:pPr>
        <w:spacing w:before="120" w:after="120"/>
        <w:jc w:val="both"/>
        <w:rPr>
          <w:rFonts w:ascii="Times New Roman" w:eastAsia="Times New Roman" w:hAnsi="Times New Roman" w:cs="Times New Roman"/>
          <w:noProof/>
          <w:color w:val="000000" w:themeColor="text1"/>
        </w:rPr>
      </w:pPr>
      <w:r w:rsidRPr="000F04FA">
        <w:rPr>
          <w:rFonts w:ascii="Times New Roman" w:eastAsia="Times New Roman" w:hAnsi="Times New Roman" w:cs="Times New Roman"/>
          <w:noProof/>
        </w:rPr>
        <w:t xml:space="preserve">This component of the Cypriot </w:t>
      </w:r>
      <w:r w:rsidR="00E00119" w:rsidRPr="000F04FA">
        <w:rPr>
          <w:rFonts w:ascii="Times New Roman" w:eastAsia="Times New Roman" w:hAnsi="Times New Roman" w:cs="Times New Roman"/>
          <w:noProof/>
        </w:rPr>
        <w:t>r</w:t>
      </w:r>
      <w:r w:rsidRPr="000F04FA">
        <w:rPr>
          <w:rFonts w:ascii="Times New Roman" w:eastAsia="Times New Roman" w:hAnsi="Times New Roman" w:cs="Times New Roman"/>
          <w:noProof/>
        </w:rPr>
        <w:t xml:space="preserve">ecovery and </w:t>
      </w:r>
      <w:r w:rsidR="00E00119" w:rsidRPr="000F04FA">
        <w:rPr>
          <w:rFonts w:ascii="Times New Roman" w:eastAsia="Times New Roman" w:hAnsi="Times New Roman" w:cs="Times New Roman"/>
          <w:noProof/>
        </w:rPr>
        <w:t>r</w:t>
      </w:r>
      <w:r w:rsidRPr="000F04FA">
        <w:rPr>
          <w:rFonts w:ascii="Times New Roman" w:eastAsia="Times New Roman" w:hAnsi="Times New Roman" w:cs="Times New Roman"/>
          <w:noProof/>
        </w:rPr>
        <w:t xml:space="preserve">esilience plan addresses the challenge of universal access to high-quality healthcare in Cyprus as well as civil protection’s overall emergency preparedness and response. The objective of this component is to strengthen the effectiveness, accessibility and overall resilience of the healthcare sector supporting the recently introduced National Health System through various interventions. These include the (i) modernisation and digitalisation of health care infrastructure and equipment, (ii) stepping-up of e-health services, (iii) accreditation of provided health care services and introduction of evidence-based clinical protocols and quality monitoring systems, as well as (iv) upskilling opportunities for health workers. It further </w:t>
      </w:r>
      <w:r w:rsidRPr="000F04FA">
        <w:rPr>
          <w:rFonts w:ascii="Times New Roman" w:eastAsia="Times New Roman" w:hAnsi="Times New Roman" w:cs="Times New Roman"/>
          <w:noProof/>
          <w:color w:val="000000" w:themeColor="text1"/>
        </w:rPr>
        <w:t>aims at enhancing Cyprus’ civil protection system by establishing a modern Public Warning System.</w:t>
      </w:r>
    </w:p>
    <w:p w14:paraId="3C9ACCD6" w14:textId="484BC8CE" w:rsidR="00B87D4C" w:rsidRPr="000F04FA" w:rsidRDefault="0647E7F1" w:rsidP="1430363B">
      <w:pPr>
        <w:spacing w:before="120" w:after="120" w:line="276" w:lineRule="auto"/>
        <w:jc w:val="both"/>
        <w:rPr>
          <w:rFonts w:ascii="Times New Roman" w:eastAsia="Times New Roman" w:hAnsi="Times New Roman" w:cs="Times New Roman"/>
          <w:noProof/>
        </w:rPr>
      </w:pPr>
      <w:r w:rsidRPr="000F04FA">
        <w:rPr>
          <w:rFonts w:ascii="Times New Roman" w:eastAsia="Times New Roman" w:hAnsi="Times New Roman" w:cs="Times New Roman"/>
          <w:noProof/>
        </w:rPr>
        <w:t xml:space="preserve">The component addresses the country-specific recommendations on health (country-specific recommendation 1 of 2020 and country-specific recommendation 3 of 2019). </w:t>
      </w:r>
    </w:p>
    <w:p w14:paraId="386CB841" w14:textId="725E5516"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 xml:space="preserve"> </w:t>
      </w:r>
    </w:p>
    <w:p w14:paraId="3199627F" w14:textId="0431F8E1" w:rsidR="00B87D4C" w:rsidRPr="000F04FA" w:rsidRDefault="0647E7F1" w:rsidP="1430363B">
      <w:pPr>
        <w:spacing w:before="120" w:after="120"/>
        <w:jc w:val="both"/>
        <w:rPr>
          <w:rFonts w:ascii="Times New Roman" w:eastAsia="Times New Roman" w:hAnsi="Times New Roman" w:cs="Times New Roman"/>
          <w:b/>
          <w:noProof/>
          <w:sz w:val="22"/>
          <w:szCs w:val="22"/>
          <w:u w:val="single"/>
        </w:rPr>
      </w:pPr>
      <w:r w:rsidRPr="000F04FA">
        <w:rPr>
          <w:rFonts w:ascii="Times New Roman" w:eastAsia="Times New Roman" w:hAnsi="Times New Roman" w:cs="Times New Roman"/>
          <w:b/>
          <w:bCs/>
          <w:noProof/>
          <w:u w:val="single"/>
        </w:rPr>
        <w:t xml:space="preserve">A.1. </w:t>
      </w:r>
      <w:r w:rsidR="00B87D4C" w:rsidRPr="000F04FA">
        <w:rPr>
          <w:noProof/>
        </w:rPr>
        <w:tab/>
      </w:r>
      <w:r w:rsidRPr="000F04FA">
        <w:rPr>
          <w:rFonts w:ascii="Times New Roman" w:eastAsia="Times New Roman" w:hAnsi="Times New Roman" w:cs="Times New Roman"/>
          <w:b/>
          <w:bCs/>
          <w:noProof/>
          <w:u w:val="single"/>
        </w:rPr>
        <w:t xml:space="preserve">Description of the </w:t>
      </w:r>
      <w:r w:rsidRPr="000F04FA">
        <w:rPr>
          <w:rFonts w:ascii="Times New Roman" w:eastAsia="Times New Roman" w:hAnsi="Times New Roman" w:cs="Times New Roman"/>
          <w:b/>
          <w:bCs/>
          <w:noProof/>
          <w:sz w:val="22"/>
          <w:szCs w:val="22"/>
          <w:u w:val="single"/>
        </w:rPr>
        <w:t>reforms and investments for non-repayable financial support</w:t>
      </w:r>
    </w:p>
    <w:p w14:paraId="74B9F8C6" w14:textId="18FCE5B0" w:rsidR="00B87D4C" w:rsidRPr="000F04FA" w:rsidRDefault="00B87D4C" w:rsidP="1430363B">
      <w:pPr>
        <w:spacing w:before="120" w:after="120"/>
        <w:jc w:val="both"/>
        <w:rPr>
          <w:rFonts w:ascii="Times New Roman" w:eastAsia="Times New Roman" w:hAnsi="Times New Roman" w:cs="Times New Roman"/>
          <w:noProof/>
        </w:rPr>
      </w:pPr>
    </w:p>
    <w:p w14:paraId="5570FC45" w14:textId="6184CB21"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 xml:space="preserve">Reform 1 (C1.1R1): National Centre for Clinical Evidence and Quality Improvement </w:t>
      </w:r>
    </w:p>
    <w:p w14:paraId="6B4FF2C2" w14:textId="2749231F" w:rsidR="00B87D4C" w:rsidRPr="000F04FA" w:rsidRDefault="0647E7F1" w:rsidP="1430363B">
      <w:pPr>
        <w:spacing w:before="120" w:after="120"/>
        <w:jc w:val="both"/>
        <w:rPr>
          <w:rFonts w:ascii="Times New Roman" w:eastAsia="Times New Roman" w:hAnsi="Times New Roman" w:cs="Times New Roman"/>
          <w:noProof/>
          <w:color w:val="000000" w:themeColor="text1"/>
        </w:rPr>
      </w:pPr>
      <w:r w:rsidRPr="000F04FA">
        <w:rPr>
          <w:rFonts w:ascii="Times New Roman" w:eastAsia="Times New Roman" w:hAnsi="Times New Roman" w:cs="Times New Roman"/>
          <w:noProof/>
          <w:color w:val="000000" w:themeColor="text1"/>
        </w:rPr>
        <w:t xml:space="preserve">The objective of </w:t>
      </w:r>
      <w:r w:rsidRPr="000F04FA">
        <w:rPr>
          <w:rFonts w:ascii="Times New Roman" w:eastAsia="Times New Roman" w:hAnsi="Times New Roman" w:cs="Times New Roman"/>
          <w:noProof/>
        </w:rPr>
        <w:t>this</w:t>
      </w:r>
      <w:r w:rsidRPr="000F04FA">
        <w:rPr>
          <w:rFonts w:ascii="Times New Roman" w:eastAsia="Times New Roman" w:hAnsi="Times New Roman" w:cs="Times New Roman"/>
          <w:noProof/>
          <w:color w:val="000000" w:themeColor="text1"/>
        </w:rPr>
        <w:t xml:space="preserve"> reform is to enhance the quality and sustainability of the healthcare system. </w:t>
      </w:r>
    </w:p>
    <w:p w14:paraId="405EF647" w14:textId="6A0F652A" w:rsidR="00B87D4C"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This measure consists in an IT system for clinical protocols in medical care.</w:t>
      </w:r>
    </w:p>
    <w:p w14:paraId="60CC87A1" w14:textId="77777777" w:rsidR="00FC4C5E" w:rsidRPr="000F04FA" w:rsidRDefault="00FC4C5E" w:rsidP="1430363B">
      <w:pPr>
        <w:spacing w:before="120" w:after="120"/>
        <w:jc w:val="both"/>
        <w:rPr>
          <w:rFonts w:ascii="Times New Roman" w:eastAsia="Times New Roman" w:hAnsi="Times New Roman" w:cs="Times New Roman"/>
          <w:noProof/>
        </w:rPr>
      </w:pPr>
    </w:p>
    <w:p w14:paraId="301B150B" w14:textId="7B560448"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 xml:space="preserve">Reform 2 (C1.1R2): Electronic platform for the surveillance of Nosocomial Antibiotic Consumption and Healthcare-Associated Infections </w:t>
      </w:r>
    </w:p>
    <w:p w14:paraId="23D9FB3D" w14:textId="04694E67"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objective of this reform is to support the digital transition and resilience of the healthcare sector.</w:t>
      </w:r>
    </w:p>
    <w:p w14:paraId="01FD3FE8" w14:textId="20CC637E"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 xml:space="preserve">This measure consists in an electronic platform to record data from hospital pharmacies, microbiology laboratories, and hospitals. </w:t>
      </w:r>
    </w:p>
    <w:p w14:paraId="5A42239F" w14:textId="53E040B6" w:rsidR="00B87D4C" w:rsidRPr="000F04FA" w:rsidRDefault="00B87D4C" w:rsidP="1430363B">
      <w:pPr>
        <w:spacing w:before="120" w:after="120"/>
        <w:jc w:val="both"/>
        <w:rPr>
          <w:rFonts w:ascii="Times New Roman" w:eastAsia="Times New Roman" w:hAnsi="Times New Roman" w:cs="Times New Roman"/>
          <w:noProof/>
        </w:rPr>
      </w:pPr>
    </w:p>
    <w:p w14:paraId="6E1FEF76" w14:textId="45281FEB"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 xml:space="preserve">Investment 1 (C1.1I1): Cyprus Blood Establishment </w:t>
      </w:r>
    </w:p>
    <w:p w14:paraId="2C081BE3" w14:textId="360DFFF2"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objective of this investment is to expand central Blood Establishment facilities in Cyprus.</w:t>
      </w:r>
    </w:p>
    <w:p w14:paraId="2D5EE618" w14:textId="76C0FA87"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 xml:space="preserve">This measure consists in the construction of facilities and purchase of equipment for Cyprus Blood Establishment. </w:t>
      </w:r>
    </w:p>
    <w:p w14:paraId="6341F87F" w14:textId="5C3F97BA" w:rsidR="00B87D4C" w:rsidRPr="000F04FA" w:rsidRDefault="000F04FA" w:rsidP="000F04FA">
      <w:pPr>
        <w:tabs>
          <w:tab w:val="center" w:pos="4986"/>
        </w:tabs>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ab/>
      </w:r>
    </w:p>
    <w:p w14:paraId="36D13C45" w14:textId="47E90898"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lastRenderedPageBreak/>
        <w:t xml:space="preserve">Investment 2 (C1.1I2): Cyprus public health information system </w:t>
      </w:r>
    </w:p>
    <w:p w14:paraId="1BCA83C0" w14:textId="33DA4B02"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objective of this investment is to support public health sector bodies in making evidence-based decisions on epidemiological matters.</w:t>
      </w:r>
    </w:p>
    <w:p w14:paraId="3EA1012C" w14:textId="47A612D0"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measure consists in an influenza surveillance platform of the Cyprus Innovative Public Health Information and Communications Technology (ICT) System.</w:t>
      </w:r>
    </w:p>
    <w:p w14:paraId="2E1CEAAF" w14:textId="2F5D5EC7" w:rsidR="00B87D4C" w:rsidRPr="000F04FA" w:rsidRDefault="00B87D4C" w:rsidP="1430363B">
      <w:pPr>
        <w:spacing w:line="257" w:lineRule="auto"/>
        <w:rPr>
          <w:rFonts w:ascii="Times New Roman" w:eastAsia="Times New Roman" w:hAnsi="Times New Roman" w:cs="Times New Roman"/>
          <w:noProof/>
        </w:rPr>
      </w:pPr>
    </w:p>
    <w:p w14:paraId="1D928D19" w14:textId="5E43A188"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Investment 3 (C1.1I3): Support for the purchase of medical equipment in private hospitals</w:t>
      </w:r>
    </w:p>
    <w:p w14:paraId="70591953" w14:textId="3DCACD1F"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objective of this investment is to modernise the medical equipment of private hospitals.</w:t>
      </w:r>
    </w:p>
    <w:p w14:paraId="68C65D59" w14:textId="2C76F9BC"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 xml:space="preserve">This measure consists in a financial support scheme for private hospitals to purchase medical equipment. </w:t>
      </w:r>
    </w:p>
    <w:p w14:paraId="1ED03D65" w14:textId="2C09BB0E" w:rsidR="00B87D4C" w:rsidRPr="000F04FA" w:rsidRDefault="00B87D4C" w:rsidP="1430363B">
      <w:pPr>
        <w:spacing w:before="120" w:after="120"/>
        <w:jc w:val="both"/>
        <w:rPr>
          <w:rFonts w:ascii="Times New Roman" w:eastAsia="Times New Roman" w:hAnsi="Times New Roman" w:cs="Times New Roman"/>
          <w:noProof/>
        </w:rPr>
      </w:pPr>
    </w:p>
    <w:p w14:paraId="65A8C3B8" w14:textId="27313FE2"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Investment 4 (C1.1I4): Accreditation of health institutions</w:t>
      </w:r>
    </w:p>
    <w:p w14:paraId="33C646B1" w14:textId="071D9D09"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objective of this investment is to support the accreditation of health institutions, enabling their registration within the National Health System (NHS) and enhancing the quality assurance of health care services provided.</w:t>
      </w:r>
    </w:p>
    <w:p w14:paraId="58A7C7FB" w14:textId="6D24DD6D"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This measure consists in a financial support scheme for the accreditation of health institutions.</w:t>
      </w:r>
    </w:p>
    <w:p w14:paraId="1688DDF0" w14:textId="4FA0A2B1" w:rsidR="00B87D4C" w:rsidRPr="000F04FA" w:rsidRDefault="00B87D4C" w:rsidP="1430363B">
      <w:pPr>
        <w:spacing w:before="120" w:after="120"/>
        <w:jc w:val="both"/>
        <w:rPr>
          <w:rFonts w:ascii="Times New Roman" w:eastAsia="Times New Roman" w:hAnsi="Times New Roman" w:cs="Times New Roman"/>
          <w:noProof/>
        </w:rPr>
      </w:pPr>
    </w:p>
    <w:p w14:paraId="1164497B" w14:textId="28416BAF"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Investment 6 (C1.1I6): Generic cross border e-health services in Cyprus</w:t>
      </w:r>
    </w:p>
    <w:p w14:paraId="00F06A27" w14:textId="12C54DD4"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objective of this investment is to support Cyprus’s cross-border exchange of patient health information within the EU.</w:t>
      </w:r>
    </w:p>
    <w:p w14:paraId="5122B6B2" w14:textId="7C34AAD6"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This measure consists in support for cross-border patient data exchange with the Member States in the eHealth Digital Service Infrastructure (eHDSI).</w:t>
      </w:r>
    </w:p>
    <w:p w14:paraId="286F1706" w14:textId="1AD939C3"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 xml:space="preserve"> </w:t>
      </w:r>
    </w:p>
    <w:p w14:paraId="42554CA3" w14:textId="3F56418D"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 xml:space="preserve">Investment 7 (C1.1I7): Public warning system for emergency operations </w:t>
      </w:r>
    </w:p>
    <w:p w14:paraId="5956B9B3" w14:textId="54E0EB7E" w:rsidR="00B87D4C" w:rsidRPr="000F04FA" w:rsidRDefault="0647E7F1" w:rsidP="1430363B">
      <w:pPr>
        <w:spacing w:before="120" w:after="120"/>
        <w:jc w:val="both"/>
        <w:rPr>
          <w:rFonts w:ascii="Times New Roman" w:eastAsia="Times New Roman" w:hAnsi="Times New Roman" w:cs="Times New Roman"/>
          <w:noProof/>
          <w:color w:val="000000" w:themeColor="text1"/>
        </w:rPr>
      </w:pPr>
      <w:r w:rsidRPr="000F04FA">
        <w:rPr>
          <w:rFonts w:ascii="Times New Roman" w:eastAsia="Times New Roman" w:hAnsi="Times New Roman" w:cs="Times New Roman"/>
          <w:noProof/>
        </w:rPr>
        <w:t xml:space="preserve">The objective of this investment is to enhance </w:t>
      </w:r>
      <w:r w:rsidRPr="000F04FA">
        <w:rPr>
          <w:rFonts w:ascii="Times New Roman" w:eastAsia="Times New Roman" w:hAnsi="Times New Roman" w:cs="Times New Roman"/>
          <w:noProof/>
          <w:color w:val="000000" w:themeColor="text1"/>
        </w:rPr>
        <w:t xml:space="preserve">Cyprus’ civil protection system by establishing a public warning system </w:t>
      </w:r>
      <w:r w:rsidRPr="000F04FA">
        <w:rPr>
          <w:rFonts w:ascii="Times New Roman" w:eastAsia="Times New Roman" w:hAnsi="Times New Roman" w:cs="Times New Roman"/>
          <w:noProof/>
        </w:rPr>
        <w:t>for alerting on emergencies</w:t>
      </w:r>
      <w:r w:rsidRPr="000F04FA">
        <w:rPr>
          <w:rFonts w:ascii="Times New Roman" w:eastAsia="Times New Roman" w:hAnsi="Times New Roman" w:cs="Times New Roman"/>
          <w:noProof/>
          <w:color w:val="000000" w:themeColor="text1"/>
        </w:rPr>
        <w:t>.</w:t>
      </w:r>
    </w:p>
    <w:p w14:paraId="6BD50F85" w14:textId="6006F67C"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This measure consists in a public warning system through mobile phones.</w:t>
      </w:r>
    </w:p>
    <w:p w14:paraId="2F66FA79" w14:textId="50F202B1"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 xml:space="preserve"> </w:t>
      </w:r>
    </w:p>
    <w:p w14:paraId="313FC13A" w14:textId="05C15CC2"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 xml:space="preserve">Investment 5 (C1.1I5): Construction works and new equipment in Cyprus State Hospitals </w:t>
      </w:r>
    </w:p>
    <w:p w14:paraId="1485B16C" w14:textId="02D49D35"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objective of this investment is to finance construction works and new equipment of Cyprus State Hospitals.</w:t>
      </w:r>
    </w:p>
    <w:p w14:paraId="4AFA0480" w14:textId="70832C19" w:rsidR="00B87D4C"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This measure consist in construction works or purchase of equipment for Cyprus State Hospitals.</w:t>
      </w:r>
    </w:p>
    <w:p w14:paraId="32D0408B" w14:textId="77777777" w:rsidR="00FC4C5E" w:rsidRPr="000F04FA" w:rsidRDefault="00FC4C5E" w:rsidP="1430363B">
      <w:pPr>
        <w:spacing w:before="120" w:after="120"/>
        <w:jc w:val="both"/>
        <w:rPr>
          <w:rFonts w:ascii="Times New Roman" w:eastAsia="Times New Roman" w:hAnsi="Times New Roman" w:cs="Times New Roman"/>
          <w:noProof/>
        </w:rPr>
      </w:pPr>
    </w:p>
    <w:p w14:paraId="2F68E051" w14:textId="3D5A917C" w:rsidR="00B87D4C" w:rsidRPr="000F04FA" w:rsidRDefault="0647E7F1" w:rsidP="1430363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Reform 3 (C1.1R3): Healthcare provision and reimbursement using value-based models</w:t>
      </w:r>
    </w:p>
    <w:p w14:paraId="7716C509" w14:textId="75E2BA2F" w:rsidR="00B87D4C" w:rsidRPr="000F04FA" w:rsidRDefault="0647E7F1" w:rsidP="1430363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objective of this reform is to change the reimbursement system for healthcare services.</w:t>
      </w:r>
    </w:p>
    <w:p w14:paraId="5B97BDDD" w14:textId="44E6685A" w:rsidR="00B87D4C" w:rsidRPr="000F04FA" w:rsidRDefault="0647E7F1" w:rsidP="1430363B">
      <w:pPr>
        <w:spacing w:before="120" w:after="120"/>
        <w:jc w:val="both"/>
        <w:rPr>
          <w:rFonts w:ascii="Times New Roman" w:eastAsia="Times New Roman" w:hAnsi="Times New Roman" w:cs="Times New Roman"/>
          <w:noProof/>
          <w:sz w:val="22"/>
          <w:szCs w:val="22"/>
        </w:rPr>
      </w:pPr>
      <w:r w:rsidRPr="000F04FA">
        <w:rPr>
          <w:rFonts w:ascii="Times New Roman" w:eastAsia="Times New Roman" w:hAnsi="Times New Roman" w:cs="Times New Roman"/>
          <w:noProof/>
        </w:rPr>
        <w:t>The measure consists in</w:t>
      </w:r>
      <w:r w:rsidRPr="000F04FA">
        <w:rPr>
          <w:rFonts w:ascii="Times New Roman" w:eastAsia="Times New Roman" w:hAnsi="Times New Roman" w:cs="Times New Roman"/>
          <w:noProof/>
          <w:sz w:val="22"/>
          <w:szCs w:val="22"/>
        </w:rPr>
        <w:t xml:space="preserve"> value-based reimbursement in the General Health System. </w:t>
      </w:r>
    </w:p>
    <w:p w14:paraId="1DB2873C" w14:textId="43F15979" w:rsidR="00B87D4C" w:rsidRPr="000F04FA" w:rsidRDefault="00B87D4C">
      <w:pPr>
        <w:rPr>
          <w:noProof/>
        </w:rPr>
      </w:pPr>
    </w:p>
    <w:p w14:paraId="54D90492" w14:textId="77777777" w:rsidR="00284498" w:rsidRPr="000F04FA" w:rsidRDefault="00284498">
      <w:pPr>
        <w:rPr>
          <w:noProof/>
        </w:rPr>
        <w:sectPr w:rsidR="00284498" w:rsidRPr="000F04FA" w:rsidSect="007A5D8D">
          <w:headerReference w:type="even" r:id="rId18"/>
          <w:headerReference w:type="default" r:id="rId19"/>
          <w:footerReference w:type="even" r:id="rId20"/>
          <w:footerReference w:type="default" r:id="rId21"/>
          <w:headerReference w:type="first" r:id="rId22"/>
          <w:footerReference w:type="first" r:id="rId23"/>
          <w:pgSz w:w="12240" w:h="15840"/>
          <w:pgMar w:top="1134" w:right="1134" w:bottom="1134" w:left="1134" w:header="720" w:footer="720" w:gutter="0"/>
          <w:cols w:space="720"/>
          <w:docGrid w:linePitch="360"/>
        </w:sectPr>
      </w:pPr>
    </w:p>
    <w:p w14:paraId="33B2EF40" w14:textId="77777777" w:rsidR="009A7DBE" w:rsidRPr="000F04FA" w:rsidRDefault="009A7DBE" w:rsidP="009A7DBE">
      <w:pPr>
        <w:spacing w:before="120" w:after="240" w:line="240" w:lineRule="auto"/>
        <w:jc w:val="both"/>
        <w:rPr>
          <w:rFonts w:ascii="Times New Roman" w:hAnsi="Times New Roman"/>
          <w:b/>
          <w:noProof/>
          <w:u w:val="single"/>
        </w:rPr>
      </w:pPr>
      <w:r w:rsidRPr="000F04FA">
        <w:rPr>
          <w:rFonts w:ascii="Times New Roman" w:hAnsi="Times New Roman"/>
          <w:b/>
          <w:noProof/>
          <w:u w:val="single"/>
        </w:rPr>
        <w:t xml:space="preserve">A.2.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419"/>
        <w:gridCol w:w="1101"/>
        <w:gridCol w:w="1320"/>
        <w:gridCol w:w="1558"/>
        <w:gridCol w:w="995"/>
        <w:gridCol w:w="992"/>
        <w:gridCol w:w="656"/>
        <w:gridCol w:w="995"/>
        <w:gridCol w:w="707"/>
        <w:gridCol w:w="4165"/>
      </w:tblGrid>
      <w:tr w:rsidR="00AE002E" w:rsidRPr="00AE002E" w14:paraId="4FA11414" w14:textId="77777777" w:rsidTr="00FC4C5E">
        <w:trPr>
          <w:tblHeader/>
          <w:jc w:val="center"/>
        </w:trPr>
        <w:tc>
          <w:tcPr>
            <w:tcW w:w="375" w:type="pct"/>
            <w:vMerge w:val="restart"/>
            <w:shd w:val="clear" w:color="auto" w:fill="BDD7EE"/>
            <w:vAlign w:val="center"/>
            <w:hideMark/>
          </w:tcPr>
          <w:p w14:paraId="72914848" w14:textId="77777777" w:rsidR="009A7DBE" w:rsidRPr="00AE002E" w:rsidRDefault="009A7DBE" w:rsidP="0047484C">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Sequential Number</w:t>
            </w:r>
          </w:p>
        </w:tc>
        <w:tc>
          <w:tcPr>
            <w:tcW w:w="472" w:type="pct"/>
            <w:vMerge w:val="restart"/>
            <w:shd w:val="clear" w:color="auto" w:fill="BDD7EE"/>
            <w:vAlign w:val="center"/>
            <w:hideMark/>
          </w:tcPr>
          <w:p w14:paraId="4A8EF0C9" w14:textId="77777777" w:rsidR="009A7DBE" w:rsidRPr="00AE002E" w:rsidRDefault="009A7DBE" w:rsidP="0047484C">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Related Measure (Reform or Investment)</w:t>
            </w:r>
          </w:p>
        </w:tc>
        <w:tc>
          <w:tcPr>
            <w:tcW w:w="366" w:type="pct"/>
            <w:vMerge w:val="restart"/>
            <w:shd w:val="clear" w:color="auto" w:fill="BDD7EE"/>
            <w:vAlign w:val="center"/>
            <w:hideMark/>
          </w:tcPr>
          <w:p w14:paraId="68B827F5" w14:textId="351B39FC" w:rsidR="009A7DBE" w:rsidRPr="00AE002E" w:rsidRDefault="009A7DBE" w:rsidP="0047484C">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Milestone/Target</w:t>
            </w:r>
          </w:p>
        </w:tc>
        <w:tc>
          <w:tcPr>
            <w:tcW w:w="439" w:type="pct"/>
            <w:vMerge w:val="restart"/>
            <w:shd w:val="clear" w:color="auto" w:fill="BDD7EE"/>
            <w:vAlign w:val="center"/>
            <w:hideMark/>
          </w:tcPr>
          <w:p w14:paraId="7BE1D324" w14:textId="77777777" w:rsidR="009A7DBE" w:rsidRPr="00AE002E" w:rsidRDefault="009A7DBE" w:rsidP="0047484C">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Name</w:t>
            </w:r>
          </w:p>
        </w:tc>
        <w:tc>
          <w:tcPr>
            <w:tcW w:w="518" w:type="pct"/>
            <w:vMerge w:val="restart"/>
            <w:shd w:val="clear" w:color="auto" w:fill="BDD7EE"/>
            <w:vAlign w:val="center"/>
            <w:hideMark/>
          </w:tcPr>
          <w:p w14:paraId="216E16EC" w14:textId="49921985" w:rsidR="009A7DBE" w:rsidRPr="00AE002E" w:rsidRDefault="009A7DBE" w:rsidP="0047484C">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Qualitative indicators</w:t>
            </w:r>
            <w:r w:rsidR="00064579">
              <w:rPr>
                <w:rFonts w:ascii="Times New Roman" w:hAnsi="Times New Roman" w:cs="Times New Roman"/>
                <w:b/>
                <w:noProof/>
                <w:sz w:val="18"/>
                <w:szCs w:val="18"/>
              </w:rPr>
              <w:t xml:space="preserve"> </w:t>
            </w:r>
            <w:r w:rsidRPr="00AE002E">
              <w:rPr>
                <w:rFonts w:ascii="Times New Roman" w:hAnsi="Times New Roman" w:cs="Times New Roman"/>
                <w:noProof/>
                <w:sz w:val="18"/>
                <w:szCs w:val="18"/>
              </w:rPr>
              <w:br/>
            </w:r>
            <w:r w:rsidRPr="00AE002E">
              <w:rPr>
                <w:rFonts w:ascii="Times New Roman" w:hAnsi="Times New Roman" w:cs="Times New Roman"/>
                <w:b/>
                <w:noProof/>
                <w:sz w:val="18"/>
                <w:szCs w:val="18"/>
              </w:rPr>
              <w:t>(for milestones)</w:t>
            </w:r>
          </w:p>
        </w:tc>
        <w:tc>
          <w:tcPr>
            <w:tcW w:w="879" w:type="pct"/>
            <w:gridSpan w:val="3"/>
            <w:shd w:val="clear" w:color="auto" w:fill="BDD7EE"/>
            <w:vAlign w:val="center"/>
            <w:hideMark/>
          </w:tcPr>
          <w:p w14:paraId="1772258B" w14:textId="1BEA0CCA" w:rsidR="009A7DBE" w:rsidRPr="00AE002E" w:rsidRDefault="009A7DBE" w:rsidP="00FC4C5E">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Quantitative indicators</w:t>
            </w:r>
            <w:r w:rsidR="00064579">
              <w:rPr>
                <w:rFonts w:ascii="Times New Roman" w:hAnsi="Times New Roman" w:cs="Times New Roman"/>
                <w:b/>
                <w:noProof/>
                <w:sz w:val="18"/>
                <w:szCs w:val="18"/>
              </w:rPr>
              <w:t xml:space="preserve"> </w:t>
            </w:r>
            <w:r w:rsidRPr="00AE002E">
              <w:rPr>
                <w:rFonts w:ascii="Times New Roman" w:hAnsi="Times New Roman" w:cs="Times New Roman"/>
                <w:noProof/>
                <w:sz w:val="18"/>
                <w:szCs w:val="18"/>
              </w:rPr>
              <w:br/>
            </w:r>
            <w:r w:rsidRPr="00AE002E">
              <w:rPr>
                <w:rFonts w:ascii="Times New Roman" w:hAnsi="Times New Roman" w:cs="Times New Roman"/>
                <w:b/>
                <w:noProof/>
                <w:sz w:val="18"/>
                <w:szCs w:val="18"/>
              </w:rPr>
              <w:t>(for targets)</w:t>
            </w:r>
          </w:p>
        </w:tc>
        <w:tc>
          <w:tcPr>
            <w:tcW w:w="566" w:type="pct"/>
            <w:gridSpan w:val="2"/>
            <w:shd w:val="clear" w:color="auto" w:fill="BDD7EE"/>
            <w:hideMark/>
          </w:tcPr>
          <w:p w14:paraId="1116F5C1" w14:textId="77777777" w:rsidR="009A7DBE" w:rsidRPr="00AE002E" w:rsidRDefault="009A7DBE" w:rsidP="00FC4C5E">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Indicative timeline for completion</w:t>
            </w:r>
          </w:p>
        </w:tc>
        <w:tc>
          <w:tcPr>
            <w:tcW w:w="1385" w:type="pct"/>
            <w:vMerge w:val="restart"/>
            <w:shd w:val="clear" w:color="auto" w:fill="BDD7EE"/>
            <w:vAlign w:val="center"/>
            <w:hideMark/>
          </w:tcPr>
          <w:p w14:paraId="38DE9FB1" w14:textId="77777777" w:rsidR="009A7DBE" w:rsidRPr="00AE002E" w:rsidRDefault="009A7DBE" w:rsidP="00FC4C5E">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Description of each milestone and target</w:t>
            </w:r>
          </w:p>
        </w:tc>
      </w:tr>
      <w:tr w:rsidR="00AE002E" w:rsidRPr="00AE002E" w14:paraId="4D32D09C" w14:textId="77777777" w:rsidTr="00FC4C5E">
        <w:trPr>
          <w:tblHeader/>
          <w:jc w:val="center"/>
        </w:trPr>
        <w:tc>
          <w:tcPr>
            <w:tcW w:w="375" w:type="pct"/>
            <w:vMerge/>
            <w:hideMark/>
          </w:tcPr>
          <w:p w14:paraId="718C27BE" w14:textId="77777777" w:rsidR="009A7DBE" w:rsidRPr="00AE002E" w:rsidRDefault="009A7DBE" w:rsidP="0047484C">
            <w:pPr>
              <w:spacing w:after="0" w:line="240" w:lineRule="auto"/>
              <w:rPr>
                <w:rFonts w:ascii="Times New Roman" w:hAnsi="Times New Roman" w:cs="Times New Roman"/>
                <w:b/>
                <w:noProof/>
                <w:sz w:val="18"/>
                <w:szCs w:val="18"/>
              </w:rPr>
            </w:pPr>
          </w:p>
        </w:tc>
        <w:tc>
          <w:tcPr>
            <w:tcW w:w="472" w:type="pct"/>
            <w:vMerge/>
            <w:hideMark/>
          </w:tcPr>
          <w:p w14:paraId="28DD941E" w14:textId="77777777" w:rsidR="009A7DBE" w:rsidRPr="00AE002E" w:rsidRDefault="009A7DBE" w:rsidP="0047484C">
            <w:pPr>
              <w:spacing w:after="0" w:line="240" w:lineRule="auto"/>
              <w:rPr>
                <w:rFonts w:ascii="Times New Roman" w:hAnsi="Times New Roman" w:cs="Times New Roman"/>
                <w:b/>
                <w:noProof/>
                <w:sz w:val="18"/>
                <w:szCs w:val="18"/>
              </w:rPr>
            </w:pPr>
          </w:p>
        </w:tc>
        <w:tc>
          <w:tcPr>
            <w:tcW w:w="366" w:type="pct"/>
            <w:vMerge/>
            <w:hideMark/>
          </w:tcPr>
          <w:p w14:paraId="5788128C" w14:textId="77777777" w:rsidR="009A7DBE" w:rsidRPr="00AE002E" w:rsidRDefault="009A7DBE" w:rsidP="0047484C">
            <w:pPr>
              <w:spacing w:after="0" w:line="240" w:lineRule="auto"/>
              <w:rPr>
                <w:rFonts w:ascii="Times New Roman" w:hAnsi="Times New Roman" w:cs="Times New Roman"/>
                <w:b/>
                <w:noProof/>
                <w:sz w:val="18"/>
                <w:szCs w:val="18"/>
              </w:rPr>
            </w:pPr>
          </w:p>
        </w:tc>
        <w:tc>
          <w:tcPr>
            <w:tcW w:w="439" w:type="pct"/>
            <w:vMerge/>
            <w:hideMark/>
          </w:tcPr>
          <w:p w14:paraId="1A3C61EC" w14:textId="77777777" w:rsidR="009A7DBE" w:rsidRPr="00AE002E" w:rsidRDefault="009A7DBE" w:rsidP="0047484C">
            <w:pPr>
              <w:spacing w:after="0" w:line="240" w:lineRule="auto"/>
              <w:rPr>
                <w:rFonts w:ascii="Times New Roman" w:hAnsi="Times New Roman" w:cs="Times New Roman"/>
                <w:b/>
                <w:noProof/>
                <w:sz w:val="18"/>
                <w:szCs w:val="18"/>
              </w:rPr>
            </w:pPr>
          </w:p>
        </w:tc>
        <w:tc>
          <w:tcPr>
            <w:tcW w:w="518" w:type="pct"/>
            <w:vMerge/>
            <w:hideMark/>
          </w:tcPr>
          <w:p w14:paraId="19856524" w14:textId="77777777" w:rsidR="009A7DBE" w:rsidRPr="00AE002E" w:rsidRDefault="009A7DBE" w:rsidP="0047484C">
            <w:pPr>
              <w:spacing w:after="0" w:line="240" w:lineRule="auto"/>
              <w:rPr>
                <w:rFonts w:ascii="Times New Roman" w:hAnsi="Times New Roman" w:cs="Times New Roman"/>
                <w:b/>
                <w:noProof/>
                <w:sz w:val="18"/>
                <w:szCs w:val="18"/>
              </w:rPr>
            </w:pPr>
          </w:p>
        </w:tc>
        <w:tc>
          <w:tcPr>
            <w:tcW w:w="331" w:type="pct"/>
            <w:shd w:val="clear" w:color="auto" w:fill="BDD7EE"/>
            <w:vAlign w:val="center"/>
            <w:hideMark/>
          </w:tcPr>
          <w:p w14:paraId="2D85D7B7" w14:textId="77777777" w:rsidR="009A7DBE" w:rsidRPr="00AE002E" w:rsidRDefault="009A7DBE" w:rsidP="00FC4C5E">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Unit of measure</w:t>
            </w:r>
          </w:p>
        </w:tc>
        <w:tc>
          <w:tcPr>
            <w:tcW w:w="330" w:type="pct"/>
            <w:shd w:val="clear" w:color="auto" w:fill="BDD7EE"/>
            <w:vAlign w:val="center"/>
            <w:hideMark/>
          </w:tcPr>
          <w:p w14:paraId="02B165D2" w14:textId="77777777" w:rsidR="009A7DBE" w:rsidRPr="00AE002E" w:rsidRDefault="009A7DBE" w:rsidP="00FC4C5E">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Baseline</w:t>
            </w:r>
          </w:p>
        </w:tc>
        <w:tc>
          <w:tcPr>
            <w:tcW w:w="218" w:type="pct"/>
            <w:shd w:val="clear" w:color="auto" w:fill="BDD7EE"/>
            <w:vAlign w:val="center"/>
            <w:hideMark/>
          </w:tcPr>
          <w:p w14:paraId="6A9BD0B3" w14:textId="77777777" w:rsidR="009A7DBE" w:rsidRPr="00AE002E" w:rsidRDefault="009A7DBE" w:rsidP="00FC4C5E">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Goal</w:t>
            </w:r>
          </w:p>
        </w:tc>
        <w:tc>
          <w:tcPr>
            <w:tcW w:w="331" w:type="pct"/>
            <w:shd w:val="clear" w:color="auto" w:fill="BDD7EE"/>
            <w:vAlign w:val="center"/>
            <w:hideMark/>
          </w:tcPr>
          <w:p w14:paraId="76A251B2" w14:textId="77777777" w:rsidR="009A7DBE" w:rsidRPr="00AE002E" w:rsidRDefault="009A7DBE" w:rsidP="00FC4C5E">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Quarter</w:t>
            </w:r>
          </w:p>
        </w:tc>
        <w:tc>
          <w:tcPr>
            <w:tcW w:w="235" w:type="pct"/>
            <w:shd w:val="clear" w:color="auto" w:fill="BDD7EE"/>
            <w:vAlign w:val="center"/>
            <w:hideMark/>
          </w:tcPr>
          <w:p w14:paraId="4C25155F" w14:textId="77777777" w:rsidR="009A7DBE" w:rsidRPr="00AE002E" w:rsidRDefault="009A7DBE" w:rsidP="00FC4C5E">
            <w:pPr>
              <w:spacing w:after="0" w:line="240" w:lineRule="auto"/>
              <w:jc w:val="center"/>
              <w:rPr>
                <w:rFonts w:ascii="Times New Roman" w:hAnsi="Times New Roman" w:cs="Times New Roman"/>
                <w:b/>
                <w:noProof/>
                <w:sz w:val="18"/>
                <w:szCs w:val="18"/>
              </w:rPr>
            </w:pPr>
            <w:r w:rsidRPr="00AE002E">
              <w:rPr>
                <w:rFonts w:ascii="Times New Roman" w:hAnsi="Times New Roman" w:cs="Times New Roman"/>
                <w:b/>
                <w:noProof/>
                <w:sz w:val="18"/>
                <w:szCs w:val="18"/>
              </w:rPr>
              <w:t>Year</w:t>
            </w:r>
          </w:p>
        </w:tc>
        <w:tc>
          <w:tcPr>
            <w:tcW w:w="1385" w:type="pct"/>
            <w:vMerge/>
            <w:hideMark/>
          </w:tcPr>
          <w:p w14:paraId="45B1B328" w14:textId="77777777" w:rsidR="009A7DBE" w:rsidRPr="00AE002E" w:rsidRDefault="009A7DBE" w:rsidP="00FC4C5E">
            <w:pPr>
              <w:spacing w:after="0" w:line="240" w:lineRule="auto"/>
              <w:jc w:val="both"/>
              <w:rPr>
                <w:rFonts w:ascii="Times New Roman" w:hAnsi="Times New Roman" w:cs="Times New Roman"/>
                <w:b/>
                <w:noProof/>
                <w:sz w:val="18"/>
                <w:szCs w:val="18"/>
              </w:rPr>
            </w:pPr>
          </w:p>
        </w:tc>
      </w:tr>
      <w:tr w:rsidR="00AE002E" w:rsidRPr="00AE002E" w14:paraId="6579F09A" w14:textId="77777777" w:rsidTr="00FC4C5E">
        <w:trPr>
          <w:jc w:val="center"/>
        </w:trPr>
        <w:tc>
          <w:tcPr>
            <w:tcW w:w="375" w:type="pct"/>
            <w:shd w:val="clear" w:color="auto" w:fill="C6EFCE"/>
            <w:noWrap/>
          </w:tcPr>
          <w:p w14:paraId="3179CAA9"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2b</w:t>
            </w:r>
          </w:p>
        </w:tc>
        <w:tc>
          <w:tcPr>
            <w:tcW w:w="472" w:type="pct"/>
            <w:shd w:val="clear" w:color="auto" w:fill="C6EFCE"/>
            <w:noWrap/>
          </w:tcPr>
          <w:p w14:paraId="28609501"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C1.1R1</w:t>
            </w:r>
          </w:p>
          <w:p w14:paraId="1C411883"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National Centre for Clinical Evidence and Quality Improvement</w:t>
            </w:r>
          </w:p>
        </w:tc>
        <w:tc>
          <w:tcPr>
            <w:tcW w:w="366" w:type="pct"/>
            <w:shd w:val="clear" w:color="auto" w:fill="C6EFCE"/>
            <w:noWrap/>
          </w:tcPr>
          <w:p w14:paraId="08562891"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shd w:val="clear" w:color="auto" w:fill="C6EFCE"/>
            <w:noWrap/>
          </w:tcPr>
          <w:p w14:paraId="6C5F0762" w14:textId="0AB7C6A9"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IT system for clinical protocols </w:t>
            </w:r>
          </w:p>
        </w:tc>
        <w:tc>
          <w:tcPr>
            <w:tcW w:w="518" w:type="pct"/>
            <w:shd w:val="clear" w:color="auto" w:fill="C6EFCE"/>
            <w:noWrap/>
          </w:tcPr>
          <w:p w14:paraId="14AB2A19"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IT system accessible</w:t>
            </w:r>
          </w:p>
        </w:tc>
        <w:tc>
          <w:tcPr>
            <w:tcW w:w="331" w:type="pct"/>
            <w:shd w:val="clear" w:color="auto" w:fill="C6EFCE"/>
            <w:noWrap/>
          </w:tcPr>
          <w:p w14:paraId="057ABF5A"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shd w:val="clear" w:color="auto" w:fill="C6EFCE"/>
            <w:noWrap/>
          </w:tcPr>
          <w:p w14:paraId="510B90FF"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shd w:val="clear" w:color="auto" w:fill="C6EFCE"/>
            <w:noWrap/>
          </w:tcPr>
          <w:p w14:paraId="43C67468"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shd w:val="clear" w:color="auto" w:fill="C6EFCE"/>
            <w:noWrap/>
          </w:tcPr>
          <w:p w14:paraId="2F6C9798"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Q4</w:t>
            </w:r>
          </w:p>
        </w:tc>
        <w:tc>
          <w:tcPr>
            <w:tcW w:w="235" w:type="pct"/>
            <w:shd w:val="clear" w:color="auto" w:fill="C6EFCE"/>
            <w:noWrap/>
          </w:tcPr>
          <w:p w14:paraId="74006594"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2025</w:t>
            </w:r>
          </w:p>
        </w:tc>
        <w:tc>
          <w:tcPr>
            <w:tcW w:w="1385" w:type="pct"/>
            <w:shd w:val="clear" w:color="auto" w:fill="C6EFCE"/>
            <w:noWrap/>
          </w:tcPr>
          <w:p w14:paraId="4E45C3EB" w14:textId="1D579A62"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The IT system for at least 90 clinical protocols, including an e-learning platform, is accessible. The contractor shall certify that the clinical protocols have been peer reviewed.</w:t>
            </w:r>
          </w:p>
        </w:tc>
      </w:tr>
      <w:tr w:rsidR="00AE002E" w:rsidRPr="00AE002E" w14:paraId="72C2C9F3" w14:textId="77777777" w:rsidTr="00FC4C5E">
        <w:trPr>
          <w:jc w:val="center"/>
        </w:trPr>
        <w:tc>
          <w:tcPr>
            <w:tcW w:w="375" w:type="pct"/>
            <w:shd w:val="clear" w:color="auto" w:fill="C6EFCE"/>
            <w:noWrap/>
            <w:hideMark/>
          </w:tcPr>
          <w:p w14:paraId="121022CF"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3</w:t>
            </w:r>
          </w:p>
        </w:tc>
        <w:tc>
          <w:tcPr>
            <w:tcW w:w="472" w:type="pct"/>
            <w:shd w:val="clear" w:color="auto" w:fill="C6EFCE"/>
            <w:noWrap/>
            <w:hideMark/>
          </w:tcPr>
          <w:p w14:paraId="10141108"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C1.1R2</w:t>
            </w:r>
          </w:p>
          <w:p w14:paraId="6CDE0B5D"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Design of an Electronic platform for the surveillance of Nosocomial Antibiotic Consumption and Healthcare – Associated Infections </w:t>
            </w:r>
          </w:p>
        </w:tc>
        <w:tc>
          <w:tcPr>
            <w:tcW w:w="366" w:type="pct"/>
            <w:shd w:val="clear" w:color="auto" w:fill="C6EFCE"/>
            <w:noWrap/>
            <w:hideMark/>
          </w:tcPr>
          <w:p w14:paraId="1D66D61D"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shd w:val="clear" w:color="auto" w:fill="C6EFCE"/>
            <w:noWrap/>
            <w:hideMark/>
          </w:tcPr>
          <w:p w14:paraId="0D30DC99"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Adoption of the list of health care facilities </w:t>
            </w:r>
          </w:p>
        </w:tc>
        <w:tc>
          <w:tcPr>
            <w:tcW w:w="518" w:type="pct"/>
            <w:shd w:val="clear" w:color="auto" w:fill="C6EFCE"/>
            <w:noWrap/>
            <w:hideMark/>
          </w:tcPr>
          <w:p w14:paraId="268B86B1"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Adoption of the list of health care facilities </w:t>
            </w:r>
          </w:p>
        </w:tc>
        <w:tc>
          <w:tcPr>
            <w:tcW w:w="331" w:type="pct"/>
            <w:shd w:val="clear" w:color="auto" w:fill="C6EFCE"/>
            <w:noWrap/>
            <w:hideMark/>
          </w:tcPr>
          <w:p w14:paraId="51BAF51D" w14:textId="49997816"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shd w:val="clear" w:color="auto" w:fill="C6EFCE"/>
            <w:noWrap/>
            <w:hideMark/>
          </w:tcPr>
          <w:p w14:paraId="0C5A37F3" w14:textId="1FA0ADF3"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shd w:val="clear" w:color="auto" w:fill="C6EFCE"/>
            <w:noWrap/>
            <w:hideMark/>
          </w:tcPr>
          <w:p w14:paraId="7C2113A8" w14:textId="723E01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shd w:val="clear" w:color="auto" w:fill="C6EFCE"/>
            <w:noWrap/>
            <w:hideMark/>
          </w:tcPr>
          <w:p w14:paraId="1BFBFE95"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Q1</w:t>
            </w:r>
          </w:p>
        </w:tc>
        <w:tc>
          <w:tcPr>
            <w:tcW w:w="235" w:type="pct"/>
            <w:shd w:val="clear" w:color="auto" w:fill="C6EFCE"/>
            <w:noWrap/>
            <w:hideMark/>
          </w:tcPr>
          <w:p w14:paraId="2D6258FF"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2023</w:t>
            </w:r>
          </w:p>
        </w:tc>
        <w:tc>
          <w:tcPr>
            <w:tcW w:w="1385" w:type="pct"/>
            <w:shd w:val="clear" w:color="auto" w:fill="C6EFCE"/>
            <w:noWrap/>
            <w:hideMark/>
          </w:tcPr>
          <w:p w14:paraId="30FCF153" w14:textId="704C2A4F"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Adoption of the list of </w:t>
            </w:r>
            <w:r w:rsidR="000F04FA" w:rsidRPr="00AE002E">
              <w:rPr>
                <w:rFonts w:ascii="Times New Roman" w:hAnsi="Times New Roman" w:cs="Times New Roman"/>
                <w:noProof/>
                <w:sz w:val="18"/>
                <w:szCs w:val="18"/>
              </w:rPr>
              <w:t>healthcare</w:t>
            </w:r>
            <w:r w:rsidRPr="00AE002E">
              <w:rPr>
                <w:rFonts w:ascii="Times New Roman" w:hAnsi="Times New Roman" w:cs="Times New Roman"/>
                <w:noProof/>
                <w:sz w:val="18"/>
                <w:szCs w:val="18"/>
              </w:rPr>
              <w:t xml:space="preserve"> facilities that shall be providing information to the Ministry of Health on antibiotic consumption and healthcare-associated infections that shall be monitored by the Ministry of Health. </w:t>
            </w:r>
          </w:p>
        </w:tc>
      </w:tr>
      <w:tr w:rsidR="00AE002E" w:rsidRPr="00AE002E" w14:paraId="4C0F8AF8" w14:textId="77777777" w:rsidTr="00FC4C5E">
        <w:trPr>
          <w:jc w:val="center"/>
        </w:trPr>
        <w:tc>
          <w:tcPr>
            <w:tcW w:w="375" w:type="pct"/>
            <w:shd w:val="clear" w:color="auto" w:fill="C6EFCE"/>
            <w:noWrap/>
            <w:hideMark/>
          </w:tcPr>
          <w:p w14:paraId="35CA7673"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4</w:t>
            </w:r>
          </w:p>
        </w:tc>
        <w:tc>
          <w:tcPr>
            <w:tcW w:w="472" w:type="pct"/>
            <w:shd w:val="clear" w:color="auto" w:fill="C6EFCE"/>
            <w:noWrap/>
            <w:hideMark/>
          </w:tcPr>
          <w:p w14:paraId="332EE754"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C1.1R2</w:t>
            </w:r>
          </w:p>
          <w:p w14:paraId="296D5B48"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Electronic platform for the surveillance of Nosocomial Antibiotic Consumption and Healthcare- Associated Infections </w:t>
            </w:r>
          </w:p>
        </w:tc>
        <w:tc>
          <w:tcPr>
            <w:tcW w:w="366" w:type="pct"/>
            <w:shd w:val="clear" w:color="auto" w:fill="C6EFCE"/>
            <w:noWrap/>
            <w:hideMark/>
          </w:tcPr>
          <w:p w14:paraId="6353A3DC"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Milestone </w:t>
            </w:r>
          </w:p>
        </w:tc>
        <w:tc>
          <w:tcPr>
            <w:tcW w:w="439" w:type="pct"/>
            <w:shd w:val="clear" w:color="auto" w:fill="C6EFCE"/>
            <w:noWrap/>
            <w:hideMark/>
          </w:tcPr>
          <w:p w14:paraId="1AC20C6F" w14:textId="081BE0DA"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Electronic platform</w:t>
            </w:r>
            <w:r w:rsidR="00064579">
              <w:rPr>
                <w:rFonts w:ascii="Times New Roman" w:hAnsi="Times New Roman" w:cs="Times New Roman"/>
                <w:noProof/>
                <w:sz w:val="18"/>
                <w:szCs w:val="18"/>
              </w:rPr>
              <w:t xml:space="preserve"> </w:t>
            </w:r>
          </w:p>
        </w:tc>
        <w:tc>
          <w:tcPr>
            <w:tcW w:w="518" w:type="pct"/>
            <w:shd w:val="clear" w:color="auto" w:fill="C6EFCE"/>
            <w:noWrap/>
            <w:hideMark/>
          </w:tcPr>
          <w:p w14:paraId="2163CC2D"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Electronic platform accessible</w:t>
            </w:r>
          </w:p>
        </w:tc>
        <w:tc>
          <w:tcPr>
            <w:tcW w:w="331" w:type="pct"/>
            <w:shd w:val="clear" w:color="auto" w:fill="C6EFCE"/>
            <w:noWrap/>
            <w:hideMark/>
          </w:tcPr>
          <w:p w14:paraId="0C9CA9A0" w14:textId="4FCB294A"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shd w:val="clear" w:color="auto" w:fill="C6EFCE"/>
            <w:noWrap/>
            <w:hideMark/>
          </w:tcPr>
          <w:p w14:paraId="71241957" w14:textId="3FFBEDD9"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shd w:val="clear" w:color="auto" w:fill="C6EFCE"/>
            <w:noWrap/>
            <w:hideMark/>
          </w:tcPr>
          <w:p w14:paraId="10ED23FB" w14:textId="3EE0823D"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shd w:val="clear" w:color="auto" w:fill="C6EFCE"/>
            <w:noWrap/>
            <w:hideMark/>
          </w:tcPr>
          <w:p w14:paraId="748A13F2"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Q4</w:t>
            </w:r>
          </w:p>
        </w:tc>
        <w:tc>
          <w:tcPr>
            <w:tcW w:w="235" w:type="pct"/>
            <w:shd w:val="clear" w:color="auto" w:fill="C6EFCE"/>
            <w:noWrap/>
            <w:hideMark/>
          </w:tcPr>
          <w:p w14:paraId="702C1ADB" w14:textId="07924E4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2025</w:t>
            </w:r>
          </w:p>
        </w:tc>
        <w:tc>
          <w:tcPr>
            <w:tcW w:w="1385" w:type="pct"/>
            <w:shd w:val="clear" w:color="auto" w:fill="C6EFCE"/>
            <w:noWrap/>
            <w:hideMark/>
          </w:tcPr>
          <w:p w14:paraId="670F2BC8"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An electronic platform to record data from hospital pharmacies (nosocomial antibiotic consumption), microbiology laboratories (antimicrobial resistance), and hospitals (healthcare-associated infections (HAIs)) shall be accessible. </w:t>
            </w:r>
          </w:p>
        </w:tc>
      </w:tr>
      <w:tr w:rsidR="00AE002E" w:rsidRPr="00AE002E" w14:paraId="5A61B28B" w14:textId="77777777" w:rsidTr="00FC4C5E">
        <w:trPr>
          <w:jc w:val="center"/>
        </w:trPr>
        <w:tc>
          <w:tcPr>
            <w:tcW w:w="375" w:type="pct"/>
            <w:shd w:val="clear" w:color="auto" w:fill="C6EFCE"/>
            <w:noWrap/>
            <w:hideMark/>
          </w:tcPr>
          <w:p w14:paraId="0B533AD7"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5</w:t>
            </w:r>
          </w:p>
        </w:tc>
        <w:tc>
          <w:tcPr>
            <w:tcW w:w="472" w:type="pct"/>
            <w:shd w:val="clear" w:color="auto" w:fill="C6EFCE"/>
            <w:noWrap/>
            <w:hideMark/>
          </w:tcPr>
          <w:p w14:paraId="13050F6B"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C1.1I1</w:t>
            </w:r>
          </w:p>
          <w:p w14:paraId="442D3005"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New facilities for the Cyprus Blood Establishment and procurement of the latest technology attendant equipment</w:t>
            </w:r>
          </w:p>
        </w:tc>
        <w:tc>
          <w:tcPr>
            <w:tcW w:w="366" w:type="pct"/>
            <w:shd w:val="clear" w:color="auto" w:fill="C6EFCE"/>
            <w:noWrap/>
            <w:hideMark/>
          </w:tcPr>
          <w:p w14:paraId="149819D8"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shd w:val="clear" w:color="auto" w:fill="C6EFCE"/>
            <w:noWrap/>
            <w:hideMark/>
          </w:tcPr>
          <w:p w14:paraId="2A2427C5"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Contract signature for the construction of the Cyprus Blood Establishment</w:t>
            </w:r>
          </w:p>
        </w:tc>
        <w:tc>
          <w:tcPr>
            <w:tcW w:w="518" w:type="pct"/>
            <w:shd w:val="clear" w:color="auto" w:fill="C6EFCE"/>
            <w:noWrap/>
            <w:hideMark/>
          </w:tcPr>
          <w:p w14:paraId="4816822A"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Signature of the contract</w:t>
            </w:r>
          </w:p>
        </w:tc>
        <w:tc>
          <w:tcPr>
            <w:tcW w:w="331" w:type="pct"/>
            <w:shd w:val="clear" w:color="auto" w:fill="C6EFCE"/>
            <w:noWrap/>
            <w:hideMark/>
          </w:tcPr>
          <w:p w14:paraId="228C57AE" w14:textId="45F120EC"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shd w:val="clear" w:color="auto" w:fill="C6EFCE"/>
            <w:noWrap/>
            <w:hideMark/>
          </w:tcPr>
          <w:p w14:paraId="7D0C808E" w14:textId="4E88D181"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shd w:val="clear" w:color="auto" w:fill="C6EFCE"/>
            <w:noWrap/>
            <w:hideMark/>
          </w:tcPr>
          <w:p w14:paraId="63ACB953" w14:textId="71DA1E8C"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shd w:val="clear" w:color="auto" w:fill="C6EFCE"/>
            <w:noWrap/>
            <w:hideMark/>
          </w:tcPr>
          <w:p w14:paraId="744E9B29"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Q3</w:t>
            </w:r>
          </w:p>
        </w:tc>
        <w:tc>
          <w:tcPr>
            <w:tcW w:w="235" w:type="pct"/>
            <w:shd w:val="clear" w:color="auto" w:fill="C6EFCE"/>
            <w:noWrap/>
            <w:hideMark/>
          </w:tcPr>
          <w:p w14:paraId="06A37753"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2022</w:t>
            </w:r>
          </w:p>
        </w:tc>
        <w:tc>
          <w:tcPr>
            <w:tcW w:w="1385" w:type="pct"/>
            <w:shd w:val="clear" w:color="auto" w:fill="C6EFCE"/>
            <w:noWrap/>
            <w:hideMark/>
          </w:tcPr>
          <w:p w14:paraId="48254F58"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Signature of the contract with the selected tenderer(s) (contractor(s)) selected under a competitive call for tenders for the construction of the Cyprus Blood Establishment.</w:t>
            </w:r>
          </w:p>
        </w:tc>
      </w:tr>
      <w:tr w:rsidR="00AE002E" w:rsidRPr="00AE002E" w14:paraId="0447022C" w14:textId="77777777" w:rsidTr="00FC4C5E">
        <w:trPr>
          <w:jc w:val="center"/>
        </w:trPr>
        <w:tc>
          <w:tcPr>
            <w:tcW w:w="375" w:type="pct"/>
            <w:tcBorders>
              <w:bottom w:val="single" w:sz="4" w:space="0" w:color="auto"/>
            </w:tcBorders>
            <w:shd w:val="clear" w:color="auto" w:fill="C6EFCE"/>
            <w:noWrap/>
            <w:hideMark/>
          </w:tcPr>
          <w:p w14:paraId="710B5496"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6</w:t>
            </w:r>
          </w:p>
        </w:tc>
        <w:tc>
          <w:tcPr>
            <w:tcW w:w="472" w:type="pct"/>
            <w:tcBorders>
              <w:bottom w:val="single" w:sz="4" w:space="0" w:color="auto"/>
            </w:tcBorders>
            <w:shd w:val="clear" w:color="auto" w:fill="C6EFCE"/>
            <w:noWrap/>
            <w:hideMark/>
          </w:tcPr>
          <w:p w14:paraId="5AB8F361"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C1.1I1</w:t>
            </w:r>
          </w:p>
          <w:p w14:paraId="045DB7DE"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Cyprus Blood Establishment </w:t>
            </w:r>
          </w:p>
        </w:tc>
        <w:tc>
          <w:tcPr>
            <w:tcW w:w="366" w:type="pct"/>
            <w:tcBorders>
              <w:bottom w:val="single" w:sz="4" w:space="0" w:color="auto"/>
            </w:tcBorders>
            <w:shd w:val="clear" w:color="auto" w:fill="C6EFCE"/>
            <w:noWrap/>
            <w:hideMark/>
          </w:tcPr>
          <w:p w14:paraId="1A637B25"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tcBorders>
              <w:bottom w:val="single" w:sz="4" w:space="0" w:color="auto"/>
            </w:tcBorders>
            <w:shd w:val="clear" w:color="auto" w:fill="C6EFCE"/>
            <w:noWrap/>
            <w:hideMark/>
          </w:tcPr>
          <w:p w14:paraId="7577F675"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Blood establishment facilities and equipment</w:t>
            </w:r>
          </w:p>
        </w:tc>
        <w:tc>
          <w:tcPr>
            <w:tcW w:w="518" w:type="pct"/>
            <w:tcBorders>
              <w:bottom w:val="single" w:sz="4" w:space="0" w:color="auto"/>
            </w:tcBorders>
            <w:shd w:val="clear" w:color="auto" w:fill="C6EFCE"/>
            <w:noWrap/>
            <w:hideMark/>
          </w:tcPr>
          <w:p w14:paraId="1636D34D"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Facilities constructed and equipment purchased</w:t>
            </w:r>
          </w:p>
        </w:tc>
        <w:tc>
          <w:tcPr>
            <w:tcW w:w="331" w:type="pct"/>
            <w:tcBorders>
              <w:bottom w:val="single" w:sz="4" w:space="0" w:color="auto"/>
            </w:tcBorders>
            <w:shd w:val="clear" w:color="auto" w:fill="C6EFCE"/>
            <w:noWrap/>
            <w:hideMark/>
          </w:tcPr>
          <w:p w14:paraId="505500EC" w14:textId="57D2D526"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tcBorders>
              <w:bottom w:val="single" w:sz="4" w:space="0" w:color="auto"/>
            </w:tcBorders>
            <w:shd w:val="clear" w:color="auto" w:fill="C6EFCE"/>
            <w:noWrap/>
            <w:hideMark/>
          </w:tcPr>
          <w:p w14:paraId="6811304E" w14:textId="4E47E90C"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tcBorders>
              <w:bottom w:val="single" w:sz="4" w:space="0" w:color="auto"/>
            </w:tcBorders>
            <w:shd w:val="clear" w:color="auto" w:fill="C6EFCE"/>
            <w:noWrap/>
            <w:hideMark/>
          </w:tcPr>
          <w:p w14:paraId="7677009E" w14:textId="37C44DD2"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tcBorders>
              <w:bottom w:val="single" w:sz="4" w:space="0" w:color="auto"/>
            </w:tcBorders>
            <w:shd w:val="clear" w:color="auto" w:fill="C6EFCE"/>
            <w:noWrap/>
            <w:hideMark/>
          </w:tcPr>
          <w:p w14:paraId="4E5F96E6"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Q2</w:t>
            </w:r>
          </w:p>
        </w:tc>
        <w:tc>
          <w:tcPr>
            <w:tcW w:w="235" w:type="pct"/>
            <w:tcBorders>
              <w:bottom w:val="single" w:sz="4" w:space="0" w:color="auto"/>
            </w:tcBorders>
            <w:shd w:val="clear" w:color="auto" w:fill="C6EFCE"/>
            <w:noWrap/>
            <w:hideMark/>
          </w:tcPr>
          <w:p w14:paraId="442CC5CE"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2025</w:t>
            </w:r>
          </w:p>
        </w:tc>
        <w:tc>
          <w:tcPr>
            <w:tcW w:w="1385" w:type="pct"/>
            <w:tcBorders>
              <w:bottom w:val="single" w:sz="4" w:space="0" w:color="auto"/>
            </w:tcBorders>
            <w:shd w:val="clear" w:color="auto" w:fill="C6EFCE"/>
            <w:noWrap/>
            <w:hideMark/>
          </w:tcPr>
          <w:p w14:paraId="04AD37EC"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The Cyprus Blood Establishment facilities are constructed and equipment is purchased. The new facilities shall have a primary energy demand that is at least 20% lower than defined in the nearly zero-energy building (NZEB) requirement. </w:t>
            </w:r>
          </w:p>
        </w:tc>
      </w:tr>
      <w:tr w:rsidR="00AE002E" w:rsidRPr="00AE002E" w14:paraId="73716DBB" w14:textId="77777777" w:rsidTr="00FC4C5E">
        <w:trPr>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332B169F"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7</w:t>
            </w:r>
          </w:p>
          <w:p w14:paraId="170F93ED" w14:textId="77777777" w:rsidR="009A7DBE" w:rsidRPr="00AE002E" w:rsidRDefault="009A7DBE" w:rsidP="3C74A276">
            <w:pPr>
              <w:spacing w:after="0" w:line="240" w:lineRule="auto"/>
              <w:rPr>
                <w:rFonts w:ascii="Times New Roman" w:hAnsi="Times New Roman" w:cs="Times New Roman"/>
                <w:noProof/>
                <w:sz w:val="18"/>
                <w:szCs w:val="18"/>
              </w:rPr>
            </w:pP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4BAAAD7C"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C1.1I2</w:t>
            </w:r>
          </w:p>
          <w:p w14:paraId="6DCE4556"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Cyprus Innovative Public Health information and communications technology (ICT) System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1D46E589"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43E084D2"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Influenza Sentinel Surveillance (ISS)System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17545424"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Fully operational system</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192CB97B" w14:textId="00EA50AD"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63D45356" w14:textId="3825B91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tcBorders>
              <w:top w:val="single" w:sz="4" w:space="0" w:color="auto"/>
              <w:left w:val="single" w:sz="4" w:space="0" w:color="auto"/>
              <w:bottom w:val="single" w:sz="4" w:space="0" w:color="auto"/>
              <w:right w:val="single" w:sz="4" w:space="0" w:color="auto"/>
            </w:tcBorders>
            <w:shd w:val="clear" w:color="auto" w:fill="C6EFCE"/>
            <w:noWrap/>
            <w:hideMark/>
          </w:tcPr>
          <w:p w14:paraId="638DF829" w14:textId="1A3A82B2" w:rsidR="009A7DBE" w:rsidRPr="00AE002E" w:rsidRDefault="009A7DBE" w:rsidP="00FC4C5E">
            <w:pPr>
              <w:spacing w:after="0" w:line="240" w:lineRule="auto"/>
              <w:jc w:val="center"/>
              <w:rPr>
                <w:rFonts w:ascii="Times New Roman" w:hAnsi="Times New Roman" w:cs="Times New Roman"/>
                <w:noProof/>
                <w:sz w:val="18"/>
                <w:szCs w:val="18"/>
              </w:rPr>
            </w:pP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587628A4"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Q2</w:t>
            </w:r>
          </w:p>
        </w:tc>
        <w:tc>
          <w:tcPr>
            <w:tcW w:w="235" w:type="pct"/>
            <w:tcBorders>
              <w:top w:val="single" w:sz="4" w:space="0" w:color="auto"/>
              <w:left w:val="single" w:sz="4" w:space="0" w:color="auto"/>
              <w:bottom w:val="single" w:sz="4" w:space="0" w:color="auto"/>
              <w:right w:val="single" w:sz="4" w:space="0" w:color="auto"/>
            </w:tcBorders>
            <w:shd w:val="clear" w:color="auto" w:fill="C6EFCE"/>
            <w:noWrap/>
            <w:hideMark/>
          </w:tcPr>
          <w:p w14:paraId="4801FD0F"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2022</w:t>
            </w:r>
          </w:p>
        </w:tc>
        <w:tc>
          <w:tcPr>
            <w:tcW w:w="1385" w:type="pct"/>
            <w:tcBorders>
              <w:top w:val="single" w:sz="4" w:space="0" w:color="auto"/>
              <w:left w:val="single" w:sz="4" w:space="0" w:color="auto"/>
              <w:bottom w:val="single" w:sz="4" w:space="0" w:color="auto"/>
              <w:right w:val="single" w:sz="4" w:space="0" w:color="auto"/>
            </w:tcBorders>
            <w:shd w:val="clear" w:color="auto" w:fill="C6EFCE"/>
            <w:noWrap/>
            <w:hideMark/>
          </w:tcPr>
          <w:p w14:paraId="0F560E5B"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The Influenza Sentinel Surveillance System module of the Cyprus Innovative Public Health information and communications technology (ICT) System shall be operational and a system monitoring its effectiveness shall be in place.</w:t>
            </w:r>
          </w:p>
        </w:tc>
      </w:tr>
      <w:tr w:rsidR="00AE002E" w:rsidRPr="00AE002E" w14:paraId="530977C6" w14:textId="77777777" w:rsidTr="00FC4C5E">
        <w:trPr>
          <w:trHeight w:val="2850"/>
          <w:jc w:val="center"/>
        </w:trPr>
        <w:tc>
          <w:tcPr>
            <w:tcW w:w="375" w:type="pct"/>
            <w:tcBorders>
              <w:top w:val="single" w:sz="4" w:space="0" w:color="auto"/>
            </w:tcBorders>
            <w:shd w:val="clear" w:color="auto" w:fill="C6EFCE"/>
            <w:noWrap/>
            <w:hideMark/>
          </w:tcPr>
          <w:p w14:paraId="618B935F"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8</w:t>
            </w:r>
          </w:p>
        </w:tc>
        <w:tc>
          <w:tcPr>
            <w:tcW w:w="472" w:type="pct"/>
            <w:tcBorders>
              <w:top w:val="single" w:sz="4" w:space="0" w:color="auto"/>
            </w:tcBorders>
            <w:shd w:val="clear" w:color="auto" w:fill="C6EFCE"/>
            <w:noWrap/>
            <w:hideMark/>
          </w:tcPr>
          <w:p w14:paraId="42A187D7"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C1.1I2</w:t>
            </w:r>
          </w:p>
          <w:p w14:paraId="49E52543"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Cyprus Public Health information System</w:t>
            </w:r>
          </w:p>
        </w:tc>
        <w:tc>
          <w:tcPr>
            <w:tcW w:w="366" w:type="pct"/>
            <w:tcBorders>
              <w:top w:val="single" w:sz="4" w:space="0" w:color="auto"/>
            </w:tcBorders>
            <w:shd w:val="clear" w:color="auto" w:fill="C6EFCE"/>
            <w:noWrap/>
            <w:hideMark/>
          </w:tcPr>
          <w:p w14:paraId="76D3533A"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Target</w:t>
            </w:r>
          </w:p>
        </w:tc>
        <w:tc>
          <w:tcPr>
            <w:tcW w:w="439" w:type="pct"/>
            <w:tcBorders>
              <w:top w:val="single" w:sz="4" w:space="0" w:color="auto"/>
            </w:tcBorders>
            <w:shd w:val="clear" w:color="auto" w:fill="C6EFCE"/>
            <w:noWrap/>
            <w:hideMark/>
          </w:tcPr>
          <w:p w14:paraId="242CDABF"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Sentinels registered in the module</w:t>
            </w:r>
          </w:p>
        </w:tc>
        <w:tc>
          <w:tcPr>
            <w:tcW w:w="518" w:type="pct"/>
            <w:tcBorders>
              <w:top w:val="single" w:sz="4" w:space="0" w:color="auto"/>
            </w:tcBorders>
            <w:shd w:val="clear" w:color="auto" w:fill="C6EFCE"/>
            <w:noWrap/>
            <w:hideMark/>
          </w:tcPr>
          <w:p w14:paraId="67D0A2D5"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 -</w:t>
            </w:r>
          </w:p>
        </w:tc>
        <w:tc>
          <w:tcPr>
            <w:tcW w:w="331" w:type="pct"/>
            <w:tcBorders>
              <w:top w:val="single" w:sz="4" w:space="0" w:color="auto"/>
            </w:tcBorders>
            <w:shd w:val="clear" w:color="auto" w:fill="C6EFCE"/>
            <w:noWrap/>
            <w:hideMark/>
          </w:tcPr>
          <w:p w14:paraId="4A03B03A"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Number</w:t>
            </w:r>
          </w:p>
        </w:tc>
        <w:tc>
          <w:tcPr>
            <w:tcW w:w="330" w:type="pct"/>
            <w:tcBorders>
              <w:top w:val="single" w:sz="4" w:space="0" w:color="auto"/>
            </w:tcBorders>
            <w:shd w:val="clear" w:color="auto" w:fill="C6EFCE"/>
            <w:noWrap/>
            <w:hideMark/>
          </w:tcPr>
          <w:p w14:paraId="0A8C7BAA"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0</w:t>
            </w:r>
          </w:p>
        </w:tc>
        <w:tc>
          <w:tcPr>
            <w:tcW w:w="218" w:type="pct"/>
            <w:tcBorders>
              <w:top w:val="single" w:sz="4" w:space="0" w:color="auto"/>
            </w:tcBorders>
            <w:shd w:val="clear" w:color="auto" w:fill="C6EFCE"/>
            <w:noWrap/>
            <w:hideMark/>
          </w:tcPr>
          <w:p w14:paraId="4A70CD06"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30</w:t>
            </w:r>
          </w:p>
        </w:tc>
        <w:tc>
          <w:tcPr>
            <w:tcW w:w="331" w:type="pct"/>
            <w:tcBorders>
              <w:top w:val="single" w:sz="4" w:space="0" w:color="auto"/>
            </w:tcBorders>
            <w:shd w:val="clear" w:color="auto" w:fill="C6EFCE"/>
            <w:noWrap/>
            <w:hideMark/>
          </w:tcPr>
          <w:p w14:paraId="647635B8"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Q2</w:t>
            </w:r>
          </w:p>
        </w:tc>
        <w:tc>
          <w:tcPr>
            <w:tcW w:w="235" w:type="pct"/>
            <w:tcBorders>
              <w:top w:val="single" w:sz="4" w:space="0" w:color="auto"/>
            </w:tcBorders>
            <w:shd w:val="clear" w:color="auto" w:fill="C6EFCE"/>
            <w:noWrap/>
            <w:hideMark/>
          </w:tcPr>
          <w:p w14:paraId="25F7CC2E"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2024</w:t>
            </w:r>
          </w:p>
        </w:tc>
        <w:tc>
          <w:tcPr>
            <w:tcW w:w="1385" w:type="pct"/>
            <w:tcBorders>
              <w:top w:val="single" w:sz="4" w:space="0" w:color="auto"/>
            </w:tcBorders>
            <w:shd w:val="clear" w:color="auto" w:fill="C6EFCE"/>
            <w:noWrap/>
            <w:hideMark/>
          </w:tcPr>
          <w:p w14:paraId="2E60CF9D"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At least 30 doctors are registered as sentinels in the influenza surveillance module of the Cyprus Public Health Information System. </w:t>
            </w:r>
          </w:p>
        </w:tc>
      </w:tr>
      <w:tr w:rsidR="00AE002E" w:rsidRPr="00AE002E" w14:paraId="3C2EDC61" w14:textId="77777777" w:rsidTr="00FC4C5E">
        <w:trPr>
          <w:jc w:val="center"/>
        </w:trPr>
        <w:tc>
          <w:tcPr>
            <w:tcW w:w="375" w:type="pct"/>
            <w:shd w:val="clear" w:color="auto" w:fill="C6EFCE"/>
            <w:noWrap/>
            <w:hideMark/>
          </w:tcPr>
          <w:p w14:paraId="2D44DA8C"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9</w:t>
            </w:r>
          </w:p>
        </w:tc>
        <w:tc>
          <w:tcPr>
            <w:tcW w:w="472" w:type="pct"/>
            <w:shd w:val="clear" w:color="auto" w:fill="C6EFCE"/>
            <w:noWrap/>
            <w:hideMark/>
          </w:tcPr>
          <w:p w14:paraId="4580EAC0"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C1.1I3</w:t>
            </w:r>
          </w:p>
          <w:p w14:paraId="7DBAA2EF"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Purchase/replacement of medical equipment in hospitals</w:t>
            </w:r>
          </w:p>
        </w:tc>
        <w:tc>
          <w:tcPr>
            <w:tcW w:w="366" w:type="pct"/>
            <w:shd w:val="clear" w:color="auto" w:fill="C6EFCE"/>
            <w:noWrap/>
            <w:hideMark/>
          </w:tcPr>
          <w:p w14:paraId="7C09AD32"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Target</w:t>
            </w:r>
          </w:p>
        </w:tc>
        <w:tc>
          <w:tcPr>
            <w:tcW w:w="439" w:type="pct"/>
            <w:shd w:val="clear" w:color="auto" w:fill="C6EFCE"/>
            <w:noWrap/>
            <w:hideMark/>
          </w:tcPr>
          <w:p w14:paraId="1A465978"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Health institutions having benefitted from the financial support scheme </w:t>
            </w:r>
          </w:p>
        </w:tc>
        <w:tc>
          <w:tcPr>
            <w:tcW w:w="518" w:type="pct"/>
            <w:shd w:val="clear" w:color="auto" w:fill="C6EFCE"/>
            <w:noWrap/>
            <w:hideMark/>
          </w:tcPr>
          <w:p w14:paraId="17E2FF47"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 -</w:t>
            </w:r>
          </w:p>
        </w:tc>
        <w:tc>
          <w:tcPr>
            <w:tcW w:w="331" w:type="pct"/>
            <w:shd w:val="clear" w:color="auto" w:fill="C6EFCE"/>
            <w:noWrap/>
            <w:hideMark/>
          </w:tcPr>
          <w:p w14:paraId="7A68007C"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Number</w:t>
            </w:r>
          </w:p>
        </w:tc>
        <w:tc>
          <w:tcPr>
            <w:tcW w:w="330" w:type="pct"/>
            <w:shd w:val="clear" w:color="auto" w:fill="C6EFCE"/>
            <w:noWrap/>
            <w:hideMark/>
          </w:tcPr>
          <w:p w14:paraId="02E79002"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0</w:t>
            </w:r>
          </w:p>
        </w:tc>
        <w:tc>
          <w:tcPr>
            <w:tcW w:w="218" w:type="pct"/>
            <w:shd w:val="clear" w:color="auto" w:fill="C6EFCE"/>
            <w:noWrap/>
            <w:hideMark/>
          </w:tcPr>
          <w:p w14:paraId="088C530E"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10</w:t>
            </w:r>
          </w:p>
        </w:tc>
        <w:tc>
          <w:tcPr>
            <w:tcW w:w="331" w:type="pct"/>
            <w:shd w:val="clear" w:color="auto" w:fill="C6EFCE"/>
            <w:noWrap/>
            <w:hideMark/>
          </w:tcPr>
          <w:p w14:paraId="0A5AE7A7"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Q4</w:t>
            </w:r>
          </w:p>
        </w:tc>
        <w:tc>
          <w:tcPr>
            <w:tcW w:w="235" w:type="pct"/>
            <w:shd w:val="clear" w:color="auto" w:fill="C6EFCE"/>
            <w:noWrap/>
            <w:hideMark/>
          </w:tcPr>
          <w:p w14:paraId="5C75B88A"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2023</w:t>
            </w:r>
          </w:p>
        </w:tc>
        <w:tc>
          <w:tcPr>
            <w:tcW w:w="1385" w:type="pct"/>
            <w:shd w:val="clear" w:color="auto" w:fill="C6EFCE"/>
            <w:noWrap/>
            <w:hideMark/>
          </w:tcPr>
          <w:p w14:paraId="2B3570A3"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At least ten of the applicant health institutions of various categories have received financial support from the scheme for medical equipment acquisition. </w:t>
            </w:r>
          </w:p>
        </w:tc>
      </w:tr>
      <w:tr w:rsidR="00AE002E" w:rsidRPr="00AE002E" w14:paraId="74BE8916" w14:textId="77777777" w:rsidTr="00FC4C5E">
        <w:trPr>
          <w:jc w:val="center"/>
        </w:trPr>
        <w:tc>
          <w:tcPr>
            <w:tcW w:w="375" w:type="pct"/>
            <w:shd w:val="clear" w:color="auto" w:fill="C6EFCE"/>
            <w:noWrap/>
            <w:hideMark/>
          </w:tcPr>
          <w:p w14:paraId="6CC953CC"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10</w:t>
            </w:r>
          </w:p>
        </w:tc>
        <w:tc>
          <w:tcPr>
            <w:tcW w:w="472" w:type="pct"/>
            <w:shd w:val="clear" w:color="auto" w:fill="C6EFCE"/>
            <w:noWrap/>
            <w:hideMark/>
          </w:tcPr>
          <w:p w14:paraId="02A09BCB"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C1.1I3</w:t>
            </w:r>
          </w:p>
          <w:p w14:paraId="668576C3"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Support for the purchase of medical equipment in private hospitals</w:t>
            </w:r>
          </w:p>
        </w:tc>
        <w:tc>
          <w:tcPr>
            <w:tcW w:w="366" w:type="pct"/>
            <w:shd w:val="clear" w:color="auto" w:fill="C6EFCE"/>
            <w:noWrap/>
            <w:hideMark/>
          </w:tcPr>
          <w:p w14:paraId="292A03A4"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Target</w:t>
            </w:r>
          </w:p>
        </w:tc>
        <w:tc>
          <w:tcPr>
            <w:tcW w:w="439" w:type="pct"/>
            <w:shd w:val="clear" w:color="auto" w:fill="C6EFCE"/>
            <w:noWrap/>
            <w:hideMark/>
          </w:tcPr>
          <w:p w14:paraId="4BDA6B2A"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Private hospitals purchased medical equipment with funding from the financial support scheme</w:t>
            </w:r>
          </w:p>
        </w:tc>
        <w:tc>
          <w:tcPr>
            <w:tcW w:w="518" w:type="pct"/>
            <w:shd w:val="clear" w:color="auto" w:fill="C6EFCE"/>
            <w:noWrap/>
            <w:hideMark/>
          </w:tcPr>
          <w:p w14:paraId="154E1A21"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 -</w:t>
            </w:r>
          </w:p>
        </w:tc>
        <w:tc>
          <w:tcPr>
            <w:tcW w:w="331" w:type="pct"/>
            <w:shd w:val="clear" w:color="auto" w:fill="C6EFCE"/>
            <w:noWrap/>
            <w:hideMark/>
          </w:tcPr>
          <w:p w14:paraId="704D1EBB"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Number</w:t>
            </w:r>
          </w:p>
        </w:tc>
        <w:tc>
          <w:tcPr>
            <w:tcW w:w="330" w:type="pct"/>
            <w:shd w:val="clear" w:color="auto" w:fill="C6EFCE"/>
            <w:noWrap/>
            <w:hideMark/>
          </w:tcPr>
          <w:p w14:paraId="59A0D55B"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10</w:t>
            </w:r>
          </w:p>
        </w:tc>
        <w:tc>
          <w:tcPr>
            <w:tcW w:w="218" w:type="pct"/>
            <w:shd w:val="clear" w:color="auto" w:fill="C6EFCE"/>
            <w:noWrap/>
            <w:hideMark/>
          </w:tcPr>
          <w:p w14:paraId="0A25F3C8"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23</w:t>
            </w:r>
          </w:p>
        </w:tc>
        <w:tc>
          <w:tcPr>
            <w:tcW w:w="331" w:type="pct"/>
            <w:shd w:val="clear" w:color="auto" w:fill="C6EFCE"/>
            <w:noWrap/>
            <w:hideMark/>
          </w:tcPr>
          <w:p w14:paraId="6D05EC76"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Q4</w:t>
            </w:r>
          </w:p>
        </w:tc>
        <w:tc>
          <w:tcPr>
            <w:tcW w:w="235" w:type="pct"/>
            <w:shd w:val="clear" w:color="auto" w:fill="C6EFCE"/>
            <w:noWrap/>
            <w:hideMark/>
          </w:tcPr>
          <w:p w14:paraId="174D5C89"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2025</w:t>
            </w:r>
          </w:p>
        </w:tc>
        <w:tc>
          <w:tcPr>
            <w:tcW w:w="1385" w:type="pct"/>
            <w:shd w:val="clear" w:color="auto" w:fill="C6EFCE"/>
            <w:noWrap/>
            <w:hideMark/>
          </w:tcPr>
          <w:p w14:paraId="0DE3BC61" w14:textId="1AA3327B"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At least 23 private hospitals have received financial support from the scheme to purchase medical equipment. </w:t>
            </w:r>
          </w:p>
        </w:tc>
      </w:tr>
      <w:tr w:rsidR="00AE002E" w:rsidRPr="00AE002E" w14:paraId="0ED4DFBD" w14:textId="77777777" w:rsidTr="00FC4C5E">
        <w:trPr>
          <w:jc w:val="center"/>
        </w:trPr>
        <w:tc>
          <w:tcPr>
            <w:tcW w:w="375" w:type="pct"/>
            <w:shd w:val="clear" w:color="auto" w:fill="C6EFCE"/>
            <w:noWrap/>
          </w:tcPr>
          <w:p w14:paraId="4C9E0581"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12</w:t>
            </w:r>
          </w:p>
        </w:tc>
        <w:tc>
          <w:tcPr>
            <w:tcW w:w="472" w:type="pct"/>
            <w:shd w:val="clear" w:color="auto" w:fill="C6EFCE"/>
            <w:noWrap/>
          </w:tcPr>
          <w:p w14:paraId="65461115"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C1.1I4</w:t>
            </w:r>
          </w:p>
          <w:p w14:paraId="4C0A500F"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Accreditation of health institutions</w:t>
            </w:r>
          </w:p>
        </w:tc>
        <w:tc>
          <w:tcPr>
            <w:tcW w:w="366" w:type="pct"/>
            <w:shd w:val="clear" w:color="auto" w:fill="C6EFCE"/>
            <w:noWrap/>
          </w:tcPr>
          <w:p w14:paraId="42AE2BD6"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Target</w:t>
            </w:r>
          </w:p>
        </w:tc>
        <w:tc>
          <w:tcPr>
            <w:tcW w:w="439" w:type="pct"/>
            <w:shd w:val="clear" w:color="auto" w:fill="C6EFCE"/>
            <w:noWrap/>
          </w:tcPr>
          <w:p w14:paraId="2ED48929"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Health institutions have received financial support for their accreditation </w:t>
            </w:r>
          </w:p>
        </w:tc>
        <w:tc>
          <w:tcPr>
            <w:tcW w:w="518" w:type="pct"/>
            <w:shd w:val="clear" w:color="auto" w:fill="C6EFCE"/>
            <w:noWrap/>
          </w:tcPr>
          <w:p w14:paraId="2A9EAA42"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shd w:val="clear" w:color="auto" w:fill="C6EFCE"/>
            <w:noWrap/>
          </w:tcPr>
          <w:p w14:paraId="23F680F1"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Number</w:t>
            </w:r>
          </w:p>
        </w:tc>
        <w:tc>
          <w:tcPr>
            <w:tcW w:w="330" w:type="pct"/>
            <w:shd w:val="clear" w:color="auto" w:fill="C6EFCE"/>
            <w:noWrap/>
          </w:tcPr>
          <w:p w14:paraId="42BD64A8"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0</w:t>
            </w:r>
          </w:p>
        </w:tc>
        <w:tc>
          <w:tcPr>
            <w:tcW w:w="218" w:type="pct"/>
            <w:shd w:val="clear" w:color="auto" w:fill="C6EFCE"/>
            <w:noWrap/>
          </w:tcPr>
          <w:p w14:paraId="76CB6954"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30</w:t>
            </w:r>
          </w:p>
        </w:tc>
        <w:tc>
          <w:tcPr>
            <w:tcW w:w="331" w:type="pct"/>
            <w:shd w:val="clear" w:color="auto" w:fill="C6EFCE"/>
            <w:noWrap/>
          </w:tcPr>
          <w:p w14:paraId="7494B5B9"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Q2</w:t>
            </w:r>
          </w:p>
        </w:tc>
        <w:tc>
          <w:tcPr>
            <w:tcW w:w="235" w:type="pct"/>
            <w:shd w:val="clear" w:color="auto" w:fill="C6EFCE"/>
            <w:noWrap/>
          </w:tcPr>
          <w:p w14:paraId="080C5DF1"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2026</w:t>
            </w:r>
          </w:p>
        </w:tc>
        <w:tc>
          <w:tcPr>
            <w:tcW w:w="1385" w:type="pct"/>
            <w:shd w:val="clear" w:color="auto" w:fill="C6EFCE"/>
            <w:noWrap/>
          </w:tcPr>
          <w:p w14:paraId="5D7C9109" w14:textId="113A3FEE"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At least 30 health institutions have received financial support from the scheme and been accredited based on International Society for Quality in Healthcare (ISQua) standards. </w:t>
            </w:r>
          </w:p>
        </w:tc>
      </w:tr>
      <w:tr w:rsidR="00AE002E" w:rsidRPr="00AE002E" w14:paraId="65FB2DF0" w14:textId="77777777" w:rsidTr="00FC4C5E">
        <w:trPr>
          <w:jc w:val="center"/>
        </w:trPr>
        <w:tc>
          <w:tcPr>
            <w:tcW w:w="375" w:type="pct"/>
            <w:shd w:val="clear" w:color="auto" w:fill="C6EFCE"/>
            <w:noWrap/>
            <w:hideMark/>
          </w:tcPr>
          <w:p w14:paraId="1798047E"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13</w:t>
            </w:r>
          </w:p>
        </w:tc>
        <w:tc>
          <w:tcPr>
            <w:tcW w:w="472" w:type="pct"/>
            <w:shd w:val="clear" w:color="auto" w:fill="C6EFCE"/>
            <w:noWrap/>
            <w:hideMark/>
          </w:tcPr>
          <w:p w14:paraId="3DF11D68"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C1.1I6</w:t>
            </w:r>
          </w:p>
          <w:p w14:paraId="6601EB22"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Deployment of generic cross border e-health services in Cyprus</w:t>
            </w:r>
          </w:p>
        </w:tc>
        <w:tc>
          <w:tcPr>
            <w:tcW w:w="366" w:type="pct"/>
            <w:shd w:val="clear" w:color="auto" w:fill="C6EFCE"/>
            <w:noWrap/>
            <w:hideMark/>
          </w:tcPr>
          <w:p w14:paraId="72A654B6"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shd w:val="clear" w:color="auto" w:fill="C6EFCE"/>
            <w:noWrap/>
            <w:hideMark/>
          </w:tcPr>
          <w:p w14:paraId="720CB064" w14:textId="77777777" w:rsidR="009A7DBE" w:rsidRPr="00AE002E" w:rsidRDefault="009A7DBE" w:rsidP="0047484C">
            <w:pPr>
              <w:tabs>
                <w:tab w:val="center" w:pos="809"/>
              </w:tabs>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Completion of the analysis, design, and development phase of the IT System for cross-border e-health services</w:t>
            </w:r>
          </w:p>
        </w:tc>
        <w:tc>
          <w:tcPr>
            <w:tcW w:w="518" w:type="pct"/>
            <w:shd w:val="clear" w:color="auto" w:fill="C6EFCE"/>
            <w:noWrap/>
            <w:hideMark/>
          </w:tcPr>
          <w:p w14:paraId="6BD7EA48"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Completion of the analysis, design, and development phase of the IT System, as provided in a dedicated report by the deliverables acceptance team in the contracting authority</w:t>
            </w:r>
          </w:p>
        </w:tc>
        <w:tc>
          <w:tcPr>
            <w:tcW w:w="331" w:type="pct"/>
            <w:shd w:val="clear" w:color="auto" w:fill="C6EFCE"/>
            <w:noWrap/>
            <w:hideMark/>
          </w:tcPr>
          <w:p w14:paraId="5543B308"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shd w:val="clear" w:color="auto" w:fill="C6EFCE"/>
            <w:noWrap/>
            <w:hideMark/>
          </w:tcPr>
          <w:p w14:paraId="213822E2"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shd w:val="clear" w:color="auto" w:fill="C6EFCE"/>
            <w:noWrap/>
            <w:hideMark/>
          </w:tcPr>
          <w:p w14:paraId="019EFDF0"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shd w:val="clear" w:color="auto" w:fill="C6EFCE"/>
            <w:noWrap/>
            <w:hideMark/>
          </w:tcPr>
          <w:p w14:paraId="4B809EC1"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Q4</w:t>
            </w:r>
          </w:p>
        </w:tc>
        <w:tc>
          <w:tcPr>
            <w:tcW w:w="235" w:type="pct"/>
            <w:shd w:val="clear" w:color="auto" w:fill="C6EFCE"/>
            <w:noWrap/>
            <w:hideMark/>
          </w:tcPr>
          <w:p w14:paraId="20571F4B"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2023</w:t>
            </w:r>
          </w:p>
        </w:tc>
        <w:tc>
          <w:tcPr>
            <w:tcW w:w="1385" w:type="pct"/>
            <w:shd w:val="clear" w:color="auto" w:fill="C6EFCE"/>
            <w:noWrap/>
            <w:hideMark/>
          </w:tcPr>
          <w:p w14:paraId="495842A2" w14:textId="77777777" w:rsidR="009A7DBE" w:rsidRPr="00483719" w:rsidRDefault="009A7DBE"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xml:space="preserve">The analysis, design and development of the IT System phase shall be completed. </w:t>
            </w:r>
          </w:p>
          <w:p w14:paraId="5A011824" w14:textId="77777777" w:rsidR="009A7DBE" w:rsidRPr="00483719" w:rsidRDefault="009A7DBE"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xml:space="preserve">Specifications shall include: </w:t>
            </w:r>
          </w:p>
          <w:p w14:paraId="77080E5E" w14:textId="77777777" w:rsidR="009A7DBE" w:rsidRPr="00483719" w:rsidRDefault="009A7DBE" w:rsidP="00FC4C5E">
            <w:pPr>
              <w:spacing w:after="0" w:line="240" w:lineRule="auto"/>
              <w:jc w:val="both"/>
              <w:rPr>
                <w:rFonts w:ascii="Times New Roman" w:hAnsi="Times New Roman" w:cs="Times New Roman"/>
                <w:noProof/>
                <w:sz w:val="18"/>
                <w:szCs w:val="18"/>
              </w:rPr>
            </w:pPr>
          </w:p>
          <w:p w14:paraId="0B1C1E91" w14:textId="77777777" w:rsidR="009A7DBE" w:rsidRPr="00483719" w:rsidDel="00885AC4" w:rsidRDefault="009A7DBE"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xml:space="preserve">a) </w:t>
            </w:r>
            <w:r w:rsidRPr="00483719" w:rsidDel="4AE8F201">
              <w:rPr>
                <w:rFonts w:ascii="Times New Roman" w:hAnsi="Times New Roman" w:cs="Times New Roman"/>
                <w:noProof/>
                <w:sz w:val="18"/>
                <w:szCs w:val="18"/>
              </w:rPr>
              <w:t xml:space="preserve">Service Location and capability lookup Profile / the Cross-Community Patient Discovery Profile (to locate communities that hold patient relevant health data and the translation of patient identifiers across communities holding the same patient’s data). </w:t>
            </w:r>
          </w:p>
          <w:p w14:paraId="50CD623D" w14:textId="77777777" w:rsidR="009A7DBE" w:rsidRPr="00483719" w:rsidDel="00885AC4" w:rsidRDefault="009A7DBE" w:rsidP="00FC4C5E">
            <w:pPr>
              <w:spacing w:after="0" w:line="240" w:lineRule="auto"/>
              <w:jc w:val="both"/>
              <w:rPr>
                <w:rFonts w:ascii="Times New Roman" w:hAnsi="Times New Roman" w:cs="Times New Roman"/>
                <w:noProof/>
                <w:sz w:val="18"/>
                <w:szCs w:val="18"/>
              </w:rPr>
            </w:pPr>
            <w:r w:rsidRPr="00483719" w:rsidDel="4AE8F201">
              <w:rPr>
                <w:rFonts w:ascii="Times New Roman" w:hAnsi="Times New Roman" w:cs="Times New Roman"/>
                <w:noProof/>
                <w:sz w:val="18"/>
                <w:szCs w:val="18"/>
              </w:rPr>
              <w:t xml:space="preserve">b) open source National Contact Point (OpenNCP) update that supports the eHDSI Automatic Data Collection (eADC). </w:t>
            </w:r>
          </w:p>
          <w:p w14:paraId="723E9586" w14:textId="77777777" w:rsidR="009A7DBE" w:rsidRPr="00AE002E" w:rsidRDefault="009A7DBE" w:rsidP="00FC4C5E">
            <w:pPr>
              <w:spacing w:after="0" w:line="240" w:lineRule="auto"/>
              <w:jc w:val="both"/>
              <w:rPr>
                <w:rFonts w:ascii="Times New Roman" w:hAnsi="Times New Roman" w:cs="Times New Roman"/>
                <w:noProof/>
                <w:sz w:val="18"/>
                <w:szCs w:val="18"/>
              </w:rPr>
            </w:pPr>
            <w:r w:rsidRPr="00483719" w:rsidDel="00885AC4">
              <w:rPr>
                <w:rFonts w:ascii="Times New Roman" w:hAnsi="Times New Roman" w:cs="Times New Roman"/>
                <w:noProof/>
                <w:sz w:val="18"/>
                <w:szCs w:val="18"/>
              </w:rPr>
              <w:t>c)</w:t>
            </w:r>
            <w:r w:rsidRPr="00483719">
              <w:rPr>
                <w:rFonts w:ascii="Times New Roman" w:hAnsi="Times New Roman" w:cs="Times New Roman"/>
                <w:noProof/>
                <w:sz w:val="18"/>
                <w:szCs w:val="18"/>
              </w:rPr>
              <w:t xml:space="preserve"> Update Patient Summary (PS-A), e-Prescription (eP), e-Dispencing (eD), unstructured clinical documents, and patient access to cross border data services, based on Wave 6 Clinical Document Architecture (W6 CDA) Implementation Guidelines by the e-Health network.</w:t>
            </w:r>
          </w:p>
        </w:tc>
      </w:tr>
      <w:tr w:rsidR="00AE002E" w:rsidRPr="00AE002E" w14:paraId="3CD81487" w14:textId="77777777" w:rsidTr="00FC4C5E">
        <w:trPr>
          <w:jc w:val="center"/>
        </w:trPr>
        <w:tc>
          <w:tcPr>
            <w:tcW w:w="375" w:type="pct"/>
            <w:shd w:val="clear" w:color="auto" w:fill="C6EFCE"/>
            <w:noWrap/>
            <w:hideMark/>
          </w:tcPr>
          <w:p w14:paraId="701E3E8E"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14</w:t>
            </w:r>
          </w:p>
        </w:tc>
        <w:tc>
          <w:tcPr>
            <w:tcW w:w="472" w:type="pct"/>
            <w:shd w:val="clear" w:color="auto" w:fill="C6EFCE"/>
            <w:noWrap/>
            <w:hideMark/>
          </w:tcPr>
          <w:p w14:paraId="5352BCC7"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C1.1I6</w:t>
            </w:r>
          </w:p>
          <w:p w14:paraId="28210D6A"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Generic cross border e-health services in Cyprus</w:t>
            </w:r>
          </w:p>
        </w:tc>
        <w:tc>
          <w:tcPr>
            <w:tcW w:w="366" w:type="pct"/>
            <w:shd w:val="clear" w:color="auto" w:fill="C6EFCE"/>
            <w:noWrap/>
            <w:hideMark/>
          </w:tcPr>
          <w:p w14:paraId="170C5D4C"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shd w:val="clear" w:color="auto" w:fill="C6EFCE"/>
            <w:noWrap/>
            <w:hideMark/>
          </w:tcPr>
          <w:p w14:paraId="5063F284"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Cross-border patient data exchange </w:t>
            </w:r>
          </w:p>
        </w:tc>
        <w:tc>
          <w:tcPr>
            <w:tcW w:w="518" w:type="pct"/>
            <w:shd w:val="clear" w:color="auto" w:fill="C6EFCE"/>
            <w:noWrap/>
            <w:hideMark/>
          </w:tcPr>
          <w:p w14:paraId="255B9DDA"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System for the exchange of patient data accessible</w:t>
            </w:r>
          </w:p>
        </w:tc>
        <w:tc>
          <w:tcPr>
            <w:tcW w:w="331" w:type="pct"/>
            <w:shd w:val="clear" w:color="auto" w:fill="C6EFCE"/>
            <w:noWrap/>
            <w:hideMark/>
          </w:tcPr>
          <w:p w14:paraId="46C37D40" w14:textId="51B4B5B6"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shd w:val="clear" w:color="auto" w:fill="C6EFCE"/>
            <w:noWrap/>
            <w:hideMark/>
          </w:tcPr>
          <w:p w14:paraId="54A8DDE9" w14:textId="1CABF929"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shd w:val="clear" w:color="auto" w:fill="C6EFCE"/>
            <w:noWrap/>
            <w:hideMark/>
          </w:tcPr>
          <w:p w14:paraId="6D560F6E" w14:textId="0C825EE8"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shd w:val="clear" w:color="auto" w:fill="C6EFCE"/>
            <w:noWrap/>
            <w:hideMark/>
          </w:tcPr>
          <w:p w14:paraId="199ADC5C"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Q2</w:t>
            </w:r>
          </w:p>
        </w:tc>
        <w:tc>
          <w:tcPr>
            <w:tcW w:w="235" w:type="pct"/>
            <w:shd w:val="clear" w:color="auto" w:fill="C6EFCE"/>
            <w:noWrap/>
            <w:hideMark/>
          </w:tcPr>
          <w:p w14:paraId="65047063" w14:textId="12D1B3F1"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2025</w:t>
            </w:r>
          </w:p>
        </w:tc>
        <w:tc>
          <w:tcPr>
            <w:tcW w:w="1385" w:type="pct"/>
            <w:shd w:val="clear" w:color="auto" w:fill="C6EFCE"/>
            <w:noWrap/>
            <w:hideMark/>
          </w:tcPr>
          <w:p w14:paraId="7658844A"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System for the exchange of patient data between Cyprus and Member States of the European Union in the eHDSI is accessible, which may include but it is not limited to the following functionalities: e-prescription, e-dispensation, and patient summary. Additionally, the service for the unstructured original clinical documents is approved. </w:t>
            </w:r>
          </w:p>
        </w:tc>
      </w:tr>
      <w:tr w:rsidR="00AE002E" w:rsidRPr="00AE002E" w14:paraId="439CBCDC" w14:textId="77777777" w:rsidTr="00E53B92">
        <w:trPr>
          <w:trHeight w:val="1831"/>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hideMark/>
          </w:tcPr>
          <w:p w14:paraId="48984C72"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15</w:t>
            </w:r>
          </w:p>
        </w:tc>
        <w:tc>
          <w:tcPr>
            <w:tcW w:w="472" w:type="pct"/>
            <w:tcBorders>
              <w:top w:val="single" w:sz="4" w:space="0" w:color="auto"/>
              <w:left w:val="single" w:sz="4" w:space="0" w:color="auto"/>
              <w:bottom w:val="single" w:sz="4" w:space="0" w:color="auto"/>
              <w:right w:val="single" w:sz="4" w:space="0" w:color="auto"/>
            </w:tcBorders>
            <w:shd w:val="clear" w:color="auto" w:fill="C6EFCE"/>
            <w:noWrap/>
            <w:hideMark/>
          </w:tcPr>
          <w:p w14:paraId="15B97D3F"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C1.1I7</w:t>
            </w:r>
          </w:p>
          <w:p w14:paraId="08068679" w14:textId="47D02A0E"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Public warning system for emergency operations</w:t>
            </w:r>
            <w:r w:rsidR="00064579">
              <w:rPr>
                <w:rFonts w:ascii="Times New Roman" w:hAnsi="Times New Roman" w:cs="Times New Roman"/>
                <w:noProof/>
                <w:sz w:val="18"/>
                <w:szCs w:val="18"/>
              </w:rPr>
              <w:t xml:space="preserve"> </w:t>
            </w:r>
          </w:p>
        </w:tc>
        <w:tc>
          <w:tcPr>
            <w:tcW w:w="366" w:type="pct"/>
            <w:tcBorders>
              <w:top w:val="single" w:sz="4" w:space="0" w:color="auto"/>
              <w:left w:val="single" w:sz="4" w:space="0" w:color="auto"/>
              <w:bottom w:val="single" w:sz="4" w:space="0" w:color="auto"/>
              <w:right w:val="single" w:sz="4" w:space="0" w:color="auto"/>
            </w:tcBorders>
            <w:shd w:val="clear" w:color="auto" w:fill="C6EFCE"/>
            <w:noWrap/>
            <w:hideMark/>
          </w:tcPr>
          <w:p w14:paraId="7D61865A"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tcBorders>
              <w:top w:val="single" w:sz="4" w:space="0" w:color="auto"/>
              <w:left w:val="single" w:sz="4" w:space="0" w:color="auto"/>
              <w:bottom w:val="single" w:sz="4" w:space="0" w:color="auto"/>
              <w:right w:val="single" w:sz="4" w:space="0" w:color="auto"/>
            </w:tcBorders>
            <w:shd w:val="clear" w:color="auto" w:fill="C6EFCE"/>
            <w:noWrap/>
            <w:hideMark/>
          </w:tcPr>
          <w:p w14:paraId="216C25F4" w14:textId="228A824B"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Public warning system </w:t>
            </w:r>
            <w:r w:rsidR="007D2EE5" w:rsidRPr="00AE002E">
              <w:rPr>
                <w:rFonts w:ascii="Times New Roman" w:hAnsi="Times New Roman" w:cs="Times New Roman"/>
                <w:noProof/>
                <w:sz w:val="18"/>
                <w:szCs w:val="18"/>
              </w:rPr>
              <w:t>ready for pilot operation</w:t>
            </w:r>
            <w:r w:rsidRPr="00AE002E">
              <w:rPr>
                <w:rFonts w:ascii="Times New Roman" w:hAnsi="Times New Roman" w:cs="Times New Roman"/>
                <w:noProof/>
                <w:sz w:val="18"/>
                <w:szCs w:val="18"/>
              </w:rPr>
              <w:t xml:space="preserve"> </w:t>
            </w:r>
          </w:p>
        </w:tc>
        <w:tc>
          <w:tcPr>
            <w:tcW w:w="518" w:type="pct"/>
            <w:tcBorders>
              <w:top w:val="single" w:sz="4" w:space="0" w:color="auto"/>
              <w:left w:val="single" w:sz="4" w:space="0" w:color="auto"/>
              <w:bottom w:val="single" w:sz="4" w:space="0" w:color="auto"/>
              <w:right w:val="single" w:sz="4" w:space="0" w:color="auto"/>
            </w:tcBorders>
            <w:shd w:val="clear" w:color="auto" w:fill="C6EFCE"/>
            <w:noWrap/>
            <w:hideMark/>
          </w:tcPr>
          <w:p w14:paraId="032192BC" w14:textId="37844642" w:rsidR="00F74FD9" w:rsidRPr="00AE002E" w:rsidRDefault="008A351B" w:rsidP="00F74FD9">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“Contractor’s correction report after final testing and final tests results report” issued by the contractor</w:t>
            </w:r>
          </w:p>
          <w:p w14:paraId="00E39C8D" w14:textId="18E869E4" w:rsidR="009A7DBE" w:rsidRPr="00AE002E" w:rsidRDefault="009A7DBE" w:rsidP="0047484C">
            <w:pPr>
              <w:spacing w:after="0" w:line="240" w:lineRule="auto"/>
              <w:rPr>
                <w:rFonts w:ascii="Times New Roman" w:hAnsi="Times New Roman" w:cs="Times New Roman"/>
                <w:noProof/>
                <w:sz w:val="18"/>
                <w:szCs w:val="18"/>
              </w:rPr>
            </w:pP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36F97E9A" w14:textId="007FA8ED"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tcBorders>
              <w:top w:val="single" w:sz="4" w:space="0" w:color="auto"/>
              <w:left w:val="single" w:sz="4" w:space="0" w:color="auto"/>
              <w:bottom w:val="single" w:sz="4" w:space="0" w:color="auto"/>
              <w:right w:val="single" w:sz="4" w:space="0" w:color="auto"/>
            </w:tcBorders>
            <w:shd w:val="clear" w:color="auto" w:fill="C6EFCE"/>
            <w:noWrap/>
            <w:hideMark/>
          </w:tcPr>
          <w:p w14:paraId="1C7AA853" w14:textId="3C8039E1"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tcBorders>
              <w:top w:val="single" w:sz="4" w:space="0" w:color="auto"/>
              <w:left w:val="single" w:sz="4" w:space="0" w:color="auto"/>
              <w:bottom w:val="single" w:sz="4" w:space="0" w:color="auto"/>
              <w:right w:val="single" w:sz="4" w:space="0" w:color="auto"/>
            </w:tcBorders>
            <w:shd w:val="clear" w:color="auto" w:fill="C6EFCE"/>
            <w:noWrap/>
            <w:hideMark/>
          </w:tcPr>
          <w:p w14:paraId="289836F2" w14:textId="1E3945E8"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tcBorders>
              <w:top w:val="single" w:sz="4" w:space="0" w:color="auto"/>
              <w:left w:val="single" w:sz="4" w:space="0" w:color="auto"/>
              <w:bottom w:val="single" w:sz="4" w:space="0" w:color="auto"/>
              <w:right w:val="single" w:sz="4" w:space="0" w:color="auto"/>
            </w:tcBorders>
            <w:shd w:val="clear" w:color="auto" w:fill="C6EFCE"/>
            <w:noWrap/>
            <w:hideMark/>
          </w:tcPr>
          <w:p w14:paraId="72809DA1"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Q4</w:t>
            </w:r>
          </w:p>
        </w:tc>
        <w:tc>
          <w:tcPr>
            <w:tcW w:w="235" w:type="pct"/>
            <w:tcBorders>
              <w:top w:val="single" w:sz="4" w:space="0" w:color="auto"/>
              <w:left w:val="single" w:sz="4" w:space="0" w:color="auto"/>
              <w:bottom w:val="single" w:sz="4" w:space="0" w:color="auto"/>
              <w:right w:val="single" w:sz="4" w:space="0" w:color="auto"/>
            </w:tcBorders>
            <w:shd w:val="clear" w:color="auto" w:fill="C6EFCE"/>
            <w:noWrap/>
            <w:hideMark/>
          </w:tcPr>
          <w:p w14:paraId="4B2C20C6" w14:textId="11F0D63B"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2025</w:t>
            </w:r>
          </w:p>
        </w:tc>
        <w:tc>
          <w:tcPr>
            <w:tcW w:w="1385" w:type="pct"/>
            <w:tcBorders>
              <w:top w:val="single" w:sz="4" w:space="0" w:color="auto"/>
              <w:left w:val="single" w:sz="4" w:space="0" w:color="auto"/>
              <w:bottom w:val="single" w:sz="4" w:space="0" w:color="auto"/>
              <w:right w:val="single" w:sz="4" w:space="0" w:color="auto"/>
            </w:tcBorders>
            <w:shd w:val="clear" w:color="auto" w:fill="C6EFCE"/>
            <w:noWrap/>
            <w:hideMark/>
          </w:tcPr>
          <w:p w14:paraId="76F22C5C" w14:textId="5C5B6F2F"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The public warning system through mobile phones is</w:t>
            </w:r>
            <w:r w:rsidR="007D2EE5" w:rsidRPr="00AE002E">
              <w:rPr>
                <w:rFonts w:ascii="Times New Roman" w:hAnsi="Times New Roman" w:cs="Times New Roman"/>
                <w:noProof/>
                <w:sz w:val="18"/>
                <w:szCs w:val="18"/>
              </w:rPr>
              <w:t xml:space="preserve"> ready for </w:t>
            </w:r>
            <w:r w:rsidR="006D29C7" w:rsidRPr="00AE002E">
              <w:rPr>
                <w:rFonts w:ascii="Times New Roman" w:hAnsi="Times New Roman" w:cs="Times New Roman"/>
                <w:noProof/>
                <w:sz w:val="18"/>
                <w:szCs w:val="18"/>
              </w:rPr>
              <w:t xml:space="preserve">pilot operation </w:t>
            </w:r>
            <w:r w:rsidR="001D38B4" w:rsidRPr="00AE002E">
              <w:rPr>
                <w:rFonts w:ascii="Times New Roman" w:hAnsi="Times New Roman" w:cs="Times New Roman"/>
                <w:noProof/>
                <w:sz w:val="18"/>
                <w:szCs w:val="18"/>
              </w:rPr>
              <w:t xml:space="preserve">and </w:t>
            </w:r>
            <w:r w:rsidRPr="00AE002E">
              <w:rPr>
                <w:rFonts w:ascii="Times New Roman" w:hAnsi="Times New Roman" w:cs="Times New Roman"/>
                <w:noProof/>
                <w:sz w:val="18"/>
                <w:szCs w:val="18"/>
              </w:rPr>
              <w:t xml:space="preserve">evidenced by </w:t>
            </w:r>
            <w:r w:rsidR="004E2CF6" w:rsidRPr="00AE002E">
              <w:rPr>
                <w:rFonts w:ascii="Times New Roman" w:hAnsi="Times New Roman" w:cs="Times New Roman"/>
                <w:noProof/>
                <w:sz w:val="18"/>
                <w:szCs w:val="18"/>
              </w:rPr>
              <w:t>the “</w:t>
            </w:r>
            <w:r w:rsidR="00D16837" w:rsidRPr="00AE002E">
              <w:rPr>
                <w:rFonts w:ascii="Times New Roman" w:hAnsi="Times New Roman" w:cs="Times New Roman"/>
                <w:noProof/>
                <w:sz w:val="18"/>
                <w:szCs w:val="18"/>
              </w:rPr>
              <w:t>c</w:t>
            </w:r>
            <w:r w:rsidR="004E2CF6" w:rsidRPr="00AE002E">
              <w:rPr>
                <w:rFonts w:ascii="Times New Roman" w:hAnsi="Times New Roman" w:cs="Times New Roman"/>
                <w:noProof/>
                <w:sz w:val="18"/>
                <w:szCs w:val="18"/>
              </w:rPr>
              <w:t xml:space="preserve">ontractor’s </w:t>
            </w:r>
            <w:r w:rsidR="00A4441D" w:rsidRPr="00AE002E">
              <w:rPr>
                <w:rFonts w:ascii="Times New Roman" w:hAnsi="Times New Roman" w:cs="Times New Roman"/>
                <w:noProof/>
                <w:sz w:val="18"/>
                <w:szCs w:val="18"/>
              </w:rPr>
              <w:t>co</w:t>
            </w:r>
            <w:r w:rsidR="77F7AE66" w:rsidRPr="00AE002E">
              <w:rPr>
                <w:rFonts w:ascii="Times New Roman" w:hAnsi="Times New Roman" w:cs="Times New Roman"/>
                <w:noProof/>
                <w:sz w:val="18"/>
                <w:szCs w:val="18"/>
              </w:rPr>
              <w:t>rrection</w:t>
            </w:r>
            <w:r w:rsidRPr="00AE002E">
              <w:rPr>
                <w:rFonts w:ascii="Times New Roman" w:hAnsi="Times New Roman" w:cs="Times New Roman"/>
                <w:noProof/>
                <w:sz w:val="18"/>
                <w:szCs w:val="18"/>
              </w:rPr>
              <w:t xml:space="preserve"> report </w:t>
            </w:r>
            <w:r w:rsidR="004E2CF6" w:rsidRPr="00AE002E">
              <w:rPr>
                <w:rFonts w:ascii="Times New Roman" w:hAnsi="Times New Roman" w:cs="Times New Roman"/>
                <w:noProof/>
                <w:sz w:val="18"/>
                <w:szCs w:val="18"/>
              </w:rPr>
              <w:t>after final testing and</w:t>
            </w:r>
            <w:r w:rsidR="00175C17" w:rsidRPr="00AE002E">
              <w:rPr>
                <w:rFonts w:ascii="Times New Roman" w:hAnsi="Times New Roman" w:cs="Times New Roman"/>
                <w:noProof/>
                <w:sz w:val="18"/>
                <w:szCs w:val="18"/>
              </w:rPr>
              <w:t xml:space="preserve"> final tests results report</w:t>
            </w:r>
            <w:r w:rsidR="00297BDF" w:rsidRPr="00AE002E">
              <w:rPr>
                <w:rFonts w:ascii="Times New Roman" w:hAnsi="Times New Roman" w:cs="Times New Roman"/>
                <w:noProof/>
                <w:sz w:val="18"/>
                <w:szCs w:val="18"/>
              </w:rPr>
              <w:t>”</w:t>
            </w:r>
            <w:r w:rsidRPr="00AE002E">
              <w:rPr>
                <w:rFonts w:ascii="Times New Roman" w:hAnsi="Times New Roman" w:cs="Times New Roman"/>
                <w:noProof/>
                <w:sz w:val="18"/>
                <w:szCs w:val="18"/>
              </w:rPr>
              <w:t>.</w:t>
            </w:r>
          </w:p>
        </w:tc>
      </w:tr>
      <w:tr w:rsidR="00AE002E" w:rsidRPr="00AE002E" w14:paraId="3885EBFF" w14:textId="77777777" w:rsidTr="00FC4C5E">
        <w:trPr>
          <w:jc w:val="center"/>
        </w:trPr>
        <w:tc>
          <w:tcPr>
            <w:tcW w:w="375" w:type="pct"/>
            <w:shd w:val="clear" w:color="auto" w:fill="C6EFCE"/>
            <w:noWrap/>
          </w:tcPr>
          <w:p w14:paraId="6F060C13"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17</w:t>
            </w:r>
          </w:p>
        </w:tc>
        <w:tc>
          <w:tcPr>
            <w:tcW w:w="472" w:type="pct"/>
            <w:shd w:val="clear" w:color="auto" w:fill="C6EFCE"/>
            <w:noWrap/>
          </w:tcPr>
          <w:p w14:paraId="560A3208"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C1.1I5 Construction works and new equipment in Cyprus State Hospitals</w:t>
            </w:r>
          </w:p>
        </w:tc>
        <w:tc>
          <w:tcPr>
            <w:tcW w:w="366" w:type="pct"/>
            <w:shd w:val="clear" w:color="auto" w:fill="C6EFCE"/>
            <w:noWrap/>
          </w:tcPr>
          <w:p w14:paraId="602E43EE"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Target</w:t>
            </w:r>
          </w:p>
        </w:tc>
        <w:tc>
          <w:tcPr>
            <w:tcW w:w="439" w:type="pct"/>
            <w:shd w:val="clear" w:color="auto" w:fill="C6EFCE"/>
            <w:noWrap/>
          </w:tcPr>
          <w:p w14:paraId="69F0F84C"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Construction works or purchase of equipment in Cyprus State hospitals</w:t>
            </w:r>
          </w:p>
        </w:tc>
        <w:tc>
          <w:tcPr>
            <w:tcW w:w="518" w:type="pct"/>
            <w:shd w:val="clear" w:color="auto" w:fill="C6EFCE"/>
            <w:noWrap/>
          </w:tcPr>
          <w:p w14:paraId="5C725898" w14:textId="77777777" w:rsidR="009A7DBE" w:rsidRPr="00AE002E" w:rsidRDefault="009A7DBE" w:rsidP="0047484C">
            <w:pPr>
              <w:spacing w:after="0" w:line="240" w:lineRule="auto"/>
              <w:rPr>
                <w:rFonts w:ascii="Times New Roman" w:hAnsi="Times New Roman" w:cs="Times New Roman"/>
                <w:noProof/>
                <w:sz w:val="18"/>
                <w:szCs w:val="18"/>
              </w:rPr>
            </w:pPr>
          </w:p>
        </w:tc>
        <w:tc>
          <w:tcPr>
            <w:tcW w:w="331" w:type="pct"/>
            <w:shd w:val="clear" w:color="auto" w:fill="C6EFCE"/>
            <w:noWrap/>
          </w:tcPr>
          <w:p w14:paraId="29BDA905"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Number</w:t>
            </w:r>
          </w:p>
        </w:tc>
        <w:tc>
          <w:tcPr>
            <w:tcW w:w="330" w:type="pct"/>
            <w:shd w:val="clear" w:color="auto" w:fill="C6EFCE"/>
            <w:noWrap/>
          </w:tcPr>
          <w:p w14:paraId="6C09EA93"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0</w:t>
            </w:r>
          </w:p>
        </w:tc>
        <w:tc>
          <w:tcPr>
            <w:tcW w:w="218" w:type="pct"/>
            <w:shd w:val="clear" w:color="auto" w:fill="C6EFCE"/>
            <w:noWrap/>
          </w:tcPr>
          <w:p w14:paraId="5378E75D"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4</w:t>
            </w:r>
          </w:p>
        </w:tc>
        <w:tc>
          <w:tcPr>
            <w:tcW w:w="331" w:type="pct"/>
            <w:shd w:val="clear" w:color="auto" w:fill="C6EFCE"/>
            <w:noWrap/>
          </w:tcPr>
          <w:p w14:paraId="6050AC3B"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Q2</w:t>
            </w:r>
          </w:p>
        </w:tc>
        <w:tc>
          <w:tcPr>
            <w:tcW w:w="235" w:type="pct"/>
            <w:shd w:val="clear" w:color="auto" w:fill="C6EFCE"/>
            <w:noWrap/>
          </w:tcPr>
          <w:p w14:paraId="11EC3E49"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2024</w:t>
            </w:r>
          </w:p>
        </w:tc>
        <w:tc>
          <w:tcPr>
            <w:tcW w:w="1385" w:type="pct"/>
            <w:shd w:val="clear" w:color="auto" w:fill="C6EFCE"/>
            <w:noWrap/>
          </w:tcPr>
          <w:p w14:paraId="2F1E2ABF"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Construction works or purchase of equipment in the following hospital units: (1) COVID-19 unit at Famagusta Hospital; (2) Mental Health Hospital; (3) Invasive Radiology Unit: (4) Paphos General Hospital.</w:t>
            </w:r>
          </w:p>
          <w:p w14:paraId="335AAC04"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The Mental Health Hospital shall have a primary energy demand that is at least 20% lower than defined by the nearly zero-energy building (NZEB) requirement.</w:t>
            </w:r>
          </w:p>
        </w:tc>
      </w:tr>
      <w:tr w:rsidR="00AE002E" w:rsidRPr="00AE002E" w14:paraId="53CF3756" w14:textId="77777777" w:rsidTr="00FC4C5E">
        <w:trPr>
          <w:jc w:val="center"/>
        </w:trPr>
        <w:tc>
          <w:tcPr>
            <w:tcW w:w="375" w:type="pct"/>
            <w:shd w:val="clear" w:color="auto" w:fill="C6EFCE"/>
            <w:noWrap/>
          </w:tcPr>
          <w:p w14:paraId="04BB679D"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18</w:t>
            </w:r>
          </w:p>
        </w:tc>
        <w:tc>
          <w:tcPr>
            <w:tcW w:w="472" w:type="pct"/>
            <w:shd w:val="clear" w:color="auto" w:fill="C6EFCE"/>
            <w:noWrap/>
          </w:tcPr>
          <w:p w14:paraId="24829A93"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C1.1I5 Construction works and new equipment in Cyprus State Hospitals</w:t>
            </w:r>
          </w:p>
        </w:tc>
        <w:tc>
          <w:tcPr>
            <w:tcW w:w="366" w:type="pct"/>
            <w:shd w:val="clear" w:color="auto" w:fill="C6EFCE"/>
            <w:noWrap/>
          </w:tcPr>
          <w:p w14:paraId="4170B725"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Target</w:t>
            </w:r>
          </w:p>
        </w:tc>
        <w:tc>
          <w:tcPr>
            <w:tcW w:w="439" w:type="pct"/>
            <w:shd w:val="clear" w:color="auto" w:fill="C6EFCE"/>
            <w:noWrap/>
          </w:tcPr>
          <w:p w14:paraId="1C2ED3B2"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Construction works or purchase of equipment in Cyprus State hospitals </w:t>
            </w:r>
          </w:p>
        </w:tc>
        <w:tc>
          <w:tcPr>
            <w:tcW w:w="518" w:type="pct"/>
            <w:shd w:val="clear" w:color="auto" w:fill="C6EFCE"/>
            <w:noWrap/>
          </w:tcPr>
          <w:p w14:paraId="4B7C118E" w14:textId="77777777" w:rsidR="009A7DBE" w:rsidRPr="00AE002E" w:rsidRDefault="009A7DBE" w:rsidP="0047484C">
            <w:pPr>
              <w:spacing w:after="0" w:line="240" w:lineRule="auto"/>
              <w:rPr>
                <w:rFonts w:ascii="Times New Roman" w:hAnsi="Times New Roman" w:cs="Times New Roman"/>
                <w:noProof/>
                <w:sz w:val="18"/>
                <w:szCs w:val="18"/>
              </w:rPr>
            </w:pPr>
          </w:p>
        </w:tc>
        <w:tc>
          <w:tcPr>
            <w:tcW w:w="331" w:type="pct"/>
            <w:shd w:val="clear" w:color="auto" w:fill="C6EFCE"/>
            <w:noWrap/>
          </w:tcPr>
          <w:p w14:paraId="71BA4FC5" w14:textId="163B9A11"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Number</w:t>
            </w:r>
          </w:p>
        </w:tc>
        <w:tc>
          <w:tcPr>
            <w:tcW w:w="330" w:type="pct"/>
            <w:shd w:val="clear" w:color="auto" w:fill="C6EFCE"/>
            <w:noWrap/>
          </w:tcPr>
          <w:p w14:paraId="13933AF2"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4</w:t>
            </w:r>
          </w:p>
        </w:tc>
        <w:tc>
          <w:tcPr>
            <w:tcW w:w="218" w:type="pct"/>
            <w:shd w:val="clear" w:color="auto" w:fill="C6EFCE"/>
            <w:noWrap/>
          </w:tcPr>
          <w:p w14:paraId="12490B7E" w14:textId="0B9D18BB"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1</w:t>
            </w:r>
            <w:r w:rsidR="15D20AD8" w:rsidRPr="00AE002E">
              <w:rPr>
                <w:rFonts w:ascii="Times New Roman" w:hAnsi="Times New Roman" w:cs="Times New Roman"/>
                <w:noProof/>
                <w:sz w:val="18"/>
                <w:szCs w:val="18"/>
              </w:rPr>
              <w:t>1</w:t>
            </w:r>
          </w:p>
        </w:tc>
        <w:tc>
          <w:tcPr>
            <w:tcW w:w="331" w:type="pct"/>
            <w:shd w:val="clear" w:color="auto" w:fill="C6EFCE"/>
            <w:noWrap/>
          </w:tcPr>
          <w:p w14:paraId="174A8F62"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Q2</w:t>
            </w:r>
          </w:p>
        </w:tc>
        <w:tc>
          <w:tcPr>
            <w:tcW w:w="235" w:type="pct"/>
            <w:shd w:val="clear" w:color="auto" w:fill="C6EFCE"/>
            <w:noWrap/>
          </w:tcPr>
          <w:p w14:paraId="226B5555"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2026</w:t>
            </w:r>
          </w:p>
        </w:tc>
        <w:tc>
          <w:tcPr>
            <w:tcW w:w="1385" w:type="pct"/>
            <w:shd w:val="clear" w:color="auto" w:fill="C6EFCE"/>
            <w:noWrap/>
          </w:tcPr>
          <w:p w14:paraId="0AB5503C" w14:textId="0E3F824F"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Construction works or purchase of equipment in the following hospital units: (1) Haemodyalisis Units at Paphos and Limassol Hospitals;</w:t>
            </w:r>
            <w:r w:rsidR="00064579">
              <w:rPr>
                <w:rFonts w:ascii="Times New Roman" w:hAnsi="Times New Roman" w:cs="Times New Roman"/>
                <w:noProof/>
                <w:sz w:val="18"/>
                <w:szCs w:val="18"/>
              </w:rPr>
              <w:t xml:space="preserve"> </w:t>
            </w:r>
            <w:r w:rsidRPr="00AE002E">
              <w:rPr>
                <w:rFonts w:ascii="Times New Roman" w:hAnsi="Times New Roman" w:cs="Times New Roman"/>
                <w:noProof/>
                <w:sz w:val="18"/>
                <w:szCs w:val="18"/>
              </w:rPr>
              <w:t>(</w:t>
            </w:r>
            <w:r w:rsidR="70355383" w:rsidRPr="00AE002E">
              <w:rPr>
                <w:rFonts w:ascii="Times New Roman" w:hAnsi="Times New Roman" w:cs="Times New Roman"/>
                <w:noProof/>
                <w:sz w:val="18"/>
                <w:szCs w:val="18"/>
              </w:rPr>
              <w:t>2</w:t>
            </w:r>
            <w:r w:rsidRPr="00AE002E">
              <w:rPr>
                <w:rFonts w:ascii="Times New Roman" w:hAnsi="Times New Roman" w:cs="Times New Roman"/>
                <w:noProof/>
                <w:sz w:val="18"/>
                <w:szCs w:val="18"/>
              </w:rPr>
              <w:t>) Neurology clinic at Nicosia General Hospital; (</w:t>
            </w:r>
            <w:r w:rsidR="1099C9A2" w:rsidRPr="00AE002E">
              <w:rPr>
                <w:rFonts w:ascii="Times New Roman" w:hAnsi="Times New Roman" w:cs="Times New Roman"/>
                <w:noProof/>
                <w:sz w:val="18"/>
                <w:szCs w:val="18"/>
              </w:rPr>
              <w:t>3</w:t>
            </w:r>
            <w:r w:rsidRPr="00AE002E">
              <w:rPr>
                <w:rFonts w:ascii="Times New Roman" w:hAnsi="Times New Roman" w:cs="Times New Roman"/>
                <w:noProof/>
                <w:sz w:val="18"/>
                <w:szCs w:val="18"/>
              </w:rPr>
              <w:t>) Stroke unit at Nicosia General Hospital; (</w:t>
            </w:r>
            <w:r w:rsidR="475E1A65" w:rsidRPr="00AE002E">
              <w:rPr>
                <w:rFonts w:ascii="Times New Roman" w:hAnsi="Times New Roman" w:cs="Times New Roman"/>
                <w:noProof/>
                <w:sz w:val="18"/>
                <w:szCs w:val="18"/>
              </w:rPr>
              <w:t>4</w:t>
            </w:r>
            <w:r w:rsidRPr="00AE002E">
              <w:rPr>
                <w:rFonts w:ascii="Times New Roman" w:hAnsi="Times New Roman" w:cs="Times New Roman"/>
                <w:noProof/>
                <w:sz w:val="18"/>
                <w:szCs w:val="18"/>
              </w:rPr>
              <w:t>) Health Center at Akaki, (</w:t>
            </w:r>
            <w:r w:rsidR="66E253CD" w:rsidRPr="00AE002E">
              <w:rPr>
                <w:rFonts w:ascii="Times New Roman" w:hAnsi="Times New Roman" w:cs="Times New Roman"/>
                <w:noProof/>
                <w:sz w:val="18"/>
                <w:szCs w:val="18"/>
              </w:rPr>
              <w:t>5</w:t>
            </w:r>
            <w:r w:rsidRPr="00AE002E">
              <w:rPr>
                <w:rFonts w:ascii="Times New Roman" w:hAnsi="Times New Roman" w:cs="Times New Roman"/>
                <w:noProof/>
                <w:sz w:val="18"/>
                <w:szCs w:val="18"/>
              </w:rPr>
              <w:t>) Accident and Emergency Units at Nicosia General Hospital; (</w:t>
            </w:r>
            <w:r w:rsidR="7C09AF18" w:rsidRPr="00AE002E">
              <w:rPr>
                <w:rFonts w:ascii="Times New Roman" w:hAnsi="Times New Roman" w:cs="Times New Roman"/>
                <w:noProof/>
                <w:sz w:val="18"/>
                <w:szCs w:val="18"/>
              </w:rPr>
              <w:t>6</w:t>
            </w:r>
            <w:r w:rsidRPr="00AE002E">
              <w:rPr>
                <w:rFonts w:ascii="Times New Roman" w:hAnsi="Times New Roman" w:cs="Times New Roman"/>
                <w:noProof/>
                <w:sz w:val="18"/>
                <w:szCs w:val="18"/>
              </w:rPr>
              <w:t>) Accident and Emergency Units at Paphos General Hospital and (</w:t>
            </w:r>
            <w:r w:rsidR="6AC91BC5" w:rsidRPr="00AE002E">
              <w:rPr>
                <w:rFonts w:ascii="Times New Roman" w:hAnsi="Times New Roman" w:cs="Times New Roman"/>
                <w:noProof/>
                <w:sz w:val="18"/>
                <w:szCs w:val="18"/>
              </w:rPr>
              <w:t>7</w:t>
            </w:r>
            <w:r w:rsidRPr="00AE002E">
              <w:rPr>
                <w:rFonts w:ascii="Times New Roman" w:hAnsi="Times New Roman" w:cs="Times New Roman"/>
                <w:noProof/>
                <w:sz w:val="18"/>
                <w:szCs w:val="18"/>
              </w:rPr>
              <w:t xml:space="preserve">) Larnaca General Hospital. </w:t>
            </w:r>
          </w:p>
          <w:p w14:paraId="68D3C3AB"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 xml:space="preserve">The Haemodyalisis Unit at Paphos Hospital, and the Health Center at Akaki shall have a primary energy demand that is at least 20% lower than defined by the nearly zero-energy building (NZEB) requirement. </w:t>
            </w:r>
          </w:p>
          <w:p w14:paraId="1F0667F7" w14:textId="77777777" w:rsidR="009A7DBE" w:rsidRPr="00AE002E"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Purchase of equipment by the State Health Services Organization (SHSO-OKYPY).</w:t>
            </w:r>
          </w:p>
        </w:tc>
      </w:tr>
      <w:tr w:rsidR="00AE002E" w:rsidRPr="00AE002E" w14:paraId="7B7D93F1" w14:textId="77777777" w:rsidTr="00FC4C5E">
        <w:trPr>
          <w:jc w:val="center"/>
        </w:trPr>
        <w:tc>
          <w:tcPr>
            <w:tcW w:w="375" w:type="pct"/>
            <w:shd w:val="clear" w:color="auto" w:fill="C6EFCE"/>
            <w:noWrap/>
          </w:tcPr>
          <w:p w14:paraId="4F8AB875" w14:textId="77777777" w:rsidR="009A7DBE" w:rsidRPr="00AE002E" w:rsidRDefault="009A7DBE" w:rsidP="3C74A276">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16</w:t>
            </w:r>
          </w:p>
        </w:tc>
        <w:tc>
          <w:tcPr>
            <w:tcW w:w="472" w:type="pct"/>
            <w:shd w:val="clear" w:color="auto" w:fill="C6EFCE"/>
            <w:noWrap/>
          </w:tcPr>
          <w:p w14:paraId="17D32EA8"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C1.1R3</w:t>
            </w:r>
          </w:p>
          <w:p w14:paraId="1BB1A7D1"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Healthcare provision and reimbursement using value-based models.</w:t>
            </w:r>
          </w:p>
        </w:tc>
        <w:tc>
          <w:tcPr>
            <w:tcW w:w="366" w:type="pct"/>
            <w:shd w:val="clear" w:color="auto" w:fill="C6EFCE"/>
            <w:noWrap/>
          </w:tcPr>
          <w:p w14:paraId="097FCD07"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Milestone</w:t>
            </w:r>
          </w:p>
        </w:tc>
        <w:tc>
          <w:tcPr>
            <w:tcW w:w="439" w:type="pct"/>
            <w:shd w:val="clear" w:color="auto" w:fill="C6EFCE"/>
            <w:noWrap/>
          </w:tcPr>
          <w:p w14:paraId="06E93FB1" w14:textId="77777777" w:rsidR="009A7DBE" w:rsidRPr="00AE002E" w:rsidDel="00815390"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 xml:space="preserve">Value-based reimbursement for primary and in-patient care </w:t>
            </w:r>
          </w:p>
        </w:tc>
        <w:tc>
          <w:tcPr>
            <w:tcW w:w="518" w:type="pct"/>
            <w:shd w:val="clear" w:color="auto" w:fill="C6EFCE"/>
            <w:noWrap/>
          </w:tcPr>
          <w:p w14:paraId="3D3D1AFB" w14:textId="77777777" w:rsidR="009A7DBE" w:rsidRPr="00AE002E" w:rsidRDefault="009A7DBE" w:rsidP="0047484C">
            <w:pPr>
              <w:spacing w:after="0" w:line="240" w:lineRule="auto"/>
              <w:rPr>
                <w:rFonts w:ascii="Times New Roman" w:hAnsi="Times New Roman" w:cs="Times New Roman"/>
                <w:noProof/>
                <w:sz w:val="18"/>
                <w:szCs w:val="18"/>
              </w:rPr>
            </w:pPr>
            <w:r w:rsidRPr="00AE002E">
              <w:rPr>
                <w:rFonts w:ascii="Times New Roman" w:hAnsi="Times New Roman" w:cs="Times New Roman"/>
                <w:noProof/>
                <w:sz w:val="18"/>
                <w:szCs w:val="18"/>
              </w:rPr>
              <w:t>Value-based reimbursement for primary and in-patient care published</w:t>
            </w:r>
          </w:p>
        </w:tc>
        <w:tc>
          <w:tcPr>
            <w:tcW w:w="331" w:type="pct"/>
            <w:shd w:val="clear" w:color="auto" w:fill="C6EFCE"/>
            <w:noWrap/>
          </w:tcPr>
          <w:p w14:paraId="6C40D311"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0" w:type="pct"/>
            <w:shd w:val="clear" w:color="auto" w:fill="C6EFCE"/>
            <w:noWrap/>
          </w:tcPr>
          <w:p w14:paraId="0DEE22BF"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218" w:type="pct"/>
            <w:shd w:val="clear" w:color="auto" w:fill="C6EFCE"/>
            <w:noWrap/>
          </w:tcPr>
          <w:p w14:paraId="03B7BEB3"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w:t>
            </w:r>
          </w:p>
        </w:tc>
        <w:tc>
          <w:tcPr>
            <w:tcW w:w="331" w:type="pct"/>
            <w:shd w:val="clear" w:color="auto" w:fill="C6EFCE"/>
            <w:noWrap/>
          </w:tcPr>
          <w:p w14:paraId="3B1B8D2E"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Q4</w:t>
            </w:r>
          </w:p>
        </w:tc>
        <w:tc>
          <w:tcPr>
            <w:tcW w:w="235" w:type="pct"/>
            <w:shd w:val="clear" w:color="auto" w:fill="C6EFCE"/>
            <w:noWrap/>
          </w:tcPr>
          <w:p w14:paraId="2B03E15F" w14:textId="77777777" w:rsidR="009A7DBE" w:rsidRPr="00AE002E" w:rsidRDefault="009A7DBE" w:rsidP="00FC4C5E">
            <w:pPr>
              <w:spacing w:after="0" w:line="240" w:lineRule="auto"/>
              <w:jc w:val="center"/>
              <w:rPr>
                <w:rFonts w:ascii="Times New Roman" w:hAnsi="Times New Roman" w:cs="Times New Roman"/>
                <w:noProof/>
                <w:sz w:val="18"/>
                <w:szCs w:val="18"/>
              </w:rPr>
            </w:pPr>
            <w:r w:rsidRPr="00AE002E">
              <w:rPr>
                <w:rFonts w:ascii="Times New Roman" w:hAnsi="Times New Roman" w:cs="Times New Roman"/>
                <w:noProof/>
                <w:sz w:val="18"/>
                <w:szCs w:val="18"/>
              </w:rPr>
              <w:t>2024</w:t>
            </w:r>
          </w:p>
        </w:tc>
        <w:tc>
          <w:tcPr>
            <w:tcW w:w="1385" w:type="pct"/>
            <w:shd w:val="clear" w:color="auto" w:fill="C6EFCE"/>
            <w:noWrap/>
          </w:tcPr>
          <w:p w14:paraId="4EE9D42D" w14:textId="77777777" w:rsidR="009A7DBE" w:rsidRPr="00AE002E" w:rsidDel="00815390" w:rsidRDefault="009A7DBE" w:rsidP="00FC4C5E">
            <w:pPr>
              <w:spacing w:after="0" w:line="240" w:lineRule="auto"/>
              <w:jc w:val="both"/>
              <w:rPr>
                <w:rFonts w:ascii="Times New Roman" w:hAnsi="Times New Roman" w:cs="Times New Roman"/>
                <w:noProof/>
                <w:sz w:val="18"/>
                <w:szCs w:val="18"/>
              </w:rPr>
            </w:pPr>
            <w:r w:rsidRPr="00AE002E">
              <w:rPr>
                <w:rFonts w:ascii="Times New Roman" w:hAnsi="Times New Roman" w:cs="Times New Roman"/>
                <w:noProof/>
                <w:sz w:val="18"/>
                <w:szCs w:val="18"/>
              </w:rPr>
              <w:t>Health Insurance Organisation (HIO) publishes the criteria and indicators of value-based reimbursement for primary and in-patient care. The publication may include, for example, circulars and announcements. HIO decision(s) concerning the reimbursement of healthcare providers within the framework of the General Healthcare System are published in the official gazette.</w:t>
            </w:r>
          </w:p>
        </w:tc>
      </w:tr>
    </w:tbl>
    <w:p w14:paraId="216F71D1" w14:textId="77777777" w:rsidR="00C04BFF" w:rsidRPr="000F04FA" w:rsidRDefault="00C04BFF" w:rsidP="7DCC22BF">
      <w:pPr>
        <w:rPr>
          <w:noProof/>
        </w:rPr>
        <w:sectPr w:rsidR="00C04BFF" w:rsidRPr="000F04FA" w:rsidSect="00284498">
          <w:headerReference w:type="default" r:id="rId24"/>
          <w:footerReference w:type="default" r:id="rId25"/>
          <w:pgSz w:w="15840" w:h="12240" w:orient="landscape"/>
          <w:pgMar w:top="1440" w:right="1440" w:bottom="1440" w:left="1440" w:header="720" w:footer="720" w:gutter="0"/>
          <w:cols w:space="720"/>
          <w:docGrid w:linePitch="360"/>
        </w:sectPr>
      </w:pPr>
    </w:p>
    <w:p w14:paraId="4B6E2EF3" w14:textId="77777777" w:rsidR="00C04BFF" w:rsidRPr="000F04FA" w:rsidRDefault="00C04BFF" w:rsidP="00D8670B">
      <w:pPr>
        <w:keepNext/>
        <w:spacing w:before="360" w:after="120" w:line="240" w:lineRule="auto"/>
        <w:jc w:val="both"/>
        <w:outlineLvl w:val="0"/>
        <w:rPr>
          <w:rFonts w:ascii="Times New Roman" w:hAnsi="Times New Roman"/>
          <w:b/>
          <w:bCs/>
          <w:smallCaps/>
          <w:noProof/>
        </w:rPr>
      </w:pPr>
      <w:r w:rsidRPr="000F04FA">
        <w:rPr>
          <w:rFonts w:ascii="Times New Roman" w:hAnsi="Times New Roman"/>
          <w:b/>
          <w:bCs/>
          <w:smallCaps/>
          <w:noProof/>
        </w:rPr>
        <w:t>B. COMPONENT 2.1: Climate neutrality, Energy efficiency and Renewable Energy</w:t>
      </w:r>
    </w:p>
    <w:p w14:paraId="2F7BA317" w14:textId="310AF43B" w:rsidR="00C04BFF" w:rsidRPr="000F04FA" w:rsidRDefault="00C04BFF" w:rsidP="00483719">
      <w:pPr>
        <w:spacing w:before="120" w:after="120" w:line="240" w:lineRule="auto"/>
        <w:jc w:val="both"/>
        <w:rPr>
          <w:rFonts w:ascii="Times New Roman" w:hAnsi="Times New Roman"/>
          <w:noProof/>
        </w:rPr>
      </w:pPr>
      <w:r w:rsidRPr="000F04FA">
        <w:rPr>
          <w:rFonts w:ascii="Times New Roman" w:hAnsi="Times New Roman"/>
          <w:noProof/>
        </w:rPr>
        <w:t xml:space="preserve">This component of the Cypriot </w:t>
      </w:r>
      <w:r w:rsidR="00AE002E">
        <w:rPr>
          <w:rFonts w:ascii="Times New Roman" w:hAnsi="Times New Roman"/>
          <w:noProof/>
        </w:rPr>
        <w:t>r</w:t>
      </w:r>
      <w:r w:rsidRPr="000F04FA">
        <w:rPr>
          <w:rFonts w:ascii="Times New Roman" w:hAnsi="Times New Roman"/>
          <w:noProof/>
        </w:rPr>
        <w:t xml:space="preserve">ecovery and </w:t>
      </w:r>
      <w:r w:rsidR="00AE002E">
        <w:rPr>
          <w:rFonts w:ascii="Times New Roman" w:hAnsi="Times New Roman"/>
          <w:noProof/>
        </w:rPr>
        <w:t>r</w:t>
      </w:r>
      <w:r w:rsidRPr="000F04FA">
        <w:rPr>
          <w:rFonts w:ascii="Times New Roman" w:hAnsi="Times New Roman"/>
          <w:noProof/>
        </w:rPr>
        <w:t xml:space="preserve">esilience </w:t>
      </w:r>
      <w:r w:rsidR="00AE002E">
        <w:rPr>
          <w:rFonts w:ascii="Times New Roman" w:hAnsi="Times New Roman"/>
          <w:noProof/>
        </w:rPr>
        <w:t>p</w:t>
      </w:r>
      <w:r w:rsidRPr="000F04FA">
        <w:rPr>
          <w:rFonts w:ascii="Times New Roman" w:hAnsi="Times New Roman"/>
          <w:noProof/>
        </w:rPr>
        <w:t xml:space="preserve">lan aims to address the challenge of climate change mitigation by contributing to the country’s transition to climate neutrality. </w:t>
      </w:r>
    </w:p>
    <w:p w14:paraId="352C6CDE" w14:textId="77777777" w:rsidR="00C04BFF" w:rsidRPr="000F04FA" w:rsidRDefault="00C04BFF" w:rsidP="00483719">
      <w:pPr>
        <w:spacing w:before="120" w:after="120" w:line="240" w:lineRule="auto"/>
        <w:jc w:val="both"/>
        <w:rPr>
          <w:rFonts w:ascii="Times New Roman" w:hAnsi="Times New Roman"/>
          <w:noProof/>
        </w:rPr>
      </w:pPr>
      <w:r w:rsidRPr="000F04FA">
        <w:rPr>
          <w:rFonts w:ascii="Times New Roman" w:hAnsi="Times New Roman"/>
          <w:noProof/>
        </w:rPr>
        <w:t>The objectives of the component are to improve the environment policy through measures relating to green taxation, the opening up of the electricity market and the facilitation of licensing of renewable energy and renovation projects. The component aims to improve the energy efficiency of the building stock and other infrastructure and to support green investments for SMEs, households, the wider public sector, and NGOs. The component also targets the alleviation of energy poverty and aims to address Cyprus’ energy isolation.</w:t>
      </w:r>
    </w:p>
    <w:p w14:paraId="04594D61" w14:textId="77777777" w:rsidR="00C04BFF" w:rsidRPr="000F04FA" w:rsidRDefault="00C04BFF" w:rsidP="00483719">
      <w:pPr>
        <w:spacing w:before="120" w:after="120" w:line="240" w:lineRule="auto"/>
        <w:jc w:val="both"/>
        <w:rPr>
          <w:rFonts w:ascii="Times New Roman" w:hAnsi="Times New Roman"/>
          <w:noProof/>
        </w:rPr>
      </w:pPr>
      <w:r w:rsidRPr="000F04FA">
        <w:rPr>
          <w:rFonts w:ascii="Times New Roman" w:hAnsi="Times New Roman"/>
          <w:noProof/>
        </w:rPr>
        <w:t>The component supports addressing the Country Specific Recommendations for the years 2019 and 2020 that recommend focusing investment and investment-related policies on energy efficiency and renewable energy (Country-Specific Recommendation 4 of 2019 and Country-Specific Recommendation 3 of 2020).</w:t>
      </w:r>
    </w:p>
    <w:p w14:paraId="70FA35B6" w14:textId="77777777" w:rsidR="00C04BFF" w:rsidRPr="000F04FA" w:rsidRDefault="00C04BFF" w:rsidP="00483719">
      <w:pPr>
        <w:pStyle w:val="Text1"/>
        <w:spacing w:line="240" w:lineRule="auto"/>
        <w:ind w:left="0"/>
        <w:rPr>
          <w:i/>
          <w:noProof/>
          <w:lang w:val="en-US"/>
        </w:rPr>
      </w:pPr>
      <w:r w:rsidRPr="000F04FA">
        <w:rPr>
          <w:noProof/>
          <w:lang w:val="en-US"/>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9EB7F27" w14:textId="77777777" w:rsidR="00C04BFF" w:rsidRPr="000F04FA" w:rsidRDefault="00C04BFF" w:rsidP="00D8670B">
      <w:pPr>
        <w:spacing w:before="120" w:after="120" w:line="240" w:lineRule="auto"/>
        <w:jc w:val="both"/>
        <w:rPr>
          <w:rFonts w:ascii="Times New Roman" w:hAnsi="Times New Roman"/>
          <w:noProof/>
        </w:rPr>
      </w:pPr>
    </w:p>
    <w:p w14:paraId="6A79D4B4" w14:textId="77777777" w:rsidR="00C04BFF" w:rsidRPr="000F04FA" w:rsidRDefault="00C04BFF" w:rsidP="00D8670B">
      <w:pPr>
        <w:spacing w:before="120" w:after="120" w:line="240" w:lineRule="auto"/>
        <w:jc w:val="both"/>
        <w:rPr>
          <w:rFonts w:ascii="Times New Roman" w:hAnsi="Times New Roman"/>
          <w:b/>
          <w:i/>
          <w:noProof/>
        </w:rPr>
      </w:pPr>
      <w:r w:rsidRPr="000F04FA">
        <w:rPr>
          <w:rFonts w:ascii="Times New Roman" w:hAnsi="Times New Roman"/>
          <w:b/>
          <w:noProof/>
          <w:u w:val="single"/>
        </w:rPr>
        <w:t xml:space="preserve">B.1. </w:t>
      </w:r>
      <w:r w:rsidRPr="000F04FA">
        <w:rPr>
          <w:noProof/>
        </w:rPr>
        <w:tab/>
      </w:r>
      <w:r w:rsidRPr="000F04FA">
        <w:rPr>
          <w:rFonts w:ascii="Times New Roman" w:hAnsi="Times New Roman"/>
          <w:b/>
          <w:noProof/>
          <w:u w:val="single"/>
        </w:rPr>
        <w:t>Description of the reforms and investments for non-repayable financial support</w:t>
      </w:r>
    </w:p>
    <w:p w14:paraId="5EE1FFEA" w14:textId="450FD1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1 (C2.1R1): Green Taxation</w:t>
      </w:r>
    </w:p>
    <w:p w14:paraId="1F239DE2"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this reform is to support a more efficient use of environmental resources, reduce greenhouse gas emissions and to increase the penetration of renewable energy. </w:t>
      </w:r>
    </w:p>
    <w:p w14:paraId="346CB3D4" w14:textId="6C07DEB2"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This measure consists in the entry into force of legal acts on a carbon tax on transport fuels, a charge on the landfill of municipal waste</w:t>
      </w:r>
      <w:r w:rsidR="009568F0" w:rsidRPr="000F04FA">
        <w:rPr>
          <w:rFonts w:ascii="Times New Roman" w:hAnsi="Times New Roman" w:cs="Times New Roman"/>
          <w:noProof/>
        </w:rPr>
        <w:t xml:space="preserve">, </w:t>
      </w:r>
      <w:r w:rsidRPr="000F04FA">
        <w:rPr>
          <w:rFonts w:ascii="Times New Roman" w:hAnsi="Times New Roman" w:cs="Times New Roman"/>
          <w:noProof/>
        </w:rPr>
        <w:t>an increase of existing water fees</w:t>
      </w:r>
      <w:r w:rsidR="009568F0" w:rsidRPr="000F04FA">
        <w:rPr>
          <w:rFonts w:ascii="Times New Roman" w:hAnsi="Times New Roman" w:cs="Times New Roman"/>
          <w:noProof/>
        </w:rPr>
        <w:t xml:space="preserve"> and tax incentives for enterprises and individuals</w:t>
      </w:r>
      <w:r w:rsidRPr="000F04FA">
        <w:rPr>
          <w:rFonts w:ascii="Times New Roman" w:hAnsi="Times New Roman" w:cs="Times New Roman"/>
          <w:noProof/>
        </w:rPr>
        <w:t>.</w:t>
      </w:r>
    </w:p>
    <w:p w14:paraId="493BA5DB" w14:textId="77777777" w:rsidR="00C04BFF" w:rsidRPr="000F04FA" w:rsidRDefault="00C04BFF" w:rsidP="00D8670B">
      <w:pPr>
        <w:spacing w:before="120" w:after="120" w:line="240" w:lineRule="auto"/>
        <w:jc w:val="both"/>
        <w:rPr>
          <w:rFonts w:ascii="Times New Roman" w:hAnsi="Times New Roman" w:cs="Times New Roman"/>
          <w:noProof/>
        </w:rPr>
      </w:pPr>
    </w:p>
    <w:p w14:paraId="1056943C"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2 (C2.1R2): Independence of Cyprus Transmission System Operator (TSOC) from the incumbent Electricity Authority of Cyprus</w:t>
      </w:r>
    </w:p>
    <w:p w14:paraId="648174D2"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the measure is to enhance competition in the electricity market by creating conditions for new investors to participate in the </w:t>
      </w:r>
      <w:r w:rsidRPr="000F04FA" w:rsidDel="001F552E">
        <w:rPr>
          <w:rFonts w:ascii="Times New Roman" w:hAnsi="Times New Roman" w:cs="Times New Roman"/>
          <w:noProof/>
        </w:rPr>
        <w:t>generation, storage, aggregation, demand response and supply of electricity</w:t>
      </w:r>
      <w:r w:rsidRPr="000F04FA">
        <w:rPr>
          <w:rFonts w:ascii="Times New Roman" w:hAnsi="Times New Roman" w:cs="Times New Roman"/>
          <w:noProof/>
        </w:rPr>
        <w:t>.</w:t>
      </w:r>
    </w:p>
    <w:p w14:paraId="556B90E0"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reform shall consist in ensuring the independence of the Cyprus Transmission System Operator (TSOC) from the incumbent Electricity Authority of Cyprus (EAC) in terms of governance, financial and personnel management. </w:t>
      </w:r>
      <w:r w:rsidRPr="000F04FA" w:rsidDel="001F552E">
        <w:rPr>
          <w:rFonts w:ascii="Times New Roman" w:hAnsi="Times New Roman" w:cs="Times New Roman"/>
          <w:noProof/>
        </w:rPr>
        <w:t>The measure shall also facilitate supplier switching, which is expected to reduce the cost of electricity for domestic and commercial/industrial customers.</w:t>
      </w:r>
    </w:p>
    <w:p w14:paraId="1AA1D37E" w14:textId="26646C1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implementation of the reform shall be completed by 31</w:t>
      </w:r>
      <w:r w:rsidR="00483719">
        <w:rPr>
          <w:rFonts w:ascii="Times New Roman" w:hAnsi="Times New Roman" w:cs="Times New Roman"/>
          <w:noProof/>
        </w:rPr>
        <w:t> </w:t>
      </w:r>
      <w:r w:rsidRPr="000F04FA">
        <w:rPr>
          <w:rFonts w:ascii="Times New Roman" w:hAnsi="Times New Roman" w:cs="Times New Roman"/>
          <w:noProof/>
        </w:rPr>
        <w:t>December</w:t>
      </w:r>
      <w:r w:rsidR="00483719">
        <w:rPr>
          <w:rFonts w:ascii="Times New Roman" w:hAnsi="Times New Roman" w:cs="Times New Roman"/>
          <w:noProof/>
        </w:rPr>
        <w:t> </w:t>
      </w:r>
      <w:r w:rsidRPr="000F04FA">
        <w:rPr>
          <w:rFonts w:ascii="Times New Roman" w:hAnsi="Times New Roman" w:cs="Times New Roman"/>
          <w:noProof/>
        </w:rPr>
        <w:t>2021.</w:t>
      </w:r>
    </w:p>
    <w:p w14:paraId="4D3B54C0" w14:textId="77777777" w:rsidR="00C04BFF" w:rsidRPr="000F04FA" w:rsidRDefault="00C04BFF" w:rsidP="00D8670B">
      <w:pPr>
        <w:spacing w:before="120" w:after="120" w:line="240" w:lineRule="auto"/>
        <w:jc w:val="both"/>
        <w:rPr>
          <w:rFonts w:ascii="Times New Roman" w:hAnsi="Times New Roman" w:cs="Times New Roman"/>
          <w:noProof/>
          <w:u w:val="single"/>
        </w:rPr>
      </w:pPr>
    </w:p>
    <w:p w14:paraId="782F2AA1"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3 (C2.1R3): Digital One-Stop Shops to streamline RES projects permitting and to facilitate Energy Renovation in Buildings</w:t>
      </w:r>
    </w:p>
    <w:p w14:paraId="44835D5F"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the measure is to promote the implementation of RES projects by streamlining the RES projects permitting process. The reform shall also aim at accelerating the energy renovation of buildings. </w:t>
      </w:r>
    </w:p>
    <w:p w14:paraId="7EA1DB27"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reform shall consist in digitalising the licensing permitting process for RES projects and establishing a single point of contact for technical and financial support for the purposes of energy renovation of buildings.</w:t>
      </w:r>
    </w:p>
    <w:p w14:paraId="2261589D" w14:textId="4C82E9FF"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implementation of the reform shall be completed by 31</w:t>
      </w:r>
      <w:r w:rsidR="00483719">
        <w:rPr>
          <w:rFonts w:ascii="Times New Roman" w:hAnsi="Times New Roman" w:cs="Times New Roman"/>
          <w:noProof/>
        </w:rPr>
        <w:t> </w:t>
      </w:r>
      <w:r w:rsidRPr="000F04FA">
        <w:rPr>
          <w:rFonts w:ascii="Times New Roman" w:hAnsi="Times New Roman" w:cs="Times New Roman"/>
          <w:noProof/>
        </w:rPr>
        <w:t>December</w:t>
      </w:r>
      <w:r w:rsidR="00483719">
        <w:rPr>
          <w:rFonts w:ascii="Times New Roman" w:hAnsi="Times New Roman" w:cs="Times New Roman"/>
          <w:noProof/>
        </w:rPr>
        <w:t> </w:t>
      </w:r>
      <w:r w:rsidRPr="000F04FA">
        <w:rPr>
          <w:rFonts w:ascii="Times New Roman" w:hAnsi="Times New Roman" w:cs="Times New Roman"/>
          <w:noProof/>
        </w:rPr>
        <w:t>2022.</w:t>
      </w:r>
    </w:p>
    <w:p w14:paraId="0B9132D0" w14:textId="77777777" w:rsidR="00C04BFF" w:rsidRPr="000F04FA" w:rsidRDefault="00C04BFF" w:rsidP="00D8670B">
      <w:pPr>
        <w:spacing w:before="120" w:after="120" w:line="240" w:lineRule="auto"/>
        <w:jc w:val="both"/>
        <w:rPr>
          <w:rFonts w:ascii="Times New Roman" w:hAnsi="Times New Roman" w:cs="Times New Roman"/>
          <w:b/>
          <w:i/>
          <w:noProof/>
        </w:rPr>
      </w:pPr>
    </w:p>
    <w:p w14:paraId="5C571CBE"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4 (C2.1R4): Energy Storage Regulatory Framework</w:t>
      </w:r>
    </w:p>
    <w:p w14:paraId="14F6944B" w14:textId="77777777" w:rsidR="00C04BFF" w:rsidRPr="000F04FA" w:rsidRDefault="00C04BFF" w:rsidP="00483719">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the measure is to establish a regulatory framework for promoting the participation of storage facilities in the electricity market.</w:t>
      </w:r>
    </w:p>
    <w:p w14:paraId="52A3D0F8" w14:textId="77777777" w:rsidR="00C04BFF" w:rsidRPr="000F04FA" w:rsidRDefault="00C04BFF" w:rsidP="00483719">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reform shall consist in amending the Transmission and Distribution Rules (TDRs) and the Trading and Settlement Rules (TSRs) to allow storage facilities to participate in the wholesale electricity market. </w:t>
      </w:r>
      <w:r w:rsidRPr="000F04FA" w:rsidDel="00BF3E42">
        <w:rPr>
          <w:rFonts w:ascii="Times New Roman" w:hAnsi="Times New Roman" w:cs="Times New Roman"/>
          <w:noProof/>
        </w:rPr>
        <w:t>This shall promote the generation of electricity from renewable energy systems and to contribute to the efficiency and economic viability of the electricity market as a whole</w:t>
      </w:r>
      <w:r w:rsidRPr="000F04FA">
        <w:rPr>
          <w:rFonts w:ascii="Times New Roman" w:hAnsi="Times New Roman" w:cs="Times New Roman"/>
          <w:noProof/>
        </w:rPr>
        <w:t>.</w:t>
      </w:r>
    </w:p>
    <w:p w14:paraId="71949E1F" w14:textId="56F10FAA" w:rsidR="00C04BFF" w:rsidRPr="000F04FA" w:rsidRDefault="00C04BFF" w:rsidP="00483719">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implementation of the reform shall be completed by 31</w:t>
      </w:r>
      <w:r w:rsidR="00483719">
        <w:rPr>
          <w:rFonts w:ascii="Times New Roman" w:hAnsi="Times New Roman" w:cs="Times New Roman"/>
          <w:noProof/>
        </w:rPr>
        <w:t> </w:t>
      </w:r>
      <w:r w:rsidRPr="000F04FA">
        <w:rPr>
          <w:rFonts w:ascii="Times New Roman" w:hAnsi="Times New Roman" w:cs="Times New Roman"/>
          <w:noProof/>
        </w:rPr>
        <w:t>December</w:t>
      </w:r>
      <w:r w:rsidR="00483719">
        <w:rPr>
          <w:rFonts w:ascii="Times New Roman" w:hAnsi="Times New Roman" w:cs="Times New Roman"/>
          <w:noProof/>
        </w:rPr>
        <w:t> </w:t>
      </w:r>
      <w:r w:rsidRPr="000F04FA">
        <w:rPr>
          <w:rFonts w:ascii="Times New Roman" w:hAnsi="Times New Roman" w:cs="Times New Roman"/>
          <w:noProof/>
        </w:rPr>
        <w:t>2021.</w:t>
      </w:r>
    </w:p>
    <w:p w14:paraId="6D82F7E8" w14:textId="77777777" w:rsidR="00C04BFF" w:rsidRPr="000F04FA" w:rsidRDefault="00C04BFF" w:rsidP="00D8670B">
      <w:pPr>
        <w:spacing w:before="120" w:after="120" w:line="240" w:lineRule="auto"/>
        <w:jc w:val="both"/>
        <w:rPr>
          <w:rFonts w:ascii="Times New Roman" w:hAnsi="Times New Roman" w:cs="Times New Roman"/>
          <w:noProof/>
        </w:rPr>
      </w:pPr>
    </w:p>
    <w:p w14:paraId="546D67CE"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 xml:space="preserve">Investment 1 (C2.1I1): Energy-saving investments in SMEs and non-profit organisations </w:t>
      </w:r>
    </w:p>
    <w:p w14:paraId="043432AA" w14:textId="77777777" w:rsidR="00C04BFF" w:rsidRPr="000F04FA" w:rsidRDefault="00C04BFF" w:rsidP="00483719">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this investment is to reduce the primary and final energy consumption and the CO2 emissions in buildings and/or facilities owned or operated by SMEs and non-profit organisations.</w:t>
      </w:r>
    </w:p>
    <w:p w14:paraId="61885BA7" w14:textId="77777777" w:rsidR="00C04BFF" w:rsidRPr="000F04FA" w:rsidRDefault="00C04BFF" w:rsidP="00483719">
      <w:pPr>
        <w:spacing w:before="120" w:after="120" w:line="240" w:lineRule="auto"/>
        <w:rPr>
          <w:rFonts w:ascii="Times New Roman" w:hAnsi="Times New Roman" w:cs="Times New Roman"/>
          <w:noProof/>
        </w:rPr>
      </w:pPr>
      <w:r w:rsidRPr="000F04FA">
        <w:rPr>
          <w:rFonts w:ascii="Times New Roman" w:hAnsi="Times New Roman" w:cs="Times New Roman"/>
          <w:noProof/>
        </w:rPr>
        <w:t xml:space="preserve">This measure consists in support for building renovation and for making production processes use less energy. </w:t>
      </w:r>
    </w:p>
    <w:p w14:paraId="473102D7"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 xml:space="preserve">Investment 2 (C2.1I2): Promoting renewables and individual energy efficiency measures in dwellings and tackling energy poverty, including in households with vulnerable electricity consumers </w:t>
      </w:r>
    </w:p>
    <w:p w14:paraId="3E46BE88"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the measure is to encourage the use of renewable energy sources and energy savings by the large stock of old dwellings, as well as to subsidise the implementation of small-scale energy renovations in households with vulnerable electricity consumers including energy-poor households and people with disabilities.</w:t>
      </w:r>
    </w:p>
    <w:p w14:paraId="78F89637" w14:textId="29622418" w:rsidR="00C04BFF" w:rsidRPr="000F04FA" w:rsidRDefault="00C04BFF" w:rsidP="00D8670B">
      <w:pPr>
        <w:spacing w:before="120" w:after="120" w:line="240" w:lineRule="auto"/>
        <w:jc w:val="both"/>
        <w:rPr>
          <w:rFonts w:ascii="Times New Roman" w:hAnsi="Times New Roman" w:cs="Times New Roman"/>
          <w:b/>
          <w:i/>
          <w:noProof/>
        </w:rPr>
      </w:pPr>
      <w:r w:rsidRPr="000F04FA">
        <w:rPr>
          <w:rFonts w:ascii="Times New Roman" w:hAnsi="Times New Roman" w:cs="Times New Roman"/>
          <w:noProof/>
        </w:rPr>
        <w:t xml:space="preserve">This measure consists in providing grants for renewables and individual energy efficiency measures. </w:t>
      </w:r>
    </w:p>
    <w:p w14:paraId="73A7B3CA"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 xml:space="preserve">Investment 3 (C2.1I3): Facilitating the transition of local communities towards climate investments </w:t>
      </w:r>
    </w:p>
    <w:p w14:paraId="03A9374F"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this investment </w:t>
      </w:r>
      <w:r w:rsidRPr="000F04FA">
        <w:rPr>
          <w:rFonts w:ascii="Times New Roman" w:eastAsia="Times New Roman" w:hAnsi="Times New Roman" w:cs="Times New Roman"/>
          <w:noProof/>
        </w:rPr>
        <w:t>is to facilitate</w:t>
      </w:r>
      <w:r w:rsidRPr="000F04FA">
        <w:rPr>
          <w:rFonts w:ascii="Times New Roman" w:hAnsi="Times New Roman" w:cs="Times New Roman"/>
          <w:noProof/>
        </w:rPr>
        <w:t xml:space="preserve"> the transition of local communities towards climate mitigation and adaptation.</w:t>
      </w:r>
    </w:p>
    <w:p w14:paraId="0DBB8CF9" w14:textId="577F54DA"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rPr>
        <w:t xml:space="preserve">The measure consists in a grant scheme for energy and climate adaptation investments in Local (Community) Councils. </w:t>
      </w:r>
    </w:p>
    <w:p w14:paraId="6F1BD391" w14:textId="77777777" w:rsidR="00C04BFF" w:rsidRPr="000F04FA" w:rsidRDefault="00C04BFF" w:rsidP="00D8670B">
      <w:pPr>
        <w:spacing w:before="120" w:after="120" w:line="240" w:lineRule="auto"/>
        <w:jc w:val="both"/>
        <w:rPr>
          <w:rFonts w:ascii="Times New Roman" w:hAnsi="Times New Roman" w:cs="Times New Roman"/>
          <w:b/>
          <w:i/>
          <w:noProof/>
        </w:rPr>
      </w:pPr>
    </w:p>
    <w:p w14:paraId="19905AD6" w14:textId="77777777" w:rsidR="00C04BFF" w:rsidRPr="000F04FA" w:rsidRDefault="00C04BFF" w:rsidP="00D8670B">
      <w:pPr>
        <w:keepNext/>
        <w:spacing w:before="120" w:after="120" w:line="240" w:lineRule="auto"/>
        <w:jc w:val="both"/>
        <w:rPr>
          <w:rFonts w:ascii="Times New Roman" w:hAnsi="Times New Roman" w:cs="Times New Roman"/>
          <w:noProof/>
          <w:u w:val="single"/>
        </w:rPr>
      </w:pPr>
      <w:bookmarkStart w:id="2" w:name="_Hlk213777844"/>
      <w:r w:rsidRPr="000F04FA">
        <w:rPr>
          <w:rFonts w:ascii="Times New Roman" w:hAnsi="Times New Roman" w:cs="Times New Roman"/>
          <w:noProof/>
          <w:u w:val="single"/>
        </w:rPr>
        <w:t xml:space="preserve">Investment </w:t>
      </w:r>
      <w:bookmarkEnd w:id="2"/>
      <w:r w:rsidRPr="000F04FA">
        <w:rPr>
          <w:rFonts w:ascii="Times New Roman" w:hAnsi="Times New Roman" w:cs="Times New Roman"/>
          <w:noProof/>
          <w:u w:val="single"/>
        </w:rPr>
        <w:t>5 (C2.1I5): Energy efficiency investments in public buildings</w:t>
      </w:r>
    </w:p>
    <w:p w14:paraId="51F992A4"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this investment is to facilitate energy efficiency investments in public buildings.</w:t>
      </w:r>
    </w:p>
    <w:p w14:paraId="6E7B81AE"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This measure is composed of two energy efficiency investments: (i) Fire Service Properties and Schools; and (ii) Nicosia General Hospital.</w:t>
      </w:r>
    </w:p>
    <w:p w14:paraId="132AE3D4" w14:textId="77777777" w:rsidR="00C04BFF" w:rsidRPr="000F04FA" w:rsidRDefault="00C04BFF" w:rsidP="00D8670B">
      <w:pPr>
        <w:spacing w:before="120" w:after="120" w:line="240" w:lineRule="auto"/>
        <w:jc w:val="both"/>
        <w:rPr>
          <w:rFonts w:ascii="Times New Roman" w:hAnsi="Times New Roman" w:cs="Times New Roman"/>
          <w:noProof/>
        </w:rPr>
      </w:pPr>
    </w:p>
    <w:p w14:paraId="6F72F9FB" w14:textId="28C3BED9"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6 (C2.1I6):</w:t>
      </w:r>
      <w:r w:rsidR="00064579">
        <w:rPr>
          <w:rFonts w:ascii="Times New Roman" w:hAnsi="Times New Roman" w:cs="Times New Roman"/>
          <w:noProof/>
          <w:u w:val="single"/>
        </w:rPr>
        <w:t xml:space="preserve"> </w:t>
      </w:r>
      <w:r w:rsidRPr="000F04FA">
        <w:rPr>
          <w:rFonts w:ascii="Times New Roman" w:hAnsi="Times New Roman" w:cs="Times New Roman"/>
          <w:noProof/>
          <w:u w:val="single"/>
        </w:rPr>
        <w:t>Expansion of the renewable energy and smart grids testing infrastructure at the University of Cyprus</w:t>
      </w:r>
    </w:p>
    <w:p w14:paraId="28ECF457" w14:textId="77777777" w:rsidR="00C04BFF" w:rsidRPr="000F04FA" w:rsidRDefault="00C04BFF" w:rsidP="00483719">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this investment is to expand the existing renewable energy and smart grids testing infrastructure at the University of Cyprus and to connect it with the existing grid.</w:t>
      </w:r>
    </w:p>
    <w:p w14:paraId="256685A6" w14:textId="77777777" w:rsidR="00C04BFF" w:rsidRPr="000F04FA" w:rsidRDefault="00C04BFF" w:rsidP="00483719">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This measure consists in commissioning renewable energy and smart grids equipment. </w:t>
      </w:r>
    </w:p>
    <w:p w14:paraId="6921F530" w14:textId="77777777" w:rsidR="00C04BFF" w:rsidRPr="000F04FA" w:rsidRDefault="00C04BFF" w:rsidP="00D8670B">
      <w:pPr>
        <w:spacing w:before="120" w:after="120" w:line="240" w:lineRule="auto"/>
        <w:jc w:val="both"/>
        <w:rPr>
          <w:rFonts w:ascii="Times New Roman" w:hAnsi="Times New Roman" w:cs="Times New Roman"/>
          <w:noProof/>
        </w:rPr>
      </w:pPr>
    </w:p>
    <w:p w14:paraId="56C82201"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7 (C2.1I7): Mass installation by the Distribution System Operator (DSO) of Smart Metering Infrastructure (Advanced Metering Infrastructure)</w:t>
      </w:r>
    </w:p>
    <w:p w14:paraId="56CD6BF6"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this investment is to facilitate the mass roll-out of smart meters in Cyprus. </w:t>
      </w:r>
    </w:p>
    <w:p w14:paraId="21B38FEA" w14:textId="77777777" w:rsidR="00C04BFF" w:rsidRPr="000F04FA" w:rsidRDefault="00C04BFF" w:rsidP="00D8670B">
      <w:pPr>
        <w:spacing w:before="120" w:after="120" w:line="240" w:lineRule="auto"/>
        <w:jc w:val="both"/>
        <w:rPr>
          <w:rFonts w:ascii="Times New Roman" w:hAnsi="Times New Roman" w:cs="Times New Roman"/>
          <w:b/>
          <w:i/>
          <w:noProof/>
        </w:rPr>
      </w:pPr>
      <w:r w:rsidRPr="000F04FA">
        <w:rPr>
          <w:rFonts w:ascii="Times New Roman" w:hAnsi="Times New Roman" w:cs="Times New Roman"/>
          <w:noProof/>
        </w:rPr>
        <w:t>This measure consists in the delivery of 400 000 smart meters to the Electricity Authority of Cyprus and the installation of 200 000 smart meters.</w:t>
      </w:r>
    </w:p>
    <w:p w14:paraId="00A4CBCB" w14:textId="77777777" w:rsidR="00C04BFF" w:rsidRPr="000F04FA" w:rsidRDefault="00C04BFF" w:rsidP="00D8670B">
      <w:pPr>
        <w:spacing w:before="120" w:after="120" w:line="240" w:lineRule="auto"/>
        <w:jc w:val="both"/>
        <w:rPr>
          <w:rFonts w:ascii="Times New Roman" w:hAnsi="Times New Roman" w:cs="Times New Roman"/>
          <w:bCs/>
          <w:iCs/>
          <w:noProof/>
        </w:rPr>
      </w:pPr>
    </w:p>
    <w:p w14:paraId="4D2ADEAC"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8 (C2.1I8): Monitoring and reduction of GHG emissions in agriculture</w:t>
      </w:r>
    </w:p>
    <w:p w14:paraId="00AD419C" w14:textId="77777777" w:rsidR="00C04BFF" w:rsidRPr="000F04FA" w:rsidRDefault="00C04BFF" w:rsidP="00483719">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this investment is to monitor greenhouse gas emissions from agricultural activities in Cyprus, with a view to reducing GHG emissions in agriculture.</w:t>
      </w:r>
    </w:p>
    <w:p w14:paraId="11BAA370" w14:textId="77777777" w:rsidR="00C04BFF" w:rsidRPr="000F04FA" w:rsidRDefault="00C04BFF" w:rsidP="00483719">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investment consists in a GHG monitoring system. </w:t>
      </w:r>
    </w:p>
    <w:p w14:paraId="401CC825" w14:textId="77777777" w:rsidR="00C04BFF" w:rsidRPr="000F04FA" w:rsidRDefault="00C04BFF" w:rsidP="00D8670B">
      <w:pPr>
        <w:spacing w:before="120" w:after="120" w:line="240" w:lineRule="auto"/>
        <w:jc w:val="both"/>
        <w:rPr>
          <w:rFonts w:ascii="Times New Roman" w:hAnsi="Times New Roman" w:cs="Times New Roman"/>
          <w:noProof/>
        </w:rPr>
      </w:pPr>
    </w:p>
    <w:p w14:paraId="2B370B39"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9 (C2.1I9): Fire protection</w:t>
      </w:r>
    </w:p>
    <w:p w14:paraId="79B64858" w14:textId="77777777" w:rsidR="00C04BFF" w:rsidRPr="000F04FA" w:rsidRDefault="00C04BFF" w:rsidP="00D8670B">
      <w:pPr>
        <w:spacing w:before="120" w:after="120" w:line="240" w:lineRule="auto"/>
        <w:jc w:val="both"/>
        <w:rPr>
          <w:rFonts w:ascii="Times New Roman" w:hAnsi="Times New Roman" w:cs="Times New Roman"/>
          <w:b/>
          <w:i/>
          <w:noProof/>
        </w:rPr>
      </w:pPr>
      <w:r w:rsidRPr="000F04FA">
        <w:rPr>
          <w:rFonts w:ascii="Times New Roman" w:hAnsi="Times New Roman" w:cs="Times New Roman"/>
          <w:noProof/>
        </w:rPr>
        <w:t>The objective of this investment is to support the capabilities of authorities in Cyprus to cope with fire hazards and to invest in the protection against the risks faced by citizens, infrastructure, and forests.</w:t>
      </w:r>
    </w:p>
    <w:p w14:paraId="6102527A" w14:textId="2BC75A5F"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This measure consists in the purchase of a firefighting aircraft, vehicles, and equipment </w:t>
      </w:r>
    </w:p>
    <w:p w14:paraId="3122EB90" w14:textId="77777777" w:rsidR="00C04BFF" w:rsidRPr="000F04FA" w:rsidRDefault="00C04BFF" w:rsidP="00D8670B">
      <w:pPr>
        <w:spacing w:before="120" w:after="120" w:line="240" w:lineRule="auto"/>
        <w:jc w:val="both"/>
        <w:rPr>
          <w:rFonts w:ascii="Times New Roman" w:hAnsi="Times New Roman" w:cs="Times New Roman"/>
          <w:noProof/>
        </w:rPr>
      </w:pPr>
    </w:p>
    <w:p w14:paraId="23B3B39A" w14:textId="77777777" w:rsidR="00C04BFF" w:rsidRPr="000F04FA" w:rsidRDefault="00C04BF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10 (C2.1I10): Market Management System (MMS) to facilitate the opening of the electricity market to competition</w:t>
      </w:r>
    </w:p>
    <w:p w14:paraId="3FFDEEF1" w14:textId="77777777" w:rsidR="00C04BFF"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this investment is to introduce a Market Management System (MMS) by the Cyprus Transmission System Operator as a tool for facilitating the opening of the electricity market to competition.</w:t>
      </w:r>
    </w:p>
    <w:p w14:paraId="0BC45EC8" w14:textId="1B2A2FEA" w:rsidR="00F337CE" w:rsidRPr="000F04FA" w:rsidRDefault="00C04BF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This measure consists in the installation of the MMS marked by the first financial transactions taking place through the MMS, and the opening of Cyprus’ electricity market</w:t>
      </w:r>
    </w:p>
    <w:p w14:paraId="0774E039" w14:textId="4287A9D9" w:rsidR="00C04BFF" w:rsidRPr="000F04FA" w:rsidRDefault="00F337CE" w:rsidP="00F337CE">
      <w:pPr>
        <w:rPr>
          <w:rFonts w:ascii="Times New Roman" w:hAnsi="Times New Roman" w:cs="Times New Roman"/>
          <w:noProof/>
        </w:rPr>
        <w:sectPr w:rsidR="00C04BFF" w:rsidRPr="000F04FA" w:rsidSect="00C04BFF">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pPr>
      <w:r w:rsidRPr="000F04FA">
        <w:rPr>
          <w:rFonts w:ascii="Times New Roman" w:hAnsi="Times New Roman" w:cs="Times New Roman"/>
          <w:noProof/>
        </w:rPr>
        <w:br w:type="page"/>
      </w:r>
    </w:p>
    <w:p w14:paraId="29CA9BB6" w14:textId="77777777" w:rsidR="00C04BFF" w:rsidRPr="000F04FA" w:rsidRDefault="00C04BFF" w:rsidP="00D8670B">
      <w:pPr>
        <w:spacing w:before="120" w:after="240" w:line="240" w:lineRule="auto"/>
        <w:jc w:val="both"/>
        <w:rPr>
          <w:rFonts w:ascii="Times New Roman" w:hAnsi="Times New Roman"/>
          <w:b/>
          <w:noProof/>
          <w:u w:val="single"/>
        </w:rPr>
      </w:pPr>
      <w:r w:rsidRPr="000F04FA">
        <w:rPr>
          <w:rFonts w:ascii="Times New Roman" w:hAnsi="Times New Roman"/>
          <w:b/>
          <w:noProof/>
          <w:u w:val="single"/>
        </w:rPr>
        <w:t xml:space="preserve">B.2.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134"/>
        <w:gridCol w:w="1842"/>
        <w:gridCol w:w="1418"/>
        <w:gridCol w:w="1281"/>
        <w:gridCol w:w="992"/>
        <w:gridCol w:w="1276"/>
        <w:gridCol w:w="992"/>
        <w:gridCol w:w="709"/>
        <w:gridCol w:w="3315"/>
      </w:tblGrid>
      <w:tr w:rsidR="00C04BFF" w:rsidRPr="00483719" w14:paraId="6195CABB" w14:textId="77777777" w:rsidTr="00D8670B">
        <w:trPr>
          <w:trHeight w:val="300"/>
          <w:tblHeader/>
          <w:jc w:val="center"/>
        </w:trPr>
        <w:tc>
          <w:tcPr>
            <w:tcW w:w="1134" w:type="dxa"/>
            <w:vMerge w:val="restart"/>
            <w:shd w:val="clear" w:color="auto" w:fill="BDD7EE"/>
            <w:vAlign w:val="center"/>
            <w:hideMark/>
          </w:tcPr>
          <w:p w14:paraId="5CC46703" w14:textId="77777777" w:rsidR="00C04BFF" w:rsidRPr="00483719" w:rsidRDefault="00C04BFF" w:rsidP="00D8670B">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Sequential Number</w:t>
            </w:r>
          </w:p>
        </w:tc>
        <w:tc>
          <w:tcPr>
            <w:tcW w:w="1418" w:type="dxa"/>
            <w:vMerge w:val="restart"/>
            <w:shd w:val="clear" w:color="auto" w:fill="BDD7EE"/>
            <w:vAlign w:val="center"/>
            <w:hideMark/>
          </w:tcPr>
          <w:p w14:paraId="75B0CC62" w14:textId="77777777" w:rsidR="00C04BFF" w:rsidRPr="00483719" w:rsidRDefault="00C04BFF" w:rsidP="00D8670B">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1A9DB3D4" w14:textId="77777777" w:rsidR="00C04BFF" w:rsidRPr="00483719" w:rsidRDefault="00C04BFF" w:rsidP="00D8670B">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Milestone / Target</w:t>
            </w:r>
          </w:p>
        </w:tc>
        <w:tc>
          <w:tcPr>
            <w:tcW w:w="1842" w:type="dxa"/>
            <w:vMerge w:val="restart"/>
            <w:shd w:val="clear" w:color="auto" w:fill="BDD7EE"/>
            <w:vAlign w:val="center"/>
            <w:hideMark/>
          </w:tcPr>
          <w:p w14:paraId="2F0898F8" w14:textId="77777777" w:rsidR="00C04BFF" w:rsidRPr="00483719" w:rsidRDefault="00C04BFF" w:rsidP="00D8670B">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Name</w:t>
            </w:r>
          </w:p>
        </w:tc>
        <w:tc>
          <w:tcPr>
            <w:tcW w:w="1418" w:type="dxa"/>
            <w:vMerge w:val="restart"/>
            <w:shd w:val="clear" w:color="auto" w:fill="BDD7EE"/>
            <w:vAlign w:val="center"/>
            <w:hideMark/>
          </w:tcPr>
          <w:p w14:paraId="77E12A79" w14:textId="7BC5C096" w:rsidR="00C04BFF" w:rsidRPr="00483719" w:rsidRDefault="00C04BFF" w:rsidP="00D8670B">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Qualitative indicators</w:t>
            </w:r>
            <w:r w:rsidR="00064579">
              <w:rPr>
                <w:rFonts w:ascii="Times New Roman" w:hAnsi="Times New Roman" w:cs="Times New Roman"/>
                <w:b/>
                <w:noProof/>
                <w:sz w:val="18"/>
                <w:szCs w:val="18"/>
              </w:rPr>
              <w:t xml:space="preserve"> </w:t>
            </w:r>
            <w:r w:rsidRPr="00483719">
              <w:rPr>
                <w:rFonts w:ascii="Times New Roman" w:hAnsi="Times New Roman" w:cs="Times New Roman"/>
                <w:noProof/>
                <w:sz w:val="18"/>
                <w:szCs w:val="18"/>
              </w:rPr>
              <w:br/>
            </w:r>
            <w:r w:rsidRPr="00483719">
              <w:rPr>
                <w:rFonts w:ascii="Times New Roman" w:hAnsi="Times New Roman" w:cs="Times New Roman"/>
                <w:b/>
                <w:noProof/>
                <w:sz w:val="18"/>
                <w:szCs w:val="18"/>
              </w:rPr>
              <w:t>(for milestones)</w:t>
            </w:r>
          </w:p>
        </w:tc>
        <w:tc>
          <w:tcPr>
            <w:tcW w:w="3549" w:type="dxa"/>
            <w:gridSpan w:val="3"/>
            <w:shd w:val="clear" w:color="auto" w:fill="BDD7EE"/>
            <w:vAlign w:val="center"/>
            <w:hideMark/>
          </w:tcPr>
          <w:p w14:paraId="14274FA2" w14:textId="27F11300" w:rsidR="00C04BFF" w:rsidRPr="00483719" w:rsidRDefault="00C04BFF" w:rsidP="00FC4C5E">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Quantitative indicators</w:t>
            </w:r>
            <w:r w:rsidR="00064579">
              <w:rPr>
                <w:rFonts w:ascii="Times New Roman" w:hAnsi="Times New Roman" w:cs="Times New Roman"/>
                <w:b/>
                <w:noProof/>
                <w:sz w:val="18"/>
                <w:szCs w:val="18"/>
              </w:rPr>
              <w:t xml:space="preserve"> </w:t>
            </w:r>
            <w:r w:rsidRPr="00483719">
              <w:rPr>
                <w:rFonts w:ascii="Times New Roman" w:hAnsi="Times New Roman" w:cs="Times New Roman"/>
                <w:noProof/>
                <w:sz w:val="18"/>
                <w:szCs w:val="18"/>
              </w:rPr>
              <w:br/>
            </w:r>
            <w:r w:rsidRPr="00483719">
              <w:rPr>
                <w:rFonts w:ascii="Times New Roman" w:hAnsi="Times New Roman" w:cs="Times New Roman"/>
                <w:b/>
                <w:noProof/>
                <w:sz w:val="18"/>
                <w:szCs w:val="18"/>
              </w:rPr>
              <w:t>(for targets)</w:t>
            </w:r>
          </w:p>
        </w:tc>
        <w:tc>
          <w:tcPr>
            <w:tcW w:w="1701" w:type="dxa"/>
            <w:gridSpan w:val="2"/>
            <w:shd w:val="clear" w:color="auto" w:fill="BDD7EE"/>
            <w:vAlign w:val="center"/>
            <w:hideMark/>
          </w:tcPr>
          <w:p w14:paraId="4326AE14" w14:textId="34F32403" w:rsidR="00C04BFF" w:rsidRPr="00483719" w:rsidRDefault="00C04BFF" w:rsidP="00FC4C5E">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Indicative timeline for completion</w:t>
            </w:r>
          </w:p>
        </w:tc>
        <w:tc>
          <w:tcPr>
            <w:tcW w:w="3315" w:type="dxa"/>
            <w:vMerge w:val="restart"/>
            <w:shd w:val="clear" w:color="auto" w:fill="BDD7EE"/>
            <w:vAlign w:val="center"/>
            <w:hideMark/>
          </w:tcPr>
          <w:p w14:paraId="3DF0FFE5" w14:textId="77777777" w:rsidR="00C04BFF" w:rsidRPr="00483719" w:rsidRDefault="00C04BFF" w:rsidP="00FC4C5E">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Description of each milestone and target</w:t>
            </w:r>
          </w:p>
        </w:tc>
      </w:tr>
      <w:tr w:rsidR="00C04BFF" w:rsidRPr="00483719" w14:paraId="1F9EE980" w14:textId="77777777" w:rsidTr="00D8670B">
        <w:trPr>
          <w:trHeight w:val="300"/>
          <w:tblHeader/>
          <w:jc w:val="center"/>
        </w:trPr>
        <w:tc>
          <w:tcPr>
            <w:tcW w:w="1134" w:type="dxa"/>
            <w:vMerge/>
            <w:vAlign w:val="center"/>
            <w:hideMark/>
          </w:tcPr>
          <w:p w14:paraId="4A8F6045" w14:textId="77777777" w:rsidR="00C04BFF" w:rsidRPr="00483719" w:rsidRDefault="00C04BFF" w:rsidP="00D8670B">
            <w:pPr>
              <w:spacing w:after="0" w:line="240" w:lineRule="auto"/>
              <w:rPr>
                <w:rFonts w:ascii="Times New Roman" w:hAnsi="Times New Roman" w:cs="Times New Roman"/>
                <w:b/>
                <w:noProof/>
                <w:sz w:val="18"/>
                <w:szCs w:val="18"/>
              </w:rPr>
            </w:pPr>
          </w:p>
        </w:tc>
        <w:tc>
          <w:tcPr>
            <w:tcW w:w="1418" w:type="dxa"/>
            <w:vMerge/>
            <w:vAlign w:val="center"/>
            <w:hideMark/>
          </w:tcPr>
          <w:p w14:paraId="796D05F6" w14:textId="77777777" w:rsidR="00C04BFF" w:rsidRPr="00483719" w:rsidRDefault="00C04BFF" w:rsidP="00D8670B">
            <w:pPr>
              <w:spacing w:after="0" w:line="240" w:lineRule="auto"/>
              <w:rPr>
                <w:rFonts w:ascii="Times New Roman" w:hAnsi="Times New Roman" w:cs="Times New Roman"/>
                <w:b/>
                <w:noProof/>
                <w:sz w:val="18"/>
                <w:szCs w:val="18"/>
              </w:rPr>
            </w:pPr>
          </w:p>
        </w:tc>
        <w:tc>
          <w:tcPr>
            <w:tcW w:w="1134" w:type="dxa"/>
            <w:vMerge/>
            <w:vAlign w:val="center"/>
            <w:hideMark/>
          </w:tcPr>
          <w:p w14:paraId="668AB8D5" w14:textId="77777777" w:rsidR="00C04BFF" w:rsidRPr="00483719" w:rsidRDefault="00C04BFF" w:rsidP="00D8670B">
            <w:pPr>
              <w:spacing w:after="0" w:line="240" w:lineRule="auto"/>
              <w:rPr>
                <w:rFonts w:ascii="Times New Roman" w:hAnsi="Times New Roman" w:cs="Times New Roman"/>
                <w:b/>
                <w:noProof/>
                <w:sz w:val="18"/>
                <w:szCs w:val="18"/>
              </w:rPr>
            </w:pPr>
          </w:p>
        </w:tc>
        <w:tc>
          <w:tcPr>
            <w:tcW w:w="1842" w:type="dxa"/>
            <w:vMerge/>
            <w:vAlign w:val="center"/>
            <w:hideMark/>
          </w:tcPr>
          <w:p w14:paraId="72E1B6FE" w14:textId="77777777" w:rsidR="00C04BFF" w:rsidRPr="00483719" w:rsidRDefault="00C04BFF" w:rsidP="00D8670B">
            <w:pPr>
              <w:spacing w:after="0" w:line="240" w:lineRule="auto"/>
              <w:rPr>
                <w:rFonts w:ascii="Times New Roman" w:hAnsi="Times New Roman" w:cs="Times New Roman"/>
                <w:b/>
                <w:noProof/>
                <w:sz w:val="18"/>
                <w:szCs w:val="18"/>
              </w:rPr>
            </w:pPr>
          </w:p>
        </w:tc>
        <w:tc>
          <w:tcPr>
            <w:tcW w:w="1418" w:type="dxa"/>
            <w:vMerge/>
            <w:vAlign w:val="center"/>
            <w:hideMark/>
          </w:tcPr>
          <w:p w14:paraId="58361287" w14:textId="77777777" w:rsidR="00C04BFF" w:rsidRPr="00483719" w:rsidRDefault="00C04BFF" w:rsidP="00D8670B">
            <w:pPr>
              <w:spacing w:after="0" w:line="240" w:lineRule="auto"/>
              <w:rPr>
                <w:rFonts w:ascii="Times New Roman" w:hAnsi="Times New Roman" w:cs="Times New Roman"/>
                <w:b/>
                <w:noProof/>
                <w:sz w:val="18"/>
                <w:szCs w:val="18"/>
              </w:rPr>
            </w:pPr>
          </w:p>
        </w:tc>
        <w:tc>
          <w:tcPr>
            <w:tcW w:w="1281" w:type="dxa"/>
            <w:shd w:val="clear" w:color="auto" w:fill="BDD7EE"/>
            <w:vAlign w:val="center"/>
            <w:hideMark/>
          </w:tcPr>
          <w:p w14:paraId="2D71A062" w14:textId="77777777" w:rsidR="00C04BFF" w:rsidRPr="00483719" w:rsidRDefault="00C04BFF" w:rsidP="00FC4C5E">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Unit of measure</w:t>
            </w:r>
          </w:p>
        </w:tc>
        <w:tc>
          <w:tcPr>
            <w:tcW w:w="992" w:type="dxa"/>
            <w:shd w:val="clear" w:color="auto" w:fill="BDD7EE"/>
            <w:vAlign w:val="center"/>
            <w:hideMark/>
          </w:tcPr>
          <w:p w14:paraId="7B22932F" w14:textId="0569F9CF" w:rsidR="00C04BFF" w:rsidRPr="00483719" w:rsidRDefault="00C04BFF" w:rsidP="00FC4C5E">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Baseline</w:t>
            </w:r>
          </w:p>
        </w:tc>
        <w:tc>
          <w:tcPr>
            <w:tcW w:w="1276" w:type="dxa"/>
            <w:shd w:val="clear" w:color="auto" w:fill="BDD7EE"/>
            <w:vAlign w:val="center"/>
            <w:hideMark/>
          </w:tcPr>
          <w:p w14:paraId="78756C21" w14:textId="4DA135B1" w:rsidR="00C04BFF" w:rsidRPr="00483719" w:rsidRDefault="00C04BFF" w:rsidP="00FC4C5E">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Goal</w:t>
            </w:r>
          </w:p>
        </w:tc>
        <w:tc>
          <w:tcPr>
            <w:tcW w:w="992" w:type="dxa"/>
            <w:shd w:val="clear" w:color="auto" w:fill="BDD7EE"/>
            <w:vAlign w:val="center"/>
            <w:hideMark/>
          </w:tcPr>
          <w:p w14:paraId="4BC22A25" w14:textId="77777777" w:rsidR="00C04BFF" w:rsidRPr="00483719" w:rsidRDefault="00C04BFF" w:rsidP="00FC4C5E">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Quarter</w:t>
            </w:r>
          </w:p>
        </w:tc>
        <w:tc>
          <w:tcPr>
            <w:tcW w:w="709" w:type="dxa"/>
            <w:shd w:val="clear" w:color="auto" w:fill="BDD7EE"/>
            <w:vAlign w:val="center"/>
            <w:hideMark/>
          </w:tcPr>
          <w:p w14:paraId="72D7A687" w14:textId="77777777" w:rsidR="00C04BFF" w:rsidRPr="00483719" w:rsidRDefault="00C04BFF" w:rsidP="00FC4C5E">
            <w:pPr>
              <w:spacing w:after="0" w:line="240" w:lineRule="auto"/>
              <w:jc w:val="center"/>
              <w:rPr>
                <w:rFonts w:ascii="Times New Roman" w:hAnsi="Times New Roman" w:cs="Times New Roman"/>
                <w:b/>
                <w:noProof/>
                <w:sz w:val="18"/>
                <w:szCs w:val="18"/>
              </w:rPr>
            </w:pPr>
            <w:r w:rsidRPr="00483719">
              <w:rPr>
                <w:rFonts w:ascii="Times New Roman" w:hAnsi="Times New Roman" w:cs="Times New Roman"/>
                <w:b/>
                <w:noProof/>
                <w:sz w:val="18"/>
                <w:szCs w:val="18"/>
              </w:rPr>
              <w:t>Year</w:t>
            </w:r>
          </w:p>
        </w:tc>
        <w:tc>
          <w:tcPr>
            <w:tcW w:w="3315" w:type="dxa"/>
            <w:vMerge/>
            <w:vAlign w:val="center"/>
            <w:hideMark/>
          </w:tcPr>
          <w:p w14:paraId="561C881F" w14:textId="77777777" w:rsidR="00C04BFF" w:rsidRPr="00483719" w:rsidRDefault="00C04BFF" w:rsidP="00FC4C5E">
            <w:pPr>
              <w:spacing w:after="0" w:line="240" w:lineRule="auto"/>
              <w:jc w:val="both"/>
              <w:rPr>
                <w:rFonts w:ascii="Times New Roman" w:hAnsi="Times New Roman" w:cs="Times New Roman"/>
                <w:b/>
                <w:noProof/>
                <w:sz w:val="18"/>
                <w:szCs w:val="18"/>
              </w:rPr>
            </w:pPr>
          </w:p>
        </w:tc>
      </w:tr>
      <w:tr w:rsidR="00C04BFF" w:rsidRPr="00483719" w14:paraId="5DBD651D" w14:textId="77777777" w:rsidTr="00D8670B">
        <w:trPr>
          <w:trHeight w:val="300"/>
          <w:jc w:val="center"/>
        </w:trPr>
        <w:tc>
          <w:tcPr>
            <w:tcW w:w="1134" w:type="dxa"/>
            <w:shd w:val="clear" w:color="auto" w:fill="C6EFCE"/>
            <w:noWrap/>
          </w:tcPr>
          <w:p w14:paraId="2E709DFB" w14:textId="7C3D4153"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19</w:t>
            </w:r>
          </w:p>
        </w:tc>
        <w:tc>
          <w:tcPr>
            <w:tcW w:w="1418" w:type="dxa"/>
            <w:shd w:val="clear" w:color="auto" w:fill="C6EFCE"/>
            <w:noWrap/>
          </w:tcPr>
          <w:p w14:paraId="31696EC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C2.1R1</w:t>
            </w:r>
          </w:p>
          <w:p w14:paraId="34CC1599"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Green Taxation </w:t>
            </w:r>
          </w:p>
        </w:tc>
        <w:tc>
          <w:tcPr>
            <w:tcW w:w="1134" w:type="dxa"/>
            <w:shd w:val="clear" w:color="auto" w:fill="C6EFCE"/>
            <w:noWrap/>
          </w:tcPr>
          <w:p w14:paraId="14655CBC"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tcPr>
          <w:p w14:paraId="0FA35D16" w14:textId="700DA4A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Entry into force of legal acts introducing a carbon tax on transport fuels, an increase of existing water </w:t>
            </w:r>
            <w:r w:rsidR="00483719" w:rsidRPr="00483719">
              <w:rPr>
                <w:rFonts w:ascii="Times New Roman" w:hAnsi="Times New Roman" w:cs="Times New Roman"/>
                <w:noProof/>
                <w:sz w:val="18"/>
                <w:szCs w:val="18"/>
              </w:rPr>
              <w:t>fees, a</w:t>
            </w:r>
            <w:r w:rsidRPr="00483719">
              <w:rPr>
                <w:rFonts w:ascii="Times New Roman" w:hAnsi="Times New Roman" w:cs="Times New Roman"/>
                <w:noProof/>
                <w:sz w:val="18"/>
                <w:szCs w:val="18"/>
              </w:rPr>
              <w:t xml:space="preserve"> charge on the landfill of municipal waste</w:t>
            </w:r>
            <w:r w:rsidR="00231EAD" w:rsidRPr="00483719">
              <w:rPr>
                <w:rFonts w:ascii="Times New Roman" w:hAnsi="Times New Roman" w:cs="Times New Roman"/>
                <w:noProof/>
                <w:sz w:val="18"/>
                <w:szCs w:val="18"/>
              </w:rPr>
              <w:t>, and tax incentives for enterprises and individual</w:t>
            </w:r>
            <w:r w:rsidR="00FE1886" w:rsidRPr="00483719">
              <w:rPr>
                <w:rFonts w:ascii="Times New Roman" w:hAnsi="Times New Roman" w:cs="Times New Roman"/>
                <w:noProof/>
                <w:sz w:val="18"/>
                <w:szCs w:val="18"/>
              </w:rPr>
              <w:t>s</w:t>
            </w:r>
          </w:p>
        </w:tc>
        <w:tc>
          <w:tcPr>
            <w:tcW w:w="1418" w:type="dxa"/>
            <w:shd w:val="clear" w:color="auto" w:fill="C6EFCE"/>
            <w:noWrap/>
          </w:tcPr>
          <w:p w14:paraId="143FC615" w14:textId="00ACEEF4" w:rsidR="00C04BFF" w:rsidRPr="00483719" w:rsidRDefault="00C04BFF" w:rsidP="00E53B92">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Provision in the legal acts indicating the entry into force </w:t>
            </w:r>
          </w:p>
        </w:tc>
        <w:tc>
          <w:tcPr>
            <w:tcW w:w="1281" w:type="dxa"/>
            <w:shd w:val="clear" w:color="auto" w:fill="C6EFCE"/>
            <w:noWrap/>
          </w:tcPr>
          <w:p w14:paraId="6D9EC54E" w14:textId="3C95A9AF"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7F042B95" w14:textId="549B6502"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tcPr>
          <w:p w14:paraId="5E08E2D8" w14:textId="687ECDAC"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15F37215" w14:textId="27532E3D"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w:t>
            </w:r>
            <w:r w:rsidR="009568F0" w:rsidRPr="00483719">
              <w:rPr>
                <w:rFonts w:ascii="Times New Roman" w:hAnsi="Times New Roman" w:cs="Times New Roman"/>
                <w:noProof/>
                <w:sz w:val="18"/>
                <w:szCs w:val="18"/>
              </w:rPr>
              <w:t>2</w:t>
            </w:r>
          </w:p>
        </w:tc>
        <w:tc>
          <w:tcPr>
            <w:tcW w:w="709" w:type="dxa"/>
            <w:shd w:val="clear" w:color="auto" w:fill="C6EFCE"/>
            <w:noWrap/>
          </w:tcPr>
          <w:p w14:paraId="376C3B8A" w14:textId="3D219CC6"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w:t>
            </w:r>
            <w:r w:rsidR="009568F0" w:rsidRPr="00483719">
              <w:rPr>
                <w:rFonts w:ascii="Times New Roman" w:hAnsi="Times New Roman" w:cs="Times New Roman"/>
                <w:noProof/>
                <w:sz w:val="18"/>
                <w:szCs w:val="18"/>
              </w:rPr>
              <w:t>6</w:t>
            </w:r>
          </w:p>
        </w:tc>
        <w:tc>
          <w:tcPr>
            <w:tcW w:w="3315" w:type="dxa"/>
            <w:shd w:val="clear" w:color="auto" w:fill="C6EFCE"/>
            <w:noWrap/>
          </w:tcPr>
          <w:p w14:paraId="4E34E18B" w14:textId="79EAA6C4"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Entry into force of legal acts, which (a) introduce a carbon tax on transport fuels, (b) introduce an increase of existing water fees</w:t>
            </w:r>
            <w:r w:rsidR="00F40186" w:rsidRPr="00483719">
              <w:rPr>
                <w:rFonts w:ascii="Times New Roman" w:hAnsi="Times New Roman" w:cs="Times New Roman"/>
                <w:noProof/>
                <w:sz w:val="18"/>
                <w:szCs w:val="18"/>
              </w:rPr>
              <w:t>,</w:t>
            </w:r>
            <w:r w:rsidRPr="00483719">
              <w:rPr>
                <w:rFonts w:ascii="Times New Roman" w:hAnsi="Times New Roman" w:cs="Times New Roman"/>
                <w:noProof/>
                <w:sz w:val="18"/>
                <w:szCs w:val="18"/>
              </w:rPr>
              <w:t>(c) introduce a charge on the landfill of municipal waste</w:t>
            </w:r>
            <w:r w:rsidR="00F40186" w:rsidRPr="00483719">
              <w:rPr>
                <w:rFonts w:ascii="Times New Roman" w:hAnsi="Times New Roman" w:cs="Times New Roman"/>
                <w:noProof/>
                <w:sz w:val="18"/>
                <w:szCs w:val="18"/>
              </w:rPr>
              <w:t>, (d) introduce personal tax incentives for natural persons undertaking clean energy and electric mobility investments, and (e) introduce enhanced capital allowances for qualifying energy and climate-related capital expenditures by enterprises</w:t>
            </w:r>
            <w:r w:rsidRPr="00483719">
              <w:rPr>
                <w:rFonts w:ascii="Times New Roman" w:hAnsi="Times New Roman" w:cs="Times New Roman"/>
                <w:noProof/>
                <w:sz w:val="18"/>
                <w:szCs w:val="18"/>
              </w:rPr>
              <w:t>.</w:t>
            </w:r>
          </w:p>
        </w:tc>
      </w:tr>
      <w:tr w:rsidR="00C04BFF" w:rsidRPr="00483719" w14:paraId="2DB67727" w14:textId="77777777" w:rsidTr="00D8670B">
        <w:trPr>
          <w:trHeight w:val="300"/>
          <w:jc w:val="center"/>
        </w:trPr>
        <w:tc>
          <w:tcPr>
            <w:tcW w:w="1134" w:type="dxa"/>
            <w:shd w:val="clear" w:color="auto" w:fill="C6EFCE"/>
            <w:noWrap/>
            <w:hideMark/>
          </w:tcPr>
          <w:p w14:paraId="45DCFEA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21</w:t>
            </w:r>
          </w:p>
        </w:tc>
        <w:tc>
          <w:tcPr>
            <w:tcW w:w="1418" w:type="dxa"/>
            <w:shd w:val="clear" w:color="auto" w:fill="C6EFCE"/>
            <w:noWrap/>
            <w:hideMark/>
          </w:tcPr>
          <w:p w14:paraId="4A21FC79"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C2.1R2</w:t>
            </w:r>
          </w:p>
          <w:p w14:paraId="14DF837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Independence of Cyprus Transmission System Operator (TSOC) from the incumbent Electricity Authority of Cyprus</w:t>
            </w:r>
          </w:p>
        </w:tc>
        <w:tc>
          <w:tcPr>
            <w:tcW w:w="1134" w:type="dxa"/>
            <w:shd w:val="clear" w:color="auto" w:fill="C6EFCE"/>
            <w:noWrap/>
            <w:hideMark/>
          </w:tcPr>
          <w:p w14:paraId="5DC2B648"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11D7CA6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Law for the Regulation of the Electricity Market of 2021</w:t>
            </w:r>
          </w:p>
        </w:tc>
        <w:tc>
          <w:tcPr>
            <w:tcW w:w="1418" w:type="dxa"/>
            <w:shd w:val="clear" w:color="auto" w:fill="C6EFCE"/>
            <w:noWrap/>
            <w:hideMark/>
          </w:tcPr>
          <w:p w14:paraId="1E7C16D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Provision in the law indicating the entry into force of the 2021 "Law for the Regulation of the Electricity Market"</w:t>
            </w:r>
          </w:p>
        </w:tc>
        <w:tc>
          <w:tcPr>
            <w:tcW w:w="1281" w:type="dxa"/>
            <w:shd w:val="clear" w:color="auto" w:fill="C6EFCE"/>
            <w:noWrap/>
            <w:hideMark/>
          </w:tcPr>
          <w:p w14:paraId="198474D8" w14:textId="63A5386B"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0983544B" w14:textId="5472412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hideMark/>
          </w:tcPr>
          <w:p w14:paraId="0E458236" w14:textId="3E3A5EAB"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1BA1179A"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hideMark/>
          </w:tcPr>
          <w:p w14:paraId="0E133B73"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2021</w:t>
            </w:r>
          </w:p>
        </w:tc>
        <w:tc>
          <w:tcPr>
            <w:tcW w:w="3315" w:type="dxa"/>
            <w:shd w:val="clear" w:color="auto" w:fill="C6EFCE"/>
            <w:noWrap/>
            <w:hideMark/>
          </w:tcPr>
          <w:p w14:paraId="12DC6FB7" w14:textId="577476C8"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Entry into force of the Law for the Regulation of the Electricity Market of 2021, which shall facilitate the opening of the electricity market to competition and boost the uptake of RES by: (a)</w:t>
            </w:r>
            <w:r w:rsidR="00064579">
              <w:rPr>
                <w:rFonts w:ascii="Times New Roman" w:hAnsi="Times New Roman" w:cs="Times New Roman"/>
                <w:noProof/>
                <w:sz w:val="18"/>
                <w:szCs w:val="18"/>
              </w:rPr>
              <w:t xml:space="preserve"> </w:t>
            </w:r>
            <w:r w:rsidRPr="00483719">
              <w:rPr>
                <w:rFonts w:ascii="Times New Roman" w:hAnsi="Times New Roman" w:cs="Times New Roman"/>
                <w:noProof/>
                <w:sz w:val="18"/>
                <w:szCs w:val="18"/>
              </w:rPr>
              <w:t>achieving the independence of the Cyprus Transmission System Operator (TSOC) from the incumbent Electricity Authority of Cyprus (EAC) (autonomy in governance, financial autonomy and independence of TSOC personnel), (b) introducing the necessary steps for reducing the cost of electricity for domestic and commercial/industrial customers and (c) creating conditions of transparency and trust to motivate new investors in generation and supply of electricity.</w:t>
            </w:r>
          </w:p>
        </w:tc>
      </w:tr>
      <w:tr w:rsidR="00C04BFF" w:rsidRPr="00483719" w14:paraId="439B0BFB" w14:textId="77777777" w:rsidTr="00D8670B">
        <w:trPr>
          <w:trHeight w:val="300"/>
          <w:jc w:val="center"/>
        </w:trPr>
        <w:tc>
          <w:tcPr>
            <w:tcW w:w="1134" w:type="dxa"/>
            <w:shd w:val="clear" w:color="auto" w:fill="C6EFCE"/>
            <w:noWrap/>
            <w:hideMark/>
          </w:tcPr>
          <w:p w14:paraId="4C05EB6F"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22</w:t>
            </w:r>
          </w:p>
        </w:tc>
        <w:tc>
          <w:tcPr>
            <w:tcW w:w="1418" w:type="dxa"/>
            <w:shd w:val="clear" w:color="auto" w:fill="C6EFCE"/>
            <w:noWrap/>
            <w:hideMark/>
          </w:tcPr>
          <w:p w14:paraId="1A25DA1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C2.1R3</w:t>
            </w:r>
          </w:p>
          <w:p w14:paraId="392D6DB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Digital One-Stop Shops to streamline RES projects permitting and to facilitate Energy Renovation in Buildings</w:t>
            </w:r>
          </w:p>
        </w:tc>
        <w:tc>
          <w:tcPr>
            <w:tcW w:w="1134" w:type="dxa"/>
            <w:shd w:val="clear" w:color="auto" w:fill="C6EFCE"/>
            <w:noWrap/>
            <w:hideMark/>
          </w:tcPr>
          <w:p w14:paraId="1ED7D862"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5994F09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Fully operational IT platform </w:t>
            </w:r>
          </w:p>
        </w:tc>
        <w:tc>
          <w:tcPr>
            <w:tcW w:w="1418" w:type="dxa"/>
            <w:shd w:val="clear" w:color="auto" w:fill="C6EFCE"/>
            <w:noWrap/>
            <w:hideMark/>
          </w:tcPr>
          <w:p w14:paraId="41DE5AD2"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Fully operational IT platform accepted by the Ministry of Energy, Commerce, and Industry</w:t>
            </w:r>
          </w:p>
        </w:tc>
        <w:tc>
          <w:tcPr>
            <w:tcW w:w="1281" w:type="dxa"/>
            <w:shd w:val="clear" w:color="auto" w:fill="C6EFCE"/>
            <w:noWrap/>
            <w:hideMark/>
          </w:tcPr>
          <w:p w14:paraId="0A4F0A33"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15470D30"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hideMark/>
          </w:tcPr>
          <w:p w14:paraId="61D1A8ED"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434A78AB"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hideMark/>
          </w:tcPr>
          <w:p w14:paraId="1B041988"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2022</w:t>
            </w:r>
          </w:p>
        </w:tc>
        <w:tc>
          <w:tcPr>
            <w:tcW w:w="3315" w:type="dxa"/>
            <w:shd w:val="clear" w:color="auto" w:fill="C6EFCE"/>
            <w:noWrap/>
            <w:hideMark/>
          </w:tcPr>
          <w:p w14:paraId="07542EFB"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Fully operational IT platform for (1) guiding the applicant through the administrative permit application process in a transparent manner up to the delivery of one or several decisions by the responsible authorities, (2) providing the applicant with all necessary information and involve, where appropriate, other administrative authorities.</w:t>
            </w:r>
          </w:p>
        </w:tc>
      </w:tr>
      <w:tr w:rsidR="00C04BFF" w:rsidRPr="00483719" w14:paraId="0072BD6F" w14:textId="77777777" w:rsidTr="00D8670B">
        <w:trPr>
          <w:trHeight w:val="300"/>
          <w:jc w:val="center"/>
        </w:trPr>
        <w:tc>
          <w:tcPr>
            <w:tcW w:w="1134" w:type="dxa"/>
            <w:shd w:val="clear" w:color="auto" w:fill="C6EFCE"/>
            <w:noWrap/>
            <w:hideMark/>
          </w:tcPr>
          <w:p w14:paraId="2E2769E3"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23</w:t>
            </w:r>
          </w:p>
        </w:tc>
        <w:tc>
          <w:tcPr>
            <w:tcW w:w="1418" w:type="dxa"/>
            <w:shd w:val="clear" w:color="auto" w:fill="C6EFCE"/>
            <w:noWrap/>
            <w:hideMark/>
          </w:tcPr>
          <w:p w14:paraId="3915EAC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C2.1R4</w:t>
            </w:r>
          </w:p>
          <w:p w14:paraId="18DDA34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Energy Storage Regulatory Framework</w:t>
            </w:r>
          </w:p>
        </w:tc>
        <w:tc>
          <w:tcPr>
            <w:tcW w:w="1134" w:type="dxa"/>
            <w:shd w:val="clear" w:color="auto" w:fill="C6EFCE"/>
            <w:noWrap/>
            <w:hideMark/>
          </w:tcPr>
          <w:p w14:paraId="09CE78DF"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50FFC9D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Amendment of the Transmission and Distribution Rules (TDRs) and Trading and Settlement Rules (TSRs) </w:t>
            </w:r>
          </w:p>
        </w:tc>
        <w:tc>
          <w:tcPr>
            <w:tcW w:w="1418" w:type="dxa"/>
            <w:shd w:val="clear" w:color="auto" w:fill="C6EFCE"/>
            <w:noWrap/>
            <w:hideMark/>
          </w:tcPr>
          <w:p w14:paraId="7FEE49B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Publication on the website of the Cyprus Energy Regulatory Authority of Amendment of the Transmission and Distribution Rules (TDRs) and the Trading and Settlement Rules (TSRs)</w:t>
            </w:r>
          </w:p>
        </w:tc>
        <w:tc>
          <w:tcPr>
            <w:tcW w:w="1281" w:type="dxa"/>
            <w:shd w:val="clear" w:color="auto" w:fill="C6EFCE"/>
            <w:noWrap/>
            <w:hideMark/>
          </w:tcPr>
          <w:p w14:paraId="738ED5CE"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49AD486E"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hideMark/>
          </w:tcPr>
          <w:p w14:paraId="17C082E6"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4F6A6A5A"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hideMark/>
          </w:tcPr>
          <w:p w14:paraId="407ECC65"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2021</w:t>
            </w:r>
          </w:p>
        </w:tc>
        <w:tc>
          <w:tcPr>
            <w:tcW w:w="3315" w:type="dxa"/>
            <w:shd w:val="clear" w:color="auto" w:fill="C6EFCE"/>
            <w:noWrap/>
            <w:hideMark/>
          </w:tcPr>
          <w:p w14:paraId="5B742664"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xml:space="preserve">Entry into force of an amendment to the Transmission and Distribution Rules (TDRs) and Trading and Settlement Rules (TSRs) which shall provide the necessary regulatory framework (market rules) and technical modalities that shall allow storage facilities to: - participate in the wholesale electricity market, </w:t>
            </w:r>
          </w:p>
          <w:p w14:paraId="11F1B328"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promote the development of an economically viable, efficient, safe, and consumer-oriented electricity market that prioritises the generation of electricity from renewable energy systems.</w:t>
            </w:r>
          </w:p>
        </w:tc>
      </w:tr>
      <w:tr w:rsidR="00C04BFF" w:rsidRPr="00483719" w14:paraId="11804112" w14:textId="77777777" w:rsidTr="00D8670B">
        <w:trPr>
          <w:trHeight w:val="300"/>
          <w:jc w:val="center"/>
        </w:trPr>
        <w:tc>
          <w:tcPr>
            <w:tcW w:w="1134" w:type="dxa"/>
            <w:shd w:val="clear" w:color="auto" w:fill="C6EFCE"/>
            <w:noWrap/>
          </w:tcPr>
          <w:p w14:paraId="4CD9EBC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24</w:t>
            </w:r>
          </w:p>
        </w:tc>
        <w:tc>
          <w:tcPr>
            <w:tcW w:w="1418" w:type="dxa"/>
            <w:shd w:val="clear" w:color="auto" w:fill="C6EFCE"/>
            <w:noWrap/>
          </w:tcPr>
          <w:p w14:paraId="5F36B0F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C2.1I1</w:t>
            </w:r>
          </w:p>
          <w:p w14:paraId="5030F01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Promoting energy efficiency investments in SMEs and non-profit organisations</w:t>
            </w:r>
          </w:p>
        </w:tc>
        <w:tc>
          <w:tcPr>
            <w:tcW w:w="1134" w:type="dxa"/>
            <w:shd w:val="clear" w:color="auto" w:fill="C6EFCE"/>
            <w:noWrap/>
          </w:tcPr>
          <w:p w14:paraId="00769652"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tcPr>
          <w:p w14:paraId="6071689B"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Support scheme for Promoting energy efficiency investments in SMEs, municipalities, communities, and the wider public sector</w:t>
            </w:r>
          </w:p>
        </w:tc>
        <w:tc>
          <w:tcPr>
            <w:tcW w:w="1418" w:type="dxa"/>
            <w:shd w:val="clear" w:color="auto" w:fill="C6EFCE"/>
            <w:noWrap/>
          </w:tcPr>
          <w:p w14:paraId="79C6F193"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Publication of call for proposals for the support scheme for Promoting energy efficiency investments in SMEs, municipalities, communities, and the wider public sector</w:t>
            </w:r>
          </w:p>
        </w:tc>
        <w:tc>
          <w:tcPr>
            <w:tcW w:w="1281" w:type="dxa"/>
            <w:shd w:val="clear" w:color="auto" w:fill="C6EFCE"/>
            <w:noWrap/>
          </w:tcPr>
          <w:p w14:paraId="602E95F4"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763B8DB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tcPr>
          <w:p w14:paraId="65B8FB7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0494482C"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tcPr>
          <w:p w14:paraId="47A17316"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2021</w:t>
            </w:r>
          </w:p>
        </w:tc>
        <w:tc>
          <w:tcPr>
            <w:tcW w:w="3315" w:type="dxa"/>
            <w:shd w:val="clear" w:color="auto" w:fill="C6EFCE"/>
            <w:noWrap/>
          </w:tcPr>
          <w:p w14:paraId="17C8E830"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Issue call for proposals for the support scheme for promoting energy efficiency investments in SMEs, municipalities, communities, and the wider public sector, following verification of state aid regulation to be applied by Commissioner for State Aid Control and Council of Ministers’ decision approving the scheme’s objectives. The investment shall aim at achieving on average at least a 30% primary energy demand reduction.</w:t>
            </w:r>
          </w:p>
        </w:tc>
      </w:tr>
      <w:tr w:rsidR="00C04BFF" w:rsidRPr="00483719" w14:paraId="095C1242" w14:textId="77777777" w:rsidTr="00D8670B">
        <w:trPr>
          <w:trHeight w:val="300"/>
          <w:jc w:val="center"/>
        </w:trPr>
        <w:tc>
          <w:tcPr>
            <w:tcW w:w="1134" w:type="dxa"/>
            <w:shd w:val="clear" w:color="auto" w:fill="C6EFCE"/>
            <w:noWrap/>
            <w:hideMark/>
          </w:tcPr>
          <w:p w14:paraId="004D1BE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26</w:t>
            </w:r>
          </w:p>
        </w:tc>
        <w:tc>
          <w:tcPr>
            <w:tcW w:w="1418" w:type="dxa"/>
            <w:shd w:val="clear" w:color="auto" w:fill="C6EFCE"/>
            <w:noWrap/>
            <w:hideMark/>
          </w:tcPr>
          <w:p w14:paraId="2933D73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C2.1I1</w:t>
            </w:r>
          </w:p>
          <w:p w14:paraId="44D332B7"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Energy saving investments in SMEs, and non-profit organisations</w:t>
            </w:r>
          </w:p>
        </w:tc>
        <w:tc>
          <w:tcPr>
            <w:tcW w:w="1134" w:type="dxa"/>
            <w:shd w:val="clear" w:color="auto" w:fill="C6EFCE"/>
            <w:noWrap/>
            <w:hideMark/>
          </w:tcPr>
          <w:p w14:paraId="754D7C6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hideMark/>
          </w:tcPr>
          <w:p w14:paraId="5D04DFBA" w14:textId="0557A7EA" w:rsidR="00C04BFF" w:rsidRPr="00483719" w:rsidRDefault="00C04BFF" w:rsidP="00E53B92">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Energy saving projects in buildings</w:t>
            </w:r>
          </w:p>
        </w:tc>
        <w:tc>
          <w:tcPr>
            <w:tcW w:w="1418" w:type="dxa"/>
            <w:shd w:val="clear" w:color="auto" w:fill="C6EFCE"/>
            <w:noWrap/>
            <w:hideMark/>
          </w:tcPr>
          <w:p w14:paraId="1F07CDB8"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 </w:t>
            </w:r>
          </w:p>
        </w:tc>
        <w:tc>
          <w:tcPr>
            <w:tcW w:w="1281" w:type="dxa"/>
            <w:shd w:val="clear" w:color="auto" w:fill="C6EFCE"/>
            <w:noWrap/>
            <w:hideMark/>
          </w:tcPr>
          <w:p w14:paraId="096BDBF2"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Number</w:t>
            </w:r>
          </w:p>
        </w:tc>
        <w:tc>
          <w:tcPr>
            <w:tcW w:w="992" w:type="dxa"/>
            <w:shd w:val="clear" w:color="auto" w:fill="C6EFCE"/>
            <w:noWrap/>
            <w:hideMark/>
          </w:tcPr>
          <w:p w14:paraId="09E18D10"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0</w:t>
            </w:r>
          </w:p>
        </w:tc>
        <w:tc>
          <w:tcPr>
            <w:tcW w:w="1276" w:type="dxa"/>
            <w:shd w:val="clear" w:color="auto" w:fill="C6EFCE"/>
            <w:noWrap/>
            <w:hideMark/>
          </w:tcPr>
          <w:p w14:paraId="2CED507E"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275</w:t>
            </w:r>
          </w:p>
        </w:tc>
        <w:tc>
          <w:tcPr>
            <w:tcW w:w="992" w:type="dxa"/>
            <w:shd w:val="clear" w:color="auto" w:fill="C6EFCE"/>
            <w:noWrap/>
            <w:hideMark/>
          </w:tcPr>
          <w:p w14:paraId="2735B5A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hideMark/>
          </w:tcPr>
          <w:p w14:paraId="5286DD9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2025</w:t>
            </w:r>
          </w:p>
        </w:tc>
        <w:tc>
          <w:tcPr>
            <w:tcW w:w="3315" w:type="dxa"/>
            <w:shd w:val="clear" w:color="auto" w:fill="C6EFCE"/>
            <w:noWrap/>
            <w:hideMark/>
          </w:tcPr>
          <w:p w14:paraId="1AF0222F" w14:textId="117F7676"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eastAsia="Times New Roman" w:hAnsi="Times New Roman" w:cs="Times New Roman"/>
                <w:noProof/>
                <w:sz w:val="18"/>
                <w:szCs w:val="18"/>
              </w:rPr>
              <w:t>Energy Performance Certificates</w:t>
            </w:r>
            <w:r w:rsidRPr="00483719">
              <w:rPr>
                <w:rFonts w:ascii="Times New Roman" w:hAnsi="Times New Roman" w:cs="Times New Roman"/>
                <w:noProof/>
                <w:sz w:val="18"/>
                <w:szCs w:val="18"/>
              </w:rPr>
              <w:t xml:space="preserve"> or </w:t>
            </w:r>
            <w:r w:rsidRPr="00483719">
              <w:rPr>
                <w:rFonts w:ascii="Times New Roman" w:eastAsia="Times New Roman" w:hAnsi="Times New Roman" w:cs="Times New Roman"/>
                <w:noProof/>
                <w:sz w:val="18"/>
                <w:szCs w:val="18"/>
              </w:rPr>
              <w:t xml:space="preserve">declarations from a qualified expert or </w:t>
            </w:r>
            <w:r w:rsidRPr="00483719">
              <w:rPr>
                <w:rFonts w:ascii="Times New Roman" w:hAnsi="Times New Roman" w:cs="Times New Roman"/>
                <w:noProof/>
                <w:sz w:val="18"/>
                <w:szCs w:val="18"/>
              </w:rPr>
              <w:t xml:space="preserve">energy </w:t>
            </w:r>
            <w:r w:rsidRPr="00483719">
              <w:rPr>
                <w:rFonts w:ascii="Times New Roman" w:eastAsia="Times New Roman" w:hAnsi="Times New Roman" w:cs="Times New Roman"/>
                <w:noProof/>
                <w:sz w:val="18"/>
                <w:szCs w:val="18"/>
              </w:rPr>
              <w:t xml:space="preserve">auditor </w:t>
            </w:r>
            <w:r w:rsidRPr="00483719">
              <w:rPr>
                <w:rFonts w:ascii="Times New Roman" w:hAnsi="Times New Roman" w:cs="Times New Roman"/>
                <w:noProof/>
                <w:sz w:val="18"/>
                <w:szCs w:val="18"/>
              </w:rPr>
              <w:t>on</w:t>
            </w:r>
            <w:r w:rsidRPr="00483719">
              <w:rPr>
                <w:rFonts w:ascii="Times New Roman" w:eastAsia="Times New Roman" w:hAnsi="Times New Roman" w:cs="Times New Roman"/>
                <w:noProof/>
                <w:sz w:val="18"/>
                <w:szCs w:val="18"/>
              </w:rPr>
              <w:t xml:space="preserve"> achieved </w:t>
            </w:r>
            <w:r w:rsidRPr="00483719">
              <w:rPr>
                <w:rFonts w:ascii="Times New Roman" w:hAnsi="Times New Roman" w:cs="Times New Roman"/>
                <w:noProof/>
                <w:sz w:val="18"/>
                <w:szCs w:val="18"/>
              </w:rPr>
              <w:t xml:space="preserve">energy </w:t>
            </w:r>
            <w:r w:rsidRPr="00483719">
              <w:rPr>
                <w:rFonts w:ascii="Times New Roman" w:eastAsia="Times New Roman" w:hAnsi="Times New Roman" w:cs="Times New Roman"/>
                <w:noProof/>
                <w:sz w:val="18"/>
                <w:szCs w:val="18"/>
              </w:rPr>
              <w:t xml:space="preserve">savings issued for 275 </w:t>
            </w:r>
            <w:r w:rsidRPr="00483719">
              <w:rPr>
                <w:rFonts w:ascii="Times New Roman" w:hAnsi="Times New Roman" w:cs="Times New Roman"/>
                <w:noProof/>
                <w:sz w:val="18"/>
                <w:szCs w:val="18"/>
              </w:rPr>
              <w:t xml:space="preserve">energy </w:t>
            </w:r>
            <w:r w:rsidRPr="00483719">
              <w:rPr>
                <w:rFonts w:ascii="Times New Roman" w:eastAsia="Times New Roman" w:hAnsi="Times New Roman" w:cs="Times New Roman"/>
                <w:noProof/>
                <w:sz w:val="18"/>
                <w:szCs w:val="18"/>
              </w:rPr>
              <w:t>saving projects</w:t>
            </w:r>
            <w:r w:rsidRPr="00483719">
              <w:rPr>
                <w:rFonts w:ascii="Times New Roman" w:hAnsi="Times New Roman" w:cs="Times New Roman"/>
                <w:noProof/>
                <w:sz w:val="18"/>
                <w:szCs w:val="18"/>
              </w:rPr>
              <w:t xml:space="preserve">. </w:t>
            </w:r>
          </w:p>
        </w:tc>
      </w:tr>
      <w:tr w:rsidR="00C04BFF" w:rsidRPr="00483719" w14:paraId="66D8BAF6" w14:textId="77777777" w:rsidTr="00D8670B">
        <w:trPr>
          <w:trHeight w:val="300"/>
          <w:jc w:val="center"/>
        </w:trPr>
        <w:tc>
          <w:tcPr>
            <w:tcW w:w="1134" w:type="dxa"/>
            <w:shd w:val="clear" w:color="auto" w:fill="C6EFCE"/>
            <w:noWrap/>
            <w:hideMark/>
          </w:tcPr>
          <w:p w14:paraId="2C3535C2"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27</w:t>
            </w:r>
          </w:p>
        </w:tc>
        <w:tc>
          <w:tcPr>
            <w:tcW w:w="1418" w:type="dxa"/>
            <w:shd w:val="clear" w:color="auto" w:fill="C6EFCE"/>
            <w:noWrap/>
            <w:hideMark/>
          </w:tcPr>
          <w:p w14:paraId="105C2DC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C2.1I2</w:t>
            </w:r>
          </w:p>
          <w:p w14:paraId="3B548D53"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Promoting renewables and individual energy efficiency measures in dwellings and tackling energy poverty in households with vulnerable electricity consumers </w:t>
            </w:r>
          </w:p>
        </w:tc>
        <w:tc>
          <w:tcPr>
            <w:tcW w:w="1134" w:type="dxa"/>
            <w:shd w:val="clear" w:color="auto" w:fill="C6EFCE"/>
            <w:noWrap/>
            <w:hideMark/>
          </w:tcPr>
          <w:p w14:paraId="35BE69D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64EE476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First call for proposals for Promoting renewables and individual energy efficiency measures in dwellings </w:t>
            </w:r>
          </w:p>
        </w:tc>
        <w:tc>
          <w:tcPr>
            <w:tcW w:w="1418" w:type="dxa"/>
            <w:shd w:val="clear" w:color="auto" w:fill="C6EFCE"/>
            <w:noWrap/>
            <w:hideMark/>
          </w:tcPr>
          <w:p w14:paraId="2435F10B"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First call for proposals published</w:t>
            </w:r>
          </w:p>
        </w:tc>
        <w:tc>
          <w:tcPr>
            <w:tcW w:w="1281" w:type="dxa"/>
            <w:shd w:val="clear" w:color="auto" w:fill="C6EFCE"/>
            <w:noWrap/>
            <w:hideMark/>
          </w:tcPr>
          <w:p w14:paraId="446CF66E" w14:textId="604E965E"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2336C616" w14:textId="41EB8298"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hideMark/>
          </w:tcPr>
          <w:p w14:paraId="0759F198" w14:textId="02FDD105"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2095FF28"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Q2</w:t>
            </w:r>
          </w:p>
        </w:tc>
        <w:tc>
          <w:tcPr>
            <w:tcW w:w="709" w:type="dxa"/>
            <w:shd w:val="clear" w:color="auto" w:fill="C6EFCE"/>
            <w:noWrap/>
            <w:hideMark/>
          </w:tcPr>
          <w:p w14:paraId="356A5814"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2021</w:t>
            </w:r>
          </w:p>
        </w:tc>
        <w:tc>
          <w:tcPr>
            <w:tcW w:w="3315" w:type="dxa"/>
            <w:shd w:val="clear" w:color="auto" w:fill="C6EFCE"/>
            <w:noWrap/>
            <w:hideMark/>
          </w:tcPr>
          <w:p w14:paraId="4BC1DA18"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xml:space="preserve">The first call for proposals for promoting renewables and individual energy efficiency measures in dwellings has been published on the RES and Energy Conservation Fund website. The investment shall aim at </w:t>
            </w:r>
            <w:r w:rsidRPr="00483719" w:rsidDel="00BB337E">
              <w:rPr>
                <w:rFonts w:ascii="Times New Roman" w:hAnsi="Times New Roman" w:cs="Times New Roman"/>
                <w:noProof/>
                <w:sz w:val="18"/>
                <w:szCs w:val="18"/>
              </w:rPr>
              <w:t xml:space="preserve">achieving on average at least a 30% </w:t>
            </w:r>
            <w:r w:rsidRPr="00483719">
              <w:rPr>
                <w:rFonts w:ascii="Times New Roman" w:hAnsi="Times New Roman" w:cs="Times New Roman"/>
                <w:noProof/>
                <w:sz w:val="18"/>
                <w:szCs w:val="18"/>
              </w:rPr>
              <w:t>primary energy demand</w:t>
            </w:r>
            <w:r w:rsidRPr="00483719" w:rsidDel="00BB337E">
              <w:rPr>
                <w:rFonts w:ascii="Times New Roman" w:hAnsi="Times New Roman" w:cs="Times New Roman"/>
                <w:noProof/>
                <w:sz w:val="18"/>
                <w:szCs w:val="18"/>
              </w:rPr>
              <w:t xml:space="preserve"> reduction</w:t>
            </w:r>
            <w:r w:rsidRPr="00483719">
              <w:rPr>
                <w:rFonts w:ascii="Times New Roman" w:hAnsi="Times New Roman" w:cs="Times New Roman"/>
                <w:noProof/>
                <w:sz w:val="18"/>
                <w:szCs w:val="18"/>
              </w:rPr>
              <w:t>.</w:t>
            </w:r>
          </w:p>
        </w:tc>
      </w:tr>
      <w:tr w:rsidR="00C04BFF" w:rsidRPr="00483719" w14:paraId="38214626" w14:textId="77777777" w:rsidTr="00D8670B">
        <w:trPr>
          <w:trHeight w:val="300"/>
          <w:jc w:val="center"/>
        </w:trPr>
        <w:tc>
          <w:tcPr>
            <w:tcW w:w="1134" w:type="dxa"/>
            <w:shd w:val="clear" w:color="auto" w:fill="C6EFCE"/>
            <w:noWrap/>
            <w:hideMark/>
          </w:tcPr>
          <w:p w14:paraId="23894CF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28a</w:t>
            </w:r>
          </w:p>
        </w:tc>
        <w:tc>
          <w:tcPr>
            <w:tcW w:w="1418" w:type="dxa"/>
            <w:shd w:val="clear" w:color="auto" w:fill="C6EFCE"/>
            <w:noWrap/>
            <w:hideMark/>
          </w:tcPr>
          <w:p w14:paraId="655A017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C2.1I2</w:t>
            </w:r>
          </w:p>
          <w:p w14:paraId="48F6D70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Promoting renewables and individual energy efficiency measures in dwellings and tackling energy poverty in households with vulnerable electricity consumers </w:t>
            </w:r>
          </w:p>
        </w:tc>
        <w:tc>
          <w:tcPr>
            <w:tcW w:w="1134" w:type="dxa"/>
            <w:shd w:val="clear" w:color="auto" w:fill="C6EFCE"/>
            <w:noWrap/>
            <w:hideMark/>
          </w:tcPr>
          <w:p w14:paraId="40A3BBC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hideMark/>
          </w:tcPr>
          <w:p w14:paraId="6467766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Dwellings and households with vulnerable electricity consumers (including people with disabilities) having improved their energy performance </w:t>
            </w:r>
          </w:p>
        </w:tc>
        <w:tc>
          <w:tcPr>
            <w:tcW w:w="1418" w:type="dxa"/>
            <w:shd w:val="clear" w:color="auto" w:fill="C6EFCE"/>
            <w:noWrap/>
            <w:hideMark/>
          </w:tcPr>
          <w:p w14:paraId="7036B86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 -</w:t>
            </w:r>
          </w:p>
        </w:tc>
        <w:tc>
          <w:tcPr>
            <w:tcW w:w="1281" w:type="dxa"/>
            <w:shd w:val="clear" w:color="auto" w:fill="C6EFCE"/>
            <w:noWrap/>
            <w:hideMark/>
          </w:tcPr>
          <w:p w14:paraId="7E4CC624"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Number</w:t>
            </w:r>
          </w:p>
        </w:tc>
        <w:tc>
          <w:tcPr>
            <w:tcW w:w="992" w:type="dxa"/>
            <w:shd w:val="clear" w:color="auto" w:fill="C6EFCE"/>
            <w:noWrap/>
            <w:hideMark/>
          </w:tcPr>
          <w:p w14:paraId="625A4FFB"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0</w:t>
            </w:r>
          </w:p>
        </w:tc>
        <w:tc>
          <w:tcPr>
            <w:tcW w:w="1276" w:type="dxa"/>
            <w:shd w:val="clear" w:color="auto" w:fill="C6EFCE"/>
            <w:noWrap/>
            <w:hideMark/>
          </w:tcPr>
          <w:p w14:paraId="3DBB4898"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16 200</w:t>
            </w:r>
          </w:p>
        </w:tc>
        <w:tc>
          <w:tcPr>
            <w:tcW w:w="992" w:type="dxa"/>
            <w:shd w:val="clear" w:color="auto" w:fill="C6EFCE"/>
            <w:noWrap/>
            <w:hideMark/>
          </w:tcPr>
          <w:p w14:paraId="54DCC516"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hideMark/>
          </w:tcPr>
          <w:p w14:paraId="3481BCFA"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2023</w:t>
            </w:r>
          </w:p>
        </w:tc>
        <w:tc>
          <w:tcPr>
            <w:tcW w:w="3315" w:type="dxa"/>
            <w:shd w:val="clear" w:color="auto" w:fill="C6EFCE"/>
            <w:noWrap/>
            <w:hideMark/>
          </w:tcPr>
          <w:p w14:paraId="703B9072"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xml:space="preserve">At least 16 200 dwellings, including 1 600 households with vulnerable electricity consumers (including people with disabilities), have improved their energy performance due to the financial support provided, with an objective to </w:t>
            </w:r>
            <w:r w:rsidRPr="00483719" w:rsidDel="00C74666">
              <w:rPr>
                <w:rFonts w:ascii="Times New Roman" w:hAnsi="Times New Roman" w:cs="Times New Roman"/>
                <w:noProof/>
                <w:sz w:val="18"/>
                <w:szCs w:val="18"/>
              </w:rPr>
              <w:t xml:space="preserve">achieve on average at least a 30% </w:t>
            </w:r>
            <w:r w:rsidRPr="00483719">
              <w:rPr>
                <w:rFonts w:ascii="Times New Roman" w:hAnsi="Times New Roman" w:cs="Times New Roman"/>
                <w:noProof/>
                <w:sz w:val="18"/>
                <w:szCs w:val="18"/>
              </w:rPr>
              <w:t>primary energy demand</w:t>
            </w:r>
            <w:r w:rsidRPr="00483719" w:rsidDel="00C74666">
              <w:rPr>
                <w:rFonts w:ascii="Times New Roman" w:hAnsi="Times New Roman" w:cs="Times New Roman"/>
                <w:noProof/>
                <w:sz w:val="18"/>
                <w:szCs w:val="18"/>
              </w:rPr>
              <w:t xml:space="preserve"> reduction</w:t>
            </w:r>
            <w:r w:rsidRPr="00483719">
              <w:rPr>
                <w:rFonts w:ascii="Times New Roman" w:hAnsi="Times New Roman" w:cs="Times New Roman"/>
                <w:noProof/>
                <w:sz w:val="18"/>
                <w:szCs w:val="18"/>
              </w:rPr>
              <w:t>.</w:t>
            </w:r>
          </w:p>
        </w:tc>
      </w:tr>
      <w:tr w:rsidR="00C04BFF" w:rsidRPr="00483719" w14:paraId="06B75E2A" w14:textId="77777777" w:rsidTr="00D8670B">
        <w:trPr>
          <w:trHeight w:val="300"/>
          <w:jc w:val="center"/>
        </w:trPr>
        <w:tc>
          <w:tcPr>
            <w:tcW w:w="1134" w:type="dxa"/>
            <w:shd w:val="clear" w:color="auto" w:fill="C6EFCE"/>
            <w:noWrap/>
          </w:tcPr>
          <w:p w14:paraId="6F8CE676" w14:textId="77777777" w:rsidR="00C04BFF" w:rsidRPr="00483719" w:rsidRDefault="00C04BFF" w:rsidP="00D8670B">
            <w:pPr>
              <w:spacing w:line="240" w:lineRule="auto"/>
              <w:rPr>
                <w:rFonts w:ascii="Times New Roman" w:hAnsi="Times New Roman" w:cs="Times New Roman"/>
                <w:noProof/>
                <w:sz w:val="18"/>
                <w:szCs w:val="18"/>
              </w:rPr>
            </w:pPr>
            <w:r w:rsidRPr="00483719">
              <w:rPr>
                <w:rFonts w:ascii="Times New Roman" w:hAnsi="Times New Roman" w:cs="Times New Roman"/>
                <w:noProof/>
                <w:sz w:val="18"/>
                <w:szCs w:val="18"/>
              </w:rPr>
              <w:t>28b</w:t>
            </w:r>
          </w:p>
        </w:tc>
        <w:tc>
          <w:tcPr>
            <w:tcW w:w="1418" w:type="dxa"/>
            <w:shd w:val="clear" w:color="auto" w:fill="C6EFCE"/>
            <w:noWrap/>
          </w:tcPr>
          <w:p w14:paraId="0B7221B9"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C2.1I2</w:t>
            </w:r>
          </w:p>
          <w:p w14:paraId="34847C91" w14:textId="77777777" w:rsidR="00C04BFF" w:rsidRPr="00483719" w:rsidRDefault="00C04BFF" w:rsidP="00D8670B">
            <w:pPr>
              <w:spacing w:line="240" w:lineRule="auto"/>
              <w:rPr>
                <w:rFonts w:ascii="Times New Roman" w:hAnsi="Times New Roman" w:cs="Times New Roman"/>
                <w:noProof/>
                <w:sz w:val="18"/>
                <w:szCs w:val="18"/>
              </w:rPr>
            </w:pPr>
            <w:r w:rsidRPr="00483719">
              <w:rPr>
                <w:rFonts w:ascii="Times New Roman" w:hAnsi="Times New Roman" w:cs="Times New Roman"/>
                <w:noProof/>
                <w:sz w:val="18"/>
                <w:szCs w:val="18"/>
              </w:rPr>
              <w:t>Renewables and individual energy efficiency measures in dwellings and tackling energy poverty in households with vulnerable electricity consumers</w:t>
            </w:r>
          </w:p>
        </w:tc>
        <w:tc>
          <w:tcPr>
            <w:tcW w:w="1134" w:type="dxa"/>
            <w:shd w:val="clear" w:color="auto" w:fill="C6EFCE"/>
            <w:noWrap/>
          </w:tcPr>
          <w:p w14:paraId="59AB8FA8" w14:textId="77777777" w:rsidR="00C04BFF" w:rsidRPr="00483719" w:rsidRDefault="00C04BFF" w:rsidP="00D8670B">
            <w:pPr>
              <w:spacing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tcPr>
          <w:p w14:paraId="25B2F6BA" w14:textId="77777777" w:rsidR="00C04BFF" w:rsidRPr="00483719" w:rsidRDefault="00C04BFF" w:rsidP="00D8670B">
            <w:pPr>
              <w:spacing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Energy efficiency measures in dwellings </w:t>
            </w:r>
          </w:p>
        </w:tc>
        <w:tc>
          <w:tcPr>
            <w:tcW w:w="1418" w:type="dxa"/>
            <w:shd w:val="clear" w:color="auto" w:fill="C6EFCE"/>
            <w:noWrap/>
          </w:tcPr>
          <w:p w14:paraId="5DAFF71D" w14:textId="77777777" w:rsidR="00C04BFF" w:rsidRPr="00483719" w:rsidRDefault="00C04BFF" w:rsidP="00D8670B">
            <w:pPr>
              <w:spacing w:line="240" w:lineRule="auto"/>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81" w:type="dxa"/>
            <w:shd w:val="clear" w:color="auto" w:fill="C6EFCE"/>
            <w:noWrap/>
          </w:tcPr>
          <w:p w14:paraId="42A8008E" w14:textId="77777777" w:rsidR="00C04BFF" w:rsidRPr="00483719" w:rsidRDefault="00C04BFF" w:rsidP="00FC4C5E">
            <w:pPr>
              <w:spacing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Number</w:t>
            </w:r>
          </w:p>
        </w:tc>
        <w:tc>
          <w:tcPr>
            <w:tcW w:w="992" w:type="dxa"/>
            <w:shd w:val="clear" w:color="auto" w:fill="C6EFCE"/>
            <w:noWrap/>
          </w:tcPr>
          <w:p w14:paraId="422A2C71" w14:textId="77777777" w:rsidR="00C04BFF" w:rsidRPr="00483719" w:rsidRDefault="00C04BFF" w:rsidP="00FC4C5E">
            <w:pPr>
              <w:spacing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16 200</w:t>
            </w:r>
          </w:p>
        </w:tc>
        <w:tc>
          <w:tcPr>
            <w:tcW w:w="1276" w:type="dxa"/>
            <w:shd w:val="clear" w:color="auto" w:fill="C6EFCE"/>
            <w:noWrap/>
          </w:tcPr>
          <w:p w14:paraId="66F7B142" w14:textId="3EAA0AA5" w:rsidR="00C04BFF" w:rsidRPr="00483719" w:rsidRDefault="00C04BFF" w:rsidP="00FC4C5E">
            <w:pPr>
              <w:spacing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w:t>
            </w:r>
            <w:r w:rsidR="005F7739" w:rsidRPr="00483719">
              <w:rPr>
                <w:rFonts w:ascii="Times New Roman" w:hAnsi="Times New Roman" w:cs="Times New Roman"/>
                <w:noProof/>
                <w:sz w:val="18"/>
                <w:szCs w:val="18"/>
              </w:rPr>
              <w:t>9</w:t>
            </w:r>
            <w:r w:rsidR="00547ADA">
              <w:rPr>
                <w:rFonts w:ascii="Times New Roman" w:hAnsi="Times New Roman" w:cs="Times New Roman"/>
                <w:noProof/>
                <w:sz w:val="18"/>
                <w:szCs w:val="18"/>
              </w:rPr>
              <w:t> </w:t>
            </w:r>
            <w:r w:rsidR="005F7739" w:rsidRPr="00483719">
              <w:rPr>
                <w:rFonts w:ascii="Times New Roman" w:hAnsi="Times New Roman" w:cs="Times New Roman"/>
                <w:noProof/>
                <w:sz w:val="18"/>
                <w:szCs w:val="18"/>
              </w:rPr>
              <w:t>30</w:t>
            </w:r>
            <w:r w:rsidRPr="00483719">
              <w:rPr>
                <w:rFonts w:ascii="Times New Roman" w:hAnsi="Times New Roman" w:cs="Times New Roman"/>
                <w:noProof/>
                <w:sz w:val="18"/>
                <w:szCs w:val="18"/>
              </w:rPr>
              <w:t>0</w:t>
            </w:r>
          </w:p>
        </w:tc>
        <w:tc>
          <w:tcPr>
            <w:tcW w:w="992" w:type="dxa"/>
            <w:shd w:val="clear" w:color="auto" w:fill="C6EFCE"/>
            <w:noWrap/>
          </w:tcPr>
          <w:p w14:paraId="47581262" w14:textId="77777777" w:rsidR="00C04BFF" w:rsidRPr="00483719" w:rsidRDefault="00C04BFF" w:rsidP="00FC4C5E">
            <w:pPr>
              <w:spacing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Q2</w:t>
            </w:r>
          </w:p>
        </w:tc>
        <w:tc>
          <w:tcPr>
            <w:tcW w:w="709" w:type="dxa"/>
            <w:shd w:val="clear" w:color="auto" w:fill="C6EFCE"/>
            <w:noWrap/>
          </w:tcPr>
          <w:p w14:paraId="18C6188A" w14:textId="77777777" w:rsidR="00C04BFF" w:rsidRPr="00483719" w:rsidRDefault="00C04BFF" w:rsidP="00FC4C5E">
            <w:pPr>
              <w:spacing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2026</w:t>
            </w:r>
          </w:p>
        </w:tc>
        <w:tc>
          <w:tcPr>
            <w:tcW w:w="3315" w:type="dxa"/>
            <w:shd w:val="clear" w:color="auto" w:fill="C6EFCE"/>
            <w:noWrap/>
          </w:tcPr>
          <w:p w14:paraId="02A81EEF" w14:textId="6B0B0847" w:rsidR="00C04BFF" w:rsidRPr="00483719" w:rsidRDefault="00C04BFF" w:rsidP="00FC4C5E">
            <w:pPr>
              <w:spacing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Reducing primary energy demand on average by at least 30% in 2</w:t>
            </w:r>
            <w:r w:rsidR="005F7739" w:rsidRPr="00483719">
              <w:rPr>
                <w:rFonts w:ascii="Times New Roman" w:hAnsi="Times New Roman" w:cs="Times New Roman"/>
                <w:noProof/>
                <w:sz w:val="18"/>
                <w:szCs w:val="18"/>
              </w:rPr>
              <w:t>9</w:t>
            </w:r>
            <w:r w:rsidR="00483719" w:rsidRPr="00483719">
              <w:rPr>
                <w:rFonts w:ascii="Times New Roman" w:hAnsi="Times New Roman" w:cs="Times New Roman"/>
                <w:noProof/>
                <w:sz w:val="18"/>
                <w:szCs w:val="18"/>
              </w:rPr>
              <w:t> </w:t>
            </w:r>
            <w:r w:rsidR="005F7739" w:rsidRPr="00483719">
              <w:rPr>
                <w:rFonts w:ascii="Times New Roman" w:hAnsi="Times New Roman" w:cs="Times New Roman"/>
                <w:noProof/>
                <w:sz w:val="18"/>
                <w:szCs w:val="18"/>
              </w:rPr>
              <w:t>30</w:t>
            </w:r>
            <w:r w:rsidRPr="00483719">
              <w:rPr>
                <w:rFonts w:ascii="Times New Roman" w:hAnsi="Times New Roman" w:cs="Times New Roman"/>
                <w:noProof/>
                <w:sz w:val="18"/>
                <w:szCs w:val="18"/>
              </w:rPr>
              <w:t>0 dwellings.</w:t>
            </w:r>
          </w:p>
        </w:tc>
      </w:tr>
      <w:tr w:rsidR="00C04BFF" w:rsidRPr="00483719" w14:paraId="149031D6" w14:textId="77777777" w:rsidTr="00D8670B">
        <w:trPr>
          <w:trHeight w:val="300"/>
          <w:jc w:val="center"/>
        </w:trPr>
        <w:tc>
          <w:tcPr>
            <w:tcW w:w="1134" w:type="dxa"/>
            <w:shd w:val="clear" w:color="auto" w:fill="C6EFCE"/>
            <w:noWrap/>
          </w:tcPr>
          <w:p w14:paraId="43A43299"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30</w:t>
            </w:r>
          </w:p>
        </w:tc>
        <w:tc>
          <w:tcPr>
            <w:tcW w:w="1418" w:type="dxa"/>
            <w:shd w:val="clear" w:color="auto" w:fill="C6EFCE"/>
            <w:noWrap/>
          </w:tcPr>
          <w:p w14:paraId="0D35F10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C2.1I3</w:t>
            </w:r>
          </w:p>
          <w:p w14:paraId="696CD28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Encouraging the use of renewables and energy savings by local/wider public authorities and facilitating the transition of local communities towards climate mitigation &amp; adaptation</w:t>
            </w:r>
          </w:p>
        </w:tc>
        <w:tc>
          <w:tcPr>
            <w:tcW w:w="1134" w:type="dxa"/>
            <w:shd w:val="clear" w:color="auto" w:fill="C6EFCE"/>
            <w:noWrap/>
          </w:tcPr>
          <w:p w14:paraId="0ED5E408"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tcPr>
          <w:p w14:paraId="3E99CFF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First call for proposals to support local authorities in energy efficiency measures </w:t>
            </w:r>
          </w:p>
        </w:tc>
        <w:tc>
          <w:tcPr>
            <w:tcW w:w="1418" w:type="dxa"/>
            <w:shd w:val="clear" w:color="auto" w:fill="C6EFCE"/>
            <w:noWrap/>
          </w:tcPr>
          <w:p w14:paraId="2DCBEE07"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Publish first call for proposals </w:t>
            </w:r>
          </w:p>
        </w:tc>
        <w:tc>
          <w:tcPr>
            <w:tcW w:w="1281" w:type="dxa"/>
            <w:shd w:val="clear" w:color="auto" w:fill="C6EFCE"/>
            <w:noWrap/>
          </w:tcPr>
          <w:p w14:paraId="03775E56" w14:textId="1C35314F"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156AA9EA" w14:textId="3FB156BA"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tcPr>
          <w:p w14:paraId="380530FA" w14:textId="1158EBCC"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3A34BEC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Q3</w:t>
            </w:r>
          </w:p>
        </w:tc>
        <w:tc>
          <w:tcPr>
            <w:tcW w:w="709" w:type="dxa"/>
            <w:shd w:val="clear" w:color="auto" w:fill="C6EFCE"/>
            <w:noWrap/>
          </w:tcPr>
          <w:p w14:paraId="1488084D"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2021</w:t>
            </w:r>
          </w:p>
        </w:tc>
        <w:tc>
          <w:tcPr>
            <w:tcW w:w="3315" w:type="dxa"/>
            <w:shd w:val="clear" w:color="auto" w:fill="C6EFCE"/>
            <w:noWrap/>
          </w:tcPr>
          <w:p w14:paraId="41B33F4D"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The first call for proposals to support local authorities in energy efficiency measures has been published on the RES and Energy Conservation Fund Website. The investment shall aim at achieving on average at least a 30% primary energy demand reduction.</w:t>
            </w:r>
          </w:p>
        </w:tc>
      </w:tr>
      <w:tr w:rsidR="00C04BFF" w:rsidRPr="00483719" w14:paraId="05D55C35" w14:textId="77777777" w:rsidTr="00D8670B">
        <w:trPr>
          <w:trHeight w:val="300"/>
          <w:jc w:val="center"/>
        </w:trPr>
        <w:tc>
          <w:tcPr>
            <w:tcW w:w="1134" w:type="dxa"/>
            <w:shd w:val="clear" w:color="auto" w:fill="C6EFCE"/>
            <w:noWrap/>
          </w:tcPr>
          <w:p w14:paraId="7AD48F7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32c</w:t>
            </w:r>
          </w:p>
        </w:tc>
        <w:tc>
          <w:tcPr>
            <w:tcW w:w="1418" w:type="dxa"/>
            <w:shd w:val="clear" w:color="auto" w:fill="C6EFCE"/>
            <w:noWrap/>
          </w:tcPr>
          <w:p w14:paraId="478FE4C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C2.1I3</w:t>
            </w:r>
          </w:p>
          <w:p w14:paraId="764964F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Facilitating the transition of local communities towards climate investments</w:t>
            </w:r>
          </w:p>
        </w:tc>
        <w:tc>
          <w:tcPr>
            <w:tcW w:w="1134" w:type="dxa"/>
            <w:shd w:val="clear" w:color="auto" w:fill="C6EFCE"/>
            <w:noWrap/>
          </w:tcPr>
          <w:p w14:paraId="78B31F0F"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tcPr>
          <w:p w14:paraId="0ABB7FA8" w14:textId="6B16231C"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Grant scheme to support climate adaptation investments </w:t>
            </w:r>
          </w:p>
        </w:tc>
        <w:tc>
          <w:tcPr>
            <w:tcW w:w="1418" w:type="dxa"/>
            <w:shd w:val="clear" w:color="auto" w:fill="C6EFCE"/>
            <w:noWrap/>
          </w:tcPr>
          <w:p w14:paraId="561D179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Number</w:t>
            </w:r>
          </w:p>
        </w:tc>
        <w:tc>
          <w:tcPr>
            <w:tcW w:w="1281" w:type="dxa"/>
            <w:shd w:val="clear" w:color="auto" w:fill="C6EFCE"/>
            <w:noWrap/>
          </w:tcPr>
          <w:p w14:paraId="351EC13D"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77E822A4"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0</w:t>
            </w:r>
          </w:p>
        </w:tc>
        <w:tc>
          <w:tcPr>
            <w:tcW w:w="1276" w:type="dxa"/>
            <w:shd w:val="clear" w:color="auto" w:fill="C6EFCE"/>
            <w:noWrap/>
          </w:tcPr>
          <w:p w14:paraId="1F85D37C"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27</w:t>
            </w:r>
          </w:p>
        </w:tc>
        <w:tc>
          <w:tcPr>
            <w:tcW w:w="992" w:type="dxa"/>
            <w:shd w:val="clear" w:color="auto" w:fill="C6EFCE"/>
            <w:noWrap/>
          </w:tcPr>
          <w:p w14:paraId="6C0EF0B8" w14:textId="6EB94E7E"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Q2</w:t>
            </w:r>
          </w:p>
        </w:tc>
        <w:tc>
          <w:tcPr>
            <w:tcW w:w="709" w:type="dxa"/>
            <w:shd w:val="clear" w:color="auto" w:fill="C6EFCE"/>
            <w:noWrap/>
          </w:tcPr>
          <w:p w14:paraId="1435B74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2026</w:t>
            </w:r>
          </w:p>
        </w:tc>
        <w:tc>
          <w:tcPr>
            <w:tcW w:w="3315" w:type="dxa"/>
            <w:shd w:val="clear" w:color="auto" w:fill="C6EFCE"/>
            <w:noWrap/>
          </w:tcPr>
          <w:p w14:paraId="6BC5297C"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Grants disbursed for at least 27 climate adaptation investments in Local (Community) Councils.</w:t>
            </w:r>
          </w:p>
        </w:tc>
      </w:tr>
      <w:tr w:rsidR="00C04BFF" w:rsidRPr="00483719" w14:paraId="5ED8723C" w14:textId="77777777" w:rsidTr="00D8670B">
        <w:trPr>
          <w:trHeight w:val="300"/>
          <w:jc w:val="center"/>
        </w:trPr>
        <w:tc>
          <w:tcPr>
            <w:tcW w:w="1134" w:type="dxa"/>
            <w:shd w:val="clear" w:color="auto" w:fill="C6EFCE"/>
            <w:noWrap/>
          </w:tcPr>
          <w:p w14:paraId="653F0EE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35</w:t>
            </w:r>
          </w:p>
        </w:tc>
        <w:tc>
          <w:tcPr>
            <w:tcW w:w="1418" w:type="dxa"/>
            <w:shd w:val="clear" w:color="auto" w:fill="C6EFCE"/>
            <w:noWrap/>
          </w:tcPr>
          <w:p w14:paraId="3F2CAAB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C2.1I5</w:t>
            </w:r>
          </w:p>
          <w:p w14:paraId="2F9DD153"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Energy Efficiency Upgrading of public buildings</w:t>
            </w:r>
          </w:p>
        </w:tc>
        <w:tc>
          <w:tcPr>
            <w:tcW w:w="1134" w:type="dxa"/>
            <w:shd w:val="clear" w:color="auto" w:fill="C6EFCE"/>
            <w:noWrap/>
          </w:tcPr>
          <w:p w14:paraId="54742263"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tcPr>
          <w:p w14:paraId="0658038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Thermal insulation and photovoltaic systems installed in schools</w:t>
            </w:r>
          </w:p>
        </w:tc>
        <w:tc>
          <w:tcPr>
            <w:tcW w:w="1418" w:type="dxa"/>
            <w:shd w:val="clear" w:color="auto" w:fill="C6EFCE"/>
            <w:noWrap/>
          </w:tcPr>
          <w:p w14:paraId="798B805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 -</w:t>
            </w:r>
          </w:p>
        </w:tc>
        <w:tc>
          <w:tcPr>
            <w:tcW w:w="1281" w:type="dxa"/>
            <w:shd w:val="clear" w:color="auto" w:fill="C6EFCE"/>
            <w:noWrap/>
          </w:tcPr>
          <w:p w14:paraId="77C896CC"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Number</w:t>
            </w:r>
          </w:p>
        </w:tc>
        <w:tc>
          <w:tcPr>
            <w:tcW w:w="992" w:type="dxa"/>
            <w:shd w:val="clear" w:color="auto" w:fill="C6EFCE"/>
            <w:noWrap/>
          </w:tcPr>
          <w:p w14:paraId="654E0BAA"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0</w:t>
            </w:r>
          </w:p>
        </w:tc>
        <w:tc>
          <w:tcPr>
            <w:tcW w:w="1276" w:type="dxa"/>
            <w:shd w:val="clear" w:color="auto" w:fill="C6EFCE"/>
            <w:noWrap/>
          </w:tcPr>
          <w:p w14:paraId="7E2266D3"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405</w:t>
            </w:r>
          </w:p>
        </w:tc>
        <w:tc>
          <w:tcPr>
            <w:tcW w:w="992" w:type="dxa"/>
            <w:shd w:val="clear" w:color="auto" w:fill="C6EFCE"/>
            <w:noWrap/>
          </w:tcPr>
          <w:p w14:paraId="08CFA657"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Q1</w:t>
            </w:r>
          </w:p>
        </w:tc>
        <w:tc>
          <w:tcPr>
            <w:tcW w:w="709" w:type="dxa"/>
            <w:shd w:val="clear" w:color="auto" w:fill="C6EFCE"/>
            <w:noWrap/>
          </w:tcPr>
          <w:p w14:paraId="212D0A7C"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2022</w:t>
            </w:r>
          </w:p>
        </w:tc>
        <w:tc>
          <w:tcPr>
            <w:tcW w:w="3315" w:type="dxa"/>
            <w:shd w:val="clear" w:color="auto" w:fill="C6EFCE"/>
            <w:noWrap/>
          </w:tcPr>
          <w:p w14:paraId="57F7F756"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Thermal insulation and photovoltaic systems installed in at least 405 schools with an objective to achieve on average at least a 30% primary energy demand reduction.</w:t>
            </w:r>
          </w:p>
        </w:tc>
      </w:tr>
      <w:tr w:rsidR="00C04BFF" w:rsidRPr="00483719" w14:paraId="5DE6B79A" w14:textId="77777777" w:rsidTr="00D8670B">
        <w:trPr>
          <w:trHeight w:val="300"/>
          <w:jc w:val="center"/>
        </w:trPr>
        <w:tc>
          <w:tcPr>
            <w:tcW w:w="1134" w:type="dxa"/>
            <w:shd w:val="clear" w:color="auto" w:fill="C6EFCE"/>
            <w:noWrap/>
            <w:hideMark/>
          </w:tcPr>
          <w:p w14:paraId="30A3596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36</w:t>
            </w:r>
          </w:p>
        </w:tc>
        <w:tc>
          <w:tcPr>
            <w:tcW w:w="1418" w:type="dxa"/>
            <w:shd w:val="clear" w:color="auto" w:fill="C6EFCE"/>
            <w:noWrap/>
            <w:hideMark/>
          </w:tcPr>
          <w:p w14:paraId="05A912E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C2.1I5</w:t>
            </w:r>
          </w:p>
          <w:p w14:paraId="42468C32"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Energy Efficiency Upgrading of public buildings</w:t>
            </w:r>
          </w:p>
        </w:tc>
        <w:tc>
          <w:tcPr>
            <w:tcW w:w="1134" w:type="dxa"/>
            <w:shd w:val="clear" w:color="auto" w:fill="C6EFCE"/>
            <w:noWrap/>
            <w:hideMark/>
          </w:tcPr>
          <w:p w14:paraId="277D2C1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hideMark/>
          </w:tcPr>
          <w:p w14:paraId="081029BF"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Completion of set up and installation of photovoltaics system at the Nicosia General Hospital </w:t>
            </w:r>
          </w:p>
        </w:tc>
        <w:tc>
          <w:tcPr>
            <w:tcW w:w="1418" w:type="dxa"/>
            <w:shd w:val="clear" w:color="auto" w:fill="C6EFCE"/>
            <w:noWrap/>
            <w:hideMark/>
          </w:tcPr>
          <w:p w14:paraId="6F1E463F"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81" w:type="dxa"/>
            <w:shd w:val="clear" w:color="auto" w:fill="C6EFCE"/>
            <w:noWrap/>
            <w:hideMark/>
          </w:tcPr>
          <w:p w14:paraId="7779D220"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Number</w:t>
            </w:r>
          </w:p>
        </w:tc>
        <w:tc>
          <w:tcPr>
            <w:tcW w:w="992" w:type="dxa"/>
            <w:shd w:val="clear" w:color="auto" w:fill="C6EFCE"/>
            <w:noWrap/>
            <w:hideMark/>
          </w:tcPr>
          <w:p w14:paraId="177EFD8E"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0</w:t>
            </w:r>
          </w:p>
        </w:tc>
        <w:tc>
          <w:tcPr>
            <w:tcW w:w="1276" w:type="dxa"/>
            <w:shd w:val="clear" w:color="auto" w:fill="C6EFCE"/>
            <w:noWrap/>
            <w:hideMark/>
          </w:tcPr>
          <w:p w14:paraId="7DD1E1A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943</w:t>
            </w:r>
          </w:p>
        </w:tc>
        <w:tc>
          <w:tcPr>
            <w:tcW w:w="992" w:type="dxa"/>
            <w:shd w:val="clear" w:color="auto" w:fill="C6EFCE"/>
            <w:noWrap/>
            <w:hideMark/>
          </w:tcPr>
          <w:p w14:paraId="77CB0F9F"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hideMark/>
          </w:tcPr>
          <w:p w14:paraId="44233116"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2023</w:t>
            </w:r>
          </w:p>
        </w:tc>
        <w:tc>
          <w:tcPr>
            <w:tcW w:w="3315" w:type="dxa"/>
            <w:shd w:val="clear" w:color="auto" w:fill="C6EFCE"/>
            <w:noWrap/>
            <w:hideMark/>
          </w:tcPr>
          <w:p w14:paraId="151EE93E" w14:textId="6AE7AB4F"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Completion of set up and installation of PV system at the Nicosia General Hospital of total capacity of 943KW.</w:t>
            </w:r>
          </w:p>
        </w:tc>
      </w:tr>
      <w:tr w:rsidR="00C04BFF" w:rsidRPr="00483719" w14:paraId="112AF934" w14:textId="77777777" w:rsidTr="00D8670B">
        <w:trPr>
          <w:trHeight w:val="300"/>
          <w:jc w:val="center"/>
        </w:trPr>
        <w:tc>
          <w:tcPr>
            <w:tcW w:w="1134" w:type="dxa"/>
            <w:shd w:val="clear" w:color="auto" w:fill="C6EFCE"/>
            <w:noWrap/>
            <w:hideMark/>
          </w:tcPr>
          <w:p w14:paraId="771E851B"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37</w:t>
            </w:r>
          </w:p>
        </w:tc>
        <w:tc>
          <w:tcPr>
            <w:tcW w:w="1418" w:type="dxa"/>
            <w:shd w:val="clear" w:color="auto" w:fill="C6EFCE"/>
            <w:noWrap/>
            <w:hideMark/>
          </w:tcPr>
          <w:p w14:paraId="68E547C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C2.1I5</w:t>
            </w:r>
          </w:p>
          <w:p w14:paraId="3F00925C"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Energy Efficiency investments in public buildings</w:t>
            </w:r>
          </w:p>
        </w:tc>
        <w:tc>
          <w:tcPr>
            <w:tcW w:w="1134" w:type="dxa"/>
            <w:shd w:val="clear" w:color="auto" w:fill="C6EFCE"/>
            <w:noWrap/>
            <w:hideMark/>
          </w:tcPr>
          <w:p w14:paraId="13FBBC2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hideMark/>
          </w:tcPr>
          <w:p w14:paraId="3B6EBB47"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Installation of photovoltaic systems in Fire Service Properties</w:t>
            </w:r>
          </w:p>
        </w:tc>
        <w:tc>
          <w:tcPr>
            <w:tcW w:w="1418" w:type="dxa"/>
            <w:shd w:val="clear" w:color="auto" w:fill="C6EFCE"/>
            <w:noWrap/>
            <w:hideMark/>
          </w:tcPr>
          <w:p w14:paraId="22135DB9"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81" w:type="dxa"/>
            <w:shd w:val="clear" w:color="auto" w:fill="C6EFCE"/>
            <w:noWrap/>
            <w:hideMark/>
          </w:tcPr>
          <w:p w14:paraId="5BFF4E42"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Number</w:t>
            </w:r>
          </w:p>
        </w:tc>
        <w:tc>
          <w:tcPr>
            <w:tcW w:w="992" w:type="dxa"/>
            <w:shd w:val="clear" w:color="auto" w:fill="C6EFCE"/>
            <w:noWrap/>
            <w:hideMark/>
          </w:tcPr>
          <w:p w14:paraId="6C6A21D3"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0</w:t>
            </w:r>
          </w:p>
        </w:tc>
        <w:tc>
          <w:tcPr>
            <w:tcW w:w="1276" w:type="dxa"/>
            <w:shd w:val="clear" w:color="auto" w:fill="C6EFCE"/>
            <w:noWrap/>
            <w:hideMark/>
          </w:tcPr>
          <w:p w14:paraId="3EA0926A"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650</w:t>
            </w:r>
          </w:p>
        </w:tc>
        <w:tc>
          <w:tcPr>
            <w:tcW w:w="992" w:type="dxa"/>
            <w:shd w:val="clear" w:color="auto" w:fill="C6EFCE"/>
            <w:noWrap/>
            <w:hideMark/>
          </w:tcPr>
          <w:p w14:paraId="311DC29A"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hideMark/>
          </w:tcPr>
          <w:p w14:paraId="5DBF5C78"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2025</w:t>
            </w:r>
          </w:p>
        </w:tc>
        <w:tc>
          <w:tcPr>
            <w:tcW w:w="3315" w:type="dxa"/>
            <w:shd w:val="clear" w:color="auto" w:fill="C6EFCE"/>
            <w:noWrap/>
            <w:hideMark/>
          </w:tcPr>
          <w:p w14:paraId="114B4F39"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Installation of photovoltaic systems, of a total capacity of 650KW, in Fire Service Properties.</w:t>
            </w:r>
          </w:p>
        </w:tc>
      </w:tr>
      <w:tr w:rsidR="00C04BFF" w:rsidRPr="00483719" w14:paraId="0CC5D384" w14:textId="77777777" w:rsidTr="00D8670B">
        <w:trPr>
          <w:trHeight w:val="300"/>
          <w:jc w:val="center"/>
        </w:trPr>
        <w:tc>
          <w:tcPr>
            <w:tcW w:w="1134" w:type="dxa"/>
            <w:shd w:val="clear" w:color="auto" w:fill="C6EFCE"/>
            <w:noWrap/>
            <w:hideMark/>
          </w:tcPr>
          <w:p w14:paraId="38A6FBE9"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38</w:t>
            </w:r>
          </w:p>
        </w:tc>
        <w:tc>
          <w:tcPr>
            <w:tcW w:w="1418" w:type="dxa"/>
            <w:shd w:val="clear" w:color="auto" w:fill="C6EFCE"/>
            <w:noWrap/>
            <w:hideMark/>
          </w:tcPr>
          <w:p w14:paraId="791AE013"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C2.1I6</w:t>
            </w:r>
          </w:p>
          <w:p w14:paraId="17132F38"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Upgrading renewable energy and smart grids testing infrastructure at the University of Cyprus</w:t>
            </w:r>
          </w:p>
        </w:tc>
        <w:tc>
          <w:tcPr>
            <w:tcW w:w="1134" w:type="dxa"/>
            <w:shd w:val="clear" w:color="auto" w:fill="C6EFCE"/>
            <w:noWrap/>
            <w:hideMark/>
          </w:tcPr>
          <w:p w14:paraId="560723A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6AEE986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Signature of contracts for the installation of equipment to upgrade the electricity grid into a smart grid</w:t>
            </w:r>
          </w:p>
        </w:tc>
        <w:tc>
          <w:tcPr>
            <w:tcW w:w="1418" w:type="dxa"/>
            <w:shd w:val="clear" w:color="auto" w:fill="C6EFCE"/>
            <w:noWrap/>
            <w:hideMark/>
          </w:tcPr>
          <w:p w14:paraId="5E58804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Contracts Signature </w:t>
            </w:r>
          </w:p>
        </w:tc>
        <w:tc>
          <w:tcPr>
            <w:tcW w:w="1281" w:type="dxa"/>
            <w:shd w:val="clear" w:color="auto" w:fill="C6EFCE"/>
            <w:noWrap/>
            <w:hideMark/>
          </w:tcPr>
          <w:p w14:paraId="043D0E51" w14:textId="1B5ABCDD"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355ADE97" w14:textId="030C3644"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hideMark/>
          </w:tcPr>
          <w:p w14:paraId="7A1A244A" w14:textId="068A893A"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57EF1821"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hideMark/>
          </w:tcPr>
          <w:p w14:paraId="0A7D7D8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2023</w:t>
            </w:r>
          </w:p>
        </w:tc>
        <w:tc>
          <w:tcPr>
            <w:tcW w:w="3315" w:type="dxa"/>
            <w:shd w:val="clear" w:color="auto" w:fill="C6EFCE"/>
            <w:noWrap/>
            <w:hideMark/>
          </w:tcPr>
          <w:p w14:paraId="0B45B88E"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Signature of contracts for the installation of equipment to upgrade the electricity grid into a smart grid following a successful public procurement procedure.</w:t>
            </w:r>
          </w:p>
        </w:tc>
      </w:tr>
      <w:tr w:rsidR="00C04BFF" w:rsidRPr="00483719" w14:paraId="44AC8BF0" w14:textId="77777777" w:rsidTr="00D8670B">
        <w:trPr>
          <w:trHeight w:val="300"/>
          <w:jc w:val="center"/>
        </w:trPr>
        <w:tc>
          <w:tcPr>
            <w:tcW w:w="1134" w:type="dxa"/>
            <w:shd w:val="clear" w:color="auto" w:fill="C6EFCE"/>
            <w:noWrap/>
          </w:tcPr>
          <w:p w14:paraId="1C501DB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39</w:t>
            </w:r>
          </w:p>
        </w:tc>
        <w:tc>
          <w:tcPr>
            <w:tcW w:w="1418" w:type="dxa"/>
            <w:shd w:val="clear" w:color="auto" w:fill="C6EFCE"/>
            <w:noWrap/>
          </w:tcPr>
          <w:p w14:paraId="48908FC8"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C2.1I6</w:t>
            </w:r>
          </w:p>
          <w:p w14:paraId="6CE8BC2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Expansion of the renewable energy and smart grids testing infrastructure at the University of Cyprus</w:t>
            </w:r>
          </w:p>
        </w:tc>
        <w:tc>
          <w:tcPr>
            <w:tcW w:w="1134" w:type="dxa"/>
            <w:shd w:val="clear" w:color="auto" w:fill="C6EFCE"/>
            <w:noWrap/>
          </w:tcPr>
          <w:p w14:paraId="37861AF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tcPr>
          <w:p w14:paraId="2EC5AC5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Acceptance of renewable energy and smart grids testing equipment</w:t>
            </w:r>
          </w:p>
        </w:tc>
        <w:tc>
          <w:tcPr>
            <w:tcW w:w="1418" w:type="dxa"/>
            <w:shd w:val="clear" w:color="auto" w:fill="C6EFCE"/>
            <w:noWrap/>
          </w:tcPr>
          <w:p w14:paraId="7071059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Issued acceptance certificate(s) </w:t>
            </w:r>
          </w:p>
        </w:tc>
        <w:tc>
          <w:tcPr>
            <w:tcW w:w="1281" w:type="dxa"/>
            <w:shd w:val="clear" w:color="auto" w:fill="C6EFCE"/>
            <w:noWrap/>
          </w:tcPr>
          <w:p w14:paraId="3AF0E526" w14:textId="0BBF243B"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4693B48D" w14:textId="3EDDB1B5"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tcPr>
          <w:p w14:paraId="2B826595" w14:textId="59F745DF"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447FCF3C"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tcPr>
          <w:p w14:paraId="763DFCEC"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2024</w:t>
            </w:r>
          </w:p>
        </w:tc>
        <w:tc>
          <w:tcPr>
            <w:tcW w:w="3315" w:type="dxa"/>
            <w:shd w:val="clear" w:color="auto" w:fill="C6EFCE"/>
            <w:noWrap/>
          </w:tcPr>
          <w:p w14:paraId="431CD88E"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Acceptance certificate(s) issued, testifying commissioning and acceptance of the renewable energy and smart grids testing equipment.</w:t>
            </w:r>
          </w:p>
        </w:tc>
      </w:tr>
      <w:tr w:rsidR="00C04BFF" w:rsidRPr="00483719" w14:paraId="5E9A87E3" w14:textId="77777777" w:rsidTr="00D8670B">
        <w:trPr>
          <w:trHeight w:val="300"/>
          <w:jc w:val="center"/>
        </w:trPr>
        <w:tc>
          <w:tcPr>
            <w:tcW w:w="1134" w:type="dxa"/>
            <w:shd w:val="clear" w:color="auto" w:fill="C6EFCE"/>
            <w:noWrap/>
          </w:tcPr>
          <w:p w14:paraId="2A81538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40</w:t>
            </w:r>
          </w:p>
        </w:tc>
        <w:tc>
          <w:tcPr>
            <w:tcW w:w="1418" w:type="dxa"/>
            <w:shd w:val="clear" w:color="auto" w:fill="C6EFCE"/>
            <w:noWrap/>
          </w:tcPr>
          <w:p w14:paraId="3E6F0823"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C2.1I7</w:t>
            </w:r>
          </w:p>
          <w:p w14:paraId="4497FE3B"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Mass installation by the Distribution System Operator (DSO) of Smart Metering Infrastructure (Advanced Metering Infrastructure)</w:t>
            </w:r>
          </w:p>
        </w:tc>
        <w:tc>
          <w:tcPr>
            <w:tcW w:w="1134" w:type="dxa"/>
            <w:shd w:val="clear" w:color="auto" w:fill="C6EFCE"/>
            <w:noWrap/>
          </w:tcPr>
          <w:p w14:paraId="1600FD4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tcPr>
          <w:p w14:paraId="3F00FFC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Contract Signature for smart electricity metering infrastructure </w:t>
            </w:r>
          </w:p>
        </w:tc>
        <w:tc>
          <w:tcPr>
            <w:tcW w:w="1418" w:type="dxa"/>
            <w:shd w:val="clear" w:color="auto" w:fill="C6EFCE"/>
            <w:noWrap/>
          </w:tcPr>
          <w:p w14:paraId="24607817"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Contract Signature </w:t>
            </w:r>
          </w:p>
        </w:tc>
        <w:tc>
          <w:tcPr>
            <w:tcW w:w="1281" w:type="dxa"/>
            <w:shd w:val="clear" w:color="auto" w:fill="C6EFCE"/>
            <w:noWrap/>
          </w:tcPr>
          <w:p w14:paraId="23EBD031" w14:textId="7E405C24"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289EA65E" w14:textId="061BD302"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tcPr>
          <w:p w14:paraId="69613153" w14:textId="747AA600"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50AE1A70"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Q1</w:t>
            </w:r>
          </w:p>
        </w:tc>
        <w:tc>
          <w:tcPr>
            <w:tcW w:w="709" w:type="dxa"/>
            <w:shd w:val="clear" w:color="auto" w:fill="C6EFCE"/>
            <w:noWrap/>
          </w:tcPr>
          <w:p w14:paraId="423919FF"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2024</w:t>
            </w:r>
          </w:p>
        </w:tc>
        <w:tc>
          <w:tcPr>
            <w:tcW w:w="3315" w:type="dxa"/>
            <w:shd w:val="clear" w:color="auto" w:fill="C6EFCE"/>
            <w:noWrap/>
          </w:tcPr>
          <w:p w14:paraId="23A72747"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Contract Signature for smart electricity metering infrastructure (Hardware, software, and support services).</w:t>
            </w:r>
          </w:p>
        </w:tc>
      </w:tr>
      <w:tr w:rsidR="00C04BFF" w:rsidRPr="00483719" w14:paraId="6ACDFC2A" w14:textId="77777777" w:rsidTr="00D8670B">
        <w:trPr>
          <w:trHeight w:val="300"/>
          <w:jc w:val="center"/>
        </w:trPr>
        <w:tc>
          <w:tcPr>
            <w:tcW w:w="1134" w:type="dxa"/>
            <w:shd w:val="clear" w:color="auto" w:fill="C6EFCE"/>
            <w:noWrap/>
            <w:hideMark/>
          </w:tcPr>
          <w:p w14:paraId="695BF909"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42</w:t>
            </w:r>
          </w:p>
        </w:tc>
        <w:tc>
          <w:tcPr>
            <w:tcW w:w="1418" w:type="dxa"/>
            <w:shd w:val="clear" w:color="auto" w:fill="C6EFCE"/>
            <w:noWrap/>
            <w:hideMark/>
          </w:tcPr>
          <w:p w14:paraId="086DCBD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C2.1I7</w:t>
            </w:r>
          </w:p>
          <w:p w14:paraId="77322E27"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Mass installation by the Distribution System Operator (DSO) of Smart Metering Infrastructure (Advanced Metering Infrastructure)</w:t>
            </w:r>
          </w:p>
        </w:tc>
        <w:tc>
          <w:tcPr>
            <w:tcW w:w="1134" w:type="dxa"/>
            <w:shd w:val="clear" w:color="auto" w:fill="C6EFCE"/>
            <w:noWrap/>
            <w:hideMark/>
          </w:tcPr>
          <w:p w14:paraId="5B2184B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hideMark/>
          </w:tcPr>
          <w:p w14:paraId="2FECD50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Acceptance and installation of smart meters</w:t>
            </w:r>
          </w:p>
        </w:tc>
        <w:tc>
          <w:tcPr>
            <w:tcW w:w="1418" w:type="dxa"/>
            <w:shd w:val="clear" w:color="auto" w:fill="C6EFCE"/>
            <w:noWrap/>
            <w:hideMark/>
          </w:tcPr>
          <w:p w14:paraId="2BB4DC5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 -</w:t>
            </w:r>
          </w:p>
        </w:tc>
        <w:tc>
          <w:tcPr>
            <w:tcW w:w="1281" w:type="dxa"/>
            <w:shd w:val="clear" w:color="auto" w:fill="C6EFCE"/>
            <w:noWrap/>
            <w:hideMark/>
          </w:tcPr>
          <w:p w14:paraId="5474A514"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Number</w:t>
            </w:r>
          </w:p>
        </w:tc>
        <w:tc>
          <w:tcPr>
            <w:tcW w:w="992" w:type="dxa"/>
            <w:shd w:val="clear" w:color="auto" w:fill="C6EFCE"/>
            <w:noWrap/>
            <w:hideMark/>
          </w:tcPr>
          <w:p w14:paraId="19EDDD10" w14:textId="203F49A2"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0</w:t>
            </w:r>
          </w:p>
        </w:tc>
        <w:tc>
          <w:tcPr>
            <w:tcW w:w="1276" w:type="dxa"/>
            <w:shd w:val="clear" w:color="auto" w:fill="C6EFCE"/>
            <w:noWrap/>
            <w:hideMark/>
          </w:tcPr>
          <w:p w14:paraId="55467EC3"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400 000 delivered to Electricity Authority of Cyprus</w:t>
            </w:r>
          </w:p>
          <w:p w14:paraId="0C79D16A" w14:textId="77777777" w:rsidR="00C04BFF" w:rsidRPr="00483719" w:rsidRDefault="00C04BFF" w:rsidP="00FC4C5E">
            <w:pPr>
              <w:spacing w:after="0" w:line="240" w:lineRule="auto"/>
              <w:jc w:val="center"/>
              <w:rPr>
                <w:rFonts w:ascii="Times New Roman" w:hAnsi="Times New Roman" w:cs="Times New Roman"/>
                <w:noProof/>
                <w:sz w:val="18"/>
                <w:szCs w:val="18"/>
              </w:rPr>
            </w:pPr>
          </w:p>
          <w:p w14:paraId="3863896E" w14:textId="36F89A9A"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200 000 installed</w:t>
            </w:r>
          </w:p>
        </w:tc>
        <w:tc>
          <w:tcPr>
            <w:tcW w:w="992" w:type="dxa"/>
            <w:shd w:val="clear" w:color="auto" w:fill="C6EFCE"/>
            <w:noWrap/>
            <w:hideMark/>
          </w:tcPr>
          <w:p w14:paraId="5D9C0418"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Q2</w:t>
            </w:r>
          </w:p>
        </w:tc>
        <w:tc>
          <w:tcPr>
            <w:tcW w:w="709" w:type="dxa"/>
            <w:shd w:val="clear" w:color="auto" w:fill="C6EFCE"/>
            <w:noWrap/>
            <w:hideMark/>
          </w:tcPr>
          <w:p w14:paraId="45560355"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2026</w:t>
            </w:r>
          </w:p>
        </w:tc>
        <w:tc>
          <w:tcPr>
            <w:tcW w:w="3315" w:type="dxa"/>
            <w:shd w:val="clear" w:color="auto" w:fill="C6EFCE"/>
            <w:noWrap/>
            <w:hideMark/>
          </w:tcPr>
          <w:p w14:paraId="0FCA9BF7"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Acceptance of 400 000 smart electricity meters by the Electricity Authority of Cyprus and installation of 200 000 of these.</w:t>
            </w:r>
          </w:p>
        </w:tc>
      </w:tr>
      <w:tr w:rsidR="00C04BFF" w:rsidRPr="00483719" w14:paraId="1FFC504F" w14:textId="77777777" w:rsidTr="00D8670B">
        <w:trPr>
          <w:trHeight w:val="300"/>
          <w:jc w:val="center"/>
        </w:trPr>
        <w:tc>
          <w:tcPr>
            <w:tcW w:w="1134" w:type="dxa"/>
            <w:shd w:val="clear" w:color="auto" w:fill="C6EFCE"/>
            <w:noWrap/>
            <w:hideMark/>
          </w:tcPr>
          <w:p w14:paraId="7B4FC24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43</w:t>
            </w:r>
          </w:p>
        </w:tc>
        <w:tc>
          <w:tcPr>
            <w:tcW w:w="1418" w:type="dxa"/>
            <w:shd w:val="clear" w:color="auto" w:fill="C6EFCE"/>
            <w:noWrap/>
            <w:hideMark/>
          </w:tcPr>
          <w:p w14:paraId="3DDC202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C2.1I8</w:t>
            </w:r>
          </w:p>
          <w:p w14:paraId="40C9C78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Monitoring and reduction of GHG emissions in agriculture</w:t>
            </w:r>
          </w:p>
        </w:tc>
        <w:tc>
          <w:tcPr>
            <w:tcW w:w="1134" w:type="dxa"/>
            <w:shd w:val="clear" w:color="auto" w:fill="C6EFCE"/>
            <w:noWrap/>
            <w:hideMark/>
          </w:tcPr>
          <w:p w14:paraId="17F8D76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406C048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Purchase and installation of monitoring units for measuring GHG emissions from agriculture</w:t>
            </w:r>
          </w:p>
        </w:tc>
        <w:tc>
          <w:tcPr>
            <w:tcW w:w="1418" w:type="dxa"/>
            <w:shd w:val="clear" w:color="auto" w:fill="C6EFCE"/>
            <w:noWrap/>
            <w:hideMark/>
          </w:tcPr>
          <w:p w14:paraId="0AF56EE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Approval of the equipment and installation by the receiving committee </w:t>
            </w:r>
          </w:p>
        </w:tc>
        <w:tc>
          <w:tcPr>
            <w:tcW w:w="1281" w:type="dxa"/>
            <w:shd w:val="clear" w:color="auto" w:fill="C6EFCE"/>
            <w:noWrap/>
            <w:hideMark/>
          </w:tcPr>
          <w:p w14:paraId="04AD5E6E" w14:textId="7A4FDC1C"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0A0C5DC2" w14:textId="64BC1A0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hideMark/>
          </w:tcPr>
          <w:p w14:paraId="17758D02" w14:textId="1F3F6220"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13AF3BAE"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Q2</w:t>
            </w:r>
          </w:p>
        </w:tc>
        <w:tc>
          <w:tcPr>
            <w:tcW w:w="709" w:type="dxa"/>
            <w:shd w:val="clear" w:color="auto" w:fill="C6EFCE"/>
            <w:noWrap/>
            <w:hideMark/>
          </w:tcPr>
          <w:p w14:paraId="44912D4B"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2023</w:t>
            </w:r>
          </w:p>
        </w:tc>
        <w:tc>
          <w:tcPr>
            <w:tcW w:w="3315" w:type="dxa"/>
            <w:shd w:val="clear" w:color="auto" w:fill="C6EFCE"/>
            <w:noWrap/>
            <w:hideMark/>
          </w:tcPr>
          <w:p w14:paraId="10838119"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Purchase and installation of automobile unit and permanent monitoring units, for measuring GHG emissions from agriculture with the objective of implementing adequate policies to mitigate GHG emissions.</w:t>
            </w:r>
          </w:p>
        </w:tc>
      </w:tr>
      <w:tr w:rsidR="00C04BFF" w:rsidRPr="00483719" w14:paraId="7949A710" w14:textId="77777777" w:rsidTr="00D8670B">
        <w:trPr>
          <w:trHeight w:val="300"/>
          <w:jc w:val="center"/>
        </w:trPr>
        <w:tc>
          <w:tcPr>
            <w:tcW w:w="1134" w:type="dxa"/>
            <w:shd w:val="clear" w:color="auto" w:fill="C6EFCE"/>
            <w:noWrap/>
          </w:tcPr>
          <w:p w14:paraId="2DA1B154"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44</w:t>
            </w:r>
          </w:p>
        </w:tc>
        <w:tc>
          <w:tcPr>
            <w:tcW w:w="1418" w:type="dxa"/>
            <w:shd w:val="clear" w:color="auto" w:fill="C6EFCE"/>
            <w:noWrap/>
          </w:tcPr>
          <w:p w14:paraId="2F1CBA0F"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C2.1I8</w:t>
            </w:r>
          </w:p>
          <w:p w14:paraId="7C1AA36B"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Monitoring and reduction of GHG emissions in agriculture</w:t>
            </w:r>
          </w:p>
        </w:tc>
        <w:tc>
          <w:tcPr>
            <w:tcW w:w="1134" w:type="dxa"/>
            <w:shd w:val="clear" w:color="auto" w:fill="C6EFCE"/>
            <w:noWrap/>
          </w:tcPr>
          <w:p w14:paraId="24FC3523"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Target</w:t>
            </w:r>
          </w:p>
        </w:tc>
        <w:tc>
          <w:tcPr>
            <w:tcW w:w="1842" w:type="dxa"/>
            <w:shd w:val="clear" w:color="auto" w:fill="C6EFCE"/>
            <w:noWrap/>
          </w:tcPr>
          <w:p w14:paraId="7A8F3D87"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Reduction of GHG emissions from agriculture</w:t>
            </w:r>
          </w:p>
        </w:tc>
        <w:tc>
          <w:tcPr>
            <w:tcW w:w="1418" w:type="dxa"/>
            <w:shd w:val="clear" w:color="auto" w:fill="C6EFCE"/>
            <w:noWrap/>
          </w:tcPr>
          <w:p w14:paraId="64385EA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81" w:type="dxa"/>
            <w:shd w:val="clear" w:color="auto" w:fill="C6EFCE"/>
            <w:noWrap/>
          </w:tcPr>
          <w:p w14:paraId="61930042"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 (Percentage)</w:t>
            </w:r>
          </w:p>
        </w:tc>
        <w:tc>
          <w:tcPr>
            <w:tcW w:w="992" w:type="dxa"/>
            <w:shd w:val="clear" w:color="auto" w:fill="C6EFCE"/>
            <w:noWrap/>
          </w:tcPr>
          <w:p w14:paraId="5F7DBF8A"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0</w:t>
            </w:r>
          </w:p>
        </w:tc>
        <w:tc>
          <w:tcPr>
            <w:tcW w:w="1276" w:type="dxa"/>
            <w:shd w:val="clear" w:color="auto" w:fill="C6EFCE"/>
            <w:noWrap/>
          </w:tcPr>
          <w:p w14:paraId="7629E99F"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10</w:t>
            </w:r>
          </w:p>
        </w:tc>
        <w:tc>
          <w:tcPr>
            <w:tcW w:w="992" w:type="dxa"/>
            <w:shd w:val="clear" w:color="auto" w:fill="C6EFCE"/>
            <w:noWrap/>
          </w:tcPr>
          <w:p w14:paraId="40F46675"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Q4</w:t>
            </w:r>
          </w:p>
        </w:tc>
        <w:tc>
          <w:tcPr>
            <w:tcW w:w="709" w:type="dxa"/>
            <w:shd w:val="clear" w:color="auto" w:fill="C6EFCE"/>
            <w:noWrap/>
          </w:tcPr>
          <w:p w14:paraId="7B0B6D58"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2025</w:t>
            </w:r>
          </w:p>
        </w:tc>
        <w:tc>
          <w:tcPr>
            <w:tcW w:w="3315" w:type="dxa"/>
            <w:shd w:val="clear" w:color="auto" w:fill="C6EFCE"/>
            <w:noWrap/>
          </w:tcPr>
          <w:p w14:paraId="61CC64F3" w14:textId="45CBD725" w:rsidR="00C04BFF" w:rsidRPr="00483719" w:rsidRDefault="00C04BFF" w:rsidP="00547ADA">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Report confirming a 10%</w:t>
            </w:r>
            <w:r w:rsidR="00547ADA">
              <w:rPr>
                <w:rFonts w:ascii="Times New Roman" w:hAnsi="Times New Roman" w:cs="Times New Roman"/>
                <w:noProof/>
                <w:sz w:val="18"/>
                <w:szCs w:val="18"/>
              </w:rPr>
              <w:t xml:space="preserve"> </w:t>
            </w:r>
            <w:r w:rsidRPr="00483719">
              <w:rPr>
                <w:rFonts w:ascii="Times New Roman" w:hAnsi="Times New Roman" w:cs="Times New Roman"/>
                <w:noProof/>
                <w:sz w:val="18"/>
                <w:szCs w:val="18"/>
              </w:rPr>
              <w:t>reduction of GHG emissions from</w:t>
            </w:r>
            <w:r w:rsidR="00547ADA">
              <w:rPr>
                <w:rFonts w:ascii="Times New Roman" w:hAnsi="Times New Roman" w:cs="Times New Roman"/>
                <w:noProof/>
                <w:sz w:val="18"/>
                <w:szCs w:val="18"/>
              </w:rPr>
              <w:t xml:space="preserve"> </w:t>
            </w:r>
            <w:r w:rsidRPr="00483719">
              <w:rPr>
                <w:rFonts w:ascii="Times New Roman" w:hAnsi="Times New Roman" w:cs="Times New Roman"/>
                <w:noProof/>
                <w:sz w:val="18"/>
                <w:szCs w:val="18"/>
              </w:rPr>
              <w:t xml:space="preserve">agriculture. </w:t>
            </w:r>
          </w:p>
        </w:tc>
      </w:tr>
      <w:tr w:rsidR="00C04BFF" w:rsidRPr="00483719" w14:paraId="66092193" w14:textId="77777777" w:rsidTr="00D8670B">
        <w:trPr>
          <w:trHeight w:val="300"/>
          <w:jc w:val="center"/>
        </w:trPr>
        <w:tc>
          <w:tcPr>
            <w:tcW w:w="1134" w:type="dxa"/>
            <w:shd w:val="clear" w:color="auto" w:fill="C6EFCE"/>
            <w:noWrap/>
          </w:tcPr>
          <w:p w14:paraId="199AFECF"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45</w:t>
            </w:r>
          </w:p>
        </w:tc>
        <w:tc>
          <w:tcPr>
            <w:tcW w:w="1418" w:type="dxa"/>
            <w:shd w:val="clear" w:color="auto" w:fill="C6EFCE"/>
            <w:noWrap/>
          </w:tcPr>
          <w:p w14:paraId="6A2E178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C2.1I9</w:t>
            </w:r>
          </w:p>
          <w:p w14:paraId="054A599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Forests fire protection</w:t>
            </w:r>
          </w:p>
        </w:tc>
        <w:tc>
          <w:tcPr>
            <w:tcW w:w="1134" w:type="dxa"/>
            <w:shd w:val="clear" w:color="auto" w:fill="C6EFCE"/>
            <w:noWrap/>
          </w:tcPr>
          <w:p w14:paraId="105B8F69"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tcPr>
          <w:p w14:paraId="2399604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Signing of 8 Agreements/ Contract Signatures for the purchase of vehicles, equipment and provision of services and issue of call for tenders for the purchase of firefighting aircraft</w:t>
            </w:r>
          </w:p>
        </w:tc>
        <w:tc>
          <w:tcPr>
            <w:tcW w:w="1418" w:type="dxa"/>
            <w:shd w:val="clear" w:color="auto" w:fill="C6EFCE"/>
            <w:noWrap/>
          </w:tcPr>
          <w:p w14:paraId="4E10237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Signing of 8 Agreements/ Contract Signatures</w:t>
            </w:r>
          </w:p>
        </w:tc>
        <w:tc>
          <w:tcPr>
            <w:tcW w:w="1281" w:type="dxa"/>
            <w:shd w:val="clear" w:color="auto" w:fill="C6EFCE"/>
            <w:noWrap/>
          </w:tcPr>
          <w:p w14:paraId="5C2C8C1A" w14:textId="5DA42876"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3407AA6C" w14:textId="7DB1119A"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tcPr>
          <w:p w14:paraId="2521B712" w14:textId="0CFD3FE1"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tcPr>
          <w:p w14:paraId="1978EC1B"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Q2</w:t>
            </w:r>
          </w:p>
        </w:tc>
        <w:tc>
          <w:tcPr>
            <w:tcW w:w="709" w:type="dxa"/>
            <w:shd w:val="clear" w:color="auto" w:fill="C6EFCE"/>
            <w:noWrap/>
          </w:tcPr>
          <w:p w14:paraId="4F0694FC"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2022</w:t>
            </w:r>
          </w:p>
        </w:tc>
        <w:tc>
          <w:tcPr>
            <w:tcW w:w="3315" w:type="dxa"/>
            <w:shd w:val="clear" w:color="auto" w:fill="C6EFCE"/>
            <w:noWrap/>
          </w:tcPr>
          <w:p w14:paraId="61861681" w14:textId="77777777" w:rsidR="00C04BFF" w:rsidRDefault="00C04BFF" w:rsidP="00FC4C5E">
            <w:pPr>
              <w:spacing w:after="0" w:line="240" w:lineRule="auto"/>
              <w:jc w:val="both"/>
              <w:rPr>
                <w:rFonts w:ascii="Times New Roman" w:hAnsi="Times New Roman" w:cs="Times New Roman"/>
                <w:b/>
                <w:noProof/>
                <w:sz w:val="18"/>
                <w:szCs w:val="18"/>
              </w:rPr>
            </w:pPr>
            <w:r w:rsidRPr="00483719">
              <w:rPr>
                <w:rFonts w:ascii="Times New Roman" w:hAnsi="Times New Roman" w:cs="Times New Roman"/>
                <w:noProof/>
                <w:sz w:val="18"/>
                <w:szCs w:val="18"/>
              </w:rPr>
              <w:t>Signing of 8 Agreements/ Contracts Signatures with suppliers for the purchase of vehicles, equipment and provision of services and issue of call for tenders for the purchase of firefighting aircraft with the objective of contributing to climate change adaptation and to the reduction of the risk of explosion and expansion of forest fire and the strengthening protection against the risks faced by citizens, infrastructure and forests from a possible fire incident.</w:t>
            </w:r>
          </w:p>
          <w:p w14:paraId="53BF1EB0" w14:textId="54A3E963" w:rsidR="00A33217" w:rsidRPr="00A33217" w:rsidRDefault="00A33217" w:rsidP="00FC4C5E">
            <w:pPr>
              <w:spacing w:after="0" w:line="240" w:lineRule="auto"/>
              <w:jc w:val="both"/>
              <w:rPr>
                <w:rFonts w:ascii="Times New Roman" w:hAnsi="Times New Roman" w:cs="Times New Roman"/>
                <w:b/>
                <w:noProof/>
                <w:sz w:val="18"/>
                <w:szCs w:val="18"/>
              </w:rPr>
            </w:pPr>
          </w:p>
        </w:tc>
      </w:tr>
      <w:tr w:rsidR="00C04BFF" w:rsidRPr="00483719" w14:paraId="714E9550" w14:textId="77777777" w:rsidTr="00D8670B">
        <w:trPr>
          <w:trHeight w:val="300"/>
          <w:jc w:val="center"/>
        </w:trPr>
        <w:tc>
          <w:tcPr>
            <w:tcW w:w="1134" w:type="dxa"/>
            <w:shd w:val="clear" w:color="auto" w:fill="C6EFCE"/>
            <w:noWrap/>
            <w:hideMark/>
          </w:tcPr>
          <w:p w14:paraId="0759E3D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47</w:t>
            </w:r>
          </w:p>
        </w:tc>
        <w:tc>
          <w:tcPr>
            <w:tcW w:w="1418" w:type="dxa"/>
            <w:shd w:val="clear" w:color="auto" w:fill="C6EFCE"/>
            <w:noWrap/>
            <w:hideMark/>
          </w:tcPr>
          <w:p w14:paraId="1E87588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C2.1I9</w:t>
            </w:r>
          </w:p>
          <w:p w14:paraId="495AD75A"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Fire protection</w:t>
            </w:r>
          </w:p>
        </w:tc>
        <w:tc>
          <w:tcPr>
            <w:tcW w:w="1134" w:type="dxa"/>
            <w:shd w:val="clear" w:color="auto" w:fill="C6EFCE"/>
            <w:noWrap/>
            <w:hideMark/>
          </w:tcPr>
          <w:p w14:paraId="3D048205"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70FCC9FD" w14:textId="044CF8AA"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Acceptance </w:t>
            </w:r>
            <w:r w:rsidRPr="00483719" w:rsidDel="00FF5ECD">
              <w:rPr>
                <w:rFonts w:ascii="Times New Roman" w:hAnsi="Times New Roman" w:cs="Times New Roman"/>
                <w:noProof/>
                <w:sz w:val="18"/>
                <w:szCs w:val="18"/>
              </w:rPr>
              <w:t>of firefighting</w:t>
            </w:r>
            <w:r w:rsidRPr="00483719">
              <w:rPr>
                <w:rFonts w:ascii="Times New Roman" w:hAnsi="Times New Roman" w:cs="Times New Roman"/>
                <w:noProof/>
                <w:sz w:val="18"/>
                <w:szCs w:val="18"/>
              </w:rPr>
              <w:t xml:space="preserve"> aircraft</w:t>
            </w:r>
            <w:r w:rsidRPr="00483719" w:rsidDel="00FF5ECD">
              <w:rPr>
                <w:rFonts w:ascii="Times New Roman" w:hAnsi="Times New Roman" w:cs="Times New Roman"/>
                <w:noProof/>
                <w:sz w:val="18"/>
                <w:szCs w:val="18"/>
              </w:rPr>
              <w:t xml:space="preserve"> vehicles and equipment</w:t>
            </w:r>
            <w:r w:rsidRPr="00483719">
              <w:rPr>
                <w:rFonts w:ascii="Times New Roman" w:hAnsi="Times New Roman" w:cs="Times New Roman"/>
                <w:noProof/>
                <w:sz w:val="18"/>
                <w:szCs w:val="18"/>
              </w:rPr>
              <w:t xml:space="preserve"> </w:t>
            </w:r>
          </w:p>
        </w:tc>
        <w:tc>
          <w:tcPr>
            <w:tcW w:w="1418" w:type="dxa"/>
            <w:shd w:val="clear" w:color="auto" w:fill="C6EFCE"/>
            <w:noWrap/>
            <w:hideMark/>
          </w:tcPr>
          <w:p w14:paraId="2CDDD663" w14:textId="5DE103B3"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Acceptance certificates issued for</w:t>
            </w:r>
            <w:r w:rsidRPr="00483719" w:rsidDel="00FF5ECD">
              <w:rPr>
                <w:rFonts w:ascii="Times New Roman" w:hAnsi="Times New Roman" w:cs="Times New Roman"/>
                <w:noProof/>
                <w:sz w:val="18"/>
                <w:szCs w:val="18"/>
              </w:rPr>
              <w:t xml:space="preserve"> the delivery of firefighting</w:t>
            </w:r>
            <w:r w:rsidRPr="00483719">
              <w:rPr>
                <w:rFonts w:ascii="Times New Roman" w:hAnsi="Times New Roman" w:cs="Times New Roman"/>
                <w:noProof/>
                <w:sz w:val="18"/>
                <w:szCs w:val="18"/>
              </w:rPr>
              <w:t xml:space="preserve"> aircraft</w:t>
            </w:r>
            <w:r w:rsidRPr="00483719" w:rsidDel="00FF5ECD">
              <w:rPr>
                <w:rFonts w:ascii="Times New Roman" w:hAnsi="Times New Roman" w:cs="Times New Roman"/>
                <w:noProof/>
                <w:sz w:val="18"/>
                <w:szCs w:val="18"/>
              </w:rPr>
              <w:t xml:space="preserve"> vehicles and equipment</w:t>
            </w:r>
            <w:r w:rsidRPr="00483719">
              <w:rPr>
                <w:rFonts w:ascii="Times New Roman" w:hAnsi="Times New Roman" w:cs="Times New Roman"/>
                <w:noProof/>
                <w:sz w:val="18"/>
                <w:szCs w:val="18"/>
              </w:rPr>
              <w:t xml:space="preserve"> </w:t>
            </w:r>
          </w:p>
        </w:tc>
        <w:tc>
          <w:tcPr>
            <w:tcW w:w="1281" w:type="dxa"/>
            <w:shd w:val="clear" w:color="auto" w:fill="C6EFCE"/>
            <w:noWrap/>
            <w:hideMark/>
          </w:tcPr>
          <w:p w14:paraId="557667F5" w14:textId="6A8842D3"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3A7F1399" w14:textId="08787950"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hideMark/>
          </w:tcPr>
          <w:p w14:paraId="381F9625" w14:textId="10D2B1AE"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2ECFE0CF"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Q2</w:t>
            </w:r>
          </w:p>
        </w:tc>
        <w:tc>
          <w:tcPr>
            <w:tcW w:w="709" w:type="dxa"/>
            <w:shd w:val="clear" w:color="auto" w:fill="C6EFCE"/>
            <w:noWrap/>
            <w:hideMark/>
          </w:tcPr>
          <w:p w14:paraId="77F03718"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2026</w:t>
            </w:r>
          </w:p>
        </w:tc>
        <w:tc>
          <w:tcPr>
            <w:tcW w:w="3315" w:type="dxa"/>
            <w:shd w:val="clear" w:color="auto" w:fill="C6EFCE"/>
            <w:noWrap/>
            <w:hideMark/>
          </w:tcPr>
          <w:p w14:paraId="557E8203" w14:textId="71E1A0B3"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xml:space="preserve">Acceptance certificates issued for the delivery of firefighting aircraft, vehicles and equipment. </w:t>
            </w:r>
          </w:p>
        </w:tc>
      </w:tr>
      <w:tr w:rsidR="00C04BFF" w:rsidRPr="00483719" w14:paraId="6A934D9A" w14:textId="77777777" w:rsidTr="00D8670B">
        <w:trPr>
          <w:trHeight w:val="300"/>
          <w:jc w:val="center"/>
        </w:trPr>
        <w:tc>
          <w:tcPr>
            <w:tcW w:w="1134" w:type="dxa"/>
            <w:shd w:val="clear" w:color="auto" w:fill="C6EFCE"/>
            <w:noWrap/>
            <w:hideMark/>
          </w:tcPr>
          <w:p w14:paraId="6EC3114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48</w:t>
            </w:r>
          </w:p>
        </w:tc>
        <w:tc>
          <w:tcPr>
            <w:tcW w:w="1418" w:type="dxa"/>
            <w:shd w:val="clear" w:color="auto" w:fill="C6EFCE"/>
            <w:noWrap/>
            <w:hideMark/>
          </w:tcPr>
          <w:p w14:paraId="4C7B9EE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C2.1I10</w:t>
            </w:r>
          </w:p>
          <w:p w14:paraId="3D8BB4FF"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Market Management System (MMS) to facilitate the opening of the electricity market to competition</w:t>
            </w:r>
          </w:p>
        </w:tc>
        <w:tc>
          <w:tcPr>
            <w:tcW w:w="1134" w:type="dxa"/>
            <w:shd w:val="clear" w:color="auto" w:fill="C6EFCE"/>
            <w:noWrap/>
            <w:hideMark/>
          </w:tcPr>
          <w:p w14:paraId="33AB7381"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537ADFAC"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Installation of the Market Management System </w:t>
            </w:r>
          </w:p>
        </w:tc>
        <w:tc>
          <w:tcPr>
            <w:tcW w:w="1418" w:type="dxa"/>
            <w:shd w:val="clear" w:color="auto" w:fill="C6EFCE"/>
            <w:noWrap/>
            <w:hideMark/>
          </w:tcPr>
          <w:p w14:paraId="2BE3B21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Issuing of Final Acceptance Certificate for the Market Management System. </w:t>
            </w:r>
          </w:p>
        </w:tc>
        <w:tc>
          <w:tcPr>
            <w:tcW w:w="1281" w:type="dxa"/>
            <w:shd w:val="clear" w:color="auto" w:fill="C6EFCE"/>
            <w:noWrap/>
            <w:hideMark/>
          </w:tcPr>
          <w:p w14:paraId="5933BF59" w14:textId="7DF71BDA"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31408C81" w14:textId="0BF46A84"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1276" w:type="dxa"/>
            <w:shd w:val="clear" w:color="auto" w:fill="C6EFCE"/>
            <w:noWrap/>
            <w:hideMark/>
          </w:tcPr>
          <w:p w14:paraId="145AFC2B" w14:textId="3AA70838"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w:t>
            </w:r>
          </w:p>
        </w:tc>
        <w:tc>
          <w:tcPr>
            <w:tcW w:w="992" w:type="dxa"/>
            <w:shd w:val="clear" w:color="auto" w:fill="C6EFCE"/>
            <w:noWrap/>
            <w:hideMark/>
          </w:tcPr>
          <w:p w14:paraId="0188C628"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Q1</w:t>
            </w:r>
          </w:p>
        </w:tc>
        <w:tc>
          <w:tcPr>
            <w:tcW w:w="709" w:type="dxa"/>
            <w:shd w:val="clear" w:color="auto" w:fill="C6EFCE"/>
            <w:noWrap/>
            <w:hideMark/>
          </w:tcPr>
          <w:p w14:paraId="7726996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2023</w:t>
            </w:r>
          </w:p>
        </w:tc>
        <w:tc>
          <w:tcPr>
            <w:tcW w:w="3315" w:type="dxa"/>
            <w:shd w:val="clear" w:color="auto" w:fill="C6EFCE"/>
            <w:noWrap/>
            <w:hideMark/>
          </w:tcPr>
          <w:p w14:paraId="1ED849C8"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Installation of the Market Management System (MMS) for the Cyprus Electricity Market.</w:t>
            </w:r>
          </w:p>
        </w:tc>
      </w:tr>
      <w:tr w:rsidR="00C04BFF" w:rsidRPr="00483719" w14:paraId="789C6E18" w14:textId="77777777" w:rsidTr="00D8670B">
        <w:trPr>
          <w:trHeight w:val="300"/>
          <w:jc w:val="center"/>
        </w:trPr>
        <w:tc>
          <w:tcPr>
            <w:tcW w:w="1134" w:type="dxa"/>
            <w:shd w:val="clear" w:color="auto" w:fill="C6EFCE"/>
            <w:noWrap/>
            <w:hideMark/>
          </w:tcPr>
          <w:p w14:paraId="301505E2"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48a</w:t>
            </w:r>
          </w:p>
        </w:tc>
        <w:tc>
          <w:tcPr>
            <w:tcW w:w="1418" w:type="dxa"/>
            <w:shd w:val="clear" w:color="auto" w:fill="C6EFCE"/>
            <w:noWrap/>
            <w:hideMark/>
          </w:tcPr>
          <w:p w14:paraId="318F6906"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C2.1I10</w:t>
            </w:r>
          </w:p>
          <w:p w14:paraId="65BCCE50"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Market Management System (MMS) to facilitate the opening of the electricity market to competition</w:t>
            </w:r>
          </w:p>
        </w:tc>
        <w:tc>
          <w:tcPr>
            <w:tcW w:w="1134" w:type="dxa"/>
            <w:shd w:val="clear" w:color="auto" w:fill="C6EFCE"/>
            <w:noWrap/>
            <w:hideMark/>
          </w:tcPr>
          <w:p w14:paraId="1743C9AD"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Milestone</w:t>
            </w:r>
          </w:p>
        </w:tc>
        <w:tc>
          <w:tcPr>
            <w:tcW w:w="1842" w:type="dxa"/>
            <w:shd w:val="clear" w:color="auto" w:fill="C6EFCE"/>
            <w:noWrap/>
            <w:hideMark/>
          </w:tcPr>
          <w:p w14:paraId="1E9CB9EE"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First financial transactions of the MMS</w:t>
            </w:r>
          </w:p>
        </w:tc>
        <w:tc>
          <w:tcPr>
            <w:tcW w:w="1418" w:type="dxa"/>
            <w:shd w:val="clear" w:color="auto" w:fill="C6EFCE"/>
            <w:noWrap/>
            <w:hideMark/>
          </w:tcPr>
          <w:p w14:paraId="7D95AF42" w14:textId="77777777" w:rsidR="00C04BFF" w:rsidRPr="00483719" w:rsidRDefault="00C04BFF" w:rsidP="00D8670B">
            <w:pPr>
              <w:spacing w:after="0" w:line="240" w:lineRule="auto"/>
              <w:rPr>
                <w:rFonts w:ascii="Times New Roman" w:hAnsi="Times New Roman" w:cs="Times New Roman"/>
                <w:noProof/>
                <w:sz w:val="18"/>
                <w:szCs w:val="18"/>
              </w:rPr>
            </w:pPr>
            <w:r w:rsidRPr="00483719">
              <w:rPr>
                <w:rFonts w:ascii="Times New Roman" w:hAnsi="Times New Roman" w:cs="Times New Roman"/>
                <w:noProof/>
                <w:sz w:val="18"/>
                <w:szCs w:val="18"/>
              </w:rPr>
              <w:t xml:space="preserve">CERA Decision declaring the first day of electricity market trading, results of the electricity market for the first week of trading. </w:t>
            </w:r>
          </w:p>
        </w:tc>
        <w:tc>
          <w:tcPr>
            <w:tcW w:w="1281" w:type="dxa"/>
            <w:shd w:val="clear" w:color="auto" w:fill="C6EFCE"/>
            <w:noWrap/>
            <w:hideMark/>
          </w:tcPr>
          <w:p w14:paraId="727161F9" w14:textId="77777777" w:rsidR="00C04BFF" w:rsidRPr="00483719" w:rsidRDefault="00C04BFF" w:rsidP="00FC4C5E">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02C875FC" w14:textId="77777777" w:rsidR="00C04BFF" w:rsidRPr="00483719" w:rsidRDefault="00C04BFF" w:rsidP="00FC4C5E">
            <w:pPr>
              <w:spacing w:after="0" w:line="240" w:lineRule="auto"/>
              <w:jc w:val="center"/>
              <w:rPr>
                <w:rFonts w:ascii="Times New Roman" w:hAnsi="Times New Roman" w:cs="Times New Roman"/>
                <w:noProof/>
                <w:sz w:val="18"/>
                <w:szCs w:val="18"/>
              </w:rPr>
            </w:pPr>
          </w:p>
        </w:tc>
        <w:tc>
          <w:tcPr>
            <w:tcW w:w="1276" w:type="dxa"/>
            <w:shd w:val="clear" w:color="auto" w:fill="C6EFCE"/>
            <w:noWrap/>
            <w:hideMark/>
          </w:tcPr>
          <w:p w14:paraId="5F630702" w14:textId="77777777" w:rsidR="00C04BFF" w:rsidRPr="00483719" w:rsidRDefault="00C04BFF" w:rsidP="00FC4C5E">
            <w:pPr>
              <w:spacing w:after="0" w:line="240" w:lineRule="auto"/>
              <w:jc w:val="center"/>
              <w:rPr>
                <w:rFonts w:ascii="Times New Roman" w:hAnsi="Times New Roman" w:cs="Times New Roman"/>
                <w:noProof/>
                <w:sz w:val="18"/>
                <w:szCs w:val="18"/>
              </w:rPr>
            </w:pPr>
          </w:p>
        </w:tc>
        <w:tc>
          <w:tcPr>
            <w:tcW w:w="992" w:type="dxa"/>
            <w:shd w:val="clear" w:color="auto" w:fill="C6EFCE"/>
            <w:noWrap/>
            <w:hideMark/>
          </w:tcPr>
          <w:p w14:paraId="7510B5FC"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Q3</w:t>
            </w:r>
          </w:p>
        </w:tc>
        <w:tc>
          <w:tcPr>
            <w:tcW w:w="709" w:type="dxa"/>
            <w:shd w:val="clear" w:color="auto" w:fill="C6EFCE"/>
            <w:noWrap/>
            <w:hideMark/>
          </w:tcPr>
          <w:p w14:paraId="1D2288B9" w14:textId="77777777" w:rsidR="00C04BFF" w:rsidRPr="00483719" w:rsidRDefault="00C04BFF" w:rsidP="00FC4C5E">
            <w:pPr>
              <w:spacing w:after="0" w:line="240" w:lineRule="auto"/>
              <w:jc w:val="center"/>
              <w:rPr>
                <w:rFonts w:ascii="Times New Roman" w:hAnsi="Times New Roman" w:cs="Times New Roman"/>
                <w:noProof/>
                <w:sz w:val="18"/>
                <w:szCs w:val="18"/>
              </w:rPr>
            </w:pPr>
            <w:r w:rsidRPr="00483719">
              <w:rPr>
                <w:rFonts w:ascii="Times New Roman" w:hAnsi="Times New Roman" w:cs="Times New Roman"/>
                <w:noProof/>
                <w:sz w:val="18"/>
                <w:szCs w:val="18"/>
              </w:rPr>
              <w:t>2025</w:t>
            </w:r>
          </w:p>
        </w:tc>
        <w:tc>
          <w:tcPr>
            <w:tcW w:w="3315" w:type="dxa"/>
            <w:shd w:val="clear" w:color="auto" w:fill="C6EFCE"/>
            <w:noWrap/>
            <w:hideMark/>
          </w:tcPr>
          <w:p w14:paraId="50E3E491" w14:textId="77777777" w:rsidR="00C04BFF" w:rsidRPr="00483719" w:rsidRDefault="00C04BFF" w:rsidP="00FC4C5E">
            <w:pPr>
              <w:spacing w:after="0" w:line="240" w:lineRule="auto"/>
              <w:jc w:val="both"/>
              <w:rPr>
                <w:rFonts w:ascii="Times New Roman" w:hAnsi="Times New Roman" w:cs="Times New Roman"/>
                <w:noProof/>
                <w:sz w:val="18"/>
                <w:szCs w:val="18"/>
              </w:rPr>
            </w:pPr>
            <w:r w:rsidRPr="00483719">
              <w:rPr>
                <w:rFonts w:ascii="Times New Roman" w:hAnsi="Times New Roman" w:cs="Times New Roman"/>
                <w:noProof/>
                <w:sz w:val="18"/>
                <w:szCs w:val="18"/>
              </w:rPr>
              <w:t xml:space="preserve">Decision by CERA on the market operation evidenced by the first financial transactions performed through the MMS. </w:t>
            </w:r>
          </w:p>
          <w:p w14:paraId="51C473D4" w14:textId="77777777" w:rsidR="00C04BFF" w:rsidRPr="00483719" w:rsidRDefault="00C04BFF" w:rsidP="00FC4C5E">
            <w:pPr>
              <w:spacing w:after="0" w:line="240" w:lineRule="auto"/>
              <w:jc w:val="both"/>
              <w:rPr>
                <w:rFonts w:ascii="Times New Roman" w:hAnsi="Times New Roman" w:cs="Times New Roman"/>
                <w:noProof/>
                <w:sz w:val="18"/>
                <w:szCs w:val="18"/>
              </w:rPr>
            </w:pPr>
          </w:p>
        </w:tc>
      </w:tr>
    </w:tbl>
    <w:p w14:paraId="44C62483" w14:textId="77777777" w:rsidR="00C04BFF" w:rsidRPr="000F04FA" w:rsidRDefault="00C04BFF">
      <w:pPr>
        <w:rPr>
          <w:noProof/>
        </w:rPr>
        <w:sectPr w:rsidR="00C04BFF" w:rsidRPr="000F04FA" w:rsidSect="00C04BFF">
          <w:headerReference w:type="default" r:id="rId32"/>
          <w:footerReference w:type="default" r:id="rId33"/>
          <w:pgSz w:w="15840" w:h="12240" w:orient="landscape"/>
          <w:pgMar w:top="1440" w:right="1440" w:bottom="1440" w:left="1440" w:header="720" w:footer="720" w:gutter="0"/>
          <w:cols w:space="720"/>
          <w:docGrid w:linePitch="360"/>
        </w:sectPr>
      </w:pPr>
    </w:p>
    <w:p w14:paraId="5D38159C" w14:textId="77777777" w:rsidR="00F337CE" w:rsidRPr="000F04FA" w:rsidRDefault="00F337CE" w:rsidP="00F337CE">
      <w:pPr>
        <w:keepNext/>
        <w:spacing w:before="360" w:after="120" w:line="240" w:lineRule="auto"/>
        <w:jc w:val="both"/>
        <w:outlineLvl w:val="0"/>
        <w:rPr>
          <w:rFonts w:ascii="Times New Roman" w:hAnsi="Times New Roman"/>
          <w:b/>
          <w:bCs/>
          <w:smallCaps/>
          <w:noProof/>
        </w:rPr>
      </w:pPr>
      <w:r w:rsidRPr="000F04FA">
        <w:rPr>
          <w:rFonts w:ascii="Times New Roman" w:hAnsi="Times New Roman"/>
          <w:b/>
          <w:bCs/>
          <w:smallCaps/>
          <w:noProof/>
        </w:rPr>
        <w:t>C. COMPONENT 2.2: Sustainable Transport</w:t>
      </w:r>
    </w:p>
    <w:p w14:paraId="4BA1D7B0"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hAnsi="Times New Roman"/>
          <w:noProof/>
        </w:rPr>
        <w:t xml:space="preserve">This component of the Cyprus recovery and resilience plan aims </w:t>
      </w:r>
      <w:r w:rsidRPr="000F04FA">
        <w:rPr>
          <w:rFonts w:ascii="Times New Roman" w:eastAsia="Calibri" w:hAnsi="Times New Roman" w:cs="Times New Roman"/>
          <w:noProof/>
        </w:rPr>
        <w:t>to promote</w:t>
      </w:r>
      <w:r w:rsidRPr="000F04FA">
        <w:rPr>
          <w:rFonts w:ascii="Times New Roman" w:hAnsi="Times New Roman"/>
          <w:noProof/>
        </w:rPr>
        <w:t xml:space="preserve"> cleaner, smarter, safer, and fairer urban mobility by encouraging a modal shift to sustainable modes of transport, and to promote the use of zero or low-emission vehicles (LEVs) as well as the use of digital systems in the transport sector. </w:t>
      </w:r>
    </w:p>
    <w:p w14:paraId="1ADC68DC"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hAnsi="Times New Roman"/>
          <w:noProof/>
        </w:rPr>
        <w:t>The component addresses the country-specific recommendations on investment in sustainable transport (Country-Specific Recommendation 4 of 2019 and Country-Specific Recommendation 3 of 2020).</w:t>
      </w:r>
    </w:p>
    <w:p w14:paraId="14AF854F" w14:textId="39556C9B" w:rsidR="00F337CE" w:rsidRPr="000F04FA" w:rsidRDefault="00F337CE" w:rsidP="00F337CE">
      <w:pPr>
        <w:spacing w:before="120" w:after="120"/>
        <w:jc w:val="both"/>
        <w:rPr>
          <w:rFonts w:ascii="Times New Roman" w:hAnsi="Times New Roman"/>
          <w:i/>
          <w:noProof/>
        </w:rPr>
      </w:pPr>
      <w:r w:rsidRPr="000F04FA">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064579">
        <w:rPr>
          <w:rFonts w:ascii="Times New Roman" w:hAnsi="Times New Roman"/>
          <w:noProof/>
        </w:rPr>
        <w:t xml:space="preserve"> </w:t>
      </w:r>
    </w:p>
    <w:p w14:paraId="2C99E2D2" w14:textId="77777777" w:rsidR="00F337CE" w:rsidRPr="000F04FA" w:rsidRDefault="00F337CE" w:rsidP="00F337CE">
      <w:pPr>
        <w:spacing w:before="120" w:after="120" w:line="240" w:lineRule="auto"/>
        <w:jc w:val="both"/>
        <w:rPr>
          <w:rFonts w:ascii="Times New Roman" w:hAnsi="Times New Roman"/>
          <w:noProof/>
        </w:rPr>
      </w:pPr>
    </w:p>
    <w:p w14:paraId="269F51D5" w14:textId="77777777" w:rsidR="00F337CE" w:rsidRPr="000F04FA" w:rsidRDefault="00F337CE" w:rsidP="00F337CE">
      <w:pPr>
        <w:spacing w:before="120" w:after="120" w:line="240" w:lineRule="auto"/>
        <w:jc w:val="both"/>
        <w:rPr>
          <w:rFonts w:ascii="Times New Roman" w:hAnsi="Times New Roman"/>
          <w:b/>
          <w:i/>
          <w:noProof/>
        </w:rPr>
      </w:pPr>
      <w:r w:rsidRPr="000F04FA">
        <w:rPr>
          <w:rFonts w:ascii="Times New Roman" w:hAnsi="Times New Roman"/>
          <w:b/>
          <w:noProof/>
          <w:u w:val="single"/>
        </w:rPr>
        <w:t xml:space="preserve">C.1. </w:t>
      </w:r>
      <w:r w:rsidRPr="000F04FA">
        <w:rPr>
          <w:rFonts w:ascii="Times New Roman" w:hAnsi="Times New Roman"/>
          <w:noProof/>
        </w:rPr>
        <w:tab/>
      </w:r>
      <w:r w:rsidRPr="000F04FA">
        <w:rPr>
          <w:rFonts w:ascii="Times New Roman" w:hAnsi="Times New Roman"/>
          <w:b/>
          <w:noProof/>
          <w:u w:val="single"/>
        </w:rPr>
        <w:t>Description of the reforms and investments for non-repayable financial support</w:t>
      </w:r>
    </w:p>
    <w:p w14:paraId="49130D0E" w14:textId="77777777" w:rsidR="00F337CE" w:rsidRPr="000F04FA" w:rsidRDefault="00F337CE" w:rsidP="00F337CE">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Reform 1 (C2.2R1): </w:t>
      </w:r>
      <w:r w:rsidRPr="000F04FA">
        <w:rPr>
          <w:rFonts w:ascii="Times New Roman" w:eastAsia="Calibri" w:hAnsi="Times New Roman" w:cs="Times New Roman"/>
          <w:noProof/>
          <w:u w:val="single"/>
        </w:rPr>
        <w:t>Installation</w:t>
      </w:r>
      <w:r w:rsidRPr="000F04FA">
        <w:rPr>
          <w:rFonts w:ascii="Times New Roman" w:hAnsi="Times New Roman"/>
          <w:noProof/>
          <w:u w:val="single"/>
        </w:rPr>
        <w:t xml:space="preserve"> of an Intelligent Transport System using Digital Twin technologies</w:t>
      </w:r>
    </w:p>
    <w:p w14:paraId="7AE8A028"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hAnsi="Times New Roman"/>
          <w:noProof/>
        </w:rPr>
        <w:t xml:space="preserve">The objective of </w:t>
      </w:r>
      <w:r w:rsidRPr="000F04FA">
        <w:rPr>
          <w:rFonts w:ascii="Times New Roman" w:eastAsia="Calibri" w:hAnsi="Times New Roman" w:cs="Times New Roman"/>
          <w:noProof/>
        </w:rPr>
        <w:t>this reform</w:t>
      </w:r>
      <w:r w:rsidRPr="000F04FA">
        <w:rPr>
          <w:rFonts w:ascii="Times New Roman" w:hAnsi="Times New Roman"/>
          <w:noProof/>
        </w:rPr>
        <w:t xml:space="preserve"> is to </w:t>
      </w:r>
      <w:r w:rsidRPr="000F04FA">
        <w:rPr>
          <w:rFonts w:ascii="Times New Roman" w:hAnsi="Times New Roman" w:cs="Times New Roman"/>
          <w:noProof/>
        </w:rPr>
        <w:t>introduce smart features to</w:t>
      </w:r>
      <w:r w:rsidRPr="000F04FA">
        <w:rPr>
          <w:rFonts w:ascii="Times New Roman" w:hAnsi="Times New Roman"/>
          <w:noProof/>
        </w:rPr>
        <w:t xml:space="preserve"> technological infrastructure</w:t>
      </w:r>
      <w:r w:rsidRPr="000F04FA">
        <w:rPr>
          <w:rFonts w:ascii="Times New Roman" w:eastAsia="Calibri" w:hAnsi="Times New Roman" w:cs="Times New Roman"/>
          <w:noProof/>
        </w:rPr>
        <w:t xml:space="preserve">. </w:t>
      </w:r>
    </w:p>
    <w:p w14:paraId="49552913" w14:textId="77777777" w:rsidR="00F337CE" w:rsidRPr="000F04FA" w:rsidRDefault="00F337CE" w:rsidP="00F337CE">
      <w:pPr>
        <w:spacing w:before="120" w:after="120" w:line="240" w:lineRule="auto"/>
        <w:jc w:val="both"/>
        <w:rPr>
          <w:rFonts w:ascii="Times New Roman" w:eastAsia="Calibri" w:hAnsi="Times New Roman" w:cs="Times New Roman"/>
          <w:noProof/>
        </w:rPr>
      </w:pPr>
      <w:r w:rsidRPr="000F04FA">
        <w:rPr>
          <w:rFonts w:ascii="Times New Roman" w:eastAsia="Calibri" w:hAnsi="Times New Roman" w:cs="Times New Roman"/>
          <w:noProof/>
        </w:rPr>
        <w:t xml:space="preserve">This measure consists in installing an Intelligent Transport System. </w:t>
      </w:r>
    </w:p>
    <w:p w14:paraId="63159232" w14:textId="77777777" w:rsidR="00F337CE" w:rsidRPr="000F04FA" w:rsidRDefault="00F337CE" w:rsidP="00F337CE">
      <w:pPr>
        <w:spacing w:before="120" w:after="120" w:line="240" w:lineRule="auto"/>
        <w:jc w:val="both"/>
        <w:rPr>
          <w:rFonts w:ascii="Times New Roman" w:eastAsia="Calibri" w:hAnsi="Times New Roman" w:cs="Times New Roman"/>
          <w:noProof/>
          <w:u w:val="single"/>
        </w:rPr>
      </w:pPr>
    </w:p>
    <w:p w14:paraId="4D966F44" w14:textId="77777777" w:rsidR="00F337CE" w:rsidRPr="000F04FA" w:rsidRDefault="00F337CE" w:rsidP="00F337CE">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Reform 2 (C2.2R2): </w:t>
      </w:r>
      <w:r w:rsidRPr="000F04FA">
        <w:rPr>
          <w:rFonts w:ascii="Times New Roman" w:hAnsi="Times New Roman" w:cs="Times New Roman"/>
          <w:noProof/>
          <w:u w:val="single"/>
        </w:rPr>
        <w:t>Entry into force of legal act(s) regarding</w:t>
      </w:r>
      <w:r w:rsidRPr="000F04FA">
        <w:rPr>
          <w:rFonts w:ascii="Times New Roman" w:hAnsi="Times New Roman"/>
          <w:noProof/>
          <w:u w:val="single"/>
        </w:rPr>
        <w:t xml:space="preserve"> electric vehicle (EV) recharging infrastructure</w:t>
      </w:r>
    </w:p>
    <w:p w14:paraId="1F375B26" w14:textId="77777777" w:rsidR="00F337CE" w:rsidRPr="000F04FA" w:rsidRDefault="00F337CE" w:rsidP="00A33217">
      <w:pPr>
        <w:spacing w:before="120" w:after="120" w:line="240" w:lineRule="auto"/>
        <w:jc w:val="both"/>
        <w:rPr>
          <w:rFonts w:ascii="Times New Roman" w:hAnsi="Times New Roman"/>
          <w:noProof/>
        </w:rPr>
      </w:pPr>
      <w:r w:rsidRPr="000F04FA">
        <w:rPr>
          <w:rFonts w:ascii="Times New Roman" w:hAnsi="Times New Roman"/>
          <w:noProof/>
        </w:rPr>
        <w:t xml:space="preserve">The objective of </w:t>
      </w:r>
      <w:r w:rsidRPr="000F04FA">
        <w:rPr>
          <w:rFonts w:ascii="Times New Roman" w:eastAsia="Calibri" w:hAnsi="Times New Roman" w:cs="Times New Roman"/>
          <w:noProof/>
        </w:rPr>
        <w:t>this reform</w:t>
      </w:r>
      <w:r w:rsidRPr="000F04FA">
        <w:rPr>
          <w:rFonts w:ascii="Times New Roman" w:hAnsi="Times New Roman"/>
          <w:noProof/>
        </w:rPr>
        <w:t xml:space="preserve"> is to </w:t>
      </w:r>
      <w:r w:rsidRPr="000F04FA">
        <w:rPr>
          <w:rFonts w:ascii="Times New Roman" w:eastAsia="Calibri" w:hAnsi="Times New Roman" w:cs="Times New Roman"/>
          <w:noProof/>
        </w:rPr>
        <w:t>establish</w:t>
      </w:r>
      <w:r w:rsidRPr="000F04FA">
        <w:rPr>
          <w:rFonts w:ascii="Times New Roman" w:hAnsi="Times New Roman"/>
          <w:noProof/>
        </w:rPr>
        <w:t xml:space="preserve"> electro-mobility infrastructure for recharging EVs.</w:t>
      </w:r>
    </w:p>
    <w:p w14:paraId="29B0734F" w14:textId="77777777" w:rsidR="00F337CE" w:rsidRPr="000F04FA" w:rsidRDefault="00F337CE" w:rsidP="00A33217">
      <w:pPr>
        <w:spacing w:before="120" w:after="120" w:line="240" w:lineRule="auto"/>
        <w:jc w:val="both"/>
        <w:rPr>
          <w:rFonts w:ascii="Times New Roman" w:hAnsi="Times New Roman"/>
          <w:noProof/>
        </w:rPr>
      </w:pPr>
      <w:r w:rsidRPr="000F04FA">
        <w:rPr>
          <w:rFonts w:ascii="Times New Roman" w:eastAsia="Calibri" w:hAnsi="Times New Roman" w:cs="Times New Roman"/>
          <w:noProof/>
        </w:rPr>
        <w:t>This measure</w:t>
      </w:r>
      <w:r w:rsidRPr="000F04FA">
        <w:rPr>
          <w:rFonts w:ascii="Times New Roman" w:hAnsi="Times New Roman"/>
          <w:noProof/>
        </w:rPr>
        <w:t xml:space="preserve"> consists in the entry into force of </w:t>
      </w:r>
      <w:r w:rsidRPr="000F04FA">
        <w:rPr>
          <w:rFonts w:ascii="Times New Roman" w:hAnsi="Times New Roman" w:cs="Times New Roman"/>
          <w:noProof/>
        </w:rPr>
        <w:t>leg</w:t>
      </w:r>
      <w:r w:rsidRPr="000F04FA">
        <w:rPr>
          <w:rFonts w:ascii="Times New Roman" w:eastAsia="Calibri" w:hAnsi="Times New Roman" w:cs="Times New Roman"/>
          <w:noProof/>
        </w:rPr>
        <w:t>al act(s)</w:t>
      </w:r>
      <w:r w:rsidRPr="000F04FA">
        <w:rPr>
          <w:rFonts w:ascii="Times New Roman" w:hAnsi="Times New Roman"/>
          <w:noProof/>
        </w:rPr>
        <w:t xml:space="preserve"> on recharging infrastructure for EV. </w:t>
      </w:r>
    </w:p>
    <w:p w14:paraId="71446182" w14:textId="77777777" w:rsidR="00F337CE" w:rsidRPr="000F04FA" w:rsidRDefault="00F337CE" w:rsidP="00F337CE">
      <w:pPr>
        <w:spacing w:before="120" w:after="120" w:line="240" w:lineRule="auto"/>
        <w:jc w:val="both"/>
        <w:rPr>
          <w:rFonts w:ascii="Times New Roman" w:hAnsi="Times New Roman"/>
          <w:noProof/>
        </w:rPr>
      </w:pPr>
    </w:p>
    <w:p w14:paraId="675DA0D3" w14:textId="77777777" w:rsidR="00F337CE" w:rsidRPr="000F04FA" w:rsidRDefault="00F337CE" w:rsidP="00F337CE">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Reform 3 (C2.2R3): </w:t>
      </w:r>
      <w:r w:rsidRPr="000F04FA">
        <w:rPr>
          <w:rFonts w:ascii="Times New Roman" w:hAnsi="Times New Roman" w:cs="Times New Roman"/>
          <w:noProof/>
          <w:u w:val="single"/>
        </w:rPr>
        <w:t>Entry into force of legal act(s) for</w:t>
      </w:r>
      <w:r w:rsidRPr="000F04FA">
        <w:rPr>
          <w:rFonts w:ascii="Times New Roman" w:hAnsi="Times New Roman"/>
          <w:noProof/>
          <w:u w:val="single"/>
        </w:rPr>
        <w:t xml:space="preserve"> the </w:t>
      </w:r>
      <w:r w:rsidRPr="000F04FA">
        <w:rPr>
          <w:rFonts w:ascii="Times New Roman" w:hAnsi="Times New Roman" w:cs="Times New Roman"/>
          <w:noProof/>
          <w:u w:val="single"/>
        </w:rPr>
        <w:t>exclusion of</w:t>
      </w:r>
      <w:r w:rsidRPr="000F04FA">
        <w:rPr>
          <w:rFonts w:ascii="Times New Roman" w:hAnsi="Times New Roman"/>
          <w:noProof/>
          <w:u w:val="single"/>
        </w:rPr>
        <w:t xml:space="preserve"> polluting vehicles</w:t>
      </w:r>
    </w:p>
    <w:p w14:paraId="0DEFAE60"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hAnsi="Times New Roman"/>
          <w:noProof/>
        </w:rPr>
        <w:t xml:space="preserve">The objective of </w:t>
      </w:r>
      <w:r w:rsidRPr="000F04FA">
        <w:rPr>
          <w:rFonts w:ascii="Times New Roman" w:eastAsia="Calibri" w:hAnsi="Times New Roman" w:cs="Times New Roman"/>
          <w:noProof/>
        </w:rPr>
        <w:t>this</w:t>
      </w:r>
      <w:r w:rsidRPr="000F04FA">
        <w:rPr>
          <w:rFonts w:ascii="Times New Roman" w:hAnsi="Times New Roman"/>
          <w:noProof/>
        </w:rPr>
        <w:t xml:space="preserve"> reform is to provide the regulatory framework to create </w:t>
      </w:r>
      <w:r w:rsidRPr="000F04FA">
        <w:rPr>
          <w:rFonts w:ascii="Times New Roman" w:eastAsia="Calibri" w:hAnsi="Times New Roman" w:cs="Times New Roman"/>
          <w:noProof/>
        </w:rPr>
        <w:t>incentives</w:t>
      </w:r>
      <w:r w:rsidRPr="000F04FA">
        <w:rPr>
          <w:rFonts w:ascii="Times New Roman" w:hAnsi="Times New Roman"/>
          <w:noProof/>
        </w:rPr>
        <w:t xml:space="preserve"> for replacing old and polluting </w:t>
      </w:r>
      <w:r w:rsidRPr="000F04FA">
        <w:rPr>
          <w:rFonts w:ascii="Times New Roman" w:eastAsia="Calibri" w:hAnsi="Times New Roman" w:cs="Times New Roman"/>
          <w:noProof/>
        </w:rPr>
        <w:t>vehicles</w:t>
      </w:r>
      <w:r w:rsidRPr="000F04FA">
        <w:rPr>
          <w:rFonts w:ascii="Times New Roman" w:hAnsi="Times New Roman"/>
          <w:noProof/>
        </w:rPr>
        <w:t>, and for using sustainable commuting and mobility solutions.</w:t>
      </w:r>
    </w:p>
    <w:p w14:paraId="3F0145AF"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hAnsi="Times New Roman"/>
          <w:noProof/>
        </w:rPr>
        <w:t xml:space="preserve">This </w:t>
      </w:r>
      <w:r w:rsidRPr="000F04FA">
        <w:rPr>
          <w:rFonts w:ascii="Times New Roman" w:eastAsia="Calibri" w:hAnsi="Times New Roman" w:cs="Times New Roman"/>
          <w:noProof/>
        </w:rPr>
        <w:t xml:space="preserve">measure consists in </w:t>
      </w:r>
      <w:r w:rsidRPr="000F04FA">
        <w:rPr>
          <w:rFonts w:ascii="Times New Roman" w:hAnsi="Times New Roman"/>
          <w:noProof/>
        </w:rPr>
        <w:t xml:space="preserve">the </w:t>
      </w:r>
      <w:r w:rsidRPr="000F04FA">
        <w:rPr>
          <w:rFonts w:ascii="Times New Roman" w:eastAsia="Calibri" w:hAnsi="Times New Roman" w:cs="Times New Roman"/>
          <w:noProof/>
        </w:rPr>
        <w:t xml:space="preserve">entry into force of </w:t>
      </w:r>
      <w:r w:rsidRPr="000F04FA">
        <w:rPr>
          <w:rFonts w:ascii="Times New Roman" w:hAnsi="Times New Roman"/>
          <w:noProof/>
        </w:rPr>
        <w:t xml:space="preserve">legal </w:t>
      </w:r>
      <w:r w:rsidRPr="000F04FA">
        <w:rPr>
          <w:rFonts w:ascii="Times New Roman" w:hAnsi="Times New Roman" w:cs="Times New Roman"/>
          <w:noProof/>
        </w:rPr>
        <w:t>act(s)</w:t>
      </w:r>
      <w:r w:rsidRPr="000F04FA">
        <w:rPr>
          <w:rFonts w:ascii="Times New Roman" w:hAnsi="Times New Roman"/>
          <w:noProof/>
        </w:rPr>
        <w:t xml:space="preserve"> allowing </w:t>
      </w:r>
      <w:r w:rsidRPr="000F04FA">
        <w:rPr>
          <w:rFonts w:ascii="Times New Roman" w:eastAsia="Calibri" w:hAnsi="Times New Roman" w:cs="Times New Roman"/>
          <w:noProof/>
        </w:rPr>
        <w:t xml:space="preserve">for </w:t>
      </w:r>
      <w:r w:rsidRPr="000F04FA">
        <w:rPr>
          <w:rFonts w:ascii="Times New Roman" w:hAnsi="Times New Roman"/>
          <w:noProof/>
        </w:rPr>
        <w:t xml:space="preserve">the </w:t>
      </w:r>
      <w:r w:rsidRPr="000F04FA">
        <w:rPr>
          <w:rFonts w:ascii="Times New Roman" w:eastAsia="Calibri" w:hAnsi="Times New Roman" w:cs="Times New Roman"/>
          <w:noProof/>
        </w:rPr>
        <w:t>adoption</w:t>
      </w:r>
      <w:r w:rsidRPr="000F04FA">
        <w:rPr>
          <w:rFonts w:ascii="Times New Roman" w:hAnsi="Times New Roman"/>
          <w:noProof/>
        </w:rPr>
        <w:t xml:space="preserve"> of measures </w:t>
      </w:r>
      <w:r w:rsidRPr="000F04FA">
        <w:rPr>
          <w:rFonts w:ascii="Times New Roman" w:eastAsia="Calibri" w:hAnsi="Times New Roman" w:cs="Times New Roman"/>
          <w:noProof/>
        </w:rPr>
        <w:t>linked to</w:t>
      </w:r>
      <w:r w:rsidRPr="000F04FA">
        <w:rPr>
          <w:rFonts w:ascii="Times New Roman" w:hAnsi="Times New Roman"/>
          <w:noProof/>
        </w:rPr>
        <w:t xml:space="preserve"> the exclusion of polluting vehicles from certain areas</w:t>
      </w:r>
      <w:r w:rsidRPr="000F04FA">
        <w:rPr>
          <w:rFonts w:ascii="Times New Roman" w:hAnsi="Times New Roman" w:cs="Times New Roman"/>
          <w:noProof/>
        </w:rPr>
        <w:t>.</w:t>
      </w:r>
      <w:r w:rsidRPr="000F04FA">
        <w:rPr>
          <w:rFonts w:ascii="Times New Roman" w:eastAsia="Calibri" w:hAnsi="Times New Roman" w:cs="Times New Roman"/>
          <w:noProof/>
        </w:rPr>
        <w:t xml:space="preserve"> </w:t>
      </w:r>
    </w:p>
    <w:p w14:paraId="2EDB15E1" w14:textId="77777777" w:rsidR="00F337CE" w:rsidRPr="000F04FA" w:rsidRDefault="00F337CE" w:rsidP="00F337CE">
      <w:pPr>
        <w:spacing w:before="120" w:after="120" w:line="240" w:lineRule="auto"/>
        <w:jc w:val="both"/>
        <w:rPr>
          <w:rFonts w:ascii="Times New Roman" w:hAnsi="Times New Roman"/>
          <w:noProof/>
        </w:rPr>
      </w:pPr>
    </w:p>
    <w:p w14:paraId="25E32145" w14:textId="77777777" w:rsidR="00F337CE" w:rsidRPr="000F04FA" w:rsidRDefault="00F337CE" w:rsidP="00F337CE">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2 (C2.2I2): Creation of electro-mobility infrastructure</w:t>
      </w:r>
    </w:p>
    <w:p w14:paraId="15802751"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eastAsia="Calibri" w:hAnsi="Times New Roman" w:cs="Times New Roman"/>
          <w:noProof/>
        </w:rPr>
        <w:t>The objective</w:t>
      </w:r>
      <w:r w:rsidRPr="000F04FA">
        <w:rPr>
          <w:rFonts w:ascii="Times New Roman" w:hAnsi="Times New Roman"/>
          <w:noProof/>
        </w:rPr>
        <w:t xml:space="preserve"> of </w:t>
      </w:r>
      <w:r w:rsidRPr="000F04FA">
        <w:rPr>
          <w:rFonts w:ascii="Times New Roman" w:eastAsia="Calibri" w:hAnsi="Times New Roman" w:cs="Times New Roman"/>
          <w:noProof/>
        </w:rPr>
        <w:t xml:space="preserve">this investment is </w:t>
      </w:r>
      <w:r w:rsidRPr="000F04FA">
        <w:rPr>
          <w:rFonts w:ascii="Times New Roman" w:hAnsi="Times New Roman"/>
          <w:noProof/>
        </w:rPr>
        <w:t>to create the necessary infrastructure to facilitate the transition to electro-mobility.</w:t>
      </w:r>
    </w:p>
    <w:p w14:paraId="7070FA55" w14:textId="6F93DD00" w:rsidR="00F337CE" w:rsidRPr="000F04FA" w:rsidRDefault="00F337CE" w:rsidP="00F337CE">
      <w:pPr>
        <w:spacing w:before="120" w:after="120" w:line="240" w:lineRule="auto"/>
        <w:jc w:val="both"/>
        <w:rPr>
          <w:rFonts w:ascii="Times New Roman" w:eastAsia="Calibri" w:hAnsi="Times New Roman" w:cs="Times New Roman"/>
          <w:noProof/>
        </w:rPr>
      </w:pPr>
      <w:r w:rsidRPr="000F04FA">
        <w:rPr>
          <w:rFonts w:ascii="Times New Roman" w:eastAsia="Calibri" w:hAnsi="Times New Roman" w:cs="Times New Roman"/>
          <w:noProof/>
        </w:rPr>
        <w:t>This measure is composed of three sub-measures:</w:t>
      </w:r>
    </w:p>
    <w:p w14:paraId="394079A7" w14:textId="3D51870F" w:rsidR="00F337CE" w:rsidRPr="000F04FA" w:rsidRDefault="00F337CE" w:rsidP="00547ADA">
      <w:pPr>
        <w:spacing w:before="120" w:after="120" w:line="240" w:lineRule="auto"/>
        <w:ind w:left="709" w:firstLine="11"/>
        <w:jc w:val="both"/>
        <w:rPr>
          <w:rFonts w:ascii="Times New Roman" w:hAnsi="Times New Roman"/>
          <w:noProof/>
          <w:u w:val="single"/>
        </w:rPr>
      </w:pPr>
      <w:r w:rsidRPr="000F04FA">
        <w:rPr>
          <w:rFonts w:ascii="Times New Roman" w:hAnsi="Times New Roman"/>
          <w:noProof/>
          <w:u w:val="single"/>
        </w:rPr>
        <w:t xml:space="preserve">Sub-measure 1: installation of publicly accessible EV charging stations and delivery of charging points used for EVs of the public sector fleet </w:t>
      </w:r>
    </w:p>
    <w:p w14:paraId="7987CF5C" w14:textId="169247B5" w:rsidR="00F337CE" w:rsidRPr="000F04FA" w:rsidRDefault="00F337CE" w:rsidP="00F337CE">
      <w:pPr>
        <w:spacing w:before="120" w:after="120" w:line="240" w:lineRule="auto"/>
        <w:jc w:val="both"/>
        <w:rPr>
          <w:rFonts w:ascii="Times New Roman" w:hAnsi="Times New Roman"/>
          <w:noProof/>
        </w:rPr>
      </w:pPr>
      <w:r w:rsidRPr="000F04FA">
        <w:rPr>
          <w:rFonts w:ascii="Times New Roman" w:eastAsia="Calibri" w:hAnsi="Times New Roman" w:cs="Times New Roman"/>
          <w:noProof/>
        </w:rPr>
        <w:t>This</w:t>
      </w:r>
      <w:r w:rsidRPr="000F04FA">
        <w:rPr>
          <w:rFonts w:ascii="Times New Roman" w:hAnsi="Times New Roman"/>
          <w:noProof/>
        </w:rPr>
        <w:t xml:space="preserve"> investment consists in the installation of publicly accessible EV charging </w:t>
      </w:r>
      <w:r w:rsidRPr="000F04FA">
        <w:rPr>
          <w:rFonts w:ascii="Times New Roman" w:eastAsia="Calibri" w:hAnsi="Times New Roman" w:cs="Times New Roman"/>
          <w:noProof/>
        </w:rPr>
        <w:t>stations and the delivery of charging points used for EVs of the public sector fleet.</w:t>
      </w:r>
      <w:r w:rsidRPr="000F04FA">
        <w:rPr>
          <w:rFonts w:ascii="Times New Roman" w:hAnsi="Times New Roman"/>
          <w:noProof/>
        </w:rPr>
        <w:t xml:space="preserve"> </w:t>
      </w:r>
    </w:p>
    <w:p w14:paraId="6A2AF880" w14:textId="77777777" w:rsidR="00F337CE" w:rsidRPr="000F04FA" w:rsidRDefault="00F337CE" w:rsidP="00F337CE">
      <w:pPr>
        <w:spacing w:before="120" w:after="120" w:line="240" w:lineRule="auto"/>
        <w:ind w:left="720"/>
        <w:jc w:val="both"/>
        <w:rPr>
          <w:rFonts w:ascii="Times New Roman" w:hAnsi="Times New Roman"/>
          <w:noProof/>
          <w:u w:val="single"/>
        </w:rPr>
      </w:pPr>
      <w:r w:rsidRPr="000F04FA">
        <w:rPr>
          <w:rFonts w:ascii="Times New Roman" w:hAnsi="Times New Roman"/>
          <w:noProof/>
          <w:u w:val="single"/>
        </w:rPr>
        <w:t xml:space="preserve">Sub-measure 2: a grant scheme for the installation of publicly accessible charging points in the premises of businesses </w:t>
      </w:r>
      <w:r w:rsidRPr="000F04FA">
        <w:rPr>
          <w:rFonts w:ascii="Times New Roman" w:eastAsia="Calibri" w:hAnsi="Times New Roman" w:cs="Times New Roman"/>
          <w:noProof/>
          <w:u w:val="single"/>
        </w:rPr>
        <w:t>or</w:t>
      </w:r>
      <w:r w:rsidRPr="000F04FA">
        <w:rPr>
          <w:rFonts w:ascii="Times New Roman" w:hAnsi="Times New Roman"/>
          <w:noProof/>
          <w:u w:val="single"/>
        </w:rPr>
        <w:t xml:space="preserve"> local authorities</w:t>
      </w:r>
    </w:p>
    <w:p w14:paraId="0D8C3EEA"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eastAsia="Calibri" w:hAnsi="Times New Roman" w:cs="Times New Roman"/>
          <w:noProof/>
        </w:rPr>
        <w:t>This</w:t>
      </w:r>
      <w:r w:rsidRPr="000F04FA">
        <w:rPr>
          <w:rFonts w:ascii="Times New Roman" w:hAnsi="Times New Roman"/>
          <w:noProof/>
        </w:rPr>
        <w:t xml:space="preserve"> scheme </w:t>
      </w:r>
      <w:r w:rsidRPr="000F04FA">
        <w:rPr>
          <w:rFonts w:ascii="Times New Roman" w:eastAsia="Calibri" w:hAnsi="Times New Roman" w:cs="Times New Roman"/>
          <w:noProof/>
        </w:rPr>
        <w:t>consists in support for</w:t>
      </w:r>
      <w:r w:rsidRPr="000F04FA">
        <w:rPr>
          <w:rFonts w:ascii="Times New Roman" w:hAnsi="Times New Roman"/>
          <w:noProof/>
        </w:rPr>
        <w:t xml:space="preserve"> the installation of charging points in </w:t>
      </w:r>
      <w:r w:rsidRPr="000F04FA">
        <w:rPr>
          <w:rFonts w:ascii="Times New Roman" w:eastAsia="Calibri" w:hAnsi="Times New Roman" w:cs="Times New Roman"/>
          <w:noProof/>
        </w:rPr>
        <w:t>the premises of</w:t>
      </w:r>
      <w:r w:rsidRPr="000F04FA">
        <w:rPr>
          <w:rFonts w:ascii="Times New Roman" w:hAnsi="Times New Roman"/>
          <w:noProof/>
        </w:rPr>
        <w:t xml:space="preserve"> businesses or </w:t>
      </w:r>
      <w:r w:rsidRPr="000F04FA">
        <w:rPr>
          <w:rFonts w:ascii="Times New Roman" w:eastAsia="Calibri" w:hAnsi="Times New Roman" w:cs="Times New Roman"/>
          <w:noProof/>
        </w:rPr>
        <w:t>local</w:t>
      </w:r>
      <w:r w:rsidRPr="000F04FA">
        <w:rPr>
          <w:rFonts w:ascii="Times New Roman" w:hAnsi="Times New Roman"/>
          <w:noProof/>
        </w:rPr>
        <w:t xml:space="preserve"> authorities. </w:t>
      </w:r>
    </w:p>
    <w:p w14:paraId="58564683" w14:textId="77777777" w:rsidR="00F337CE" w:rsidRPr="000F04FA" w:rsidRDefault="00F337CE" w:rsidP="00F337CE">
      <w:pPr>
        <w:spacing w:before="120" w:after="120" w:line="240" w:lineRule="auto"/>
        <w:ind w:left="720"/>
        <w:jc w:val="both"/>
        <w:rPr>
          <w:rFonts w:ascii="Times New Roman" w:hAnsi="Times New Roman"/>
          <w:noProof/>
          <w:u w:val="single"/>
        </w:rPr>
      </w:pPr>
      <w:r w:rsidRPr="000F04FA">
        <w:rPr>
          <w:rFonts w:ascii="Times New Roman" w:hAnsi="Times New Roman"/>
          <w:noProof/>
          <w:u w:val="single"/>
        </w:rPr>
        <w:t>Sub-measure 3: a grant scheme for charging EVs from RES</w:t>
      </w:r>
    </w:p>
    <w:p w14:paraId="00DBEF94"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eastAsia="Calibri" w:hAnsi="Times New Roman" w:cs="Times New Roman"/>
          <w:noProof/>
        </w:rPr>
        <w:t>This</w:t>
      </w:r>
      <w:r w:rsidRPr="000F04FA">
        <w:rPr>
          <w:rFonts w:ascii="Times New Roman" w:hAnsi="Times New Roman"/>
          <w:noProof/>
        </w:rPr>
        <w:t xml:space="preserve"> scheme </w:t>
      </w:r>
      <w:r w:rsidRPr="000F04FA">
        <w:rPr>
          <w:rFonts w:ascii="Times New Roman" w:eastAsia="Calibri" w:hAnsi="Times New Roman" w:cs="Times New Roman"/>
          <w:noProof/>
        </w:rPr>
        <w:t>consists in providing</w:t>
      </w:r>
      <w:r w:rsidRPr="000F04FA">
        <w:rPr>
          <w:rFonts w:ascii="Times New Roman" w:hAnsi="Times New Roman"/>
          <w:noProof/>
        </w:rPr>
        <w:t xml:space="preserve"> financial incentives to </w:t>
      </w:r>
      <w:r w:rsidRPr="000F04FA">
        <w:rPr>
          <w:rFonts w:ascii="Times New Roman" w:eastAsia="Calibri" w:hAnsi="Times New Roman" w:cs="Times New Roman"/>
          <w:noProof/>
        </w:rPr>
        <w:t>support</w:t>
      </w:r>
      <w:r w:rsidRPr="000F04FA">
        <w:rPr>
          <w:rFonts w:ascii="Times New Roman" w:hAnsi="Times New Roman"/>
          <w:noProof/>
        </w:rPr>
        <w:t xml:space="preserve"> charging of EVs from RES</w:t>
      </w:r>
      <w:r w:rsidRPr="000F04FA">
        <w:rPr>
          <w:rFonts w:ascii="Times New Roman" w:eastAsia="Calibri" w:hAnsi="Times New Roman" w:cs="Times New Roman"/>
          <w:noProof/>
        </w:rPr>
        <w:t>, including</w:t>
      </w:r>
      <w:r w:rsidRPr="000F04FA">
        <w:rPr>
          <w:rFonts w:ascii="Times New Roman" w:hAnsi="Times New Roman"/>
          <w:noProof/>
        </w:rPr>
        <w:t xml:space="preserve"> the installation of photovoltaic systems and charging equipment</w:t>
      </w:r>
      <w:r w:rsidRPr="000F04FA">
        <w:rPr>
          <w:rFonts w:ascii="Times New Roman" w:eastAsia="Calibri" w:hAnsi="Times New Roman" w:cs="Times New Roman"/>
          <w:noProof/>
        </w:rPr>
        <w:t xml:space="preserve">. </w:t>
      </w:r>
    </w:p>
    <w:p w14:paraId="1082A808" w14:textId="77777777" w:rsidR="00F337CE" w:rsidRPr="000F04FA" w:rsidRDefault="00F337CE" w:rsidP="00F337CE">
      <w:pPr>
        <w:spacing w:before="120" w:after="120" w:line="240" w:lineRule="auto"/>
        <w:jc w:val="both"/>
        <w:rPr>
          <w:rFonts w:ascii="Times New Roman" w:hAnsi="Times New Roman"/>
          <w:noProof/>
        </w:rPr>
      </w:pPr>
    </w:p>
    <w:p w14:paraId="7F74F546" w14:textId="77777777" w:rsidR="00F337CE" w:rsidRPr="000F04FA" w:rsidRDefault="00F337CE" w:rsidP="00F337CE">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Investment 3 (C2.2I3): </w:t>
      </w:r>
      <w:r w:rsidRPr="000F04FA">
        <w:rPr>
          <w:rFonts w:ascii="Times New Roman" w:eastAsia="Calibri" w:hAnsi="Times New Roman" w:cs="Times New Roman"/>
          <w:noProof/>
          <w:u w:val="single"/>
        </w:rPr>
        <w:t xml:space="preserve">Advance the </w:t>
      </w:r>
      <w:r w:rsidRPr="000F04FA">
        <w:rPr>
          <w:rFonts w:ascii="Times New Roman" w:hAnsi="Times New Roman"/>
          <w:noProof/>
          <w:u w:val="single"/>
        </w:rPr>
        <w:t>use of Electric Vehicles (EVs)</w:t>
      </w:r>
    </w:p>
    <w:p w14:paraId="44F276E0" w14:textId="3211B837" w:rsidR="00F337CE" w:rsidRPr="000F04FA" w:rsidRDefault="00F337CE" w:rsidP="00F337CE">
      <w:pPr>
        <w:spacing w:before="120" w:after="120" w:line="240" w:lineRule="auto"/>
        <w:jc w:val="both"/>
        <w:rPr>
          <w:rFonts w:ascii="Times New Roman" w:hAnsi="Times New Roman"/>
          <w:noProof/>
        </w:rPr>
      </w:pPr>
      <w:r w:rsidRPr="000F04FA">
        <w:rPr>
          <w:rFonts w:ascii="Times New Roman" w:hAnsi="Times New Roman"/>
          <w:noProof/>
        </w:rPr>
        <w:t xml:space="preserve">The objective of </w:t>
      </w:r>
      <w:r w:rsidRPr="000F04FA">
        <w:rPr>
          <w:rFonts w:ascii="Times New Roman" w:eastAsia="Calibri" w:hAnsi="Times New Roman" w:cs="Times New Roman"/>
          <w:noProof/>
        </w:rPr>
        <w:t>this investment</w:t>
      </w:r>
      <w:r w:rsidRPr="000F04FA">
        <w:rPr>
          <w:rFonts w:ascii="Times New Roman" w:hAnsi="Times New Roman" w:cs="Times New Roman"/>
          <w:noProof/>
        </w:rPr>
        <w:t xml:space="preserve"> </w:t>
      </w:r>
      <w:r w:rsidRPr="000F04FA">
        <w:rPr>
          <w:rFonts w:ascii="Times New Roman" w:hAnsi="Times New Roman"/>
          <w:noProof/>
        </w:rPr>
        <w:t>is the purchase of EVs, LEVs</w:t>
      </w:r>
      <w:r w:rsidRPr="000F04FA">
        <w:rPr>
          <w:rFonts w:ascii="Times New Roman" w:eastAsia="Calibri" w:hAnsi="Times New Roman" w:cs="Times New Roman"/>
          <w:noProof/>
        </w:rPr>
        <w:t>,</w:t>
      </w:r>
      <w:r w:rsidRPr="000F04FA">
        <w:rPr>
          <w:rFonts w:ascii="Times New Roman" w:hAnsi="Times New Roman"/>
          <w:noProof/>
        </w:rPr>
        <w:t xml:space="preserve"> electric bicycles and public or non-motorised modes of transport</w:t>
      </w:r>
      <w:r w:rsidRPr="000F04FA">
        <w:rPr>
          <w:rFonts w:ascii="Times New Roman" w:eastAsia="Calibri" w:hAnsi="Times New Roman" w:cs="Times New Roman"/>
          <w:noProof/>
        </w:rPr>
        <w:t>,</w:t>
      </w:r>
      <w:r w:rsidRPr="000F04FA">
        <w:rPr>
          <w:rFonts w:ascii="Times New Roman" w:hAnsi="Times New Roman"/>
          <w:noProof/>
        </w:rPr>
        <w:t xml:space="preserve"> while progressively phasing out older polluting vehicles from circulation. </w:t>
      </w:r>
    </w:p>
    <w:p w14:paraId="24C75BF3" w14:textId="77777777" w:rsidR="00F337CE" w:rsidRPr="000F04FA" w:rsidRDefault="00F337CE" w:rsidP="00F337CE">
      <w:pPr>
        <w:spacing w:before="120" w:after="120" w:line="240" w:lineRule="auto"/>
        <w:ind w:firstLine="720"/>
        <w:jc w:val="both"/>
        <w:rPr>
          <w:rFonts w:ascii="Times New Roman" w:hAnsi="Times New Roman"/>
          <w:noProof/>
          <w:u w:val="single"/>
        </w:rPr>
      </w:pPr>
      <w:r w:rsidRPr="000F04FA">
        <w:rPr>
          <w:rFonts w:ascii="Times New Roman" w:hAnsi="Times New Roman"/>
          <w:noProof/>
          <w:u w:val="single"/>
        </w:rPr>
        <w:t xml:space="preserve">Sub-measure 1: kick-start the transition to electro-mobility in the public sector and local authorities </w:t>
      </w:r>
    </w:p>
    <w:p w14:paraId="0F1F3453" w14:textId="04D5A43A" w:rsidR="00F337CE" w:rsidRPr="000F04FA" w:rsidRDefault="00F337CE" w:rsidP="00F337CE">
      <w:pPr>
        <w:spacing w:before="120" w:after="120" w:line="240" w:lineRule="auto"/>
        <w:jc w:val="both"/>
        <w:rPr>
          <w:rFonts w:ascii="Times New Roman" w:eastAsia="Calibri" w:hAnsi="Times New Roman" w:cs="Times New Roman"/>
          <w:noProof/>
        </w:rPr>
      </w:pPr>
      <w:r w:rsidRPr="000F04FA">
        <w:rPr>
          <w:rFonts w:ascii="Times New Roman" w:eastAsia="Calibri" w:hAnsi="Times New Roman" w:cs="Times New Roman"/>
          <w:noProof/>
        </w:rPr>
        <w:t>This investment consists in the purchase of electric vehicles for the public sector.</w:t>
      </w:r>
    </w:p>
    <w:p w14:paraId="3B270CB9" w14:textId="77777777" w:rsidR="00F337CE" w:rsidRPr="000F04FA" w:rsidRDefault="00F337CE" w:rsidP="00F337CE">
      <w:pPr>
        <w:spacing w:before="120" w:after="120" w:line="240" w:lineRule="auto"/>
        <w:jc w:val="both"/>
        <w:rPr>
          <w:rFonts w:ascii="Times New Roman" w:hAnsi="Times New Roman"/>
          <w:noProof/>
        </w:rPr>
      </w:pPr>
    </w:p>
    <w:p w14:paraId="641FF45D" w14:textId="77777777" w:rsidR="00F337CE" w:rsidRPr="000F04FA" w:rsidRDefault="00F337CE" w:rsidP="00F337CE">
      <w:pPr>
        <w:keepNext/>
        <w:spacing w:before="120" w:after="120" w:line="240" w:lineRule="auto"/>
        <w:ind w:firstLine="720"/>
        <w:jc w:val="both"/>
        <w:rPr>
          <w:rFonts w:ascii="Times New Roman" w:hAnsi="Times New Roman"/>
          <w:noProof/>
          <w:u w:val="single"/>
        </w:rPr>
      </w:pPr>
      <w:r w:rsidRPr="000F04FA">
        <w:rPr>
          <w:rFonts w:ascii="Times New Roman" w:hAnsi="Times New Roman"/>
          <w:noProof/>
          <w:u w:val="single"/>
        </w:rPr>
        <w:t>Sub-measure 2: a support scheme for the purchase of EVs</w:t>
      </w:r>
    </w:p>
    <w:p w14:paraId="38EE87DA" w14:textId="130A04C3" w:rsidR="00F337CE" w:rsidRPr="000F04FA" w:rsidRDefault="00F337CE" w:rsidP="00F337CE">
      <w:pPr>
        <w:spacing w:before="120" w:after="120" w:line="240" w:lineRule="auto"/>
        <w:jc w:val="both"/>
        <w:rPr>
          <w:rFonts w:ascii="Times New Roman" w:hAnsi="Times New Roman"/>
          <w:noProof/>
        </w:rPr>
      </w:pPr>
      <w:r w:rsidRPr="000F04FA">
        <w:rPr>
          <w:rFonts w:ascii="Times New Roman" w:eastAsia="Calibri" w:hAnsi="Times New Roman" w:cs="Times New Roman"/>
          <w:noProof/>
        </w:rPr>
        <w:t>This</w:t>
      </w:r>
      <w:r w:rsidRPr="000F04FA">
        <w:rPr>
          <w:rFonts w:ascii="Times New Roman" w:hAnsi="Times New Roman"/>
          <w:noProof/>
        </w:rPr>
        <w:t xml:space="preserve"> scheme </w:t>
      </w:r>
      <w:r w:rsidRPr="000F04FA">
        <w:rPr>
          <w:rFonts w:ascii="Times New Roman" w:eastAsia="Calibri" w:hAnsi="Times New Roman" w:cs="Times New Roman"/>
          <w:noProof/>
        </w:rPr>
        <w:t xml:space="preserve">consists in </w:t>
      </w:r>
      <w:r w:rsidRPr="000F04FA">
        <w:rPr>
          <w:rFonts w:ascii="Times New Roman" w:hAnsi="Times New Roman"/>
          <w:noProof/>
        </w:rPr>
        <w:t xml:space="preserve">the purchase or registration of electric vehicles and electric bicycles. </w:t>
      </w:r>
    </w:p>
    <w:p w14:paraId="31DE7789" w14:textId="77777777" w:rsidR="00F337CE" w:rsidRPr="000F04FA" w:rsidRDefault="00F337CE" w:rsidP="00F337CE">
      <w:pPr>
        <w:spacing w:before="120" w:after="120" w:line="240" w:lineRule="auto"/>
        <w:jc w:val="both"/>
        <w:rPr>
          <w:rFonts w:ascii="Times New Roman" w:hAnsi="Times New Roman"/>
          <w:noProof/>
        </w:rPr>
      </w:pPr>
    </w:p>
    <w:p w14:paraId="3E9C853B" w14:textId="77777777" w:rsidR="00F337CE" w:rsidRPr="000F04FA" w:rsidRDefault="00F337CE" w:rsidP="00F337CE">
      <w:pPr>
        <w:spacing w:before="120" w:after="120" w:line="240" w:lineRule="auto"/>
        <w:ind w:left="720"/>
        <w:jc w:val="both"/>
        <w:rPr>
          <w:rFonts w:ascii="Times New Roman" w:hAnsi="Times New Roman"/>
          <w:noProof/>
          <w:u w:val="single"/>
        </w:rPr>
      </w:pPr>
      <w:r w:rsidRPr="000F04FA">
        <w:rPr>
          <w:rFonts w:ascii="Times New Roman" w:hAnsi="Times New Roman"/>
          <w:noProof/>
          <w:u w:val="single"/>
        </w:rPr>
        <w:t>Sub-measure 3: a scrapping scheme for the most polluting vehicles combined with incentives for non/low emission mobility options</w:t>
      </w:r>
    </w:p>
    <w:p w14:paraId="15B006B2" w14:textId="77777777" w:rsidR="00F337CE" w:rsidRPr="000F04FA" w:rsidRDefault="00F337CE" w:rsidP="00F337CE">
      <w:pPr>
        <w:spacing w:before="120" w:after="120" w:line="240" w:lineRule="auto"/>
        <w:jc w:val="both"/>
        <w:rPr>
          <w:rFonts w:ascii="Times New Roman" w:hAnsi="Times New Roman"/>
          <w:noProof/>
        </w:rPr>
      </w:pPr>
      <w:r w:rsidRPr="000F04FA">
        <w:rPr>
          <w:rFonts w:ascii="Times New Roman" w:eastAsia="Calibri" w:hAnsi="Times New Roman" w:cs="Times New Roman"/>
          <w:noProof/>
        </w:rPr>
        <w:t>This</w:t>
      </w:r>
      <w:r w:rsidRPr="000F04FA">
        <w:rPr>
          <w:rFonts w:ascii="Times New Roman" w:hAnsi="Times New Roman"/>
          <w:noProof/>
        </w:rPr>
        <w:t xml:space="preserve"> scheme </w:t>
      </w:r>
      <w:r w:rsidRPr="000F04FA">
        <w:rPr>
          <w:rFonts w:ascii="Times New Roman" w:eastAsia="Calibri" w:hAnsi="Times New Roman" w:cs="Times New Roman"/>
          <w:noProof/>
        </w:rPr>
        <w:t>incentivises</w:t>
      </w:r>
      <w:r w:rsidRPr="000F04FA">
        <w:rPr>
          <w:rFonts w:ascii="Times New Roman" w:hAnsi="Times New Roman"/>
          <w:noProof/>
        </w:rPr>
        <w:t xml:space="preserve"> motorists to give up </w:t>
      </w:r>
      <w:r w:rsidRPr="000F04FA">
        <w:rPr>
          <w:rFonts w:ascii="Times New Roman" w:eastAsia="Calibri" w:hAnsi="Times New Roman" w:cs="Times New Roman"/>
          <w:noProof/>
        </w:rPr>
        <w:t>combustion engine</w:t>
      </w:r>
      <w:r w:rsidRPr="000F04FA">
        <w:rPr>
          <w:rFonts w:ascii="Times New Roman" w:hAnsi="Times New Roman"/>
          <w:noProof/>
        </w:rPr>
        <w:t xml:space="preserve"> vehicles in exchange for alternative mobility options, for example the purchase of a LEV or of an electric bicycle and/or free annual bus tickets. </w:t>
      </w:r>
      <w:r w:rsidRPr="000F04FA">
        <w:rPr>
          <w:rFonts w:ascii="Times New Roman" w:eastAsia="Calibri" w:hAnsi="Times New Roman" w:cs="Times New Roman"/>
          <w:noProof/>
        </w:rPr>
        <w:t>It also incentivises recycling of scrapped vehicles.</w:t>
      </w:r>
    </w:p>
    <w:p w14:paraId="1CFDA179" w14:textId="77777777" w:rsidR="00F337CE" w:rsidRPr="000F04FA" w:rsidRDefault="00F337CE" w:rsidP="00F337CE">
      <w:pPr>
        <w:rPr>
          <w:rFonts w:ascii="Times New Roman" w:hAnsi="Times New Roman"/>
          <w:noProof/>
        </w:rPr>
      </w:pPr>
    </w:p>
    <w:p w14:paraId="49286B62" w14:textId="77777777" w:rsidR="00F337CE" w:rsidRPr="000F04FA" w:rsidRDefault="00F337CE" w:rsidP="00F337CE">
      <w:pPr>
        <w:spacing w:before="120" w:after="120" w:line="240" w:lineRule="auto"/>
        <w:jc w:val="both"/>
        <w:rPr>
          <w:rFonts w:ascii="Times New Roman" w:hAnsi="Times New Roman" w:cs="Times New Roman"/>
          <w:noProof/>
          <w:u w:val="single"/>
        </w:rPr>
      </w:pPr>
      <w:r w:rsidRPr="000F04FA">
        <w:rPr>
          <w:rFonts w:ascii="Times New Roman" w:hAnsi="Times New Roman"/>
          <w:noProof/>
          <w:u w:val="single"/>
        </w:rPr>
        <w:t xml:space="preserve">Investment 1 (C2.2I1): </w:t>
      </w:r>
      <w:r w:rsidRPr="000F04FA">
        <w:rPr>
          <w:rFonts w:ascii="Times New Roman" w:hAnsi="Times New Roman" w:cs="Times New Roman"/>
          <w:noProof/>
          <w:u w:val="single"/>
        </w:rPr>
        <w:t>Sustainable Urban Mobility Projects (SUMP) and accessibility-enhancing measures</w:t>
      </w:r>
    </w:p>
    <w:p w14:paraId="2EAC72EF" w14:textId="77777777" w:rsidR="00F337CE" w:rsidRPr="000F04FA" w:rsidRDefault="00F337CE" w:rsidP="00F337CE">
      <w:pPr>
        <w:spacing w:before="120" w:after="120" w:line="240" w:lineRule="auto"/>
        <w:jc w:val="both"/>
        <w:rPr>
          <w:rFonts w:ascii="Times New Roman" w:eastAsia="Calibri" w:hAnsi="Times New Roman" w:cs="Times New Roman"/>
          <w:noProof/>
        </w:rPr>
      </w:pPr>
      <w:r w:rsidRPr="000F04FA">
        <w:rPr>
          <w:rFonts w:ascii="Times New Roman" w:hAnsi="Times New Roman" w:cs="Times New Roman"/>
          <w:noProof/>
        </w:rPr>
        <w:t xml:space="preserve">The objectives of </w:t>
      </w:r>
      <w:r w:rsidRPr="000F04FA">
        <w:rPr>
          <w:rFonts w:ascii="Times New Roman" w:eastAsia="Calibri" w:hAnsi="Times New Roman" w:cs="Times New Roman"/>
          <w:noProof/>
        </w:rPr>
        <w:t>this investment are</w:t>
      </w:r>
      <w:r w:rsidRPr="000F04FA">
        <w:rPr>
          <w:rFonts w:ascii="Times New Roman" w:hAnsi="Times New Roman" w:cs="Times New Roman"/>
          <w:noProof/>
        </w:rPr>
        <w:t xml:space="preserve"> to create the necessary infrastructure to enhance urban mobility with more environmentally friendly options</w:t>
      </w:r>
      <w:r w:rsidRPr="000F04FA">
        <w:rPr>
          <w:rFonts w:ascii="Times New Roman" w:eastAsia="Calibri" w:hAnsi="Times New Roman" w:cs="Times New Roman"/>
          <w:noProof/>
        </w:rPr>
        <w:t xml:space="preserve"> and to increase</w:t>
      </w:r>
      <w:r w:rsidRPr="000F04FA">
        <w:rPr>
          <w:rFonts w:ascii="Times New Roman" w:hAnsi="Times New Roman" w:cs="Times New Roman"/>
          <w:noProof/>
        </w:rPr>
        <w:t xml:space="preserve"> the city environment and road safety</w:t>
      </w:r>
      <w:r w:rsidRPr="000F04FA">
        <w:rPr>
          <w:rFonts w:ascii="Times New Roman" w:eastAsia="Calibri" w:hAnsi="Times New Roman" w:cs="Times New Roman"/>
          <w:noProof/>
        </w:rPr>
        <w:t xml:space="preserve">. </w:t>
      </w:r>
    </w:p>
    <w:p w14:paraId="6A1FF235" w14:textId="77777777" w:rsidR="00F337CE" w:rsidRPr="000F04FA" w:rsidRDefault="00F337CE" w:rsidP="00F337CE">
      <w:pPr>
        <w:spacing w:before="120" w:after="120" w:line="240" w:lineRule="auto"/>
        <w:jc w:val="both"/>
        <w:rPr>
          <w:rFonts w:ascii="Times New Roman" w:hAnsi="Times New Roman" w:cs="Times New Roman"/>
          <w:noProof/>
        </w:rPr>
        <w:sectPr w:rsidR="00F337CE" w:rsidRPr="000F04FA" w:rsidSect="00C04BFF">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pPr>
      <w:r w:rsidRPr="000F04FA">
        <w:rPr>
          <w:rFonts w:ascii="Times New Roman" w:eastAsia="Calibri" w:hAnsi="Times New Roman" w:cs="Times New Roman"/>
          <w:noProof/>
        </w:rPr>
        <w:t>These</w:t>
      </w:r>
      <w:r w:rsidRPr="000F04FA">
        <w:rPr>
          <w:rFonts w:ascii="Times New Roman" w:hAnsi="Times New Roman" w:cs="Times New Roman"/>
          <w:noProof/>
        </w:rPr>
        <w:t xml:space="preserve"> measures </w:t>
      </w:r>
      <w:r w:rsidRPr="000F04FA">
        <w:rPr>
          <w:rFonts w:ascii="Times New Roman" w:eastAsia="Calibri" w:hAnsi="Times New Roman" w:cs="Times New Roman"/>
          <w:noProof/>
        </w:rPr>
        <w:t>consist in</w:t>
      </w:r>
      <w:r w:rsidRPr="000F04FA">
        <w:rPr>
          <w:rFonts w:ascii="Times New Roman" w:hAnsi="Times New Roman" w:cs="Times New Roman"/>
          <w:noProof/>
        </w:rPr>
        <w:t xml:space="preserve"> investments for the accessibility and safe movement of pedestrians, cyclists, and persons with disabilities in urban centres.</w:t>
      </w:r>
    </w:p>
    <w:p w14:paraId="25EB70F7" w14:textId="77777777" w:rsidR="00F337CE" w:rsidRPr="000F04FA" w:rsidRDefault="00F337CE" w:rsidP="00F337CE">
      <w:pPr>
        <w:spacing w:before="120" w:after="240" w:line="240" w:lineRule="auto"/>
        <w:jc w:val="both"/>
        <w:rPr>
          <w:rFonts w:ascii="Times New Roman" w:hAnsi="Times New Roman"/>
          <w:b/>
          <w:noProof/>
          <w:u w:val="single"/>
        </w:rPr>
      </w:pPr>
      <w:r w:rsidRPr="000F04FA">
        <w:rPr>
          <w:rFonts w:ascii="Times New Roman" w:hAnsi="Times New Roman"/>
          <w:b/>
          <w:noProof/>
          <w:u w:val="single"/>
        </w:rPr>
        <w:t xml:space="preserve">C.2. </w:t>
      </w:r>
      <w:r w:rsidRPr="000F04FA">
        <w:rPr>
          <w:rFonts w:ascii="Times New Roman" w:hAnsi="Times New Roman"/>
          <w:noProof/>
        </w:rPr>
        <w:tab/>
      </w:r>
      <w:r w:rsidRPr="000F04FA">
        <w:rPr>
          <w:rFonts w:ascii="Times New Roman" w:hAnsi="Times New Roman"/>
          <w:b/>
          <w:noProof/>
          <w:u w:val="single"/>
        </w:rPr>
        <w:t>Milestones, targets, indicators, and timetable for monitoring and implementation for non-repayable financial support</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593"/>
        <w:gridCol w:w="1217"/>
        <w:gridCol w:w="1625"/>
        <w:gridCol w:w="1382"/>
        <w:gridCol w:w="954"/>
        <w:gridCol w:w="1052"/>
        <w:gridCol w:w="720"/>
        <w:gridCol w:w="1043"/>
        <w:gridCol w:w="731"/>
        <w:gridCol w:w="3437"/>
      </w:tblGrid>
      <w:tr w:rsidR="00F337CE" w:rsidRPr="00A33217" w14:paraId="4B504504" w14:textId="77777777">
        <w:trPr>
          <w:trHeight w:val="300"/>
          <w:tblHeader/>
          <w:jc w:val="center"/>
        </w:trPr>
        <w:tc>
          <w:tcPr>
            <w:tcW w:w="1131" w:type="dxa"/>
            <w:vMerge w:val="restart"/>
            <w:shd w:val="clear" w:color="auto" w:fill="BDD7EE"/>
            <w:vAlign w:val="center"/>
            <w:hideMark/>
          </w:tcPr>
          <w:p w14:paraId="54598507"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Sequential Number</w:t>
            </w:r>
          </w:p>
        </w:tc>
        <w:tc>
          <w:tcPr>
            <w:tcW w:w="1593" w:type="dxa"/>
            <w:vMerge w:val="restart"/>
            <w:shd w:val="clear" w:color="auto" w:fill="BDD7EE"/>
            <w:vAlign w:val="center"/>
            <w:hideMark/>
          </w:tcPr>
          <w:p w14:paraId="09513A75"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Related Measure</w:t>
            </w:r>
          </w:p>
          <w:p w14:paraId="0C3C56F9"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(Reform or Investment)</w:t>
            </w:r>
          </w:p>
        </w:tc>
        <w:tc>
          <w:tcPr>
            <w:tcW w:w="1217" w:type="dxa"/>
            <w:vMerge w:val="restart"/>
            <w:shd w:val="clear" w:color="auto" w:fill="BDD7EE"/>
            <w:vAlign w:val="center"/>
            <w:hideMark/>
          </w:tcPr>
          <w:p w14:paraId="01E15857"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Milestone / Target</w:t>
            </w:r>
          </w:p>
        </w:tc>
        <w:tc>
          <w:tcPr>
            <w:tcW w:w="1625" w:type="dxa"/>
            <w:vMerge w:val="restart"/>
            <w:shd w:val="clear" w:color="auto" w:fill="BDD7EE"/>
            <w:vAlign w:val="center"/>
            <w:hideMark/>
          </w:tcPr>
          <w:p w14:paraId="3D06B8D4"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Name</w:t>
            </w:r>
          </w:p>
        </w:tc>
        <w:tc>
          <w:tcPr>
            <w:tcW w:w="1382" w:type="dxa"/>
            <w:vMerge w:val="restart"/>
            <w:shd w:val="clear" w:color="auto" w:fill="BDD7EE"/>
            <w:vAlign w:val="center"/>
            <w:hideMark/>
          </w:tcPr>
          <w:p w14:paraId="45ED71D6" w14:textId="7C0D46CD"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Qualitative indicators</w:t>
            </w:r>
            <w:r w:rsidR="00064579">
              <w:rPr>
                <w:rFonts w:ascii="Times New Roman" w:hAnsi="Times New Roman" w:cs="Times New Roman"/>
                <w:b/>
                <w:noProof/>
                <w:sz w:val="18"/>
                <w:szCs w:val="18"/>
              </w:rPr>
              <w:t xml:space="preserve"> </w:t>
            </w:r>
            <w:r w:rsidRPr="00A33217">
              <w:rPr>
                <w:rFonts w:ascii="Times New Roman" w:hAnsi="Times New Roman" w:cs="Times New Roman"/>
                <w:noProof/>
                <w:sz w:val="18"/>
                <w:szCs w:val="18"/>
              </w:rPr>
              <w:br/>
            </w:r>
            <w:r w:rsidRPr="00A33217">
              <w:rPr>
                <w:rFonts w:ascii="Times New Roman" w:hAnsi="Times New Roman" w:cs="Times New Roman"/>
                <w:b/>
                <w:noProof/>
                <w:sz w:val="18"/>
                <w:szCs w:val="18"/>
              </w:rPr>
              <w:t>(for milestones)</w:t>
            </w:r>
          </w:p>
        </w:tc>
        <w:tc>
          <w:tcPr>
            <w:tcW w:w="2726" w:type="dxa"/>
            <w:gridSpan w:val="3"/>
            <w:shd w:val="clear" w:color="auto" w:fill="BDD7EE"/>
            <w:vAlign w:val="center"/>
            <w:hideMark/>
          </w:tcPr>
          <w:p w14:paraId="413500E6" w14:textId="61593049"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Quantitative indicators</w:t>
            </w:r>
            <w:r w:rsidR="00064579">
              <w:rPr>
                <w:rFonts w:ascii="Times New Roman" w:hAnsi="Times New Roman" w:cs="Times New Roman"/>
                <w:b/>
                <w:noProof/>
                <w:sz w:val="18"/>
                <w:szCs w:val="18"/>
              </w:rPr>
              <w:t xml:space="preserve"> </w:t>
            </w:r>
            <w:r w:rsidRPr="00A33217">
              <w:rPr>
                <w:rFonts w:ascii="Times New Roman" w:hAnsi="Times New Roman" w:cs="Times New Roman"/>
                <w:noProof/>
                <w:sz w:val="18"/>
                <w:szCs w:val="18"/>
              </w:rPr>
              <w:br/>
            </w:r>
            <w:r w:rsidRPr="00A33217">
              <w:rPr>
                <w:rFonts w:ascii="Times New Roman" w:hAnsi="Times New Roman" w:cs="Times New Roman"/>
                <w:b/>
                <w:noProof/>
                <w:sz w:val="18"/>
                <w:szCs w:val="18"/>
              </w:rPr>
              <w:t>(for targets)</w:t>
            </w:r>
          </w:p>
        </w:tc>
        <w:tc>
          <w:tcPr>
            <w:tcW w:w="1774" w:type="dxa"/>
            <w:gridSpan w:val="2"/>
            <w:shd w:val="clear" w:color="auto" w:fill="BDD7EE"/>
            <w:vAlign w:val="center"/>
            <w:hideMark/>
          </w:tcPr>
          <w:p w14:paraId="29704F73"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Indicative timeline for completion</w:t>
            </w:r>
          </w:p>
        </w:tc>
        <w:tc>
          <w:tcPr>
            <w:tcW w:w="3437" w:type="dxa"/>
            <w:vMerge w:val="restart"/>
            <w:shd w:val="clear" w:color="auto" w:fill="BDD7EE"/>
            <w:vAlign w:val="center"/>
            <w:hideMark/>
          </w:tcPr>
          <w:p w14:paraId="54A4A4BA"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Description of each milestone and target</w:t>
            </w:r>
          </w:p>
        </w:tc>
      </w:tr>
      <w:tr w:rsidR="00F337CE" w:rsidRPr="00A33217" w14:paraId="2CC8FE6A" w14:textId="77777777">
        <w:trPr>
          <w:trHeight w:val="300"/>
          <w:tblHeader/>
          <w:jc w:val="center"/>
        </w:trPr>
        <w:tc>
          <w:tcPr>
            <w:tcW w:w="1131" w:type="dxa"/>
            <w:vMerge/>
            <w:vAlign w:val="center"/>
            <w:hideMark/>
          </w:tcPr>
          <w:p w14:paraId="6174954D" w14:textId="77777777" w:rsidR="00F337CE" w:rsidRPr="00A33217" w:rsidRDefault="00F337CE">
            <w:pPr>
              <w:spacing w:after="0" w:line="240" w:lineRule="auto"/>
              <w:jc w:val="center"/>
              <w:rPr>
                <w:rFonts w:ascii="Times New Roman" w:hAnsi="Times New Roman" w:cs="Times New Roman"/>
                <w:b/>
                <w:noProof/>
                <w:sz w:val="18"/>
                <w:szCs w:val="18"/>
              </w:rPr>
            </w:pPr>
          </w:p>
        </w:tc>
        <w:tc>
          <w:tcPr>
            <w:tcW w:w="1593" w:type="dxa"/>
            <w:vMerge/>
            <w:vAlign w:val="center"/>
            <w:hideMark/>
          </w:tcPr>
          <w:p w14:paraId="5090858F" w14:textId="77777777" w:rsidR="00F337CE" w:rsidRPr="00A33217" w:rsidRDefault="00F337CE">
            <w:pPr>
              <w:spacing w:after="0" w:line="240" w:lineRule="auto"/>
              <w:jc w:val="center"/>
              <w:rPr>
                <w:rFonts w:ascii="Times New Roman" w:hAnsi="Times New Roman" w:cs="Times New Roman"/>
                <w:b/>
                <w:noProof/>
                <w:sz w:val="18"/>
                <w:szCs w:val="18"/>
              </w:rPr>
            </w:pPr>
          </w:p>
        </w:tc>
        <w:tc>
          <w:tcPr>
            <w:tcW w:w="1217" w:type="dxa"/>
            <w:vMerge/>
            <w:vAlign w:val="center"/>
            <w:hideMark/>
          </w:tcPr>
          <w:p w14:paraId="5360AFF1" w14:textId="77777777" w:rsidR="00F337CE" w:rsidRPr="00A33217" w:rsidRDefault="00F337CE">
            <w:pPr>
              <w:spacing w:after="0" w:line="240" w:lineRule="auto"/>
              <w:jc w:val="center"/>
              <w:rPr>
                <w:rFonts w:ascii="Times New Roman" w:hAnsi="Times New Roman" w:cs="Times New Roman"/>
                <w:b/>
                <w:noProof/>
                <w:sz w:val="18"/>
                <w:szCs w:val="18"/>
              </w:rPr>
            </w:pPr>
          </w:p>
        </w:tc>
        <w:tc>
          <w:tcPr>
            <w:tcW w:w="1625" w:type="dxa"/>
            <w:vMerge/>
            <w:vAlign w:val="center"/>
            <w:hideMark/>
          </w:tcPr>
          <w:p w14:paraId="3F4A8718" w14:textId="77777777" w:rsidR="00F337CE" w:rsidRPr="00A33217" w:rsidRDefault="00F337CE">
            <w:pPr>
              <w:spacing w:after="0" w:line="240" w:lineRule="auto"/>
              <w:jc w:val="center"/>
              <w:rPr>
                <w:rFonts w:ascii="Times New Roman" w:hAnsi="Times New Roman" w:cs="Times New Roman"/>
                <w:b/>
                <w:noProof/>
                <w:sz w:val="18"/>
                <w:szCs w:val="18"/>
              </w:rPr>
            </w:pPr>
          </w:p>
        </w:tc>
        <w:tc>
          <w:tcPr>
            <w:tcW w:w="1382" w:type="dxa"/>
            <w:vMerge/>
            <w:vAlign w:val="center"/>
            <w:hideMark/>
          </w:tcPr>
          <w:p w14:paraId="292D75B1" w14:textId="77777777" w:rsidR="00F337CE" w:rsidRPr="00A33217" w:rsidRDefault="00F337CE">
            <w:pPr>
              <w:spacing w:after="0" w:line="240" w:lineRule="auto"/>
              <w:jc w:val="center"/>
              <w:rPr>
                <w:rFonts w:ascii="Times New Roman" w:hAnsi="Times New Roman" w:cs="Times New Roman"/>
                <w:b/>
                <w:noProof/>
                <w:sz w:val="18"/>
                <w:szCs w:val="18"/>
              </w:rPr>
            </w:pPr>
          </w:p>
        </w:tc>
        <w:tc>
          <w:tcPr>
            <w:tcW w:w="954" w:type="dxa"/>
            <w:tcBorders>
              <w:bottom w:val="single" w:sz="4" w:space="0" w:color="auto"/>
            </w:tcBorders>
            <w:shd w:val="clear" w:color="auto" w:fill="BDD7EE"/>
            <w:vAlign w:val="center"/>
            <w:hideMark/>
          </w:tcPr>
          <w:p w14:paraId="5008D633"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Unit of measure</w:t>
            </w:r>
          </w:p>
        </w:tc>
        <w:tc>
          <w:tcPr>
            <w:tcW w:w="1052" w:type="dxa"/>
            <w:tcBorders>
              <w:bottom w:val="single" w:sz="4" w:space="0" w:color="auto"/>
            </w:tcBorders>
            <w:shd w:val="clear" w:color="auto" w:fill="BDD7EE"/>
            <w:vAlign w:val="center"/>
            <w:hideMark/>
          </w:tcPr>
          <w:p w14:paraId="7E0E46A1"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Baseline</w:t>
            </w:r>
          </w:p>
        </w:tc>
        <w:tc>
          <w:tcPr>
            <w:tcW w:w="720" w:type="dxa"/>
            <w:tcBorders>
              <w:bottom w:val="single" w:sz="4" w:space="0" w:color="auto"/>
            </w:tcBorders>
            <w:shd w:val="clear" w:color="auto" w:fill="BDD7EE"/>
            <w:vAlign w:val="center"/>
            <w:hideMark/>
          </w:tcPr>
          <w:p w14:paraId="04B8821B"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Goal</w:t>
            </w:r>
          </w:p>
        </w:tc>
        <w:tc>
          <w:tcPr>
            <w:tcW w:w="1043" w:type="dxa"/>
            <w:tcBorders>
              <w:bottom w:val="single" w:sz="4" w:space="0" w:color="auto"/>
            </w:tcBorders>
            <w:shd w:val="clear" w:color="auto" w:fill="BDD7EE"/>
            <w:vAlign w:val="center"/>
            <w:hideMark/>
          </w:tcPr>
          <w:p w14:paraId="356403C6"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Quarter</w:t>
            </w:r>
          </w:p>
        </w:tc>
        <w:tc>
          <w:tcPr>
            <w:tcW w:w="731" w:type="dxa"/>
            <w:tcBorders>
              <w:bottom w:val="single" w:sz="4" w:space="0" w:color="auto"/>
            </w:tcBorders>
            <w:shd w:val="clear" w:color="auto" w:fill="BDD7EE"/>
            <w:vAlign w:val="center"/>
            <w:hideMark/>
          </w:tcPr>
          <w:p w14:paraId="58F1A516" w14:textId="77777777" w:rsidR="00F337CE" w:rsidRPr="00A33217" w:rsidRDefault="00F337CE">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Year</w:t>
            </w:r>
          </w:p>
        </w:tc>
        <w:tc>
          <w:tcPr>
            <w:tcW w:w="3437" w:type="dxa"/>
            <w:vMerge/>
            <w:hideMark/>
          </w:tcPr>
          <w:p w14:paraId="495714E2" w14:textId="77777777" w:rsidR="00F337CE" w:rsidRPr="00A33217" w:rsidRDefault="00F337CE">
            <w:pPr>
              <w:spacing w:after="0" w:line="240" w:lineRule="auto"/>
              <w:rPr>
                <w:rFonts w:ascii="Times New Roman" w:hAnsi="Times New Roman" w:cs="Times New Roman"/>
                <w:b/>
                <w:noProof/>
                <w:sz w:val="18"/>
                <w:szCs w:val="18"/>
              </w:rPr>
            </w:pPr>
          </w:p>
        </w:tc>
      </w:tr>
      <w:tr w:rsidR="00F337CE" w:rsidRPr="00A33217" w14:paraId="39C962D5" w14:textId="77777777">
        <w:trPr>
          <w:trHeight w:val="300"/>
          <w:jc w:val="center"/>
        </w:trPr>
        <w:tc>
          <w:tcPr>
            <w:tcW w:w="1131" w:type="dxa"/>
            <w:shd w:val="clear" w:color="auto" w:fill="C6EFCE"/>
            <w:noWrap/>
          </w:tcPr>
          <w:p w14:paraId="35D4F9F5"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52</w:t>
            </w:r>
          </w:p>
        </w:tc>
        <w:tc>
          <w:tcPr>
            <w:tcW w:w="1593" w:type="dxa"/>
            <w:shd w:val="clear" w:color="auto" w:fill="C6EFCE"/>
            <w:noWrap/>
          </w:tcPr>
          <w:p w14:paraId="4685F07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C2.2R1</w:t>
            </w:r>
          </w:p>
          <w:p w14:paraId="1B67C600"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Installation of an Intelligent Transport System using Digital Twin technologies</w:t>
            </w:r>
          </w:p>
        </w:tc>
        <w:tc>
          <w:tcPr>
            <w:tcW w:w="1217" w:type="dxa"/>
            <w:shd w:val="clear" w:color="auto" w:fill="C6EFCE"/>
            <w:noWrap/>
          </w:tcPr>
          <w:p w14:paraId="7723B8A0"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625" w:type="dxa"/>
            <w:shd w:val="clear" w:color="auto" w:fill="C6EFCE"/>
            <w:noWrap/>
          </w:tcPr>
          <w:p w14:paraId="306ECF08" w14:textId="02656F75"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Installation and connection to the National Access Point of at least 150 sensors</w:t>
            </w:r>
          </w:p>
        </w:tc>
        <w:tc>
          <w:tcPr>
            <w:tcW w:w="1382" w:type="dxa"/>
            <w:shd w:val="clear" w:color="auto" w:fill="C6EFCE"/>
            <w:noWrap/>
          </w:tcPr>
          <w:p w14:paraId="260937F4"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54" w:type="dxa"/>
            <w:shd w:val="clear" w:color="auto" w:fill="C6EFCE"/>
            <w:noWrap/>
          </w:tcPr>
          <w:p w14:paraId="4AB46182"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Number</w:t>
            </w:r>
          </w:p>
        </w:tc>
        <w:tc>
          <w:tcPr>
            <w:tcW w:w="1052" w:type="dxa"/>
            <w:shd w:val="clear" w:color="auto" w:fill="C6EFCE"/>
            <w:noWrap/>
          </w:tcPr>
          <w:p w14:paraId="050D983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0</w:t>
            </w:r>
          </w:p>
        </w:tc>
        <w:tc>
          <w:tcPr>
            <w:tcW w:w="720" w:type="dxa"/>
            <w:shd w:val="clear" w:color="auto" w:fill="C6EFCE"/>
            <w:noWrap/>
          </w:tcPr>
          <w:p w14:paraId="75951D3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150</w:t>
            </w:r>
          </w:p>
        </w:tc>
        <w:tc>
          <w:tcPr>
            <w:tcW w:w="1043" w:type="dxa"/>
            <w:shd w:val="clear" w:color="auto" w:fill="C6EFCE"/>
            <w:noWrap/>
          </w:tcPr>
          <w:p w14:paraId="748FB441"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Q1</w:t>
            </w:r>
          </w:p>
        </w:tc>
        <w:tc>
          <w:tcPr>
            <w:tcW w:w="731" w:type="dxa"/>
            <w:shd w:val="clear" w:color="auto" w:fill="C6EFCE"/>
            <w:noWrap/>
          </w:tcPr>
          <w:p w14:paraId="48030EA2"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2024</w:t>
            </w:r>
          </w:p>
        </w:tc>
        <w:tc>
          <w:tcPr>
            <w:tcW w:w="3437" w:type="dxa"/>
            <w:shd w:val="clear" w:color="auto" w:fill="C6EFCE"/>
            <w:noWrap/>
          </w:tcPr>
          <w:p w14:paraId="385541C8"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Acceptance certificates verifying the installation and connection to the National Access Point of a total of 150 traffic sensors </w:t>
            </w:r>
          </w:p>
        </w:tc>
      </w:tr>
      <w:tr w:rsidR="00F337CE" w:rsidRPr="00A33217" w14:paraId="17232EE9" w14:textId="77777777">
        <w:trPr>
          <w:trHeight w:val="300"/>
          <w:jc w:val="center"/>
        </w:trPr>
        <w:tc>
          <w:tcPr>
            <w:tcW w:w="1131" w:type="dxa"/>
            <w:shd w:val="clear" w:color="auto" w:fill="C6EFCE"/>
            <w:noWrap/>
            <w:hideMark/>
          </w:tcPr>
          <w:p w14:paraId="7DE162A9"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53</w:t>
            </w:r>
          </w:p>
        </w:tc>
        <w:tc>
          <w:tcPr>
            <w:tcW w:w="1593" w:type="dxa"/>
            <w:shd w:val="clear" w:color="auto" w:fill="C6EFCE"/>
            <w:noWrap/>
            <w:hideMark/>
          </w:tcPr>
          <w:p w14:paraId="4A92F311"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C2.2R1</w:t>
            </w:r>
          </w:p>
          <w:p w14:paraId="0283AED1"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Installation of an Intelligent Transport System using Digital Twin technologies</w:t>
            </w:r>
          </w:p>
        </w:tc>
        <w:tc>
          <w:tcPr>
            <w:tcW w:w="1217" w:type="dxa"/>
            <w:shd w:val="clear" w:color="auto" w:fill="C6EFCE"/>
            <w:noWrap/>
            <w:hideMark/>
          </w:tcPr>
          <w:p w14:paraId="10D64106"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625" w:type="dxa"/>
            <w:shd w:val="clear" w:color="auto" w:fill="C6EFCE"/>
            <w:noWrap/>
            <w:hideMark/>
          </w:tcPr>
          <w:p w14:paraId="06894666"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Installation and connection to the National Access Point of a total of 300 sensors</w:t>
            </w:r>
          </w:p>
        </w:tc>
        <w:tc>
          <w:tcPr>
            <w:tcW w:w="1382" w:type="dxa"/>
            <w:shd w:val="clear" w:color="auto" w:fill="C6EFCE"/>
            <w:noWrap/>
            <w:hideMark/>
          </w:tcPr>
          <w:p w14:paraId="5B5E588C"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54" w:type="dxa"/>
            <w:shd w:val="clear" w:color="auto" w:fill="C6EFCE"/>
            <w:noWrap/>
            <w:hideMark/>
          </w:tcPr>
          <w:p w14:paraId="4D77D41E"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Number</w:t>
            </w:r>
          </w:p>
        </w:tc>
        <w:tc>
          <w:tcPr>
            <w:tcW w:w="1052" w:type="dxa"/>
            <w:shd w:val="clear" w:color="auto" w:fill="C6EFCE"/>
            <w:noWrap/>
            <w:hideMark/>
          </w:tcPr>
          <w:p w14:paraId="091153E6"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150</w:t>
            </w:r>
          </w:p>
        </w:tc>
        <w:tc>
          <w:tcPr>
            <w:tcW w:w="720" w:type="dxa"/>
            <w:shd w:val="clear" w:color="auto" w:fill="C6EFCE"/>
            <w:noWrap/>
            <w:hideMark/>
          </w:tcPr>
          <w:p w14:paraId="78CC5F9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300</w:t>
            </w:r>
          </w:p>
        </w:tc>
        <w:tc>
          <w:tcPr>
            <w:tcW w:w="1043" w:type="dxa"/>
            <w:shd w:val="clear" w:color="auto" w:fill="C6EFCE"/>
            <w:noWrap/>
            <w:hideMark/>
          </w:tcPr>
          <w:p w14:paraId="537C172B"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Q4</w:t>
            </w:r>
          </w:p>
        </w:tc>
        <w:tc>
          <w:tcPr>
            <w:tcW w:w="731" w:type="dxa"/>
            <w:shd w:val="clear" w:color="auto" w:fill="C6EFCE"/>
            <w:noWrap/>
            <w:hideMark/>
          </w:tcPr>
          <w:p w14:paraId="5A91BB70"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2025</w:t>
            </w:r>
          </w:p>
        </w:tc>
        <w:tc>
          <w:tcPr>
            <w:tcW w:w="3437" w:type="dxa"/>
            <w:shd w:val="clear" w:color="auto" w:fill="C6EFCE"/>
            <w:noWrap/>
            <w:hideMark/>
          </w:tcPr>
          <w:p w14:paraId="23D0AA54"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Acceptance certificates verifying the installation and connection to the National Access Point of a total of 300 traffic sensors.</w:t>
            </w:r>
          </w:p>
        </w:tc>
      </w:tr>
      <w:tr w:rsidR="00F337CE" w:rsidRPr="00A33217" w14:paraId="11222E89" w14:textId="77777777">
        <w:trPr>
          <w:trHeight w:val="300"/>
          <w:jc w:val="center"/>
        </w:trPr>
        <w:tc>
          <w:tcPr>
            <w:tcW w:w="1131" w:type="dxa"/>
            <w:shd w:val="clear" w:color="auto" w:fill="C6EFCE"/>
            <w:noWrap/>
            <w:hideMark/>
          </w:tcPr>
          <w:p w14:paraId="3BCB64AE"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54</w:t>
            </w:r>
          </w:p>
        </w:tc>
        <w:tc>
          <w:tcPr>
            <w:tcW w:w="1593" w:type="dxa"/>
            <w:shd w:val="clear" w:color="auto" w:fill="C6EFCE"/>
            <w:noWrap/>
            <w:hideMark/>
          </w:tcPr>
          <w:p w14:paraId="04E23E5B"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C2.2R2</w:t>
            </w:r>
          </w:p>
          <w:p w14:paraId="767EE60C"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Entry into force of legal act(s) regarding electric vehicle (EV) recharging infrastructure </w:t>
            </w:r>
          </w:p>
        </w:tc>
        <w:tc>
          <w:tcPr>
            <w:tcW w:w="1217" w:type="dxa"/>
            <w:shd w:val="clear" w:color="auto" w:fill="C6EFCE"/>
            <w:noWrap/>
            <w:hideMark/>
          </w:tcPr>
          <w:p w14:paraId="7D4C5503"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625" w:type="dxa"/>
            <w:shd w:val="clear" w:color="auto" w:fill="C6EFCE"/>
            <w:noWrap/>
            <w:hideMark/>
          </w:tcPr>
          <w:p w14:paraId="746661A0"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Entry into force of legal act(s) related to electric vehicle charging points</w:t>
            </w:r>
          </w:p>
        </w:tc>
        <w:tc>
          <w:tcPr>
            <w:tcW w:w="1382" w:type="dxa"/>
            <w:shd w:val="clear" w:color="auto" w:fill="C6EFCE"/>
            <w:noWrap/>
            <w:hideMark/>
          </w:tcPr>
          <w:p w14:paraId="16BC3BFA"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Entry into force of the legal act(s)</w:t>
            </w:r>
          </w:p>
        </w:tc>
        <w:tc>
          <w:tcPr>
            <w:tcW w:w="954" w:type="dxa"/>
            <w:shd w:val="clear" w:color="auto" w:fill="C6EFCE"/>
            <w:noWrap/>
            <w:hideMark/>
          </w:tcPr>
          <w:p w14:paraId="4E559B3E"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1052" w:type="dxa"/>
            <w:shd w:val="clear" w:color="auto" w:fill="C6EFCE"/>
            <w:noWrap/>
            <w:hideMark/>
          </w:tcPr>
          <w:p w14:paraId="453186EB"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720" w:type="dxa"/>
            <w:shd w:val="clear" w:color="auto" w:fill="C6EFCE"/>
            <w:noWrap/>
            <w:hideMark/>
          </w:tcPr>
          <w:p w14:paraId="1811C6B5"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1043" w:type="dxa"/>
            <w:shd w:val="clear" w:color="auto" w:fill="C6EFCE"/>
            <w:noWrap/>
            <w:hideMark/>
          </w:tcPr>
          <w:p w14:paraId="7D00BF5A"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Q4</w:t>
            </w:r>
          </w:p>
        </w:tc>
        <w:tc>
          <w:tcPr>
            <w:tcW w:w="731" w:type="dxa"/>
            <w:shd w:val="clear" w:color="auto" w:fill="C6EFCE"/>
            <w:noWrap/>
            <w:hideMark/>
          </w:tcPr>
          <w:p w14:paraId="20B9E95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2024</w:t>
            </w:r>
          </w:p>
        </w:tc>
        <w:tc>
          <w:tcPr>
            <w:tcW w:w="3437" w:type="dxa"/>
            <w:shd w:val="clear" w:color="auto" w:fill="C6EFCE"/>
            <w:noWrap/>
            <w:hideMark/>
          </w:tcPr>
          <w:p w14:paraId="17397C02"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Entry into force of legal act(s) regarding electric vehicle (EV) recharging infrastructure. </w:t>
            </w:r>
          </w:p>
          <w:p w14:paraId="1357248F"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The legal act(s) shall include a mechanism for the monitoring of the electric vehicle recharging infrastructure. </w:t>
            </w:r>
          </w:p>
        </w:tc>
      </w:tr>
      <w:tr w:rsidR="00F337CE" w:rsidRPr="00A33217" w14:paraId="003BAF4C" w14:textId="77777777">
        <w:trPr>
          <w:trHeight w:val="300"/>
          <w:jc w:val="center"/>
        </w:trPr>
        <w:tc>
          <w:tcPr>
            <w:tcW w:w="1131" w:type="dxa"/>
            <w:shd w:val="clear" w:color="auto" w:fill="C6EFCE"/>
            <w:noWrap/>
            <w:hideMark/>
          </w:tcPr>
          <w:p w14:paraId="675FF42A"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55</w:t>
            </w:r>
          </w:p>
        </w:tc>
        <w:tc>
          <w:tcPr>
            <w:tcW w:w="1593" w:type="dxa"/>
            <w:shd w:val="clear" w:color="auto" w:fill="C6EFCE"/>
            <w:noWrap/>
            <w:hideMark/>
          </w:tcPr>
          <w:p w14:paraId="6726EA83"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C2.2R3</w:t>
            </w:r>
          </w:p>
          <w:p w14:paraId="5AFF9C13"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Progressively phase out the most polluting vehicles, especially in polluted urban areas</w:t>
            </w:r>
          </w:p>
        </w:tc>
        <w:tc>
          <w:tcPr>
            <w:tcW w:w="1217" w:type="dxa"/>
            <w:shd w:val="clear" w:color="auto" w:fill="C6EFCE"/>
            <w:noWrap/>
            <w:hideMark/>
          </w:tcPr>
          <w:p w14:paraId="1B1361BE"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625" w:type="dxa"/>
            <w:shd w:val="clear" w:color="auto" w:fill="C6EFCE"/>
            <w:noWrap/>
            <w:hideMark/>
          </w:tcPr>
          <w:p w14:paraId="51996B86"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Entry into force of the legislative act related to the phasing out of the most polluting vehicles</w:t>
            </w:r>
          </w:p>
        </w:tc>
        <w:tc>
          <w:tcPr>
            <w:tcW w:w="1382" w:type="dxa"/>
            <w:shd w:val="clear" w:color="auto" w:fill="C6EFCE"/>
            <w:noWrap/>
          </w:tcPr>
          <w:p w14:paraId="05BEC1AF"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Provision in the legislative act indicating the entry into force of the legislation</w:t>
            </w:r>
          </w:p>
        </w:tc>
        <w:tc>
          <w:tcPr>
            <w:tcW w:w="954" w:type="dxa"/>
            <w:shd w:val="clear" w:color="auto" w:fill="C6EFCE"/>
            <w:noWrap/>
            <w:hideMark/>
          </w:tcPr>
          <w:p w14:paraId="02190D6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1052" w:type="dxa"/>
            <w:shd w:val="clear" w:color="auto" w:fill="C6EFCE"/>
            <w:noWrap/>
            <w:hideMark/>
          </w:tcPr>
          <w:p w14:paraId="1624C094"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720" w:type="dxa"/>
            <w:shd w:val="clear" w:color="auto" w:fill="C6EFCE"/>
            <w:noWrap/>
            <w:hideMark/>
          </w:tcPr>
          <w:p w14:paraId="1AFCA72A"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1043" w:type="dxa"/>
            <w:shd w:val="clear" w:color="auto" w:fill="C6EFCE"/>
            <w:noWrap/>
            <w:hideMark/>
          </w:tcPr>
          <w:p w14:paraId="69A5C5FB"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Q4</w:t>
            </w:r>
          </w:p>
        </w:tc>
        <w:tc>
          <w:tcPr>
            <w:tcW w:w="731" w:type="dxa"/>
            <w:shd w:val="clear" w:color="auto" w:fill="C6EFCE"/>
            <w:noWrap/>
            <w:hideMark/>
          </w:tcPr>
          <w:p w14:paraId="17A9123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2023</w:t>
            </w:r>
          </w:p>
        </w:tc>
        <w:tc>
          <w:tcPr>
            <w:tcW w:w="3437" w:type="dxa"/>
            <w:shd w:val="clear" w:color="auto" w:fill="C6EFCE"/>
            <w:noWrap/>
            <w:hideMark/>
          </w:tcPr>
          <w:p w14:paraId="4C2C8E43"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Entry into force of the legislative act regarding the exclusion of polluting vehicles from areas or operations. </w:t>
            </w:r>
          </w:p>
          <w:p w14:paraId="645A88B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The legislative act shall create the legal basis to enforce the adoption of restrictive measures related to the circulation of motor vehicles, with the aim to progressively phase out the most polluting vehicles.</w:t>
            </w:r>
          </w:p>
        </w:tc>
      </w:tr>
      <w:tr w:rsidR="00F337CE" w:rsidRPr="00A33217" w14:paraId="448241C6" w14:textId="77777777">
        <w:trPr>
          <w:trHeight w:val="300"/>
          <w:jc w:val="center"/>
        </w:trPr>
        <w:tc>
          <w:tcPr>
            <w:tcW w:w="1131" w:type="dxa"/>
            <w:shd w:val="clear" w:color="auto" w:fill="C6EFCE"/>
            <w:noWrap/>
          </w:tcPr>
          <w:p w14:paraId="0CC0AFC8"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61</w:t>
            </w:r>
          </w:p>
        </w:tc>
        <w:tc>
          <w:tcPr>
            <w:tcW w:w="1593" w:type="dxa"/>
            <w:shd w:val="clear" w:color="auto" w:fill="C6EFCE"/>
            <w:noWrap/>
          </w:tcPr>
          <w:p w14:paraId="572455D6"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C2.2I2</w:t>
            </w:r>
          </w:p>
          <w:p w14:paraId="27FDD43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Creation of electro-mobility infrastructure</w:t>
            </w:r>
          </w:p>
        </w:tc>
        <w:tc>
          <w:tcPr>
            <w:tcW w:w="1217" w:type="dxa"/>
            <w:shd w:val="clear" w:color="auto" w:fill="C6EFCE"/>
            <w:noWrap/>
          </w:tcPr>
          <w:p w14:paraId="4FC31899"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625" w:type="dxa"/>
            <w:shd w:val="clear" w:color="auto" w:fill="C6EFCE"/>
            <w:noWrap/>
          </w:tcPr>
          <w:p w14:paraId="0A937E87" w14:textId="780A3536"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Installation </w:t>
            </w:r>
            <w:r w:rsidR="38ED7C1F" w:rsidRPr="00A33217">
              <w:rPr>
                <w:rFonts w:ascii="Times New Roman" w:hAnsi="Times New Roman" w:cs="Times New Roman"/>
                <w:noProof/>
                <w:sz w:val="18"/>
                <w:szCs w:val="18"/>
              </w:rPr>
              <w:t xml:space="preserve">or delivery </w:t>
            </w:r>
            <w:r w:rsidRPr="00A33217">
              <w:rPr>
                <w:rFonts w:ascii="Times New Roman" w:hAnsi="Times New Roman" w:cs="Times New Roman"/>
                <w:noProof/>
                <w:sz w:val="18"/>
                <w:szCs w:val="18"/>
              </w:rPr>
              <w:t xml:space="preserve">of charging points </w:t>
            </w:r>
          </w:p>
        </w:tc>
        <w:tc>
          <w:tcPr>
            <w:tcW w:w="1382" w:type="dxa"/>
            <w:shd w:val="clear" w:color="auto" w:fill="C6EFCE"/>
            <w:noWrap/>
          </w:tcPr>
          <w:p w14:paraId="5769A575"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54" w:type="dxa"/>
            <w:shd w:val="clear" w:color="auto" w:fill="C6EFCE"/>
            <w:noWrap/>
          </w:tcPr>
          <w:p w14:paraId="0AFD5DFC"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Number</w:t>
            </w:r>
          </w:p>
        </w:tc>
        <w:tc>
          <w:tcPr>
            <w:tcW w:w="1052" w:type="dxa"/>
            <w:shd w:val="clear" w:color="auto" w:fill="C6EFCE"/>
            <w:noWrap/>
          </w:tcPr>
          <w:p w14:paraId="350B564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0</w:t>
            </w:r>
          </w:p>
        </w:tc>
        <w:tc>
          <w:tcPr>
            <w:tcW w:w="720" w:type="dxa"/>
            <w:shd w:val="clear" w:color="auto" w:fill="C6EFCE"/>
            <w:noWrap/>
          </w:tcPr>
          <w:p w14:paraId="0EF9B172"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1 000</w:t>
            </w:r>
          </w:p>
        </w:tc>
        <w:tc>
          <w:tcPr>
            <w:tcW w:w="1043" w:type="dxa"/>
            <w:shd w:val="clear" w:color="auto" w:fill="C6EFCE"/>
            <w:noWrap/>
          </w:tcPr>
          <w:p w14:paraId="1C19191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731" w:type="dxa"/>
            <w:shd w:val="clear" w:color="auto" w:fill="C6EFCE"/>
            <w:noWrap/>
          </w:tcPr>
          <w:p w14:paraId="09E537F1"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2026</w:t>
            </w:r>
          </w:p>
        </w:tc>
        <w:tc>
          <w:tcPr>
            <w:tcW w:w="3437" w:type="dxa"/>
            <w:shd w:val="clear" w:color="auto" w:fill="C6EFCE"/>
            <w:noWrap/>
          </w:tcPr>
          <w:p w14:paraId="399FDA30" w14:textId="05BE17BB"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Acceptance certificate or certificate of electrical installation, issued by the Electrical authority of Cyprus for the installation or delivery for at least 1 000 charging points.</w:t>
            </w:r>
          </w:p>
        </w:tc>
      </w:tr>
      <w:tr w:rsidR="00F337CE" w:rsidRPr="00A33217" w14:paraId="653B6FBC" w14:textId="77777777">
        <w:trPr>
          <w:trHeight w:val="300"/>
          <w:jc w:val="center"/>
        </w:trPr>
        <w:tc>
          <w:tcPr>
            <w:tcW w:w="1131" w:type="dxa"/>
            <w:shd w:val="clear" w:color="auto" w:fill="C6EFCE"/>
            <w:noWrap/>
          </w:tcPr>
          <w:p w14:paraId="542216B4"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63a</w:t>
            </w:r>
          </w:p>
        </w:tc>
        <w:tc>
          <w:tcPr>
            <w:tcW w:w="1593" w:type="dxa"/>
            <w:shd w:val="clear" w:color="auto" w:fill="C6EFCE"/>
            <w:noWrap/>
          </w:tcPr>
          <w:p w14:paraId="3ACDE60F"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C2.2I3</w:t>
            </w:r>
          </w:p>
          <w:p w14:paraId="07FFB228"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Advance the use of Electric Vehicles (EVs)</w:t>
            </w:r>
          </w:p>
        </w:tc>
        <w:tc>
          <w:tcPr>
            <w:tcW w:w="1217" w:type="dxa"/>
            <w:shd w:val="clear" w:color="auto" w:fill="C6EFCE"/>
            <w:noWrap/>
          </w:tcPr>
          <w:p w14:paraId="776260C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625" w:type="dxa"/>
            <w:shd w:val="clear" w:color="auto" w:fill="C6EFCE"/>
            <w:noWrap/>
          </w:tcPr>
          <w:p w14:paraId="14288220" w14:textId="067C2D80"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Purchase or registration of electric vehicles and electric bicycles</w:t>
            </w:r>
          </w:p>
        </w:tc>
        <w:tc>
          <w:tcPr>
            <w:tcW w:w="1382" w:type="dxa"/>
            <w:shd w:val="clear" w:color="auto" w:fill="C6EFCE"/>
            <w:noWrap/>
          </w:tcPr>
          <w:p w14:paraId="7114BD98"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54" w:type="dxa"/>
            <w:shd w:val="clear" w:color="auto" w:fill="C6EFCE"/>
            <w:noWrap/>
          </w:tcPr>
          <w:p w14:paraId="43BA645C"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Number</w:t>
            </w:r>
          </w:p>
        </w:tc>
        <w:tc>
          <w:tcPr>
            <w:tcW w:w="1052" w:type="dxa"/>
            <w:shd w:val="clear" w:color="auto" w:fill="C6EFCE"/>
            <w:noWrap/>
          </w:tcPr>
          <w:p w14:paraId="60A8E5E0"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0</w:t>
            </w:r>
          </w:p>
        </w:tc>
        <w:tc>
          <w:tcPr>
            <w:tcW w:w="720" w:type="dxa"/>
            <w:shd w:val="clear" w:color="auto" w:fill="C6EFCE"/>
            <w:noWrap/>
          </w:tcPr>
          <w:p w14:paraId="4A87B504" w14:textId="6D8FA0D9"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4 412</w:t>
            </w:r>
          </w:p>
        </w:tc>
        <w:tc>
          <w:tcPr>
            <w:tcW w:w="1043" w:type="dxa"/>
            <w:shd w:val="clear" w:color="auto" w:fill="C6EFCE"/>
            <w:noWrap/>
          </w:tcPr>
          <w:p w14:paraId="533830D8"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731" w:type="dxa"/>
            <w:shd w:val="clear" w:color="auto" w:fill="C6EFCE"/>
            <w:noWrap/>
          </w:tcPr>
          <w:p w14:paraId="2DB6B8DE"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2026</w:t>
            </w:r>
          </w:p>
        </w:tc>
        <w:tc>
          <w:tcPr>
            <w:tcW w:w="3437" w:type="dxa"/>
            <w:shd w:val="clear" w:color="auto" w:fill="C6EFCE"/>
            <w:noWrap/>
          </w:tcPr>
          <w:p w14:paraId="55DEF3CA" w14:textId="3A1AA483"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Purchase or registration of at least 4</w:t>
            </w:r>
            <w:r w:rsidR="00547ADA">
              <w:rPr>
                <w:rFonts w:ascii="Times New Roman" w:hAnsi="Times New Roman" w:cs="Times New Roman"/>
                <w:noProof/>
                <w:sz w:val="18"/>
                <w:szCs w:val="18"/>
              </w:rPr>
              <w:t> </w:t>
            </w:r>
            <w:r w:rsidRPr="00A33217">
              <w:rPr>
                <w:rFonts w:ascii="Times New Roman" w:hAnsi="Times New Roman" w:cs="Times New Roman"/>
                <w:noProof/>
                <w:sz w:val="18"/>
                <w:szCs w:val="18"/>
              </w:rPr>
              <w:t>412 electric vehicles of categories M1, M2-3, N, L1e-L7e and electric bicycles.</w:t>
            </w:r>
          </w:p>
        </w:tc>
      </w:tr>
      <w:tr w:rsidR="00F337CE" w:rsidRPr="00A33217" w14:paraId="4CC60CCE" w14:textId="77777777">
        <w:trPr>
          <w:trHeight w:val="300"/>
          <w:jc w:val="center"/>
        </w:trPr>
        <w:tc>
          <w:tcPr>
            <w:tcW w:w="1131" w:type="dxa"/>
            <w:shd w:val="clear" w:color="auto" w:fill="C6EFCE"/>
            <w:noWrap/>
          </w:tcPr>
          <w:p w14:paraId="343A79F5"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65</w:t>
            </w:r>
          </w:p>
        </w:tc>
        <w:tc>
          <w:tcPr>
            <w:tcW w:w="1593" w:type="dxa"/>
            <w:shd w:val="clear" w:color="auto" w:fill="C6EFCE"/>
            <w:noWrap/>
          </w:tcPr>
          <w:p w14:paraId="42656CBE"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C2.2I3</w:t>
            </w:r>
          </w:p>
          <w:p w14:paraId="48098C7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Advance the use of Electric Vehicles (EVs)</w:t>
            </w:r>
          </w:p>
        </w:tc>
        <w:tc>
          <w:tcPr>
            <w:tcW w:w="1217" w:type="dxa"/>
            <w:shd w:val="clear" w:color="auto" w:fill="C6EFCE"/>
            <w:noWrap/>
          </w:tcPr>
          <w:p w14:paraId="315E8A19"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625" w:type="dxa"/>
            <w:shd w:val="clear" w:color="auto" w:fill="C6EFCE"/>
            <w:noWrap/>
          </w:tcPr>
          <w:p w14:paraId="12E4A4E5"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Scrapping of high emission vehicles</w:t>
            </w:r>
          </w:p>
        </w:tc>
        <w:tc>
          <w:tcPr>
            <w:tcW w:w="1382" w:type="dxa"/>
            <w:shd w:val="clear" w:color="auto" w:fill="C6EFCE"/>
            <w:noWrap/>
          </w:tcPr>
          <w:p w14:paraId="6896A76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54" w:type="dxa"/>
            <w:shd w:val="clear" w:color="auto" w:fill="C6EFCE"/>
            <w:noWrap/>
          </w:tcPr>
          <w:p w14:paraId="76A1F050"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Number</w:t>
            </w:r>
          </w:p>
        </w:tc>
        <w:tc>
          <w:tcPr>
            <w:tcW w:w="1052" w:type="dxa"/>
            <w:shd w:val="clear" w:color="auto" w:fill="C6EFCE"/>
            <w:noWrap/>
          </w:tcPr>
          <w:p w14:paraId="3D8D2699"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0</w:t>
            </w:r>
          </w:p>
        </w:tc>
        <w:tc>
          <w:tcPr>
            <w:tcW w:w="720" w:type="dxa"/>
            <w:shd w:val="clear" w:color="auto" w:fill="C6EFCE"/>
            <w:noWrap/>
          </w:tcPr>
          <w:p w14:paraId="6B0E8708" w14:textId="5AC4D4CA"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1</w:t>
            </w:r>
            <w:r w:rsidR="00A33217" w:rsidRPr="00A33217">
              <w:rPr>
                <w:rFonts w:ascii="Times New Roman" w:hAnsi="Times New Roman" w:cs="Times New Roman"/>
                <w:noProof/>
                <w:sz w:val="18"/>
                <w:szCs w:val="18"/>
              </w:rPr>
              <w:t> </w:t>
            </w:r>
            <w:r w:rsidRPr="00A33217">
              <w:rPr>
                <w:rFonts w:ascii="Times New Roman" w:hAnsi="Times New Roman" w:cs="Times New Roman"/>
                <w:noProof/>
                <w:sz w:val="18"/>
                <w:szCs w:val="18"/>
              </w:rPr>
              <w:t>393</w:t>
            </w:r>
          </w:p>
        </w:tc>
        <w:tc>
          <w:tcPr>
            <w:tcW w:w="1043" w:type="dxa"/>
            <w:shd w:val="clear" w:color="auto" w:fill="C6EFCE"/>
            <w:noWrap/>
          </w:tcPr>
          <w:p w14:paraId="275F3AB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731" w:type="dxa"/>
            <w:shd w:val="clear" w:color="auto" w:fill="C6EFCE"/>
            <w:noWrap/>
          </w:tcPr>
          <w:p w14:paraId="0B5D2FD1"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2026</w:t>
            </w:r>
          </w:p>
        </w:tc>
        <w:tc>
          <w:tcPr>
            <w:tcW w:w="3437" w:type="dxa"/>
            <w:shd w:val="clear" w:color="auto" w:fill="C6EFCE"/>
            <w:noWrap/>
          </w:tcPr>
          <w:p w14:paraId="11001F86"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Completion certificate confirming the scrapping of at least 1 393 combustion engine vehicles replaced by electric bicycles, annual bus ticket(s) and low emission vehicles.</w:t>
            </w:r>
          </w:p>
        </w:tc>
      </w:tr>
      <w:tr w:rsidR="00F337CE" w:rsidRPr="00A33217" w14:paraId="7FD043DB" w14:textId="77777777">
        <w:trPr>
          <w:trHeight w:val="300"/>
          <w:jc w:val="center"/>
        </w:trPr>
        <w:tc>
          <w:tcPr>
            <w:tcW w:w="1131" w:type="dxa"/>
            <w:shd w:val="clear" w:color="auto" w:fill="C6EFCE"/>
            <w:noWrap/>
          </w:tcPr>
          <w:p w14:paraId="64E60C5B"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58</w:t>
            </w:r>
          </w:p>
        </w:tc>
        <w:tc>
          <w:tcPr>
            <w:tcW w:w="1593" w:type="dxa"/>
            <w:shd w:val="clear" w:color="auto" w:fill="C6EFCE"/>
            <w:noWrap/>
          </w:tcPr>
          <w:p w14:paraId="6874F0DF"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C2.2I1</w:t>
            </w:r>
          </w:p>
          <w:p w14:paraId="694997D7"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Sustainable Urban Mobility Projects (SUMP) and accessibility enhancing measures</w:t>
            </w:r>
          </w:p>
        </w:tc>
        <w:tc>
          <w:tcPr>
            <w:tcW w:w="1217" w:type="dxa"/>
            <w:shd w:val="clear" w:color="auto" w:fill="C6EFCE"/>
            <w:noWrap/>
          </w:tcPr>
          <w:p w14:paraId="47530479"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625" w:type="dxa"/>
            <w:shd w:val="clear" w:color="auto" w:fill="C6EFCE"/>
            <w:noWrap/>
          </w:tcPr>
          <w:p w14:paraId="56DF68FA" w14:textId="4C242671"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 Construction work for at least 35km of sustainable transport routes</w:t>
            </w:r>
          </w:p>
        </w:tc>
        <w:tc>
          <w:tcPr>
            <w:tcW w:w="1382" w:type="dxa"/>
            <w:shd w:val="clear" w:color="auto" w:fill="C6EFCE"/>
            <w:noWrap/>
          </w:tcPr>
          <w:p w14:paraId="53CB228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54" w:type="dxa"/>
            <w:shd w:val="clear" w:color="auto" w:fill="C6EFCE"/>
            <w:noWrap/>
          </w:tcPr>
          <w:p w14:paraId="32F94BFF"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Number</w:t>
            </w:r>
          </w:p>
        </w:tc>
        <w:tc>
          <w:tcPr>
            <w:tcW w:w="1052" w:type="dxa"/>
            <w:shd w:val="clear" w:color="auto" w:fill="C6EFCE"/>
            <w:noWrap/>
          </w:tcPr>
          <w:p w14:paraId="20E54823"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0</w:t>
            </w:r>
          </w:p>
        </w:tc>
        <w:tc>
          <w:tcPr>
            <w:tcW w:w="720" w:type="dxa"/>
            <w:shd w:val="clear" w:color="auto" w:fill="C6EFCE"/>
            <w:noWrap/>
          </w:tcPr>
          <w:p w14:paraId="170D19AB"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35</w:t>
            </w:r>
          </w:p>
        </w:tc>
        <w:tc>
          <w:tcPr>
            <w:tcW w:w="1043" w:type="dxa"/>
            <w:shd w:val="clear" w:color="auto" w:fill="C6EFCE"/>
            <w:noWrap/>
          </w:tcPr>
          <w:p w14:paraId="6C9E7C60"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Q1</w:t>
            </w:r>
          </w:p>
        </w:tc>
        <w:tc>
          <w:tcPr>
            <w:tcW w:w="731" w:type="dxa"/>
            <w:shd w:val="clear" w:color="auto" w:fill="C6EFCE"/>
            <w:noWrap/>
          </w:tcPr>
          <w:p w14:paraId="1716651D"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2026</w:t>
            </w:r>
          </w:p>
        </w:tc>
        <w:tc>
          <w:tcPr>
            <w:tcW w:w="3437" w:type="dxa"/>
            <w:shd w:val="clear" w:color="auto" w:fill="C6EFCE"/>
            <w:noWrap/>
          </w:tcPr>
          <w:p w14:paraId="5131D549" w14:textId="77777777" w:rsidR="00F337CE" w:rsidRPr="00A33217" w:rsidRDefault="00F337CE">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Taking over certificates issued by the Contracting Authority confirming construction work for at least 35km of sustainable transport routes.</w:t>
            </w:r>
          </w:p>
        </w:tc>
      </w:tr>
    </w:tbl>
    <w:p w14:paraId="0F741545" w14:textId="77777777" w:rsidR="00F337CE" w:rsidRPr="000F04FA" w:rsidRDefault="00F337CE" w:rsidP="00F337CE">
      <w:pPr>
        <w:spacing w:before="120" w:after="120" w:line="240" w:lineRule="auto"/>
        <w:jc w:val="both"/>
        <w:rPr>
          <w:rFonts w:ascii="Times New Roman" w:hAnsi="Times New Roman" w:cs="Times New Roman"/>
          <w:noProof/>
        </w:rPr>
      </w:pPr>
    </w:p>
    <w:p w14:paraId="5DB05008" w14:textId="77777777" w:rsidR="00F337CE" w:rsidRPr="000F04FA" w:rsidRDefault="00F337CE" w:rsidP="00F337CE">
      <w:pPr>
        <w:ind w:firstLine="720"/>
        <w:rPr>
          <w:rFonts w:ascii="Times New Roman" w:hAnsi="Times New Roman" w:cs="Times New Roman"/>
          <w:noProof/>
        </w:rPr>
      </w:pPr>
    </w:p>
    <w:p w14:paraId="27E7E30F" w14:textId="77777777" w:rsidR="00F337CE" w:rsidRPr="000F04FA" w:rsidRDefault="00F337CE" w:rsidP="00F337CE">
      <w:pPr>
        <w:rPr>
          <w:rFonts w:ascii="Times New Roman" w:hAnsi="Times New Roman" w:cs="Times New Roman"/>
          <w:noProof/>
        </w:rPr>
        <w:sectPr w:rsidR="00F337CE" w:rsidRPr="000F04FA" w:rsidSect="00F337CE">
          <w:headerReference w:type="default" r:id="rId40"/>
          <w:footerReference w:type="default" r:id="rId41"/>
          <w:pgSz w:w="15840" w:h="12240" w:orient="landscape"/>
          <w:pgMar w:top="1440" w:right="1440" w:bottom="1440" w:left="1440" w:header="720" w:footer="720" w:gutter="0"/>
          <w:cols w:space="720"/>
          <w:docGrid w:linePitch="360"/>
        </w:sectPr>
      </w:pPr>
    </w:p>
    <w:p w14:paraId="47F8C9B8" w14:textId="2FA268E5" w:rsidR="00C04BFF" w:rsidRPr="000F04FA" w:rsidRDefault="00C04BFF" w:rsidP="00D8670B">
      <w:pPr>
        <w:keepNext/>
        <w:spacing w:before="360" w:after="120" w:line="240" w:lineRule="auto"/>
        <w:jc w:val="both"/>
        <w:outlineLvl w:val="0"/>
        <w:rPr>
          <w:rFonts w:ascii="Times New Roman" w:hAnsi="Times New Roman"/>
          <w:b/>
          <w:bCs/>
          <w:smallCaps/>
          <w:noProof/>
        </w:rPr>
      </w:pPr>
      <w:r w:rsidRPr="000F04FA">
        <w:rPr>
          <w:rFonts w:ascii="Times New Roman" w:hAnsi="Times New Roman"/>
          <w:b/>
          <w:bCs/>
          <w:smallCaps/>
          <w:noProof/>
        </w:rPr>
        <w:t xml:space="preserve">D. COMPONENT 2.3: Smart and Sustainable Water Management </w:t>
      </w:r>
    </w:p>
    <w:p w14:paraId="2E5F647F" w14:textId="77777777" w:rsidR="00C04BFF" w:rsidRPr="000F04FA" w:rsidRDefault="00C04BFF" w:rsidP="00D8670B">
      <w:pPr>
        <w:spacing w:before="120" w:after="120" w:line="240" w:lineRule="auto"/>
        <w:jc w:val="both"/>
        <w:rPr>
          <w:rFonts w:ascii="Times New Roman" w:hAnsi="Times New Roman"/>
          <w:noProof/>
          <w:color w:val="000000" w:themeColor="text1"/>
        </w:rPr>
      </w:pPr>
      <w:r w:rsidRPr="000F04FA">
        <w:rPr>
          <w:rFonts w:ascii="Times New Roman" w:hAnsi="Times New Roman"/>
          <w:noProof/>
          <w:color w:val="000000" w:themeColor="text1"/>
        </w:rPr>
        <w:t>This component of the Cypriot recovery and resilience plan addresses inefficiencies in water management. The objectives of this component are to ensure supply of good quality drinking water, maximising the infrastructure for sewerage collection systems, sewerage treatment and reuse of treated effluent in agriculture, reducing water loss, non-revenue water and groundwater abstraction, improving anti-flood infrastructure, improving operational efficiency of the services being provided to the consumers through technological advances and establishing transparency in financial transactions.</w:t>
      </w:r>
    </w:p>
    <w:p w14:paraId="1C9F2F03" w14:textId="77777777" w:rsidR="00C04BFF" w:rsidRPr="000F04FA" w:rsidRDefault="00C04BFF" w:rsidP="00D8670B">
      <w:pPr>
        <w:spacing w:before="120" w:after="120" w:line="240" w:lineRule="auto"/>
        <w:jc w:val="both"/>
        <w:rPr>
          <w:rFonts w:ascii="Times New Roman" w:hAnsi="Times New Roman"/>
          <w:noProof/>
        </w:rPr>
      </w:pPr>
      <w:r w:rsidRPr="000F04FA">
        <w:rPr>
          <w:rFonts w:ascii="Times New Roman" w:hAnsi="Times New Roman"/>
          <w:noProof/>
        </w:rPr>
        <w:t xml:space="preserve">The component addresses the Country Specific Recommendation on water management (Country-Specific Recommendation 3 of 2020 and Country-Specific Recommendation 4 of 2019). </w:t>
      </w:r>
    </w:p>
    <w:p w14:paraId="21DB3586" w14:textId="16E616E9" w:rsidR="00C04BFF" w:rsidRPr="000F04FA" w:rsidRDefault="00C04BFF" w:rsidP="00D8670B">
      <w:pPr>
        <w:pStyle w:val="Text1"/>
        <w:ind w:left="0"/>
        <w:rPr>
          <w:noProof/>
          <w:lang w:val="en-US"/>
        </w:rPr>
      </w:pPr>
      <w:r w:rsidRPr="000F04FA">
        <w:rPr>
          <w:noProof/>
          <w:lang w:val="en-US"/>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064579">
        <w:rPr>
          <w:noProof/>
          <w:lang w:val="en-US"/>
        </w:rPr>
        <w:t xml:space="preserve"> </w:t>
      </w:r>
    </w:p>
    <w:p w14:paraId="71A10854" w14:textId="77777777" w:rsidR="00C04BFF" w:rsidRPr="000F04FA" w:rsidRDefault="00C04BFF" w:rsidP="00D8670B">
      <w:pPr>
        <w:pStyle w:val="Text1"/>
        <w:ind w:left="0"/>
        <w:rPr>
          <w:i/>
          <w:iCs/>
          <w:noProof/>
          <w:lang w:val="en-US"/>
        </w:rPr>
      </w:pPr>
    </w:p>
    <w:p w14:paraId="49C976A0" w14:textId="77777777" w:rsidR="00C04BFF" w:rsidRPr="000F04FA" w:rsidRDefault="00C04BFF" w:rsidP="00D8670B">
      <w:pPr>
        <w:spacing w:before="120" w:after="120" w:line="240" w:lineRule="auto"/>
        <w:jc w:val="both"/>
        <w:rPr>
          <w:rFonts w:ascii="Times New Roman" w:hAnsi="Times New Roman"/>
          <w:b/>
          <w:i/>
          <w:noProof/>
        </w:rPr>
      </w:pPr>
      <w:r w:rsidRPr="000F04FA">
        <w:rPr>
          <w:rFonts w:ascii="Times New Roman" w:hAnsi="Times New Roman"/>
          <w:b/>
          <w:noProof/>
          <w:u w:val="single"/>
        </w:rPr>
        <w:t xml:space="preserve">D.1. </w:t>
      </w:r>
      <w:r w:rsidRPr="000F04FA">
        <w:rPr>
          <w:noProof/>
        </w:rPr>
        <w:tab/>
      </w:r>
      <w:r w:rsidRPr="000F04FA">
        <w:rPr>
          <w:rFonts w:ascii="Times New Roman" w:hAnsi="Times New Roman"/>
          <w:b/>
          <w:noProof/>
          <w:u w:val="single"/>
        </w:rPr>
        <w:t>Description of the reforms and investments for non-repayable financial support</w:t>
      </w:r>
    </w:p>
    <w:p w14:paraId="50D8B88F" w14:textId="77777777" w:rsidR="00C04BFF" w:rsidRPr="000F04FA" w:rsidRDefault="00C04BF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Reform 1 (C2.3R1): Water Resource Management Reform</w:t>
      </w:r>
    </w:p>
    <w:p w14:paraId="252D1706" w14:textId="77777777" w:rsidR="00C04BFF" w:rsidRPr="000F04FA" w:rsidRDefault="00C04BFF" w:rsidP="00D8670B">
      <w:pPr>
        <w:spacing w:before="120" w:after="120" w:line="240" w:lineRule="auto"/>
        <w:jc w:val="both"/>
        <w:rPr>
          <w:rFonts w:ascii="Times New Roman" w:hAnsi="Times New Roman"/>
          <w:noProof/>
          <w:highlight w:val="yellow"/>
        </w:rPr>
      </w:pPr>
      <w:r w:rsidRPr="000F04FA">
        <w:rPr>
          <w:rFonts w:ascii="Times New Roman" w:hAnsi="Times New Roman"/>
          <w:noProof/>
        </w:rPr>
        <w:t xml:space="preserve">The objective of this investment is to define actions addressing structural weaknesses in the water resource management in Cyprus. </w:t>
      </w:r>
    </w:p>
    <w:p w14:paraId="4DD9092F" w14:textId="77777777" w:rsidR="00C04BFF" w:rsidRPr="000F04FA" w:rsidDel="004B21C8" w:rsidRDefault="00C04BFF" w:rsidP="00D8670B">
      <w:pPr>
        <w:spacing w:before="120" w:after="120" w:line="240" w:lineRule="auto"/>
        <w:jc w:val="both"/>
        <w:rPr>
          <w:rFonts w:ascii="Times New Roman" w:hAnsi="Times New Roman"/>
          <w:noProof/>
        </w:rPr>
      </w:pPr>
      <w:r w:rsidRPr="000F04FA">
        <w:rPr>
          <w:rFonts w:ascii="Times New Roman" w:hAnsi="Times New Roman"/>
          <w:noProof/>
        </w:rPr>
        <w:t xml:space="preserve">The reform consists in the adoption of an action plan on water resource management. </w:t>
      </w:r>
    </w:p>
    <w:p w14:paraId="1A423F45" w14:textId="77777777" w:rsidR="00C04BFF" w:rsidRPr="000F04FA" w:rsidRDefault="00C04BFF" w:rsidP="00D8670B">
      <w:pPr>
        <w:spacing w:before="120" w:after="120" w:line="240" w:lineRule="auto"/>
        <w:jc w:val="both"/>
        <w:textAlignment w:val="baseline"/>
        <w:rPr>
          <w:rFonts w:ascii="Times New Roman" w:hAnsi="Times New Roman"/>
          <w:noProof/>
        </w:rPr>
      </w:pPr>
    </w:p>
    <w:p w14:paraId="7A8202D2" w14:textId="77777777" w:rsidR="00C04BFF" w:rsidRPr="000F04FA" w:rsidRDefault="00C04BF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2 (C2.3I2): Water Treatment Plants</w:t>
      </w:r>
    </w:p>
    <w:p w14:paraId="68B31A70" w14:textId="77777777" w:rsidR="00C04BFF" w:rsidRPr="000F04FA" w:rsidRDefault="00C04BFF" w:rsidP="00D8670B">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support projects in water treatment plants.</w:t>
      </w:r>
    </w:p>
    <w:p w14:paraId="3A0A271C" w14:textId="77777777" w:rsidR="00C04BFF" w:rsidRPr="000F04FA" w:rsidRDefault="00C04BFF" w:rsidP="00D8670B">
      <w:pPr>
        <w:spacing w:before="120" w:after="120" w:line="240" w:lineRule="auto"/>
        <w:jc w:val="both"/>
        <w:rPr>
          <w:rFonts w:ascii="Times New Roman" w:hAnsi="Times New Roman"/>
          <w:noProof/>
        </w:rPr>
      </w:pPr>
      <w:r w:rsidRPr="000F04FA">
        <w:rPr>
          <w:rFonts w:ascii="Times New Roman" w:hAnsi="Times New Roman"/>
          <w:noProof/>
        </w:rPr>
        <w:t xml:space="preserve">The measure consists in projects in the water treatment plants of Limassol, Asprokremmos, Tersefanou, Kornos and Kannaviou. </w:t>
      </w:r>
    </w:p>
    <w:p w14:paraId="328B30A5" w14:textId="77777777" w:rsidR="00C04BFF" w:rsidRPr="000F04FA" w:rsidRDefault="00C04BFF" w:rsidP="00D8670B">
      <w:pPr>
        <w:spacing w:before="120" w:after="120" w:line="240" w:lineRule="auto"/>
        <w:jc w:val="both"/>
        <w:rPr>
          <w:rFonts w:ascii="Times New Roman" w:hAnsi="Times New Roman"/>
          <w:noProof/>
        </w:rPr>
      </w:pPr>
    </w:p>
    <w:p w14:paraId="20D5EAC2" w14:textId="77777777" w:rsidR="00C04BFF" w:rsidRPr="000F04FA" w:rsidRDefault="00C04BF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3 (C2.3I3): Integrated Monitoring and Control Management System for the Water Development Department’s infrastructure</w:t>
      </w:r>
    </w:p>
    <w:p w14:paraId="499BCC86" w14:textId="77777777" w:rsidR="00C04BFF" w:rsidRPr="000F04FA" w:rsidRDefault="00C04BFF" w:rsidP="00D8670B">
      <w:pPr>
        <w:spacing w:before="120" w:after="120" w:line="240" w:lineRule="auto"/>
        <w:jc w:val="both"/>
        <w:rPr>
          <w:rFonts w:ascii="Times New Roman" w:hAnsi="Times New Roman"/>
          <w:noProof/>
        </w:rPr>
      </w:pPr>
      <w:r w:rsidRPr="000F04FA">
        <w:rPr>
          <w:rFonts w:ascii="Times New Roman" w:hAnsi="Times New Roman"/>
          <w:noProof/>
        </w:rPr>
        <w:t>The objective of this investment</w:t>
      </w:r>
      <w:r w:rsidRPr="000F04FA">
        <w:rPr>
          <w:rFonts w:ascii="Times New Roman" w:hAnsi="Times New Roman"/>
          <w:b/>
          <w:noProof/>
        </w:rPr>
        <w:t xml:space="preserve"> </w:t>
      </w:r>
      <w:r w:rsidRPr="000F04FA">
        <w:rPr>
          <w:rFonts w:ascii="Times New Roman" w:hAnsi="Times New Roman"/>
          <w:noProof/>
        </w:rPr>
        <w:t xml:space="preserve">is to support the Water Development Department (WDD). </w:t>
      </w:r>
    </w:p>
    <w:p w14:paraId="7902056C" w14:textId="77777777" w:rsidR="00C04BFF" w:rsidRPr="000F04FA" w:rsidRDefault="00C04BFF" w:rsidP="00D8670B">
      <w:pPr>
        <w:spacing w:before="120" w:after="120" w:line="240" w:lineRule="auto"/>
        <w:jc w:val="both"/>
        <w:rPr>
          <w:rFonts w:ascii="Times New Roman" w:hAnsi="Times New Roman"/>
          <w:noProof/>
        </w:rPr>
      </w:pPr>
      <w:r w:rsidRPr="000F04FA">
        <w:rPr>
          <w:rFonts w:ascii="Times New Roman" w:hAnsi="Times New Roman"/>
          <w:noProof/>
        </w:rPr>
        <w:t>The measure consists in a Monitoring and Control Management System for the WDD.</w:t>
      </w:r>
    </w:p>
    <w:p w14:paraId="5D96EAC8" w14:textId="77777777" w:rsidR="00C04BFF" w:rsidRPr="000F04FA" w:rsidRDefault="00C04BFF" w:rsidP="00D8670B">
      <w:pPr>
        <w:spacing w:before="120" w:after="120" w:line="240" w:lineRule="auto"/>
        <w:jc w:val="both"/>
        <w:rPr>
          <w:rFonts w:ascii="Times New Roman" w:hAnsi="Times New Roman"/>
          <w:noProof/>
        </w:rPr>
      </w:pPr>
    </w:p>
    <w:p w14:paraId="01B9DFE3" w14:textId="77777777" w:rsidR="00C04BFF" w:rsidRPr="000F04FA" w:rsidRDefault="00C04BF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4 (C2.3I4): Smart Water and Sewerage Networks Management</w:t>
      </w:r>
    </w:p>
    <w:p w14:paraId="52CECA26" w14:textId="77777777" w:rsidR="00C04BFF" w:rsidRPr="000F04FA" w:rsidRDefault="00C04BFF" w:rsidP="00D8670B">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support management and energy efficiency of the water network of Larnaca and Limassol.</w:t>
      </w:r>
    </w:p>
    <w:p w14:paraId="622E06F8" w14:textId="0C3F160B" w:rsidR="00C04BFF" w:rsidRPr="000F04FA" w:rsidRDefault="00C04BFF" w:rsidP="00D8670B">
      <w:pPr>
        <w:spacing w:before="120" w:after="120" w:line="240" w:lineRule="auto"/>
        <w:jc w:val="both"/>
        <w:rPr>
          <w:rFonts w:ascii="Times New Roman" w:hAnsi="Times New Roman"/>
          <w:noProof/>
        </w:rPr>
      </w:pPr>
      <w:r w:rsidRPr="000F04FA">
        <w:rPr>
          <w:rFonts w:ascii="Times New Roman" w:hAnsi="Times New Roman"/>
          <w:noProof/>
        </w:rPr>
        <w:t xml:space="preserve">The measure consists in </w:t>
      </w:r>
      <w:r w:rsidRPr="000F04FA">
        <w:rPr>
          <w:rFonts w:ascii="Times New Roman" w:eastAsiaTheme="minorHAnsi" w:hAnsi="Times New Roman"/>
          <w:noProof/>
        </w:rPr>
        <w:t xml:space="preserve">sensors, smart meters, and </w:t>
      </w:r>
      <w:r w:rsidRPr="000F04FA">
        <w:rPr>
          <w:rFonts w:ascii="Times New Roman" w:hAnsi="Times New Roman"/>
          <w:noProof/>
        </w:rPr>
        <w:t xml:space="preserve">digital </w:t>
      </w:r>
      <w:r w:rsidRPr="000F04FA">
        <w:rPr>
          <w:rFonts w:ascii="Times New Roman" w:eastAsiaTheme="minorHAnsi" w:hAnsi="Times New Roman"/>
          <w:noProof/>
        </w:rPr>
        <w:t>t</w:t>
      </w:r>
      <w:r w:rsidRPr="000F04FA">
        <w:rPr>
          <w:rFonts w:ascii="Times New Roman" w:hAnsi="Times New Roman"/>
          <w:noProof/>
        </w:rPr>
        <w:t>win decision support system</w:t>
      </w:r>
      <w:r w:rsidRPr="000F04FA">
        <w:rPr>
          <w:rFonts w:ascii="Times New Roman" w:eastAsiaTheme="minorHAnsi" w:hAnsi="Times New Roman"/>
          <w:noProof/>
        </w:rPr>
        <w:t>(s)</w:t>
      </w:r>
      <w:r w:rsidRPr="000F04FA">
        <w:rPr>
          <w:rFonts w:ascii="Times New Roman" w:hAnsi="Times New Roman"/>
          <w:noProof/>
        </w:rPr>
        <w:t xml:space="preserve">. </w:t>
      </w:r>
    </w:p>
    <w:p w14:paraId="1ACE4FE8" w14:textId="77777777" w:rsidR="00C04BFF" w:rsidRPr="000F04FA" w:rsidRDefault="00C04BFF" w:rsidP="00D8670B">
      <w:pPr>
        <w:spacing w:before="120" w:after="120" w:line="240" w:lineRule="auto"/>
        <w:jc w:val="both"/>
        <w:rPr>
          <w:rFonts w:ascii="Times New Roman" w:hAnsi="Times New Roman" w:cs="Times New Roman"/>
          <w:noProof/>
        </w:rPr>
      </w:pPr>
    </w:p>
    <w:p w14:paraId="77DC3BC3" w14:textId="77777777" w:rsidR="00C04BFF" w:rsidRPr="000F04FA" w:rsidRDefault="00C04BF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5 (C2.3I5): Anti-flood and water collection measures</w:t>
      </w:r>
    </w:p>
    <w:p w14:paraId="56EDA8CA" w14:textId="77777777" w:rsidR="00C04BFF" w:rsidRPr="000F04FA" w:rsidRDefault="00C04BFF" w:rsidP="00D8670B">
      <w:pPr>
        <w:spacing w:before="120" w:after="120" w:line="240" w:lineRule="auto"/>
        <w:jc w:val="both"/>
        <w:rPr>
          <w:rFonts w:ascii="Times New Roman" w:hAnsi="Times New Roman"/>
          <w:noProof/>
        </w:rPr>
      </w:pPr>
      <w:r w:rsidRPr="000F04FA">
        <w:rPr>
          <w:rFonts w:ascii="Times New Roman" w:hAnsi="Times New Roman"/>
          <w:noProof/>
        </w:rPr>
        <w:t xml:space="preserve">The objective of this investment is to mitigate the negative effects from flooding events. </w:t>
      </w:r>
    </w:p>
    <w:p w14:paraId="76713E72" w14:textId="3CD5F0F5" w:rsidR="00C04BFF" w:rsidRPr="000F04FA" w:rsidRDefault="00C04BFF" w:rsidP="00D8670B">
      <w:pPr>
        <w:autoSpaceDE w:val="0"/>
        <w:autoSpaceDN w:val="0"/>
        <w:adjustRightInd w:val="0"/>
        <w:spacing w:after="0" w:line="240" w:lineRule="auto"/>
        <w:jc w:val="both"/>
        <w:rPr>
          <w:rFonts w:ascii="Times New Roman" w:hAnsi="Times New Roman"/>
          <w:noProof/>
        </w:rPr>
      </w:pPr>
      <w:r w:rsidRPr="000F04FA">
        <w:rPr>
          <w:rFonts w:ascii="Times New Roman" w:hAnsi="Times New Roman"/>
          <w:noProof/>
        </w:rPr>
        <w:t xml:space="preserve">The measure consists in anti-flood work(s) or reconstruction or construction of streets and pavements, and in landscaping of flood channel(s). </w:t>
      </w:r>
    </w:p>
    <w:p w14:paraId="71759F49" w14:textId="77777777" w:rsidR="00C04BFF" w:rsidRPr="000F04FA" w:rsidRDefault="00C04BFF" w:rsidP="00D8670B">
      <w:pPr>
        <w:autoSpaceDE w:val="0"/>
        <w:autoSpaceDN w:val="0"/>
        <w:adjustRightInd w:val="0"/>
        <w:spacing w:after="0" w:line="240" w:lineRule="auto"/>
        <w:jc w:val="both"/>
        <w:rPr>
          <w:rFonts w:ascii="Times New Roman" w:hAnsi="Times New Roman"/>
          <w:noProof/>
        </w:rPr>
      </w:pPr>
    </w:p>
    <w:p w14:paraId="486CA7BC" w14:textId="77777777" w:rsidR="00C04BFF" w:rsidRPr="000F04FA" w:rsidRDefault="00C04BFF" w:rsidP="00D8670B">
      <w:pPr>
        <w:keepNext/>
        <w:spacing w:before="120" w:after="120" w:line="240" w:lineRule="auto"/>
        <w:jc w:val="both"/>
        <w:rPr>
          <w:rFonts w:ascii="Times New Roman" w:hAnsi="Times New Roman"/>
          <w:noProof/>
          <w:u w:val="single"/>
        </w:rPr>
      </w:pPr>
      <w:r w:rsidRPr="000F04FA">
        <w:rPr>
          <w:rFonts w:ascii="Times New Roman" w:hAnsi="Times New Roman"/>
          <w:noProof/>
          <w:u w:val="single"/>
        </w:rPr>
        <w:t>Investment 6 (C2.3I6): Water security projects</w:t>
      </w:r>
    </w:p>
    <w:p w14:paraId="0B6BA6A6" w14:textId="1599B92C" w:rsidR="00C04BFF" w:rsidRPr="000F04FA" w:rsidRDefault="00C04BFF" w:rsidP="00D8670B">
      <w:pPr>
        <w:spacing w:before="120" w:after="120" w:line="240" w:lineRule="auto"/>
        <w:jc w:val="both"/>
        <w:rPr>
          <w:rFonts w:ascii="Times New Roman" w:hAnsi="Times New Roman"/>
          <w:b/>
          <w:bCs/>
          <w:noProof/>
        </w:rPr>
      </w:pPr>
      <w:r w:rsidRPr="000F04FA">
        <w:rPr>
          <w:rFonts w:ascii="Times New Roman" w:hAnsi="Times New Roman"/>
          <w:noProof/>
        </w:rPr>
        <w:t xml:space="preserve">The objective of this investment is ensuring water security of Nicosia, Limassol and </w:t>
      </w:r>
      <w:r w:rsidRPr="000F04FA">
        <w:rPr>
          <w:rFonts w:ascii="Times New Roman" w:eastAsia="Times New Roman" w:hAnsi="Times New Roman" w:cs="Times New Roman"/>
          <w:noProof/>
          <w:color w:val="000000" w:themeColor="text1"/>
        </w:rPr>
        <w:t>Klavdia</w:t>
      </w:r>
      <w:r w:rsidRPr="000F04FA">
        <w:rPr>
          <w:rFonts w:ascii="Times New Roman" w:hAnsi="Times New Roman"/>
          <w:noProof/>
        </w:rPr>
        <w:t>.</w:t>
      </w:r>
    </w:p>
    <w:p w14:paraId="3BE4EF7E" w14:textId="72C87016" w:rsidR="00C04BFF" w:rsidRPr="000F04FA" w:rsidRDefault="00C04BFF" w:rsidP="00D8670B">
      <w:pPr>
        <w:spacing w:after="0" w:line="240" w:lineRule="auto"/>
        <w:jc w:val="both"/>
        <w:rPr>
          <w:noProof/>
        </w:rPr>
      </w:pPr>
      <w:r w:rsidRPr="000F04FA">
        <w:rPr>
          <w:rFonts w:ascii="Times New Roman" w:hAnsi="Times New Roman"/>
          <w:noProof/>
        </w:rPr>
        <w:t>The measure consists in water reservoir(s) and a water treatment plant.</w:t>
      </w:r>
    </w:p>
    <w:p w14:paraId="58C48FA9" w14:textId="77777777" w:rsidR="00C04BFF" w:rsidRPr="000F04FA" w:rsidRDefault="00C04BFF" w:rsidP="00D8670B">
      <w:pPr>
        <w:spacing w:before="120" w:after="120" w:line="240" w:lineRule="auto"/>
        <w:jc w:val="both"/>
        <w:rPr>
          <w:rFonts w:ascii="Times New Roman" w:hAnsi="Times New Roman"/>
          <w:noProof/>
          <w:u w:val="single"/>
        </w:rPr>
      </w:pPr>
    </w:p>
    <w:p w14:paraId="07C82CE6" w14:textId="77777777" w:rsidR="00C04BFF" w:rsidRPr="000F04FA" w:rsidRDefault="00C04BF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8 (C2.3I8) Protection of the marine ecosystem from hazards through oil spills</w:t>
      </w:r>
    </w:p>
    <w:p w14:paraId="256F399D" w14:textId="77777777" w:rsidR="00C04BFF" w:rsidRPr="000F04FA" w:rsidRDefault="00C04BFF" w:rsidP="00A33217">
      <w:pPr>
        <w:spacing w:before="120" w:after="120" w:line="240" w:lineRule="auto"/>
        <w:jc w:val="both"/>
        <w:rPr>
          <w:rFonts w:ascii="Times New Roman" w:hAnsi="Times New Roman"/>
          <w:noProof/>
        </w:rPr>
      </w:pPr>
      <w:r w:rsidRPr="000F04FA">
        <w:rPr>
          <w:rFonts w:ascii="Times New Roman" w:hAnsi="Times New Roman"/>
          <w:noProof/>
        </w:rPr>
        <w:t>The objective of the measure is to protect marine ecosystems through an upgrade of the operational capacity of the Department of Fisheries and Marine Research to respond promptly, adequately, and effectively to incidents from oil pollution to marine pollution.</w:t>
      </w:r>
    </w:p>
    <w:p w14:paraId="37020F82" w14:textId="77777777" w:rsidR="00C04BFF" w:rsidRPr="000F04FA" w:rsidRDefault="00C04BFF" w:rsidP="00A33217">
      <w:pPr>
        <w:spacing w:before="120" w:after="120" w:line="240" w:lineRule="auto"/>
        <w:jc w:val="both"/>
        <w:rPr>
          <w:rFonts w:ascii="Times New Roman" w:hAnsi="Times New Roman"/>
          <w:noProof/>
        </w:rPr>
      </w:pPr>
      <w:r w:rsidRPr="000F04FA">
        <w:rPr>
          <w:rFonts w:ascii="Times New Roman" w:hAnsi="Times New Roman"/>
          <w:noProof/>
        </w:rPr>
        <w:t>The measure consists of the purchase of three antipollution vessels with the possibility of autonomous oil recovery operations, two of which shall operate close to the shoreline and the larger one on the high seas, as well as the purchase of two autonomous oil dispersant air spraying units.</w:t>
      </w:r>
    </w:p>
    <w:p w14:paraId="6519AF0A" w14:textId="6606C21A" w:rsidR="00C04BFF" w:rsidRPr="000F04FA" w:rsidRDefault="00C04BFF" w:rsidP="00A33217">
      <w:pPr>
        <w:spacing w:before="120" w:after="120" w:line="240" w:lineRule="auto"/>
        <w:jc w:val="both"/>
        <w:rPr>
          <w:rFonts w:ascii="Times New Roman" w:hAnsi="Times New Roman"/>
          <w:noProof/>
        </w:rPr>
      </w:pPr>
      <w:r w:rsidRPr="000F04FA">
        <w:rPr>
          <w:rFonts w:ascii="Times New Roman" w:hAnsi="Times New Roman"/>
          <w:noProof/>
        </w:rPr>
        <w:t>The implementation of the investment shall be completed by 31</w:t>
      </w:r>
      <w:r w:rsidR="00A33217" w:rsidRPr="00A33217">
        <w:rPr>
          <w:rFonts w:ascii="Times New Roman" w:hAnsi="Times New Roman"/>
          <w:noProof/>
        </w:rPr>
        <w:t> </w:t>
      </w:r>
      <w:r w:rsidRPr="000F04FA">
        <w:rPr>
          <w:rFonts w:ascii="Times New Roman" w:hAnsi="Times New Roman"/>
          <w:noProof/>
        </w:rPr>
        <w:t>December</w:t>
      </w:r>
      <w:r w:rsidR="00A33217" w:rsidRPr="00A33217">
        <w:rPr>
          <w:rFonts w:ascii="Times New Roman" w:hAnsi="Times New Roman"/>
          <w:noProof/>
        </w:rPr>
        <w:t> </w:t>
      </w:r>
      <w:r w:rsidRPr="000F04FA">
        <w:rPr>
          <w:rFonts w:ascii="Times New Roman" w:hAnsi="Times New Roman"/>
          <w:noProof/>
        </w:rPr>
        <w:t>2025.</w:t>
      </w:r>
    </w:p>
    <w:p w14:paraId="255CF10B" w14:textId="77777777" w:rsidR="00C04BFF" w:rsidRPr="000F04FA" w:rsidRDefault="00C04BFF" w:rsidP="00D8670B">
      <w:pPr>
        <w:spacing w:before="120" w:after="120" w:line="240" w:lineRule="auto"/>
        <w:jc w:val="both"/>
        <w:rPr>
          <w:rFonts w:ascii="Times New Roman" w:hAnsi="Times New Roman"/>
          <w:noProof/>
        </w:rPr>
        <w:sectPr w:rsidR="00C04BFF" w:rsidRPr="000F04FA" w:rsidSect="00F337CE">
          <w:headerReference w:type="default" r:id="rId42"/>
          <w:footerReference w:type="default" r:id="rId43"/>
          <w:pgSz w:w="12240" w:h="15840"/>
          <w:pgMar w:top="1440" w:right="1440" w:bottom="1440" w:left="1440" w:header="720" w:footer="720" w:gutter="0"/>
          <w:cols w:space="720"/>
          <w:docGrid w:linePitch="360"/>
        </w:sectPr>
      </w:pPr>
    </w:p>
    <w:p w14:paraId="799807BD" w14:textId="77777777" w:rsidR="00C04BFF" w:rsidRPr="000F04FA" w:rsidRDefault="00C04BFF" w:rsidP="00E53B92">
      <w:pPr>
        <w:spacing w:before="120" w:after="120" w:line="240" w:lineRule="auto"/>
        <w:jc w:val="center"/>
        <w:rPr>
          <w:rFonts w:ascii="Times New Roman" w:hAnsi="Times New Roman"/>
          <w:b/>
          <w:noProof/>
          <w:u w:val="single"/>
        </w:rPr>
      </w:pPr>
      <w:r w:rsidRPr="000F04FA">
        <w:rPr>
          <w:rFonts w:ascii="Times New Roman" w:hAnsi="Times New Roman"/>
          <w:b/>
          <w:noProof/>
          <w:u w:val="single"/>
        </w:rPr>
        <w:t xml:space="preserve">D.2.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418"/>
        <w:gridCol w:w="1133"/>
        <w:gridCol w:w="1545"/>
        <w:gridCol w:w="1575"/>
        <w:gridCol w:w="1133"/>
        <w:gridCol w:w="992"/>
        <w:gridCol w:w="992"/>
        <w:gridCol w:w="992"/>
        <w:gridCol w:w="851"/>
        <w:gridCol w:w="3540"/>
      </w:tblGrid>
      <w:tr w:rsidR="00C04BFF" w:rsidRPr="00A33217" w14:paraId="26B11C94" w14:textId="77777777" w:rsidTr="00A33217">
        <w:trPr>
          <w:trHeight w:val="300"/>
          <w:tblHeader/>
          <w:jc w:val="center"/>
        </w:trPr>
        <w:tc>
          <w:tcPr>
            <w:tcW w:w="1149" w:type="dxa"/>
            <w:vMerge w:val="restart"/>
            <w:tcBorders>
              <w:top w:val="single" w:sz="4" w:space="0" w:color="auto"/>
              <w:bottom w:val="single" w:sz="4" w:space="0" w:color="auto"/>
              <w:right w:val="single" w:sz="4" w:space="0" w:color="auto"/>
            </w:tcBorders>
            <w:shd w:val="clear" w:color="auto" w:fill="BDD7EE"/>
            <w:vAlign w:val="center"/>
            <w:hideMark/>
          </w:tcPr>
          <w:p w14:paraId="586DC835" w14:textId="77777777" w:rsidR="00C04BFF" w:rsidRPr="00A33217" w:rsidRDefault="00C04BFF">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Sequential Number</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A67E7C" w14:textId="77777777" w:rsidR="00C04BFF" w:rsidRPr="00A33217" w:rsidRDefault="00C04BFF">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4F1DBC" w14:textId="77777777" w:rsidR="00C04BFF" w:rsidRPr="00A33217" w:rsidRDefault="00C04BFF">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Milestone / Target</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348219" w14:textId="77777777" w:rsidR="00C04BFF" w:rsidRPr="00A33217" w:rsidRDefault="00C04BFF">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Name</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6FD9E3" w14:textId="4F97845B" w:rsidR="00C04BFF" w:rsidRPr="00A33217" w:rsidRDefault="00C04BFF">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Qualitative indicators</w:t>
            </w:r>
            <w:r w:rsidR="00064579">
              <w:rPr>
                <w:rFonts w:ascii="Times New Roman" w:hAnsi="Times New Roman" w:cs="Times New Roman"/>
                <w:b/>
                <w:noProof/>
                <w:sz w:val="18"/>
                <w:szCs w:val="18"/>
              </w:rPr>
              <w:t xml:space="preserve"> </w:t>
            </w:r>
            <w:r w:rsidRPr="00A33217">
              <w:rPr>
                <w:rFonts w:ascii="Times New Roman" w:hAnsi="Times New Roman" w:cs="Times New Roman"/>
                <w:noProof/>
                <w:sz w:val="18"/>
                <w:szCs w:val="18"/>
              </w:rPr>
              <w:br/>
            </w:r>
            <w:r w:rsidRPr="00A33217">
              <w:rPr>
                <w:rFonts w:ascii="Times New Roman" w:hAnsi="Times New Roman" w:cs="Times New Roman"/>
                <w:b/>
                <w:noProof/>
                <w:sz w:val="18"/>
                <w:szCs w:val="18"/>
              </w:rPr>
              <w:t>(for milestones)</w:t>
            </w:r>
          </w:p>
        </w:tc>
        <w:tc>
          <w:tcPr>
            <w:tcW w:w="311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506CD62" w14:textId="399B0DFA" w:rsidR="00C04BFF" w:rsidRPr="00A33217" w:rsidRDefault="00C04BFF" w:rsidP="00BF3173">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Quantitative indicators</w:t>
            </w:r>
            <w:r w:rsidR="00064579">
              <w:rPr>
                <w:rFonts w:ascii="Times New Roman" w:hAnsi="Times New Roman" w:cs="Times New Roman"/>
                <w:b/>
                <w:noProof/>
                <w:sz w:val="18"/>
                <w:szCs w:val="18"/>
              </w:rPr>
              <w:t xml:space="preserve"> </w:t>
            </w:r>
            <w:r w:rsidRPr="00A33217">
              <w:rPr>
                <w:rFonts w:ascii="Times New Roman" w:hAnsi="Times New Roman" w:cs="Times New Roman"/>
                <w:noProof/>
                <w:sz w:val="18"/>
                <w:szCs w:val="18"/>
              </w:rPr>
              <w:br/>
            </w:r>
            <w:r w:rsidRPr="00A33217">
              <w:rPr>
                <w:rFonts w:ascii="Times New Roman" w:hAnsi="Times New Roman" w:cs="Times New Roman"/>
                <w:b/>
                <w:noProof/>
                <w:sz w:val="18"/>
                <w:szCs w:val="18"/>
              </w:rPr>
              <w:t>(for targets)</w:t>
            </w:r>
          </w:p>
        </w:tc>
        <w:tc>
          <w:tcPr>
            <w:tcW w:w="1843" w:type="dxa"/>
            <w:gridSpan w:val="2"/>
            <w:tcBorders>
              <w:top w:val="single" w:sz="4" w:space="0" w:color="auto"/>
              <w:left w:val="single" w:sz="4" w:space="0" w:color="auto"/>
              <w:bottom w:val="single" w:sz="4" w:space="0" w:color="auto"/>
            </w:tcBorders>
            <w:shd w:val="clear" w:color="auto" w:fill="BDD7EE"/>
            <w:vAlign w:val="center"/>
            <w:hideMark/>
          </w:tcPr>
          <w:p w14:paraId="1101DC15" w14:textId="77777777" w:rsidR="00C04BFF" w:rsidRPr="00A33217" w:rsidRDefault="00C04BFF" w:rsidP="00BF3173">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Indicative timeline for completion</w:t>
            </w:r>
          </w:p>
        </w:tc>
        <w:tc>
          <w:tcPr>
            <w:tcW w:w="3540" w:type="dxa"/>
            <w:vMerge w:val="restart"/>
            <w:tcBorders>
              <w:top w:val="single" w:sz="4" w:space="0" w:color="auto"/>
            </w:tcBorders>
            <w:shd w:val="clear" w:color="auto" w:fill="BDD7EE"/>
            <w:vAlign w:val="center"/>
            <w:hideMark/>
          </w:tcPr>
          <w:p w14:paraId="0F64BCF1" w14:textId="77777777" w:rsidR="00C04BFF" w:rsidRPr="00A33217" w:rsidRDefault="00C04BFF" w:rsidP="00BF3173">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Description of each milestone and target</w:t>
            </w:r>
          </w:p>
        </w:tc>
      </w:tr>
      <w:tr w:rsidR="00C04BFF" w:rsidRPr="00A33217" w14:paraId="2A01EA21" w14:textId="77777777" w:rsidTr="00A33217">
        <w:trPr>
          <w:trHeight w:val="300"/>
          <w:tblHeader/>
          <w:jc w:val="center"/>
        </w:trPr>
        <w:tc>
          <w:tcPr>
            <w:tcW w:w="1149" w:type="dxa"/>
            <w:vMerge/>
            <w:tcBorders>
              <w:top w:val="single" w:sz="4" w:space="0" w:color="auto"/>
              <w:right w:val="single" w:sz="4" w:space="0" w:color="auto"/>
            </w:tcBorders>
            <w:vAlign w:val="center"/>
            <w:hideMark/>
          </w:tcPr>
          <w:p w14:paraId="73A227FD" w14:textId="77777777" w:rsidR="00C04BFF" w:rsidRPr="00A33217" w:rsidRDefault="00C04BFF">
            <w:pPr>
              <w:spacing w:after="0" w:line="240" w:lineRule="auto"/>
              <w:jc w:val="center"/>
              <w:rPr>
                <w:rFonts w:ascii="Times New Roman" w:hAnsi="Times New Roman" w:cs="Times New Roman"/>
                <w:b/>
                <w:noProof/>
                <w:sz w:val="18"/>
                <w:szCs w:val="18"/>
              </w:rPr>
            </w:pPr>
          </w:p>
        </w:tc>
        <w:tc>
          <w:tcPr>
            <w:tcW w:w="1418" w:type="dxa"/>
            <w:vMerge/>
            <w:tcBorders>
              <w:top w:val="single" w:sz="4" w:space="0" w:color="auto"/>
              <w:left w:val="single" w:sz="4" w:space="0" w:color="auto"/>
              <w:right w:val="single" w:sz="4" w:space="0" w:color="auto"/>
            </w:tcBorders>
            <w:vAlign w:val="center"/>
            <w:hideMark/>
          </w:tcPr>
          <w:p w14:paraId="2EE50707" w14:textId="77777777" w:rsidR="00C04BFF" w:rsidRPr="00A33217" w:rsidRDefault="00C04BFF">
            <w:pPr>
              <w:spacing w:after="0" w:line="240" w:lineRule="auto"/>
              <w:jc w:val="center"/>
              <w:rPr>
                <w:rFonts w:ascii="Times New Roman" w:hAnsi="Times New Roman" w:cs="Times New Roman"/>
                <w:b/>
                <w:noProof/>
                <w:sz w:val="18"/>
                <w:szCs w:val="18"/>
              </w:rPr>
            </w:pPr>
          </w:p>
        </w:tc>
        <w:tc>
          <w:tcPr>
            <w:tcW w:w="1133" w:type="dxa"/>
            <w:vMerge/>
            <w:tcBorders>
              <w:top w:val="single" w:sz="4" w:space="0" w:color="auto"/>
              <w:left w:val="single" w:sz="4" w:space="0" w:color="auto"/>
              <w:right w:val="single" w:sz="4" w:space="0" w:color="auto"/>
            </w:tcBorders>
            <w:vAlign w:val="center"/>
            <w:hideMark/>
          </w:tcPr>
          <w:p w14:paraId="234B6399" w14:textId="77777777" w:rsidR="00C04BFF" w:rsidRPr="00A33217" w:rsidRDefault="00C04BFF">
            <w:pPr>
              <w:spacing w:after="0" w:line="240" w:lineRule="auto"/>
              <w:jc w:val="center"/>
              <w:rPr>
                <w:rFonts w:ascii="Times New Roman" w:hAnsi="Times New Roman" w:cs="Times New Roman"/>
                <w:b/>
                <w:noProof/>
                <w:sz w:val="18"/>
                <w:szCs w:val="18"/>
              </w:rPr>
            </w:pPr>
          </w:p>
        </w:tc>
        <w:tc>
          <w:tcPr>
            <w:tcW w:w="1545" w:type="dxa"/>
            <w:vMerge/>
            <w:tcBorders>
              <w:top w:val="single" w:sz="4" w:space="0" w:color="auto"/>
              <w:left w:val="single" w:sz="4" w:space="0" w:color="auto"/>
              <w:right w:val="single" w:sz="4" w:space="0" w:color="auto"/>
            </w:tcBorders>
            <w:vAlign w:val="center"/>
            <w:hideMark/>
          </w:tcPr>
          <w:p w14:paraId="1E38A612" w14:textId="77777777" w:rsidR="00C04BFF" w:rsidRPr="00A33217" w:rsidRDefault="00C04BFF">
            <w:pPr>
              <w:spacing w:after="0" w:line="240" w:lineRule="auto"/>
              <w:jc w:val="center"/>
              <w:rPr>
                <w:rFonts w:ascii="Times New Roman" w:hAnsi="Times New Roman" w:cs="Times New Roman"/>
                <w:b/>
                <w:noProof/>
                <w:sz w:val="18"/>
                <w:szCs w:val="18"/>
              </w:rPr>
            </w:pPr>
          </w:p>
        </w:tc>
        <w:tc>
          <w:tcPr>
            <w:tcW w:w="1575" w:type="dxa"/>
            <w:vMerge/>
            <w:tcBorders>
              <w:top w:val="single" w:sz="4" w:space="0" w:color="auto"/>
              <w:left w:val="single" w:sz="4" w:space="0" w:color="auto"/>
              <w:right w:val="single" w:sz="4" w:space="0" w:color="auto"/>
            </w:tcBorders>
            <w:vAlign w:val="center"/>
            <w:hideMark/>
          </w:tcPr>
          <w:p w14:paraId="7E47D0EF" w14:textId="77777777" w:rsidR="00C04BFF" w:rsidRPr="00A33217" w:rsidRDefault="00C04BFF">
            <w:pPr>
              <w:spacing w:after="0" w:line="240" w:lineRule="auto"/>
              <w:jc w:val="center"/>
              <w:rPr>
                <w:rFonts w:ascii="Times New Roman" w:hAnsi="Times New Roman" w:cs="Times New Roman"/>
                <w:b/>
                <w:noProof/>
                <w:sz w:val="18"/>
                <w:szCs w:val="18"/>
              </w:rPr>
            </w:pPr>
          </w:p>
        </w:tc>
        <w:tc>
          <w:tcPr>
            <w:tcW w:w="1133" w:type="dxa"/>
            <w:tcBorders>
              <w:top w:val="single" w:sz="4" w:space="0" w:color="auto"/>
              <w:left w:val="single" w:sz="4" w:space="0" w:color="auto"/>
              <w:right w:val="single" w:sz="4" w:space="0" w:color="auto"/>
            </w:tcBorders>
            <w:shd w:val="clear" w:color="auto" w:fill="BDD7EE"/>
            <w:vAlign w:val="center"/>
            <w:hideMark/>
          </w:tcPr>
          <w:p w14:paraId="24275D35" w14:textId="77777777" w:rsidR="00C04BFF" w:rsidRPr="00A33217" w:rsidRDefault="00C04BFF" w:rsidP="00BF3173">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Unit of measure</w:t>
            </w:r>
          </w:p>
        </w:tc>
        <w:tc>
          <w:tcPr>
            <w:tcW w:w="992" w:type="dxa"/>
            <w:tcBorders>
              <w:top w:val="single" w:sz="4" w:space="0" w:color="auto"/>
              <w:left w:val="single" w:sz="4" w:space="0" w:color="auto"/>
              <w:right w:val="single" w:sz="4" w:space="0" w:color="auto"/>
            </w:tcBorders>
            <w:shd w:val="clear" w:color="auto" w:fill="BDD7EE"/>
            <w:vAlign w:val="center"/>
            <w:hideMark/>
          </w:tcPr>
          <w:p w14:paraId="152F81D0" w14:textId="77777777" w:rsidR="00C04BFF" w:rsidRPr="00A33217" w:rsidRDefault="00C04BFF" w:rsidP="00BF3173">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Baseline</w:t>
            </w:r>
          </w:p>
        </w:tc>
        <w:tc>
          <w:tcPr>
            <w:tcW w:w="992" w:type="dxa"/>
            <w:tcBorders>
              <w:top w:val="single" w:sz="4" w:space="0" w:color="auto"/>
              <w:left w:val="single" w:sz="4" w:space="0" w:color="auto"/>
              <w:right w:val="single" w:sz="4" w:space="0" w:color="auto"/>
            </w:tcBorders>
            <w:shd w:val="clear" w:color="auto" w:fill="BDD7EE"/>
            <w:vAlign w:val="center"/>
            <w:hideMark/>
          </w:tcPr>
          <w:p w14:paraId="5A93CDF2" w14:textId="77777777" w:rsidR="00C04BFF" w:rsidRPr="00A33217" w:rsidRDefault="00C04BFF" w:rsidP="00BF3173">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Goal</w:t>
            </w:r>
          </w:p>
        </w:tc>
        <w:tc>
          <w:tcPr>
            <w:tcW w:w="992" w:type="dxa"/>
            <w:tcBorders>
              <w:top w:val="single" w:sz="4" w:space="0" w:color="auto"/>
              <w:left w:val="single" w:sz="4" w:space="0" w:color="auto"/>
              <w:right w:val="single" w:sz="4" w:space="0" w:color="auto"/>
            </w:tcBorders>
            <w:shd w:val="clear" w:color="auto" w:fill="BDD7EE"/>
            <w:vAlign w:val="center"/>
            <w:hideMark/>
          </w:tcPr>
          <w:p w14:paraId="73509E65" w14:textId="77777777" w:rsidR="00C04BFF" w:rsidRPr="00A33217" w:rsidRDefault="00C04BFF" w:rsidP="00BF3173">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Quarter</w:t>
            </w:r>
          </w:p>
        </w:tc>
        <w:tc>
          <w:tcPr>
            <w:tcW w:w="851" w:type="dxa"/>
            <w:tcBorders>
              <w:top w:val="single" w:sz="4" w:space="0" w:color="auto"/>
              <w:left w:val="single" w:sz="4" w:space="0" w:color="auto"/>
            </w:tcBorders>
            <w:shd w:val="clear" w:color="auto" w:fill="BDD7EE"/>
            <w:vAlign w:val="center"/>
            <w:hideMark/>
          </w:tcPr>
          <w:p w14:paraId="76D96E97" w14:textId="77777777" w:rsidR="00C04BFF" w:rsidRPr="00A33217" w:rsidRDefault="00C04BFF" w:rsidP="00BF3173">
            <w:pPr>
              <w:spacing w:after="0" w:line="240" w:lineRule="auto"/>
              <w:jc w:val="center"/>
              <w:rPr>
                <w:rFonts w:ascii="Times New Roman" w:hAnsi="Times New Roman" w:cs="Times New Roman"/>
                <w:b/>
                <w:noProof/>
                <w:sz w:val="18"/>
                <w:szCs w:val="18"/>
              </w:rPr>
            </w:pPr>
            <w:r w:rsidRPr="00A33217">
              <w:rPr>
                <w:rFonts w:ascii="Times New Roman" w:hAnsi="Times New Roman" w:cs="Times New Roman"/>
                <w:b/>
                <w:noProof/>
                <w:sz w:val="18"/>
                <w:szCs w:val="18"/>
              </w:rPr>
              <w:t>Year</w:t>
            </w:r>
          </w:p>
        </w:tc>
        <w:tc>
          <w:tcPr>
            <w:tcW w:w="3540" w:type="dxa"/>
            <w:vMerge/>
            <w:hideMark/>
          </w:tcPr>
          <w:p w14:paraId="0E749843" w14:textId="77777777" w:rsidR="00C04BFF" w:rsidRPr="00A33217" w:rsidRDefault="00C04BFF" w:rsidP="00BF3173">
            <w:pPr>
              <w:spacing w:after="0" w:line="240" w:lineRule="auto"/>
              <w:jc w:val="both"/>
              <w:rPr>
                <w:rFonts w:ascii="Times New Roman" w:hAnsi="Times New Roman" w:cs="Times New Roman"/>
                <w:b/>
                <w:noProof/>
                <w:sz w:val="18"/>
                <w:szCs w:val="18"/>
              </w:rPr>
            </w:pPr>
          </w:p>
        </w:tc>
      </w:tr>
      <w:tr w:rsidR="00C04BFF" w:rsidRPr="00A33217" w:rsidDel="00D31E47" w14:paraId="7A59CEBE" w14:textId="77777777" w:rsidTr="00A33217">
        <w:trPr>
          <w:trHeight w:val="300"/>
          <w:jc w:val="center"/>
        </w:trPr>
        <w:tc>
          <w:tcPr>
            <w:tcW w:w="1149" w:type="dxa"/>
            <w:shd w:val="clear" w:color="auto" w:fill="C6EFCE"/>
            <w:noWrap/>
            <w:hideMark/>
          </w:tcPr>
          <w:p w14:paraId="267FB8C6" w14:textId="77777777" w:rsidR="00C04BFF" w:rsidRPr="00A33217" w:rsidDel="00D31E4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66</w:t>
            </w:r>
          </w:p>
        </w:tc>
        <w:tc>
          <w:tcPr>
            <w:tcW w:w="1418" w:type="dxa"/>
            <w:shd w:val="clear" w:color="auto" w:fill="C6EFCE"/>
            <w:noWrap/>
            <w:hideMark/>
          </w:tcPr>
          <w:p w14:paraId="0CE05408"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C2.3R1 </w:t>
            </w:r>
          </w:p>
          <w:p w14:paraId="1504710E" w14:textId="77777777" w:rsidR="00C04BFF" w:rsidRPr="00A33217" w:rsidDel="00D31E4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Water Resource Management Reform</w:t>
            </w:r>
          </w:p>
        </w:tc>
        <w:tc>
          <w:tcPr>
            <w:tcW w:w="1133" w:type="dxa"/>
            <w:shd w:val="clear" w:color="auto" w:fill="C6EFCE"/>
            <w:noWrap/>
            <w:hideMark/>
          </w:tcPr>
          <w:p w14:paraId="6671D7C3" w14:textId="77777777" w:rsidR="00C04BFF" w:rsidRPr="00A33217" w:rsidDel="00D31E4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shd w:val="clear" w:color="auto" w:fill="C6EFCE"/>
            <w:noWrap/>
          </w:tcPr>
          <w:p w14:paraId="386F3E17" w14:textId="0D5280A2" w:rsidR="00C04BFF" w:rsidRPr="00A33217" w:rsidDel="00D31E4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Adoption and</w:t>
            </w:r>
            <w:r w:rsidR="00C86471">
              <w:rPr>
                <w:rFonts w:ascii="Times New Roman" w:hAnsi="Times New Roman" w:cs="Times New Roman"/>
                <w:noProof/>
                <w:sz w:val="18"/>
                <w:szCs w:val="18"/>
              </w:rPr>
              <w:t xml:space="preserve"> </w:t>
            </w:r>
            <w:r w:rsidRPr="00A33217">
              <w:rPr>
                <w:rFonts w:ascii="Times New Roman" w:hAnsi="Times New Roman" w:cs="Times New Roman"/>
                <w:noProof/>
                <w:sz w:val="18"/>
                <w:szCs w:val="18"/>
              </w:rPr>
              <w:t>publication of an action plan on water resource management</w:t>
            </w:r>
          </w:p>
        </w:tc>
        <w:tc>
          <w:tcPr>
            <w:tcW w:w="1575" w:type="dxa"/>
            <w:shd w:val="clear" w:color="auto" w:fill="C6EFCE"/>
            <w:noWrap/>
            <w:hideMark/>
          </w:tcPr>
          <w:p w14:paraId="1EADC190" w14:textId="77777777" w:rsidR="00C04BFF" w:rsidRPr="00A33217" w:rsidDel="00D31E47"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Adoption and publication of the action plan on the website of the Ministry of Agriculture, Rural Development and Environment</w:t>
            </w:r>
          </w:p>
        </w:tc>
        <w:tc>
          <w:tcPr>
            <w:tcW w:w="1133" w:type="dxa"/>
            <w:shd w:val="clear" w:color="auto" w:fill="C6EFCE"/>
            <w:noWrap/>
          </w:tcPr>
          <w:p w14:paraId="0AE7768D" w14:textId="3D099558" w:rsidR="00C04BFF" w:rsidRPr="00A33217" w:rsidDel="00D31E4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6CBBAC67" w14:textId="33B32B42" w:rsidR="00C04BFF" w:rsidRPr="00A33217" w:rsidDel="00D31E4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76D1D98F" w14:textId="7B8F5817" w:rsidR="00C04BFF" w:rsidRPr="00A33217" w:rsidDel="00D31E4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hideMark/>
          </w:tcPr>
          <w:p w14:paraId="6B9443C0" w14:textId="77777777" w:rsidR="00C04BFF" w:rsidRPr="00A33217" w:rsidDel="00D31E4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851" w:type="dxa"/>
            <w:shd w:val="clear" w:color="auto" w:fill="C6EFCE"/>
            <w:noWrap/>
            <w:hideMark/>
          </w:tcPr>
          <w:p w14:paraId="31F7FFE2" w14:textId="77777777" w:rsidR="00C04BFF" w:rsidRPr="00A33217" w:rsidDel="00D31E4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2025</w:t>
            </w:r>
          </w:p>
        </w:tc>
        <w:tc>
          <w:tcPr>
            <w:tcW w:w="3540" w:type="dxa"/>
            <w:shd w:val="clear" w:color="auto" w:fill="C6EFCE"/>
            <w:noWrap/>
            <w:hideMark/>
          </w:tcPr>
          <w:p w14:paraId="12204092" w14:textId="77777777" w:rsidR="00C04BFF" w:rsidRPr="00A33217" w:rsidDel="00D31E4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 xml:space="preserve">Adoption by the Council of Ministers and publication on the website of the Ministry of Agriculture, Rural Development and Environment of an action plan on water resource management. </w:t>
            </w:r>
          </w:p>
        </w:tc>
      </w:tr>
      <w:tr w:rsidR="00C04BFF" w:rsidRPr="00A33217" w14:paraId="0F6C40C2" w14:textId="77777777" w:rsidTr="00A33217">
        <w:trPr>
          <w:trHeight w:val="300"/>
          <w:jc w:val="center"/>
        </w:trPr>
        <w:tc>
          <w:tcPr>
            <w:tcW w:w="1149" w:type="dxa"/>
            <w:shd w:val="clear" w:color="auto" w:fill="C6EFCE"/>
            <w:noWrap/>
          </w:tcPr>
          <w:p w14:paraId="625D4795"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70</w:t>
            </w:r>
          </w:p>
        </w:tc>
        <w:tc>
          <w:tcPr>
            <w:tcW w:w="1418" w:type="dxa"/>
            <w:shd w:val="clear" w:color="auto" w:fill="C6EFCE"/>
            <w:noWrap/>
          </w:tcPr>
          <w:p w14:paraId="2F900302"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C2.3I2 </w:t>
            </w:r>
          </w:p>
          <w:p w14:paraId="42D04270"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Water Treatment Plants </w:t>
            </w:r>
          </w:p>
        </w:tc>
        <w:tc>
          <w:tcPr>
            <w:tcW w:w="1133" w:type="dxa"/>
            <w:shd w:val="clear" w:color="auto" w:fill="C6EFCE"/>
            <w:noWrap/>
          </w:tcPr>
          <w:p w14:paraId="4A918CF1"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shd w:val="clear" w:color="auto" w:fill="C6EFCE"/>
            <w:noWrap/>
          </w:tcPr>
          <w:p w14:paraId="4CD8D39D" w14:textId="55465F07" w:rsidR="00C04BFF" w:rsidRPr="00A33217"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Projects in Water </w:t>
            </w:r>
            <w:r w:rsidR="00C86471" w:rsidRPr="00A33217">
              <w:rPr>
                <w:rFonts w:ascii="Times New Roman" w:hAnsi="Times New Roman" w:cs="Times New Roman"/>
                <w:noProof/>
                <w:sz w:val="18"/>
                <w:szCs w:val="18"/>
              </w:rPr>
              <w:t>Treatments</w:t>
            </w:r>
            <w:r w:rsidRPr="00A33217">
              <w:rPr>
                <w:rFonts w:ascii="Times New Roman" w:hAnsi="Times New Roman" w:cs="Times New Roman"/>
                <w:noProof/>
                <w:sz w:val="18"/>
                <w:szCs w:val="18"/>
              </w:rPr>
              <w:t xml:space="preserve"> Plant(s)</w:t>
            </w:r>
          </w:p>
        </w:tc>
        <w:tc>
          <w:tcPr>
            <w:tcW w:w="1575" w:type="dxa"/>
            <w:shd w:val="clear" w:color="auto" w:fill="C6EFCE"/>
            <w:noWrap/>
          </w:tcPr>
          <w:p w14:paraId="353B149D"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Issued acceptance certificates</w:t>
            </w:r>
          </w:p>
        </w:tc>
        <w:tc>
          <w:tcPr>
            <w:tcW w:w="1133" w:type="dxa"/>
            <w:shd w:val="clear" w:color="auto" w:fill="C6EFCE"/>
            <w:noWrap/>
          </w:tcPr>
          <w:p w14:paraId="36929810" w14:textId="77777777" w:rsidR="00C04BFF" w:rsidRPr="00A33217" w:rsidRDefault="00C04BFF" w:rsidP="00BF3173">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30E06D2A" w14:textId="77777777" w:rsidR="00C04BFF" w:rsidRPr="00A33217" w:rsidRDefault="00C04BFF" w:rsidP="00BF3173">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2CC8A572" w14:textId="77777777" w:rsidR="00C04BFF" w:rsidRPr="00A33217" w:rsidRDefault="00C04BFF" w:rsidP="00BF3173">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287FE14E"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Q4</w:t>
            </w:r>
          </w:p>
        </w:tc>
        <w:tc>
          <w:tcPr>
            <w:tcW w:w="851" w:type="dxa"/>
            <w:shd w:val="clear" w:color="auto" w:fill="C6EFCE"/>
            <w:noWrap/>
          </w:tcPr>
          <w:p w14:paraId="4CF32D79"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2025</w:t>
            </w:r>
          </w:p>
        </w:tc>
        <w:tc>
          <w:tcPr>
            <w:tcW w:w="3540" w:type="dxa"/>
            <w:shd w:val="clear" w:color="auto" w:fill="C6EFCE"/>
            <w:noWrap/>
          </w:tcPr>
          <w:p w14:paraId="28246761" w14:textId="702BF4CE"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Projects in Water Treatment Plant(s) as follows:</w:t>
            </w:r>
          </w:p>
          <w:p w14:paraId="179EC7B6" w14:textId="5A0DA4C4" w:rsidR="00C04BFF" w:rsidRPr="00A33217" w:rsidRDefault="00C04BFF" w:rsidP="00BF3173">
            <w:pPr>
              <w:spacing w:after="0" w:line="240" w:lineRule="auto"/>
              <w:jc w:val="both"/>
              <w:rPr>
                <w:rFonts w:ascii="Times New Roman" w:eastAsiaTheme="minorHAnsi" w:hAnsi="Times New Roman" w:cs="Times New Roman"/>
                <w:noProof/>
                <w:sz w:val="18"/>
                <w:szCs w:val="18"/>
              </w:rPr>
            </w:pPr>
            <w:r w:rsidRPr="00A33217">
              <w:rPr>
                <w:rFonts w:ascii="Times New Roman" w:hAnsi="Times New Roman" w:cs="Times New Roman"/>
                <w:noProof/>
                <w:sz w:val="18"/>
                <w:szCs w:val="18"/>
              </w:rPr>
              <w:t xml:space="preserve">Installation of activated carbon </w:t>
            </w:r>
            <w:r w:rsidR="00C86471" w:rsidRPr="00A33217">
              <w:rPr>
                <w:rFonts w:ascii="Times New Roman" w:hAnsi="Times New Roman" w:cs="Times New Roman"/>
                <w:noProof/>
                <w:sz w:val="18"/>
                <w:szCs w:val="18"/>
              </w:rPr>
              <w:t>filtration</w:t>
            </w:r>
            <w:r w:rsidRPr="00A33217">
              <w:rPr>
                <w:rFonts w:ascii="Times New Roman" w:hAnsi="Times New Roman" w:cs="Times New Roman"/>
                <w:noProof/>
                <w:sz w:val="18"/>
                <w:szCs w:val="18"/>
              </w:rPr>
              <w:t xml:space="preserve"> system(s) in Tersefanou, Asprokremmos and Limassol</w:t>
            </w:r>
          </w:p>
          <w:p w14:paraId="416051EE" w14:textId="2A0BB026" w:rsidR="00C04BFF" w:rsidRPr="00A33217" w:rsidRDefault="00C04BFF" w:rsidP="00BF3173">
            <w:pPr>
              <w:spacing w:after="0" w:line="240" w:lineRule="auto"/>
              <w:jc w:val="both"/>
              <w:rPr>
                <w:rFonts w:ascii="Times New Roman" w:eastAsiaTheme="minorHAnsi" w:hAnsi="Times New Roman" w:cs="Times New Roman"/>
                <w:noProof/>
                <w:sz w:val="18"/>
                <w:szCs w:val="18"/>
              </w:rPr>
            </w:pPr>
            <w:r w:rsidRPr="00A33217">
              <w:rPr>
                <w:rFonts w:ascii="Times New Roman" w:hAnsi="Times New Roman" w:cs="Times New Roman"/>
                <w:noProof/>
                <w:sz w:val="18"/>
                <w:szCs w:val="18"/>
              </w:rPr>
              <w:t>Insta</w:t>
            </w:r>
            <w:r w:rsidRPr="00A33217">
              <w:rPr>
                <w:rFonts w:ascii="Times New Roman" w:eastAsiaTheme="minorHAnsi" w:hAnsi="Times New Roman" w:cs="Times New Roman"/>
                <w:noProof/>
                <w:sz w:val="18"/>
                <w:szCs w:val="18"/>
              </w:rPr>
              <w:t>llation of on-site chlorine</w:t>
            </w:r>
            <w:r w:rsidRPr="00A33217">
              <w:rPr>
                <w:rFonts w:ascii="Times New Roman" w:hAnsi="Times New Roman" w:cs="Times New Roman"/>
                <w:noProof/>
                <w:sz w:val="18"/>
                <w:szCs w:val="18"/>
              </w:rPr>
              <w:t xml:space="preserve"> d</w:t>
            </w:r>
            <w:r w:rsidRPr="00A33217">
              <w:rPr>
                <w:rFonts w:ascii="Times New Roman" w:eastAsiaTheme="minorHAnsi" w:hAnsi="Times New Roman" w:cs="Times New Roman"/>
                <w:noProof/>
                <w:sz w:val="18"/>
                <w:szCs w:val="18"/>
              </w:rPr>
              <w:t>ioxide generation system(s) in Limassol, Asprokremm</w:t>
            </w:r>
            <w:r w:rsidRPr="00A33217">
              <w:rPr>
                <w:rFonts w:ascii="Times New Roman" w:hAnsi="Times New Roman" w:cs="Times New Roman"/>
                <w:noProof/>
                <w:sz w:val="18"/>
                <w:szCs w:val="18"/>
              </w:rPr>
              <w:t>os, Tersefanou, Kornos and Kannaviou</w:t>
            </w:r>
          </w:p>
          <w:p w14:paraId="2733F5DF" w14:textId="2A3C8424"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 xml:space="preserve">Installation of filtration system for the expansion of the Asprokremmos Water Treatment Plant including the motor control center. </w:t>
            </w:r>
          </w:p>
        </w:tc>
      </w:tr>
      <w:tr w:rsidR="00C04BFF" w:rsidRPr="00A33217" w14:paraId="1455C3FC" w14:textId="77777777" w:rsidTr="00A33217">
        <w:trPr>
          <w:trHeight w:val="300"/>
          <w:jc w:val="center"/>
        </w:trPr>
        <w:tc>
          <w:tcPr>
            <w:tcW w:w="1149" w:type="dxa"/>
            <w:shd w:val="clear" w:color="auto" w:fill="C6EFCE"/>
            <w:noWrap/>
          </w:tcPr>
          <w:p w14:paraId="46FD16A9" w14:textId="77777777" w:rsidR="00C04BFF" w:rsidRPr="00A33217"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71</w:t>
            </w:r>
          </w:p>
        </w:tc>
        <w:tc>
          <w:tcPr>
            <w:tcW w:w="1418" w:type="dxa"/>
            <w:shd w:val="clear" w:color="auto" w:fill="C6EFCE"/>
            <w:noWrap/>
          </w:tcPr>
          <w:p w14:paraId="765B3678"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C2.3I3 </w:t>
            </w:r>
          </w:p>
          <w:p w14:paraId="24459B12"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Integrated Monitoring and Control Management System for the Water Development Department’s infrastructure</w:t>
            </w:r>
          </w:p>
        </w:tc>
        <w:tc>
          <w:tcPr>
            <w:tcW w:w="1133" w:type="dxa"/>
            <w:shd w:val="clear" w:color="auto" w:fill="C6EFCE"/>
            <w:noWrap/>
          </w:tcPr>
          <w:p w14:paraId="1D5AD696"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shd w:val="clear" w:color="auto" w:fill="C6EFCE"/>
            <w:noWrap/>
          </w:tcPr>
          <w:p w14:paraId="40E6F230"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Completion of the detailed requirements analysis and system design document</w:t>
            </w:r>
          </w:p>
        </w:tc>
        <w:tc>
          <w:tcPr>
            <w:tcW w:w="1575" w:type="dxa"/>
            <w:shd w:val="clear" w:color="auto" w:fill="C6EFCE"/>
            <w:noWrap/>
          </w:tcPr>
          <w:p w14:paraId="76E5F007"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Approval of detailed requirements analysis and system design document by the Steering Committee of the Water Development Department </w:t>
            </w:r>
          </w:p>
        </w:tc>
        <w:tc>
          <w:tcPr>
            <w:tcW w:w="1133" w:type="dxa"/>
            <w:shd w:val="clear" w:color="auto" w:fill="C6EFCE"/>
            <w:noWrap/>
          </w:tcPr>
          <w:p w14:paraId="6E363F84" w14:textId="453377BF"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322F9846" w14:textId="6285AAEF"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66F18FDE" w14:textId="3CFB76C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5C291AB4"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851" w:type="dxa"/>
            <w:shd w:val="clear" w:color="auto" w:fill="C6EFCE"/>
            <w:noWrap/>
          </w:tcPr>
          <w:p w14:paraId="2FF24A2D"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2022</w:t>
            </w:r>
          </w:p>
        </w:tc>
        <w:tc>
          <w:tcPr>
            <w:tcW w:w="3540" w:type="dxa"/>
            <w:shd w:val="clear" w:color="auto" w:fill="C6EFCE"/>
            <w:noWrap/>
          </w:tcPr>
          <w:p w14:paraId="7D147191" w14:textId="77777777"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The requirements analysis and system design document shall describe all the aspects, features, and functionalities of the system, including quality sensors, operational sensors (such as flow, level, and pressure), energy meters, communications devices, IT equipment (hardware, software). The detailed requirements analysis and system design shall determine the exact number and type of equipment required for this project.</w:t>
            </w:r>
          </w:p>
        </w:tc>
      </w:tr>
      <w:tr w:rsidR="00C04BFF" w:rsidRPr="00A33217" w14:paraId="49EEBBAE" w14:textId="77777777" w:rsidTr="001F3EBA">
        <w:trPr>
          <w:trHeight w:val="300"/>
          <w:jc w:val="center"/>
        </w:trPr>
        <w:tc>
          <w:tcPr>
            <w:tcW w:w="1149" w:type="dxa"/>
            <w:tcBorders>
              <w:bottom w:val="single" w:sz="4" w:space="0" w:color="auto"/>
            </w:tcBorders>
            <w:shd w:val="clear" w:color="auto" w:fill="C6EFCE"/>
            <w:noWrap/>
          </w:tcPr>
          <w:p w14:paraId="394C5B36" w14:textId="77777777" w:rsidR="00C04BFF" w:rsidRPr="00A33217"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74a</w:t>
            </w:r>
          </w:p>
        </w:tc>
        <w:tc>
          <w:tcPr>
            <w:tcW w:w="1418" w:type="dxa"/>
            <w:tcBorders>
              <w:bottom w:val="single" w:sz="4" w:space="0" w:color="auto"/>
            </w:tcBorders>
            <w:shd w:val="clear" w:color="auto" w:fill="C6EFCE"/>
            <w:noWrap/>
          </w:tcPr>
          <w:p w14:paraId="4153F717"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C2.3I4</w:t>
            </w:r>
          </w:p>
          <w:p w14:paraId="4D3B0A57"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Smart Water and Sewerage Networks Management</w:t>
            </w:r>
          </w:p>
        </w:tc>
        <w:tc>
          <w:tcPr>
            <w:tcW w:w="1133" w:type="dxa"/>
            <w:tcBorders>
              <w:bottom w:val="single" w:sz="4" w:space="0" w:color="auto"/>
            </w:tcBorders>
            <w:shd w:val="clear" w:color="auto" w:fill="C6EFCE"/>
            <w:noWrap/>
          </w:tcPr>
          <w:p w14:paraId="6D089567"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545" w:type="dxa"/>
            <w:tcBorders>
              <w:bottom w:val="single" w:sz="4" w:space="0" w:color="auto"/>
            </w:tcBorders>
            <w:shd w:val="clear" w:color="auto" w:fill="C6EFCE"/>
            <w:noWrap/>
          </w:tcPr>
          <w:p w14:paraId="7D587C89"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Delivery and installation of photovoltaics at the Larnaca Wastewater Treatment Plant</w:t>
            </w:r>
          </w:p>
        </w:tc>
        <w:tc>
          <w:tcPr>
            <w:tcW w:w="1575" w:type="dxa"/>
            <w:tcBorders>
              <w:bottom w:val="single" w:sz="4" w:space="0" w:color="auto"/>
            </w:tcBorders>
            <w:shd w:val="clear" w:color="auto" w:fill="C6EFCE"/>
            <w:noWrap/>
          </w:tcPr>
          <w:p w14:paraId="46AE982B" w14:textId="77777777" w:rsidR="00C04BFF" w:rsidRPr="00A33217" w:rsidRDefault="00C04BFF">
            <w:pPr>
              <w:spacing w:after="0" w:line="240" w:lineRule="auto"/>
              <w:rPr>
                <w:rFonts w:ascii="Times New Roman" w:hAnsi="Times New Roman" w:cs="Times New Roman"/>
                <w:noProof/>
                <w:sz w:val="18"/>
                <w:szCs w:val="18"/>
              </w:rPr>
            </w:pPr>
          </w:p>
        </w:tc>
        <w:tc>
          <w:tcPr>
            <w:tcW w:w="1133" w:type="dxa"/>
            <w:tcBorders>
              <w:bottom w:val="single" w:sz="4" w:space="0" w:color="auto"/>
            </w:tcBorders>
            <w:shd w:val="clear" w:color="auto" w:fill="C6EFCE"/>
            <w:noWrap/>
          </w:tcPr>
          <w:p w14:paraId="331081F6"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Number</w:t>
            </w:r>
          </w:p>
        </w:tc>
        <w:tc>
          <w:tcPr>
            <w:tcW w:w="992" w:type="dxa"/>
            <w:tcBorders>
              <w:bottom w:val="single" w:sz="4" w:space="0" w:color="auto"/>
            </w:tcBorders>
            <w:shd w:val="clear" w:color="auto" w:fill="C6EFCE"/>
            <w:noWrap/>
          </w:tcPr>
          <w:p w14:paraId="1B569A21"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0</w:t>
            </w:r>
          </w:p>
        </w:tc>
        <w:tc>
          <w:tcPr>
            <w:tcW w:w="992" w:type="dxa"/>
            <w:tcBorders>
              <w:bottom w:val="single" w:sz="4" w:space="0" w:color="auto"/>
            </w:tcBorders>
            <w:shd w:val="clear" w:color="auto" w:fill="C6EFCE"/>
            <w:noWrap/>
          </w:tcPr>
          <w:p w14:paraId="64639CB5"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700</w:t>
            </w:r>
          </w:p>
        </w:tc>
        <w:tc>
          <w:tcPr>
            <w:tcW w:w="992" w:type="dxa"/>
            <w:tcBorders>
              <w:bottom w:val="single" w:sz="4" w:space="0" w:color="auto"/>
            </w:tcBorders>
            <w:shd w:val="clear" w:color="auto" w:fill="C6EFCE"/>
            <w:noWrap/>
          </w:tcPr>
          <w:p w14:paraId="5C7FB8D9"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Q1</w:t>
            </w:r>
          </w:p>
        </w:tc>
        <w:tc>
          <w:tcPr>
            <w:tcW w:w="851" w:type="dxa"/>
            <w:tcBorders>
              <w:bottom w:val="single" w:sz="4" w:space="0" w:color="auto"/>
            </w:tcBorders>
            <w:shd w:val="clear" w:color="auto" w:fill="C6EFCE"/>
            <w:noWrap/>
          </w:tcPr>
          <w:p w14:paraId="2AE348A8"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2023</w:t>
            </w:r>
          </w:p>
        </w:tc>
        <w:tc>
          <w:tcPr>
            <w:tcW w:w="3540" w:type="dxa"/>
            <w:tcBorders>
              <w:bottom w:val="single" w:sz="4" w:space="0" w:color="auto"/>
            </w:tcBorders>
            <w:shd w:val="clear" w:color="auto" w:fill="C6EFCE"/>
            <w:noWrap/>
          </w:tcPr>
          <w:p w14:paraId="6C67171E" w14:textId="77777777"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Delivery and installation of photovoltaic equipment at the Larnaca Wastewater Treatment Plant generating power of at least 700KW.</w:t>
            </w:r>
          </w:p>
        </w:tc>
      </w:tr>
      <w:tr w:rsidR="00C04BFF" w:rsidRPr="00A33217" w14:paraId="270E8F75" w14:textId="77777777" w:rsidTr="001F3EBA">
        <w:trPr>
          <w:trHeight w:val="300"/>
          <w:jc w:val="center"/>
        </w:trPr>
        <w:tc>
          <w:tcPr>
            <w:tcW w:w="1149" w:type="dxa"/>
            <w:tcBorders>
              <w:top w:val="single" w:sz="4" w:space="0" w:color="auto"/>
              <w:left w:val="single" w:sz="4" w:space="0" w:color="auto"/>
              <w:bottom w:val="single" w:sz="4" w:space="0" w:color="auto"/>
              <w:right w:val="single" w:sz="4" w:space="0" w:color="auto"/>
            </w:tcBorders>
            <w:shd w:val="clear" w:color="auto" w:fill="C6EFCE"/>
            <w:noWrap/>
          </w:tcPr>
          <w:p w14:paraId="66A2DDB2"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76b</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11FED8D"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C2.3I4</w:t>
            </w:r>
          </w:p>
          <w:p w14:paraId="10E905AE"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Smart Water and Sewerage Networks Management</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568B9450"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tcBorders>
              <w:top w:val="single" w:sz="4" w:space="0" w:color="auto"/>
              <w:left w:val="single" w:sz="4" w:space="0" w:color="auto"/>
              <w:bottom w:val="single" w:sz="4" w:space="0" w:color="auto"/>
              <w:right w:val="single" w:sz="4" w:space="0" w:color="auto"/>
            </w:tcBorders>
            <w:shd w:val="clear" w:color="auto" w:fill="C6EFCE"/>
            <w:noWrap/>
          </w:tcPr>
          <w:p w14:paraId="125AF8FC" w14:textId="0ED16200" w:rsidR="00C04BFF" w:rsidRPr="00A33217" w:rsidRDefault="00C04BFF" w:rsidP="00E53B92">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Projects in Larnaca and Limassol</w:t>
            </w:r>
          </w:p>
        </w:tc>
        <w:tc>
          <w:tcPr>
            <w:tcW w:w="1575" w:type="dxa"/>
            <w:tcBorders>
              <w:top w:val="single" w:sz="4" w:space="0" w:color="auto"/>
              <w:left w:val="single" w:sz="4" w:space="0" w:color="auto"/>
              <w:bottom w:val="single" w:sz="4" w:space="0" w:color="auto"/>
              <w:right w:val="single" w:sz="4" w:space="0" w:color="auto"/>
            </w:tcBorders>
            <w:shd w:val="clear" w:color="auto" w:fill="C6EFCE"/>
            <w:noWrap/>
          </w:tcPr>
          <w:p w14:paraId="470E98EA"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Issued acceptance certificates </w:t>
            </w:r>
          </w:p>
        </w:tc>
        <w:tc>
          <w:tcPr>
            <w:tcW w:w="1133" w:type="dxa"/>
            <w:tcBorders>
              <w:top w:val="single" w:sz="4" w:space="0" w:color="auto"/>
              <w:left w:val="single" w:sz="4" w:space="0" w:color="auto"/>
              <w:bottom w:val="single" w:sz="4" w:space="0" w:color="auto"/>
              <w:right w:val="single" w:sz="4" w:space="0" w:color="auto"/>
            </w:tcBorders>
            <w:shd w:val="clear" w:color="auto" w:fill="C6EFCE"/>
            <w:noWrap/>
          </w:tcPr>
          <w:p w14:paraId="160D19C9" w14:textId="160895F9"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FA2E028" w14:textId="626E379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7E117B" w14:textId="3957764B"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D71894D"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7AD4548"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2026</w:t>
            </w:r>
          </w:p>
        </w:tc>
        <w:tc>
          <w:tcPr>
            <w:tcW w:w="3540" w:type="dxa"/>
            <w:tcBorders>
              <w:top w:val="single" w:sz="4" w:space="0" w:color="auto"/>
              <w:left w:val="single" w:sz="4" w:space="0" w:color="auto"/>
              <w:bottom w:val="single" w:sz="4" w:space="0" w:color="auto"/>
              <w:right w:val="single" w:sz="4" w:space="0" w:color="auto"/>
            </w:tcBorders>
            <w:shd w:val="clear" w:color="auto" w:fill="C6EFCE"/>
            <w:noWrap/>
          </w:tcPr>
          <w:p w14:paraId="7D47D416" w14:textId="7DC7C4C5"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Projects as follows:</w:t>
            </w:r>
          </w:p>
          <w:p w14:paraId="6D2894C9" w14:textId="401BCC97" w:rsidR="00C04BFF" w:rsidRPr="00A33217" w:rsidRDefault="00C04BFF" w:rsidP="00BF3173">
            <w:pPr>
              <w:numPr>
                <w:ilvl w:val="0"/>
                <w:numId w:val="1"/>
              </w:num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At least 200 quality and pressure sensors and at least 100 000 smart meters for consumption reading. </w:t>
            </w:r>
          </w:p>
          <w:p w14:paraId="48E0E099" w14:textId="0C2B41A7" w:rsidR="00C04BFF" w:rsidRPr="00A33217" w:rsidRDefault="00C04BFF" w:rsidP="00BF3173">
            <w:pPr>
              <w:numPr>
                <w:ilvl w:val="0"/>
                <w:numId w:val="2"/>
              </w:num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Digital Twin decision support system and smart water living lab in Limassol.</w:t>
            </w:r>
          </w:p>
          <w:p w14:paraId="761537E7" w14:textId="3220B335" w:rsidR="00C04BFF" w:rsidRPr="00A33217" w:rsidRDefault="00C04BFF" w:rsidP="00BF3173">
            <w:pPr>
              <w:numPr>
                <w:ilvl w:val="0"/>
                <w:numId w:val="2"/>
              </w:num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 xml:space="preserve">Digital Twin decision support system in Larnaca. </w:t>
            </w:r>
          </w:p>
        </w:tc>
      </w:tr>
      <w:tr w:rsidR="00C04BFF" w:rsidRPr="00A33217" w14:paraId="337FFDC6" w14:textId="77777777" w:rsidTr="001F3EBA">
        <w:trPr>
          <w:trHeight w:val="300"/>
          <w:jc w:val="center"/>
        </w:trPr>
        <w:tc>
          <w:tcPr>
            <w:tcW w:w="1149" w:type="dxa"/>
            <w:tcBorders>
              <w:top w:val="single" w:sz="4" w:space="0" w:color="auto"/>
            </w:tcBorders>
            <w:shd w:val="clear" w:color="auto" w:fill="C6EFCE"/>
            <w:noWrap/>
          </w:tcPr>
          <w:p w14:paraId="74A23CC3" w14:textId="77777777" w:rsidR="00C04BFF" w:rsidRPr="00A33217"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77a</w:t>
            </w:r>
          </w:p>
        </w:tc>
        <w:tc>
          <w:tcPr>
            <w:tcW w:w="1418" w:type="dxa"/>
            <w:tcBorders>
              <w:top w:val="single" w:sz="4" w:space="0" w:color="auto"/>
            </w:tcBorders>
            <w:shd w:val="clear" w:color="auto" w:fill="C6EFCE"/>
            <w:noWrap/>
          </w:tcPr>
          <w:p w14:paraId="0F020D10"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C2.3I5</w:t>
            </w:r>
          </w:p>
          <w:p w14:paraId="5CBBDAFA"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Anti-flood and water collection measures</w:t>
            </w:r>
          </w:p>
        </w:tc>
        <w:tc>
          <w:tcPr>
            <w:tcW w:w="1133" w:type="dxa"/>
            <w:tcBorders>
              <w:top w:val="single" w:sz="4" w:space="0" w:color="auto"/>
            </w:tcBorders>
            <w:shd w:val="clear" w:color="auto" w:fill="C6EFCE"/>
            <w:noWrap/>
          </w:tcPr>
          <w:p w14:paraId="2DCCA38E"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tcBorders>
              <w:top w:val="single" w:sz="4" w:space="0" w:color="auto"/>
            </w:tcBorders>
            <w:shd w:val="clear" w:color="auto" w:fill="C6EFCE"/>
            <w:noWrap/>
          </w:tcPr>
          <w:p w14:paraId="1EAB464B"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Completion of construction works of drainage network and reconstruction of streets and pavements in areas of Nicosia</w:t>
            </w:r>
          </w:p>
        </w:tc>
        <w:tc>
          <w:tcPr>
            <w:tcW w:w="1575" w:type="dxa"/>
            <w:tcBorders>
              <w:top w:val="single" w:sz="4" w:space="0" w:color="auto"/>
            </w:tcBorders>
            <w:shd w:val="clear" w:color="auto" w:fill="C6EFCE"/>
            <w:noWrap/>
          </w:tcPr>
          <w:p w14:paraId="2BB47E91"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Project management team certifies the completion of the construction</w:t>
            </w:r>
          </w:p>
        </w:tc>
        <w:tc>
          <w:tcPr>
            <w:tcW w:w="1133" w:type="dxa"/>
            <w:tcBorders>
              <w:top w:val="single" w:sz="4" w:space="0" w:color="auto"/>
            </w:tcBorders>
            <w:shd w:val="clear" w:color="auto" w:fill="C6EFCE"/>
            <w:noWrap/>
          </w:tcPr>
          <w:p w14:paraId="466859EA" w14:textId="6B61FE4D"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tcBorders>
              <w:top w:val="single" w:sz="4" w:space="0" w:color="auto"/>
            </w:tcBorders>
            <w:shd w:val="clear" w:color="auto" w:fill="C6EFCE"/>
            <w:noWrap/>
          </w:tcPr>
          <w:p w14:paraId="2C4E4CA9" w14:textId="2965AEC2"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tcBorders>
              <w:top w:val="single" w:sz="4" w:space="0" w:color="auto"/>
            </w:tcBorders>
            <w:shd w:val="clear" w:color="auto" w:fill="C6EFCE"/>
            <w:noWrap/>
          </w:tcPr>
          <w:p w14:paraId="52DFC363" w14:textId="3CEE19C6"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tcBorders>
              <w:top w:val="single" w:sz="4" w:space="0" w:color="auto"/>
            </w:tcBorders>
            <w:shd w:val="clear" w:color="auto" w:fill="C6EFCE"/>
            <w:noWrap/>
          </w:tcPr>
          <w:p w14:paraId="6D579E8E"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Q4</w:t>
            </w:r>
          </w:p>
        </w:tc>
        <w:tc>
          <w:tcPr>
            <w:tcW w:w="851" w:type="dxa"/>
            <w:tcBorders>
              <w:top w:val="single" w:sz="4" w:space="0" w:color="auto"/>
            </w:tcBorders>
            <w:shd w:val="clear" w:color="auto" w:fill="C6EFCE"/>
            <w:noWrap/>
          </w:tcPr>
          <w:p w14:paraId="556A9583"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2022</w:t>
            </w:r>
          </w:p>
        </w:tc>
        <w:tc>
          <w:tcPr>
            <w:tcW w:w="3540" w:type="dxa"/>
            <w:tcBorders>
              <w:top w:val="single" w:sz="4" w:space="0" w:color="auto"/>
            </w:tcBorders>
            <w:shd w:val="clear" w:color="auto" w:fill="C6EFCE"/>
            <w:noWrap/>
          </w:tcPr>
          <w:p w14:paraId="74F69A07" w14:textId="77777777"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Completion of construction of drainage network and reconstruction of streets and pavements in Agios Antonios, Old city, Likavitos and Agioi Omologites areas of Nicosia with a total length of approx. 6.5km.</w:t>
            </w:r>
          </w:p>
        </w:tc>
      </w:tr>
      <w:tr w:rsidR="00C04BFF" w:rsidRPr="00A33217" w:rsidDel="00FF0B16" w14:paraId="08CD7273" w14:textId="77777777" w:rsidTr="00A33217">
        <w:trPr>
          <w:trHeight w:val="300"/>
          <w:jc w:val="center"/>
        </w:trPr>
        <w:tc>
          <w:tcPr>
            <w:tcW w:w="1149" w:type="dxa"/>
            <w:shd w:val="clear" w:color="auto" w:fill="C6EFCE"/>
            <w:noWrap/>
          </w:tcPr>
          <w:p w14:paraId="503758E4" w14:textId="5E58D1CB" w:rsidR="00C04BFF" w:rsidRPr="00A33217" w:rsidDel="00FF0B16"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77b</w:t>
            </w:r>
          </w:p>
        </w:tc>
        <w:tc>
          <w:tcPr>
            <w:tcW w:w="1418" w:type="dxa"/>
            <w:shd w:val="clear" w:color="auto" w:fill="C6EFCE"/>
            <w:noWrap/>
          </w:tcPr>
          <w:p w14:paraId="7659F300" w14:textId="77777777" w:rsidR="00C04BFF" w:rsidRPr="00A33217" w:rsidDel="00FF0B16"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C2.3I5</w:t>
            </w:r>
          </w:p>
          <w:p w14:paraId="73CC2E79" w14:textId="77777777" w:rsidR="00C04BFF" w:rsidRPr="00A33217" w:rsidDel="00FF0B16"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Anti-flood and water collection measures</w:t>
            </w:r>
          </w:p>
        </w:tc>
        <w:tc>
          <w:tcPr>
            <w:tcW w:w="1133" w:type="dxa"/>
            <w:shd w:val="clear" w:color="auto" w:fill="C6EFCE"/>
            <w:noWrap/>
          </w:tcPr>
          <w:p w14:paraId="7B1FD250" w14:textId="77777777" w:rsidR="00C04BFF" w:rsidRPr="00A33217" w:rsidDel="00FF0B16"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shd w:val="clear" w:color="auto" w:fill="C6EFCE"/>
            <w:noWrap/>
          </w:tcPr>
          <w:p w14:paraId="0ED438BB" w14:textId="2A5467DC" w:rsidR="00C04BFF" w:rsidRPr="00A33217" w:rsidDel="00FF0B16"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Anti-flood work(s) </w:t>
            </w:r>
          </w:p>
          <w:p w14:paraId="7E912689" w14:textId="292E242A" w:rsidR="00C04BFF" w:rsidRPr="00A33217" w:rsidDel="00FF0B16"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or reconstruction or construction of streets and pavements in Nicosia and Limmasol</w:t>
            </w:r>
          </w:p>
        </w:tc>
        <w:tc>
          <w:tcPr>
            <w:tcW w:w="1575" w:type="dxa"/>
            <w:shd w:val="clear" w:color="auto" w:fill="C6EFCE"/>
            <w:noWrap/>
          </w:tcPr>
          <w:p w14:paraId="21805659" w14:textId="77777777" w:rsidR="00C04BFF" w:rsidRPr="00A33217" w:rsidDel="00FF0B16"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color w:val="000000" w:themeColor="text1"/>
                <w:sz w:val="18"/>
                <w:szCs w:val="18"/>
              </w:rPr>
              <w:t>Taking over certificates</w:t>
            </w:r>
          </w:p>
        </w:tc>
        <w:tc>
          <w:tcPr>
            <w:tcW w:w="1133" w:type="dxa"/>
            <w:shd w:val="clear" w:color="auto" w:fill="C6EFCE"/>
            <w:noWrap/>
          </w:tcPr>
          <w:p w14:paraId="537D627B" w14:textId="77777777" w:rsidR="00C04BFF" w:rsidRPr="00A33217" w:rsidDel="00FF0B16"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0C37F3D6" w14:textId="77777777" w:rsidR="00C04BFF" w:rsidRPr="00A33217" w:rsidDel="00FF0B16"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5992027A" w14:textId="77777777" w:rsidR="00C04BFF" w:rsidRPr="00A33217" w:rsidDel="00FF0B16"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5175E2D4" w14:textId="77777777" w:rsidR="00C04BFF" w:rsidRPr="00A33217" w:rsidDel="00FF0B16"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851" w:type="dxa"/>
            <w:shd w:val="clear" w:color="auto" w:fill="C6EFCE"/>
            <w:noWrap/>
          </w:tcPr>
          <w:p w14:paraId="328BB70F" w14:textId="77777777" w:rsidR="00C04BFF" w:rsidRPr="00A33217" w:rsidDel="00FF0B16"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2026</w:t>
            </w:r>
          </w:p>
        </w:tc>
        <w:tc>
          <w:tcPr>
            <w:tcW w:w="3540" w:type="dxa"/>
            <w:shd w:val="clear" w:color="auto" w:fill="C6EFCE"/>
            <w:noWrap/>
          </w:tcPr>
          <w:p w14:paraId="34FA7E56" w14:textId="64B923FD" w:rsidR="00C04BFF" w:rsidRPr="00A33217" w:rsidDel="00FF0B16"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Anti-flood work(s) or reconstruction or construction of streets and pavements in Nicosia and Limassol.</w:t>
            </w:r>
          </w:p>
        </w:tc>
      </w:tr>
      <w:tr w:rsidR="00C04BFF" w:rsidRPr="00A33217" w14:paraId="12E7481A" w14:textId="77777777" w:rsidTr="00A33217">
        <w:trPr>
          <w:trHeight w:val="300"/>
          <w:jc w:val="center"/>
        </w:trPr>
        <w:tc>
          <w:tcPr>
            <w:tcW w:w="1149" w:type="dxa"/>
            <w:shd w:val="clear" w:color="auto" w:fill="C6EFCE"/>
            <w:noWrap/>
          </w:tcPr>
          <w:p w14:paraId="4CAC6B03" w14:textId="77777777" w:rsidR="00C04BFF" w:rsidRPr="00A33217"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78</w:t>
            </w:r>
          </w:p>
        </w:tc>
        <w:tc>
          <w:tcPr>
            <w:tcW w:w="1418" w:type="dxa"/>
            <w:shd w:val="clear" w:color="auto" w:fill="C6EFCE"/>
            <w:noWrap/>
          </w:tcPr>
          <w:p w14:paraId="0D9225A3"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C2.3I5</w:t>
            </w:r>
          </w:p>
          <w:p w14:paraId="3ABAA5FF"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Anti-flood and water collection measures</w:t>
            </w:r>
          </w:p>
        </w:tc>
        <w:tc>
          <w:tcPr>
            <w:tcW w:w="1133" w:type="dxa"/>
            <w:shd w:val="clear" w:color="auto" w:fill="C6EFCE"/>
            <w:noWrap/>
          </w:tcPr>
          <w:p w14:paraId="257F01ED"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shd w:val="clear" w:color="auto" w:fill="C6EFCE"/>
            <w:noWrap/>
          </w:tcPr>
          <w:p w14:paraId="1479B638"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Construction works for rainwater collection and recycling in Kladeri area</w:t>
            </w:r>
          </w:p>
        </w:tc>
        <w:tc>
          <w:tcPr>
            <w:tcW w:w="1575" w:type="dxa"/>
            <w:shd w:val="clear" w:color="auto" w:fill="C6EFCE"/>
            <w:noWrap/>
          </w:tcPr>
          <w:p w14:paraId="1C504302"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Taking over certificates</w:t>
            </w:r>
          </w:p>
        </w:tc>
        <w:tc>
          <w:tcPr>
            <w:tcW w:w="1133" w:type="dxa"/>
            <w:shd w:val="clear" w:color="auto" w:fill="C6EFCE"/>
            <w:noWrap/>
          </w:tcPr>
          <w:p w14:paraId="4E277433" w14:textId="155F9DD8"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5AA1A583" w14:textId="103723F0"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06577C64" w14:textId="2E6A7811"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654BCE16"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851" w:type="dxa"/>
            <w:shd w:val="clear" w:color="auto" w:fill="C6EFCE"/>
            <w:noWrap/>
          </w:tcPr>
          <w:p w14:paraId="282DFFF4"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2024</w:t>
            </w:r>
          </w:p>
        </w:tc>
        <w:tc>
          <w:tcPr>
            <w:tcW w:w="3540" w:type="dxa"/>
            <w:shd w:val="clear" w:color="auto" w:fill="C6EFCE"/>
            <w:noWrap/>
          </w:tcPr>
          <w:p w14:paraId="07C104F1" w14:textId="77777777"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Construction of rainwater collection and recycling system in Kladeri area.</w:t>
            </w:r>
          </w:p>
        </w:tc>
      </w:tr>
      <w:tr w:rsidR="00C04BFF" w:rsidRPr="00A33217" w14:paraId="7C991BD2" w14:textId="77777777" w:rsidTr="00A33217">
        <w:trPr>
          <w:trHeight w:val="300"/>
          <w:jc w:val="center"/>
        </w:trPr>
        <w:tc>
          <w:tcPr>
            <w:tcW w:w="1149" w:type="dxa"/>
            <w:shd w:val="clear" w:color="auto" w:fill="C6EFCE"/>
            <w:noWrap/>
          </w:tcPr>
          <w:p w14:paraId="4DC5C9E9"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79</w:t>
            </w:r>
          </w:p>
        </w:tc>
        <w:tc>
          <w:tcPr>
            <w:tcW w:w="1418" w:type="dxa"/>
            <w:shd w:val="clear" w:color="auto" w:fill="C6EFCE"/>
            <w:noWrap/>
          </w:tcPr>
          <w:p w14:paraId="37DFDFE3"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C2.3I5</w:t>
            </w:r>
          </w:p>
          <w:p w14:paraId="229CE50D"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Anti-flood and water collection measures</w:t>
            </w:r>
          </w:p>
        </w:tc>
        <w:tc>
          <w:tcPr>
            <w:tcW w:w="1133" w:type="dxa"/>
            <w:shd w:val="clear" w:color="auto" w:fill="C6EFCE"/>
            <w:noWrap/>
          </w:tcPr>
          <w:p w14:paraId="780BF88A"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shd w:val="clear" w:color="auto" w:fill="C6EFCE"/>
            <w:noWrap/>
          </w:tcPr>
          <w:p w14:paraId="7E4AB7A5" w14:textId="0A94FBD2"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Landscaping of</w:t>
            </w:r>
            <w:r w:rsidR="00064579">
              <w:rPr>
                <w:rFonts w:ascii="Times New Roman" w:hAnsi="Times New Roman" w:cs="Times New Roman"/>
                <w:noProof/>
                <w:sz w:val="18"/>
                <w:szCs w:val="18"/>
              </w:rPr>
              <w:t xml:space="preserve"> </w:t>
            </w:r>
            <w:r w:rsidRPr="00A33217">
              <w:rPr>
                <w:rFonts w:ascii="Times New Roman" w:hAnsi="Times New Roman" w:cs="Times New Roman"/>
                <w:noProof/>
                <w:sz w:val="18"/>
                <w:szCs w:val="18"/>
              </w:rPr>
              <w:t>flood channel(s) in Livadia</w:t>
            </w:r>
          </w:p>
        </w:tc>
        <w:tc>
          <w:tcPr>
            <w:tcW w:w="1575" w:type="dxa"/>
            <w:shd w:val="clear" w:color="auto" w:fill="C6EFCE"/>
            <w:noWrap/>
          </w:tcPr>
          <w:p w14:paraId="13743C57" w14:textId="77777777" w:rsidR="00C04BFF" w:rsidRPr="00A33217" w:rsidRDefault="00C04BFF" w:rsidP="00D8670B">
            <w:pPr>
              <w:spacing w:after="0" w:line="240" w:lineRule="auto"/>
              <w:rPr>
                <w:rFonts w:ascii="Times New Roman" w:hAnsi="Times New Roman" w:cs="Times New Roman"/>
                <w:noProof/>
                <w:sz w:val="18"/>
                <w:szCs w:val="18"/>
              </w:rPr>
            </w:pPr>
            <w:r w:rsidRPr="00A33217">
              <w:rPr>
                <w:rFonts w:ascii="Times New Roman" w:eastAsia="Times New Roman" w:hAnsi="Times New Roman" w:cs="Times New Roman"/>
                <w:noProof/>
                <w:sz w:val="18"/>
                <w:szCs w:val="18"/>
                <w:lang w:eastAsia="en-GB"/>
              </w:rPr>
              <w:t>Taking over certificate</w:t>
            </w:r>
          </w:p>
        </w:tc>
        <w:tc>
          <w:tcPr>
            <w:tcW w:w="1133" w:type="dxa"/>
            <w:shd w:val="clear" w:color="auto" w:fill="C6EFCE"/>
            <w:noWrap/>
          </w:tcPr>
          <w:p w14:paraId="6D3B91C5" w14:textId="77777777" w:rsidR="00C04BFF" w:rsidRPr="00A33217" w:rsidRDefault="00C04BFF" w:rsidP="00BF3173">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21542D4D" w14:textId="77777777" w:rsidR="00C04BFF" w:rsidRPr="00A33217" w:rsidRDefault="00C04BFF" w:rsidP="00BF3173">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355AAAD4" w14:textId="77777777" w:rsidR="00C04BFF" w:rsidRPr="00A33217" w:rsidRDefault="00C04BFF" w:rsidP="00BF3173">
            <w:pPr>
              <w:spacing w:after="0" w:line="240" w:lineRule="auto"/>
              <w:jc w:val="center"/>
              <w:rPr>
                <w:rFonts w:ascii="Times New Roman" w:hAnsi="Times New Roman" w:cs="Times New Roman"/>
                <w:noProof/>
                <w:sz w:val="18"/>
                <w:szCs w:val="18"/>
              </w:rPr>
            </w:pPr>
          </w:p>
        </w:tc>
        <w:tc>
          <w:tcPr>
            <w:tcW w:w="992" w:type="dxa"/>
            <w:shd w:val="clear" w:color="auto" w:fill="C6EFCE"/>
            <w:noWrap/>
          </w:tcPr>
          <w:p w14:paraId="72586845"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Q4</w:t>
            </w:r>
          </w:p>
        </w:tc>
        <w:tc>
          <w:tcPr>
            <w:tcW w:w="851" w:type="dxa"/>
            <w:shd w:val="clear" w:color="auto" w:fill="C6EFCE"/>
            <w:noWrap/>
          </w:tcPr>
          <w:p w14:paraId="44A5166D"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2025</w:t>
            </w:r>
          </w:p>
        </w:tc>
        <w:tc>
          <w:tcPr>
            <w:tcW w:w="3540" w:type="dxa"/>
            <w:shd w:val="clear" w:color="auto" w:fill="C6EFCE"/>
            <w:noWrap/>
          </w:tcPr>
          <w:p w14:paraId="0C5A3B14" w14:textId="60BD815C"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 xml:space="preserve">Landscaping of flood channel(s) in Livadia. </w:t>
            </w:r>
          </w:p>
        </w:tc>
      </w:tr>
      <w:tr w:rsidR="00C04BFF" w:rsidRPr="00A33217" w14:paraId="53AACFC3" w14:textId="77777777" w:rsidTr="00A33217">
        <w:trPr>
          <w:trHeight w:val="300"/>
          <w:jc w:val="center"/>
        </w:trPr>
        <w:tc>
          <w:tcPr>
            <w:tcW w:w="1149" w:type="dxa"/>
            <w:shd w:val="clear" w:color="auto" w:fill="C6EFCE"/>
            <w:noWrap/>
          </w:tcPr>
          <w:p w14:paraId="18CD31EA" w14:textId="77777777" w:rsidR="00C04BFF" w:rsidRPr="00A33217" w:rsidRDefault="00C04BFF" w:rsidP="00D8670B">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80</w:t>
            </w:r>
          </w:p>
        </w:tc>
        <w:tc>
          <w:tcPr>
            <w:tcW w:w="1418" w:type="dxa"/>
            <w:shd w:val="clear" w:color="auto" w:fill="C6EFCE"/>
            <w:noWrap/>
          </w:tcPr>
          <w:p w14:paraId="1300A3C5"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C2.3I6</w:t>
            </w:r>
          </w:p>
          <w:p w14:paraId="1A97742A"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Water security projects</w:t>
            </w:r>
          </w:p>
        </w:tc>
        <w:tc>
          <w:tcPr>
            <w:tcW w:w="1133" w:type="dxa"/>
            <w:shd w:val="clear" w:color="auto" w:fill="C6EFCE"/>
            <w:noWrap/>
          </w:tcPr>
          <w:p w14:paraId="3F50408E"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545" w:type="dxa"/>
            <w:shd w:val="clear" w:color="auto" w:fill="C6EFCE"/>
            <w:noWrap/>
          </w:tcPr>
          <w:p w14:paraId="04C96480"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Construction of two glass lined steel reservoirs in Nicosia district</w:t>
            </w:r>
          </w:p>
        </w:tc>
        <w:tc>
          <w:tcPr>
            <w:tcW w:w="1575" w:type="dxa"/>
            <w:shd w:val="clear" w:color="auto" w:fill="C6EFCE"/>
            <w:noWrap/>
          </w:tcPr>
          <w:p w14:paraId="3D213EF8" w14:textId="77777777" w:rsidR="00C04BFF" w:rsidRPr="00A33217" w:rsidRDefault="00C04BFF">
            <w:pPr>
              <w:spacing w:after="0" w:line="240" w:lineRule="auto"/>
              <w:rPr>
                <w:rFonts w:ascii="Times New Roman" w:hAnsi="Times New Roman" w:cs="Times New Roman"/>
                <w:noProof/>
                <w:sz w:val="18"/>
                <w:szCs w:val="18"/>
              </w:rPr>
            </w:pPr>
          </w:p>
        </w:tc>
        <w:tc>
          <w:tcPr>
            <w:tcW w:w="1133" w:type="dxa"/>
            <w:shd w:val="clear" w:color="auto" w:fill="C6EFCE"/>
            <w:noWrap/>
          </w:tcPr>
          <w:p w14:paraId="3F7979F9"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m3</w:t>
            </w:r>
          </w:p>
        </w:tc>
        <w:tc>
          <w:tcPr>
            <w:tcW w:w="992" w:type="dxa"/>
            <w:shd w:val="clear" w:color="auto" w:fill="C6EFCE"/>
            <w:noWrap/>
          </w:tcPr>
          <w:p w14:paraId="3249230B"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0</w:t>
            </w:r>
          </w:p>
        </w:tc>
        <w:tc>
          <w:tcPr>
            <w:tcW w:w="992" w:type="dxa"/>
            <w:shd w:val="clear" w:color="auto" w:fill="C6EFCE"/>
            <w:noWrap/>
          </w:tcPr>
          <w:p w14:paraId="3AD231D1"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16 000</w:t>
            </w:r>
          </w:p>
        </w:tc>
        <w:tc>
          <w:tcPr>
            <w:tcW w:w="992" w:type="dxa"/>
            <w:shd w:val="clear" w:color="auto" w:fill="C6EFCE"/>
            <w:noWrap/>
          </w:tcPr>
          <w:p w14:paraId="2CCDEA15"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851" w:type="dxa"/>
            <w:shd w:val="clear" w:color="auto" w:fill="C6EFCE"/>
            <w:noWrap/>
          </w:tcPr>
          <w:p w14:paraId="7299E238"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2024</w:t>
            </w:r>
          </w:p>
        </w:tc>
        <w:tc>
          <w:tcPr>
            <w:tcW w:w="3540" w:type="dxa"/>
            <w:shd w:val="clear" w:color="auto" w:fill="C6EFCE"/>
            <w:noWrap/>
          </w:tcPr>
          <w:p w14:paraId="14888033" w14:textId="77777777"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Construction of two glass lined steel reservoirs in Nicosia District of a total capacity of 16 000m</w:t>
            </w:r>
            <w:r w:rsidRPr="00A33217">
              <w:rPr>
                <w:rFonts w:ascii="Times New Roman" w:hAnsi="Times New Roman" w:cs="Times New Roman"/>
                <w:noProof/>
                <w:sz w:val="18"/>
                <w:szCs w:val="18"/>
                <w:vertAlign w:val="superscript"/>
              </w:rPr>
              <w:t>3</w:t>
            </w:r>
            <w:r w:rsidRPr="00A33217">
              <w:rPr>
                <w:rFonts w:ascii="Times New Roman" w:hAnsi="Times New Roman" w:cs="Times New Roman"/>
                <w:noProof/>
                <w:sz w:val="18"/>
                <w:szCs w:val="18"/>
              </w:rPr>
              <w:t>.</w:t>
            </w:r>
          </w:p>
        </w:tc>
      </w:tr>
      <w:tr w:rsidR="00C04BFF" w:rsidRPr="00A33217" w14:paraId="01C67FC5" w14:textId="77777777" w:rsidTr="00A33217">
        <w:trPr>
          <w:trHeight w:val="300"/>
          <w:jc w:val="center"/>
        </w:trPr>
        <w:tc>
          <w:tcPr>
            <w:tcW w:w="1149" w:type="dxa"/>
            <w:shd w:val="clear" w:color="auto" w:fill="C6EFCE"/>
            <w:noWrap/>
          </w:tcPr>
          <w:p w14:paraId="5AF13E42"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81</w:t>
            </w:r>
          </w:p>
        </w:tc>
        <w:tc>
          <w:tcPr>
            <w:tcW w:w="1418" w:type="dxa"/>
            <w:shd w:val="clear" w:color="auto" w:fill="C6EFCE"/>
            <w:noWrap/>
          </w:tcPr>
          <w:p w14:paraId="73EE62AF"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C2.3I6</w:t>
            </w:r>
          </w:p>
          <w:p w14:paraId="1B4CC551"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Water security projects</w:t>
            </w:r>
          </w:p>
        </w:tc>
        <w:tc>
          <w:tcPr>
            <w:tcW w:w="1133" w:type="dxa"/>
            <w:shd w:val="clear" w:color="auto" w:fill="C6EFCE"/>
            <w:noWrap/>
          </w:tcPr>
          <w:p w14:paraId="6B3A8412"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Target</w:t>
            </w:r>
          </w:p>
        </w:tc>
        <w:tc>
          <w:tcPr>
            <w:tcW w:w="1545" w:type="dxa"/>
            <w:shd w:val="clear" w:color="auto" w:fill="C6EFCE"/>
            <w:noWrap/>
          </w:tcPr>
          <w:p w14:paraId="3EE9A9F7" w14:textId="2076AB1F"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Water reservoir(s) and water treatment plant</w:t>
            </w:r>
          </w:p>
        </w:tc>
        <w:tc>
          <w:tcPr>
            <w:tcW w:w="1575" w:type="dxa"/>
            <w:shd w:val="clear" w:color="auto" w:fill="C6EFCE"/>
            <w:noWrap/>
          </w:tcPr>
          <w:p w14:paraId="252A3349" w14:textId="77777777" w:rsidR="00C04BFF" w:rsidRPr="00A33217" w:rsidRDefault="00C04BFF">
            <w:pPr>
              <w:spacing w:after="0" w:line="240" w:lineRule="auto"/>
              <w:rPr>
                <w:rFonts w:ascii="Times New Roman" w:hAnsi="Times New Roman" w:cs="Times New Roman"/>
                <w:noProof/>
                <w:sz w:val="18"/>
                <w:szCs w:val="18"/>
              </w:rPr>
            </w:pPr>
          </w:p>
        </w:tc>
        <w:tc>
          <w:tcPr>
            <w:tcW w:w="1133" w:type="dxa"/>
            <w:shd w:val="clear" w:color="auto" w:fill="C6EFCE"/>
            <w:noWrap/>
          </w:tcPr>
          <w:p w14:paraId="5EFE4718"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m3</w:t>
            </w:r>
          </w:p>
        </w:tc>
        <w:tc>
          <w:tcPr>
            <w:tcW w:w="992" w:type="dxa"/>
            <w:shd w:val="clear" w:color="auto" w:fill="C6EFCE"/>
            <w:noWrap/>
          </w:tcPr>
          <w:p w14:paraId="5BFA39CF"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16 000</w:t>
            </w:r>
          </w:p>
        </w:tc>
        <w:tc>
          <w:tcPr>
            <w:tcW w:w="992" w:type="dxa"/>
            <w:shd w:val="clear" w:color="auto" w:fill="C6EFCE"/>
            <w:noWrap/>
          </w:tcPr>
          <w:p w14:paraId="2988AF17"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52 800</w:t>
            </w:r>
          </w:p>
        </w:tc>
        <w:tc>
          <w:tcPr>
            <w:tcW w:w="992" w:type="dxa"/>
            <w:shd w:val="clear" w:color="auto" w:fill="C6EFCE"/>
            <w:noWrap/>
          </w:tcPr>
          <w:p w14:paraId="7BB1C69D"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Q2</w:t>
            </w:r>
          </w:p>
        </w:tc>
        <w:tc>
          <w:tcPr>
            <w:tcW w:w="851" w:type="dxa"/>
            <w:shd w:val="clear" w:color="auto" w:fill="C6EFCE"/>
            <w:noWrap/>
          </w:tcPr>
          <w:p w14:paraId="6E1D7D41"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2026</w:t>
            </w:r>
          </w:p>
        </w:tc>
        <w:tc>
          <w:tcPr>
            <w:tcW w:w="3540" w:type="dxa"/>
            <w:shd w:val="clear" w:color="auto" w:fill="C6EFCE"/>
            <w:noWrap/>
          </w:tcPr>
          <w:p w14:paraId="4B7AA4E3" w14:textId="0D44C465" w:rsidR="00C04BFF" w:rsidRPr="00A33217" w:rsidRDefault="00C04BFF" w:rsidP="00BF3173">
            <w:pPr>
              <w:pStyle w:val="ListParagraph"/>
              <w:numPr>
                <w:ilvl w:val="0"/>
                <w:numId w:val="3"/>
              </w:numPr>
              <w:spacing w:after="0" w:line="240" w:lineRule="auto"/>
              <w:jc w:val="both"/>
              <w:rPr>
                <w:rFonts w:ascii="Times New Roman" w:hAnsi="Times New Roman" w:cs="Times New Roman"/>
                <w:noProof/>
                <w:sz w:val="18"/>
                <w:szCs w:val="18"/>
                <w:lang w:val="en-US"/>
              </w:rPr>
            </w:pPr>
            <w:r w:rsidRPr="00A33217">
              <w:rPr>
                <w:rFonts w:ascii="Times New Roman" w:hAnsi="Times New Roman" w:cs="Times New Roman"/>
                <w:noProof/>
                <w:sz w:val="18"/>
                <w:szCs w:val="18"/>
                <w:lang w:val="en-US"/>
              </w:rPr>
              <w:t xml:space="preserve">Two glass-lined steel water reservoirs in Nicosia </w:t>
            </w:r>
          </w:p>
          <w:p w14:paraId="3B146737" w14:textId="1671A757" w:rsidR="00C04BFF" w:rsidRPr="00A33217" w:rsidRDefault="00C04BFF" w:rsidP="00BF3173">
            <w:pPr>
              <w:pStyle w:val="ListParagraph"/>
              <w:numPr>
                <w:ilvl w:val="0"/>
                <w:numId w:val="3"/>
              </w:numPr>
              <w:spacing w:after="0" w:line="240" w:lineRule="auto"/>
              <w:jc w:val="both"/>
              <w:rPr>
                <w:rFonts w:ascii="Times New Roman" w:eastAsiaTheme="minorEastAsia" w:hAnsi="Times New Roman" w:cs="Times New Roman"/>
                <w:noProof/>
                <w:sz w:val="18"/>
                <w:szCs w:val="18"/>
                <w:lang w:val="en-US" w:eastAsia="ja-JP"/>
              </w:rPr>
            </w:pPr>
            <w:r w:rsidRPr="00A33217">
              <w:rPr>
                <w:rFonts w:ascii="Times New Roman" w:hAnsi="Times New Roman" w:cs="Times New Roman"/>
                <w:noProof/>
                <w:sz w:val="18"/>
                <w:szCs w:val="18"/>
                <w:lang w:val="en-US"/>
              </w:rPr>
              <w:t xml:space="preserve">one concrete water reservoir in </w:t>
            </w:r>
            <w:r w:rsidRPr="00A33217">
              <w:rPr>
                <w:rFonts w:ascii="Times New Roman" w:eastAsia="Times New Roman" w:hAnsi="Times New Roman" w:cs="Times New Roman"/>
                <w:noProof/>
                <w:color w:val="000000" w:themeColor="text1"/>
                <w:sz w:val="18"/>
                <w:szCs w:val="18"/>
                <w:lang w:val="en-US"/>
              </w:rPr>
              <w:t>Klavdia</w:t>
            </w:r>
            <w:r w:rsidRPr="00A33217">
              <w:rPr>
                <w:rFonts w:ascii="Times New Roman" w:hAnsi="Times New Roman" w:cs="Times New Roman"/>
                <w:noProof/>
                <w:sz w:val="18"/>
                <w:szCs w:val="18"/>
                <w:lang w:val="en-US"/>
              </w:rPr>
              <w:t xml:space="preserve"> </w:t>
            </w:r>
          </w:p>
          <w:p w14:paraId="18C87F27" w14:textId="697CB714" w:rsidR="00C04BFF" w:rsidRPr="00A33217" w:rsidRDefault="00C04BFF" w:rsidP="00BF3173">
            <w:pPr>
              <w:pStyle w:val="ListParagraph"/>
              <w:numPr>
                <w:ilvl w:val="0"/>
                <w:numId w:val="3"/>
              </w:numPr>
              <w:spacing w:after="0" w:line="240" w:lineRule="auto"/>
              <w:jc w:val="both"/>
              <w:rPr>
                <w:rFonts w:ascii="Times New Roman" w:eastAsiaTheme="minorEastAsia" w:hAnsi="Times New Roman" w:cs="Times New Roman"/>
                <w:noProof/>
                <w:sz w:val="18"/>
                <w:szCs w:val="18"/>
                <w:lang w:val="en-US" w:eastAsia="ja-JP"/>
              </w:rPr>
            </w:pPr>
            <w:r w:rsidRPr="00A33217">
              <w:rPr>
                <w:rFonts w:ascii="Times New Roman" w:hAnsi="Times New Roman" w:cs="Times New Roman"/>
                <w:noProof/>
                <w:sz w:val="18"/>
                <w:szCs w:val="18"/>
                <w:lang w:val="en-US"/>
              </w:rPr>
              <w:t>three water reservoirs in Limassol</w:t>
            </w:r>
          </w:p>
          <w:p w14:paraId="5EC2AA4C" w14:textId="70886A5B" w:rsidR="00C04BFF" w:rsidRPr="00A33217" w:rsidRDefault="00C04BFF" w:rsidP="00BF3173">
            <w:pPr>
              <w:pStyle w:val="ListParagraph"/>
              <w:numPr>
                <w:ilvl w:val="0"/>
                <w:numId w:val="3"/>
              </w:numPr>
              <w:spacing w:after="0" w:line="240" w:lineRule="auto"/>
              <w:jc w:val="both"/>
              <w:rPr>
                <w:rFonts w:ascii="Times New Roman" w:eastAsiaTheme="minorEastAsia" w:hAnsi="Times New Roman" w:cs="Times New Roman"/>
                <w:noProof/>
                <w:sz w:val="18"/>
                <w:szCs w:val="18"/>
                <w:lang w:val="en-US" w:eastAsia="ja-JP"/>
              </w:rPr>
            </w:pPr>
            <w:r w:rsidRPr="00A33217">
              <w:rPr>
                <w:rFonts w:ascii="Times New Roman" w:hAnsi="Times New Roman" w:cs="Times New Roman"/>
                <w:noProof/>
                <w:sz w:val="18"/>
                <w:szCs w:val="18"/>
                <w:lang w:val="en-US"/>
              </w:rPr>
              <w:t>water treatment plant in Limassol.</w:t>
            </w:r>
          </w:p>
          <w:p w14:paraId="6D0C091D" w14:textId="222F0AC5"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The total capacity of the water reservoirs in Nicosia, Larnaca and Limassol shall be at least 52 800m3.</w:t>
            </w:r>
          </w:p>
        </w:tc>
      </w:tr>
      <w:tr w:rsidR="00C04BFF" w:rsidRPr="00A33217" w14:paraId="54F13F22" w14:textId="77777777" w:rsidTr="00A33217">
        <w:trPr>
          <w:trHeight w:val="300"/>
          <w:jc w:val="center"/>
        </w:trPr>
        <w:tc>
          <w:tcPr>
            <w:tcW w:w="1149" w:type="dxa"/>
            <w:shd w:val="clear" w:color="auto" w:fill="C6EFCE"/>
            <w:noWrap/>
          </w:tcPr>
          <w:p w14:paraId="37206123" w14:textId="77777777" w:rsidR="00C04BFF" w:rsidRPr="00A33217" w:rsidRDefault="00C04BFF" w:rsidP="00D8670B">
            <w:pPr>
              <w:spacing w:after="0" w:line="240" w:lineRule="auto"/>
              <w:rPr>
                <w:rFonts w:ascii="Times New Roman" w:hAnsi="Times New Roman" w:cs="Times New Roman"/>
                <w:noProof/>
                <w:sz w:val="18"/>
                <w:szCs w:val="18"/>
                <w:highlight w:val="yellow"/>
              </w:rPr>
            </w:pPr>
            <w:r w:rsidRPr="00A33217">
              <w:rPr>
                <w:rFonts w:ascii="Times New Roman" w:hAnsi="Times New Roman" w:cs="Times New Roman"/>
                <w:noProof/>
                <w:sz w:val="18"/>
                <w:szCs w:val="18"/>
              </w:rPr>
              <w:t>84</w:t>
            </w:r>
          </w:p>
        </w:tc>
        <w:tc>
          <w:tcPr>
            <w:tcW w:w="1418" w:type="dxa"/>
            <w:shd w:val="clear" w:color="auto" w:fill="C6EFCE"/>
            <w:noWrap/>
          </w:tcPr>
          <w:p w14:paraId="703B5AE0"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 xml:space="preserve">C2.3I8 </w:t>
            </w:r>
          </w:p>
          <w:p w14:paraId="301A2814"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Protection of the marine ecosystem from hazards through oil spills</w:t>
            </w:r>
          </w:p>
        </w:tc>
        <w:tc>
          <w:tcPr>
            <w:tcW w:w="1133" w:type="dxa"/>
            <w:shd w:val="clear" w:color="auto" w:fill="C6EFCE"/>
            <w:noWrap/>
          </w:tcPr>
          <w:p w14:paraId="768065E6"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Milestone</w:t>
            </w:r>
          </w:p>
        </w:tc>
        <w:tc>
          <w:tcPr>
            <w:tcW w:w="1545" w:type="dxa"/>
            <w:shd w:val="clear" w:color="auto" w:fill="C6EFCE"/>
            <w:noWrap/>
          </w:tcPr>
          <w:p w14:paraId="36D21234" w14:textId="0DB9BAC3"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Delivery, quality inspection to verify their operational effectiveness and acceptance of three</w:t>
            </w:r>
            <w:r w:rsidR="001F3EBA">
              <w:rPr>
                <w:rFonts w:ascii="Times New Roman" w:hAnsi="Times New Roman" w:cs="Times New Roman"/>
                <w:noProof/>
                <w:sz w:val="18"/>
                <w:szCs w:val="18"/>
              </w:rPr>
              <w:t xml:space="preserve"> </w:t>
            </w:r>
            <w:r w:rsidRPr="00A33217">
              <w:rPr>
                <w:rFonts w:ascii="Times New Roman" w:hAnsi="Times New Roman" w:cs="Times New Roman"/>
                <w:noProof/>
                <w:sz w:val="18"/>
                <w:szCs w:val="18"/>
              </w:rPr>
              <w:t>vessels and two</w:t>
            </w:r>
            <w:r w:rsidR="001F3EBA">
              <w:rPr>
                <w:rFonts w:ascii="Times New Roman" w:hAnsi="Times New Roman" w:cs="Times New Roman"/>
                <w:noProof/>
                <w:sz w:val="18"/>
                <w:szCs w:val="18"/>
              </w:rPr>
              <w:t xml:space="preserve"> </w:t>
            </w:r>
            <w:r w:rsidRPr="00A33217">
              <w:rPr>
                <w:rFonts w:ascii="Times New Roman" w:hAnsi="Times New Roman" w:cs="Times New Roman"/>
                <w:noProof/>
                <w:sz w:val="18"/>
                <w:szCs w:val="18"/>
              </w:rPr>
              <w:t>aerial spraying systems</w:t>
            </w:r>
          </w:p>
        </w:tc>
        <w:tc>
          <w:tcPr>
            <w:tcW w:w="1575" w:type="dxa"/>
            <w:shd w:val="clear" w:color="auto" w:fill="C6EFCE"/>
            <w:noWrap/>
          </w:tcPr>
          <w:p w14:paraId="3411333A" w14:textId="77777777" w:rsidR="00C04BFF" w:rsidRPr="00A33217" w:rsidRDefault="00C04BFF">
            <w:pPr>
              <w:spacing w:after="0" w:line="240" w:lineRule="auto"/>
              <w:rPr>
                <w:rFonts w:ascii="Times New Roman" w:hAnsi="Times New Roman" w:cs="Times New Roman"/>
                <w:noProof/>
                <w:sz w:val="18"/>
                <w:szCs w:val="18"/>
              </w:rPr>
            </w:pPr>
            <w:r w:rsidRPr="00A33217">
              <w:rPr>
                <w:rFonts w:ascii="Times New Roman" w:hAnsi="Times New Roman" w:cs="Times New Roman"/>
                <w:noProof/>
                <w:sz w:val="18"/>
                <w:szCs w:val="18"/>
              </w:rPr>
              <w:t>Expert’s reporting and issuance of quality certificate of the operational effectiveness and acceptance of vessels and aerial spraying systems</w:t>
            </w:r>
          </w:p>
        </w:tc>
        <w:tc>
          <w:tcPr>
            <w:tcW w:w="1133" w:type="dxa"/>
            <w:shd w:val="clear" w:color="auto" w:fill="C6EFCE"/>
            <w:noWrap/>
          </w:tcPr>
          <w:p w14:paraId="12E705D9" w14:textId="458D01C3"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43D81E23" w14:textId="4D896AA8"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5509096B" w14:textId="2BCDA08D"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w:t>
            </w:r>
          </w:p>
        </w:tc>
        <w:tc>
          <w:tcPr>
            <w:tcW w:w="992" w:type="dxa"/>
            <w:shd w:val="clear" w:color="auto" w:fill="C6EFCE"/>
            <w:noWrap/>
          </w:tcPr>
          <w:p w14:paraId="56BB2C81"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Q1</w:t>
            </w:r>
          </w:p>
        </w:tc>
        <w:tc>
          <w:tcPr>
            <w:tcW w:w="851" w:type="dxa"/>
            <w:shd w:val="clear" w:color="auto" w:fill="C6EFCE"/>
            <w:noWrap/>
          </w:tcPr>
          <w:p w14:paraId="65A73A83" w14:textId="77777777" w:rsidR="00C04BFF" w:rsidRPr="00A33217" w:rsidRDefault="00C04BFF" w:rsidP="00BF3173">
            <w:pPr>
              <w:spacing w:after="0" w:line="240" w:lineRule="auto"/>
              <w:jc w:val="center"/>
              <w:rPr>
                <w:rFonts w:ascii="Times New Roman" w:hAnsi="Times New Roman" w:cs="Times New Roman"/>
                <w:noProof/>
                <w:sz w:val="18"/>
                <w:szCs w:val="18"/>
              </w:rPr>
            </w:pPr>
            <w:r w:rsidRPr="00A33217">
              <w:rPr>
                <w:rFonts w:ascii="Times New Roman" w:hAnsi="Times New Roman" w:cs="Times New Roman"/>
                <w:noProof/>
                <w:sz w:val="18"/>
                <w:szCs w:val="18"/>
              </w:rPr>
              <w:t>2025</w:t>
            </w:r>
          </w:p>
        </w:tc>
        <w:tc>
          <w:tcPr>
            <w:tcW w:w="3540" w:type="dxa"/>
            <w:shd w:val="clear" w:color="auto" w:fill="C6EFCE"/>
            <w:noWrap/>
          </w:tcPr>
          <w:p w14:paraId="5B7C91C6" w14:textId="5E1BF41D" w:rsidR="00C04BFF" w:rsidRPr="00A33217" w:rsidRDefault="00C04BFF" w:rsidP="00BF3173">
            <w:pPr>
              <w:spacing w:after="0" w:line="240" w:lineRule="auto"/>
              <w:jc w:val="both"/>
              <w:rPr>
                <w:rFonts w:ascii="Times New Roman" w:hAnsi="Times New Roman" w:cs="Times New Roman"/>
                <w:noProof/>
                <w:sz w:val="18"/>
                <w:szCs w:val="18"/>
              </w:rPr>
            </w:pPr>
            <w:r w:rsidRPr="00A33217">
              <w:rPr>
                <w:rFonts w:ascii="Times New Roman" w:hAnsi="Times New Roman" w:cs="Times New Roman"/>
                <w:noProof/>
                <w:sz w:val="18"/>
                <w:szCs w:val="18"/>
              </w:rPr>
              <w:t>Delivery, quality inspection to verify their operational effectiveness and acceptance of three vessels (one vessel of 25m in length approximately to operate within the Cypriot Exclusive Economic Zone and two vessels of 8-11m in length approximately to operate within coastal waters and two aerial spraying systems</w:t>
            </w:r>
            <w:r w:rsidR="001F3EBA">
              <w:rPr>
                <w:rFonts w:ascii="Times New Roman" w:hAnsi="Times New Roman" w:cs="Times New Roman"/>
                <w:noProof/>
                <w:sz w:val="18"/>
                <w:szCs w:val="18"/>
              </w:rPr>
              <w:t>)</w:t>
            </w:r>
            <w:r w:rsidRPr="00A33217">
              <w:rPr>
                <w:rFonts w:ascii="Times New Roman" w:hAnsi="Times New Roman" w:cs="Times New Roman"/>
                <w:noProof/>
                <w:sz w:val="18"/>
                <w:szCs w:val="18"/>
              </w:rPr>
              <w:t>. </w:t>
            </w:r>
          </w:p>
        </w:tc>
      </w:tr>
    </w:tbl>
    <w:p w14:paraId="460FCBE6" w14:textId="77777777" w:rsidR="00C04BFF" w:rsidRPr="000F04FA" w:rsidDel="00170020" w:rsidRDefault="00C04BFF" w:rsidP="00D8670B">
      <w:pPr>
        <w:tabs>
          <w:tab w:val="left" w:pos="1481"/>
        </w:tabs>
        <w:rPr>
          <w:rFonts w:ascii="Times New Roman" w:eastAsia="Times New Roman" w:hAnsi="Times New Roman" w:cs="Times New Roman"/>
          <w:noProof/>
        </w:rPr>
        <w:sectPr w:rsidR="00C04BFF" w:rsidRPr="000F04FA" w:rsidDel="00170020" w:rsidSect="00C04BFF">
          <w:headerReference w:type="default" r:id="rId44"/>
          <w:footerReference w:type="default" r:id="rId45"/>
          <w:pgSz w:w="16839" w:h="11907" w:orient="landscape"/>
          <w:pgMar w:top="1134" w:right="1134" w:bottom="1134" w:left="1134" w:header="567" w:footer="567" w:gutter="0"/>
          <w:cols w:space="720"/>
          <w:docGrid w:linePitch="360"/>
        </w:sectPr>
      </w:pPr>
    </w:p>
    <w:p w14:paraId="620671F5" w14:textId="77777777" w:rsidR="000F72B9" w:rsidRPr="000F04FA" w:rsidRDefault="000F72B9" w:rsidP="000F72B9">
      <w:pPr>
        <w:keepNext/>
        <w:tabs>
          <w:tab w:val="left" w:pos="850"/>
        </w:tabs>
        <w:spacing w:before="360" w:after="120" w:line="240" w:lineRule="auto"/>
        <w:jc w:val="both"/>
        <w:outlineLvl w:val="0"/>
        <w:rPr>
          <w:rFonts w:ascii="Times New Roman" w:hAnsi="Times New Roman"/>
          <w:b/>
          <w:bCs/>
          <w:smallCaps/>
          <w:noProof/>
          <w:sz w:val="20"/>
          <w:szCs w:val="20"/>
        </w:rPr>
      </w:pPr>
      <w:r w:rsidRPr="000F04FA">
        <w:rPr>
          <w:rFonts w:ascii="Times New Roman" w:hAnsi="Times New Roman"/>
          <w:b/>
          <w:bCs/>
          <w:smallCaps/>
          <w:noProof/>
        </w:rPr>
        <w:t>E. COMPONENT 3.1: New growth model and diversification of the economy</w:t>
      </w:r>
    </w:p>
    <w:p w14:paraId="2C4EC1CF"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component addresses the challenges of the Cypriot economy with regards to competitiveness, productivity, and investment, as well as overreliance on certain economic sectors, such as tourism. </w:t>
      </w:r>
    </w:p>
    <w:p w14:paraId="646DFB10"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objective of the component is to help the economy to transit to a new economic growth model (Sustainable Business and Trade Centre of Europe) by addressing sectoral challenges as follows:</w:t>
      </w:r>
    </w:p>
    <w:p w14:paraId="6A457EFC"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Primary Sector: the objective is to develop a competitive agriculture sector primarily through agri-tech and strong collaboration with business, higher-education institutions, and research centres to excel.</w:t>
      </w:r>
    </w:p>
    <w:p w14:paraId="07257227"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Secondary Sector: the objective is to develop a competitive light manufacturing sector that includes a focus on areas such as green-tech and agri-tech. </w:t>
      </w:r>
    </w:p>
    <w:p w14:paraId="4298E529"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Sustainable Tourism: the objective is to develop a strong agri-tourism and sustainable hospitality infrastructure and attracting health &amp; wellness tourists through competitive and reputable healthcare.</w:t>
      </w:r>
    </w:p>
    <w:p w14:paraId="7E9C2910"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Circular economy (with emphasis on waste management): the objective is to help move towards a circular economy by making better use of raw materials, reducing waste, raising awareness for sustainable development and switching to renewable energy in order to mitigate the climate crisis, protect social well-being and build a resilient economy. The component contributes to addressing the country specific recommendation related to “focus investment on the green and digital transition” and “on waste and water management” (Country-Specific Recommendation 3 of 2020), “focus investment-related economic policy on sustainable transport, environment” and “on environment, in particular waste and water management” (Country-Specific Recommendation 4 of 2019)</w:t>
      </w:r>
    </w:p>
    <w:p w14:paraId="47E03C7B" w14:textId="11F0E622" w:rsidR="000F72B9" w:rsidRDefault="000F72B9" w:rsidP="000F72B9">
      <w:pPr>
        <w:pStyle w:val="Text1"/>
        <w:ind w:left="0"/>
        <w:rPr>
          <w:noProof/>
          <w:lang w:val="en-US"/>
        </w:rPr>
      </w:pPr>
      <w:r w:rsidRPr="000F04FA">
        <w:rPr>
          <w:noProof/>
          <w:lang w:val="en-US"/>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CE2AC67" w14:textId="77777777" w:rsidR="00BF3173" w:rsidRPr="000F04FA" w:rsidRDefault="00BF3173" w:rsidP="000F72B9">
      <w:pPr>
        <w:pStyle w:val="Text1"/>
        <w:ind w:left="0"/>
        <w:rPr>
          <w:i/>
          <w:iCs/>
          <w:noProof/>
          <w:lang w:val="en-US"/>
        </w:rPr>
      </w:pPr>
    </w:p>
    <w:p w14:paraId="007D034B" w14:textId="77777777" w:rsidR="000F72B9" w:rsidRPr="000F04FA" w:rsidRDefault="000F72B9" w:rsidP="000F72B9">
      <w:pPr>
        <w:spacing w:before="120" w:after="120" w:line="240" w:lineRule="auto"/>
        <w:jc w:val="both"/>
        <w:rPr>
          <w:rFonts w:ascii="Times New Roman" w:hAnsi="Times New Roman"/>
          <w:b/>
          <w:noProof/>
          <w:u w:val="single"/>
        </w:rPr>
      </w:pPr>
      <w:r w:rsidRPr="000F04FA">
        <w:rPr>
          <w:rFonts w:ascii="Times New Roman" w:hAnsi="Times New Roman"/>
          <w:b/>
          <w:noProof/>
          <w:u w:val="single"/>
        </w:rPr>
        <w:t xml:space="preserve">E.1. </w:t>
      </w:r>
      <w:r w:rsidRPr="000F04FA">
        <w:rPr>
          <w:noProof/>
        </w:rPr>
        <w:tab/>
      </w:r>
      <w:r w:rsidRPr="000F04FA">
        <w:rPr>
          <w:rFonts w:ascii="Times New Roman" w:hAnsi="Times New Roman"/>
          <w:b/>
          <w:noProof/>
          <w:u w:val="single"/>
        </w:rPr>
        <w:t>Description of the reforms and investments for non-repayable financial support</w:t>
      </w:r>
    </w:p>
    <w:p w14:paraId="56F40818" w14:textId="77777777" w:rsidR="000F72B9" w:rsidRDefault="000F72B9" w:rsidP="000F72B9">
      <w:pPr>
        <w:spacing w:before="120" w:after="120" w:line="240" w:lineRule="auto"/>
        <w:jc w:val="both"/>
        <w:rPr>
          <w:rFonts w:ascii="Times New Roman" w:hAnsi="Times New Roman"/>
          <w:b/>
          <w:noProof/>
          <w:u w:val="single"/>
        </w:rPr>
      </w:pPr>
      <w:r w:rsidRPr="000F04FA">
        <w:rPr>
          <w:rFonts w:ascii="Times New Roman" w:hAnsi="Times New Roman"/>
          <w:b/>
          <w:noProof/>
          <w:u w:val="single"/>
        </w:rPr>
        <w:t>Sub-Component 3.1.1 Resilient and competitive primary sector</w:t>
      </w:r>
    </w:p>
    <w:p w14:paraId="0DE3F7CC" w14:textId="77777777" w:rsidR="00BF3173" w:rsidRPr="000F04FA" w:rsidRDefault="00BF3173" w:rsidP="000F72B9">
      <w:pPr>
        <w:spacing w:before="120" w:after="120" w:line="240" w:lineRule="auto"/>
        <w:jc w:val="both"/>
        <w:rPr>
          <w:rFonts w:ascii="Times New Roman" w:hAnsi="Times New Roman"/>
          <w:b/>
          <w:noProof/>
          <w:u w:val="single"/>
        </w:rPr>
      </w:pPr>
    </w:p>
    <w:p w14:paraId="6AE7753B"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u w:val="single"/>
        </w:rPr>
        <w:t>Reform 1 (C3.1R1): Move agricultural practices from the 20th century to the 21st century by investing in a national centre for excellence in agri-tech</w:t>
      </w:r>
    </w:p>
    <w:p w14:paraId="4C894F0B" w14:textId="63C3E17D"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objective of the reform is to address challenges in the primary sector, including low productivity and lack of technological knowledge, by establishing a centralised operating model through strong collaboration between the Agricultural Research Institute and higher education institution(s). </w:t>
      </w:r>
    </w:p>
    <w:p w14:paraId="4AAA4784" w14:textId="22A03EAF"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reform aims to establish Cyprus’s Agricultural Research Institute as the country’s centre of excellence in agriculture, animal husbandry and environmental protection and to strengthen the cooperation between the Agricultural Research Institute and higher education institution(s) to develop new curricul</w:t>
      </w:r>
      <w:r w:rsidR="00634AE0" w:rsidRPr="000F04FA">
        <w:rPr>
          <w:rFonts w:ascii="Times New Roman" w:hAnsi="Times New Roman"/>
          <w:noProof/>
        </w:rPr>
        <w:t>um/</w:t>
      </w:r>
      <w:r w:rsidRPr="000F04FA">
        <w:rPr>
          <w:rFonts w:ascii="Times New Roman" w:hAnsi="Times New Roman"/>
          <w:noProof/>
        </w:rPr>
        <w:t xml:space="preserve">a. </w:t>
      </w:r>
    </w:p>
    <w:p w14:paraId="018669B9" w14:textId="3B425AB3"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implementation of the reform shall be completed by 30</w:t>
      </w:r>
      <w:r w:rsidR="001F3EBA">
        <w:rPr>
          <w:rFonts w:ascii="Times New Roman" w:hAnsi="Times New Roman"/>
          <w:noProof/>
        </w:rPr>
        <w:t> </w:t>
      </w:r>
      <w:r w:rsidRPr="000F04FA">
        <w:rPr>
          <w:rFonts w:ascii="Times New Roman" w:hAnsi="Times New Roman"/>
          <w:noProof/>
        </w:rPr>
        <w:t>June</w:t>
      </w:r>
      <w:r w:rsidR="001F3EBA">
        <w:rPr>
          <w:rFonts w:ascii="Times New Roman" w:hAnsi="Times New Roman"/>
          <w:noProof/>
        </w:rPr>
        <w:t> </w:t>
      </w:r>
      <w:r w:rsidRPr="000F04FA">
        <w:rPr>
          <w:rFonts w:ascii="Times New Roman" w:hAnsi="Times New Roman"/>
          <w:noProof/>
        </w:rPr>
        <w:t>2023.</w:t>
      </w:r>
    </w:p>
    <w:p w14:paraId="1C929EB9" w14:textId="77777777" w:rsidR="000F72B9" w:rsidRPr="000F04FA" w:rsidRDefault="000F72B9" w:rsidP="000F72B9">
      <w:pPr>
        <w:spacing w:before="120" w:after="120" w:line="240" w:lineRule="auto"/>
        <w:jc w:val="both"/>
        <w:rPr>
          <w:rFonts w:ascii="Times New Roman" w:hAnsi="Times New Roman"/>
          <w:noProof/>
          <w:u w:val="single"/>
        </w:rPr>
      </w:pPr>
    </w:p>
    <w:p w14:paraId="3FDFE1BF" w14:textId="77777777" w:rsidR="000F72B9" w:rsidRPr="000F04FA" w:rsidRDefault="000F72B9" w:rsidP="000F72B9">
      <w:pPr>
        <w:keepNext/>
        <w:spacing w:before="120" w:after="120" w:line="240" w:lineRule="auto"/>
        <w:jc w:val="both"/>
        <w:rPr>
          <w:rFonts w:ascii="Times New Roman" w:hAnsi="Times New Roman"/>
          <w:noProof/>
          <w:u w:val="single"/>
        </w:rPr>
      </w:pPr>
      <w:r w:rsidRPr="000F04FA">
        <w:rPr>
          <w:rFonts w:ascii="Times New Roman" w:hAnsi="Times New Roman"/>
          <w:noProof/>
          <w:u w:val="single"/>
        </w:rPr>
        <w:t>Reform 2 (C3.1R2): On-line platform for trade and information symmetry in the fresh produce supply chain</w:t>
      </w:r>
    </w:p>
    <w:p w14:paraId="0AE426C2"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objective of the reform is to address long-standing drawbacks of the fresh produce supply chain.</w:t>
      </w:r>
    </w:p>
    <w:p w14:paraId="6DAF8B7C"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reform consists in </w:t>
      </w:r>
      <w:bookmarkStart w:id="3" w:name="_Hlk213779189"/>
      <w:r w:rsidRPr="000F04FA">
        <w:rPr>
          <w:rFonts w:ascii="Times New Roman" w:hAnsi="Times New Roman"/>
          <w:noProof/>
        </w:rPr>
        <w:t xml:space="preserve">the </w:t>
      </w:r>
      <w:bookmarkEnd w:id="3"/>
      <w:r w:rsidRPr="000F04FA">
        <w:rPr>
          <w:rFonts w:ascii="Times New Roman" w:hAnsi="Times New Roman"/>
          <w:noProof/>
        </w:rPr>
        <w:t>entry into force of a law on unfair practices in transactions in the local fresh produce market. A Platform shall be offered to Producers’ Organisations in the fresh produce market.</w:t>
      </w:r>
    </w:p>
    <w:p w14:paraId="0286F7EE" w14:textId="77777777" w:rsidR="000F72B9" w:rsidRPr="000F04FA" w:rsidRDefault="000F72B9" w:rsidP="000F72B9">
      <w:pPr>
        <w:spacing w:before="120" w:after="120" w:line="240" w:lineRule="auto"/>
        <w:jc w:val="both"/>
        <w:rPr>
          <w:rFonts w:ascii="Times New Roman" w:hAnsi="Times New Roman"/>
          <w:noProof/>
          <w:u w:val="single"/>
        </w:rPr>
      </w:pPr>
    </w:p>
    <w:p w14:paraId="0EE21DE3"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Reform 3 (C3.1R3): Genetic improvement of the Cyprus sheep and goat population </w:t>
      </w:r>
    </w:p>
    <w:p w14:paraId="13A13854"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objective of this reform is to enhance the productivity and sustainability of the primary sector.</w:t>
      </w:r>
    </w:p>
    <w:p w14:paraId="2AFAB51A" w14:textId="536FB394"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reform consists in the support to farmers for the </w:t>
      </w:r>
      <w:r w:rsidRPr="000F04FA">
        <w:rPr>
          <w:rFonts w:ascii="Times New Roman" w:eastAsia="Times New Roman" w:hAnsi="Times New Roman" w:cs="Times New Roman"/>
          <w:noProof/>
        </w:rPr>
        <w:t>upgrade</w:t>
      </w:r>
      <w:r w:rsidRPr="000F04FA">
        <w:rPr>
          <w:rFonts w:ascii="Times New Roman" w:hAnsi="Times New Roman"/>
          <w:noProof/>
        </w:rPr>
        <w:t xml:space="preserve"> of the collection of data related to dairy production and the genomic identification of their sheep and goats. </w:t>
      </w:r>
    </w:p>
    <w:p w14:paraId="6F025DF7" w14:textId="77777777" w:rsidR="000F72B9" w:rsidRPr="000F04FA" w:rsidRDefault="000F72B9" w:rsidP="000F72B9">
      <w:pPr>
        <w:spacing w:before="120" w:after="120" w:line="240" w:lineRule="auto"/>
        <w:jc w:val="both"/>
        <w:rPr>
          <w:rFonts w:ascii="Times New Roman" w:hAnsi="Times New Roman"/>
          <w:noProof/>
          <w:u w:val="single"/>
        </w:rPr>
      </w:pPr>
    </w:p>
    <w:p w14:paraId="48DBBD6C" w14:textId="77777777" w:rsidR="000F72B9" w:rsidRPr="000F04FA" w:rsidRDefault="000F72B9" w:rsidP="000F72B9">
      <w:pPr>
        <w:spacing w:before="120" w:after="120" w:line="240" w:lineRule="auto"/>
        <w:jc w:val="both"/>
        <w:rPr>
          <w:rFonts w:ascii="Times New Roman" w:hAnsi="Times New Roman"/>
          <w:noProof/>
          <w:u w:val="single"/>
        </w:rPr>
      </w:pPr>
      <w:bookmarkStart w:id="4" w:name="_Hlk189474712"/>
      <w:r w:rsidRPr="000F04FA">
        <w:rPr>
          <w:rFonts w:ascii="Times New Roman" w:hAnsi="Times New Roman"/>
          <w:noProof/>
          <w:u w:val="single"/>
        </w:rPr>
        <w:t xml:space="preserve">Investment 2 (C3.1I2): Support of isotopic database of Cypriot </w:t>
      </w:r>
      <w:bookmarkEnd w:id="4"/>
      <w:r w:rsidRPr="000F04FA">
        <w:rPr>
          <w:rFonts w:ascii="Times New Roman" w:hAnsi="Times New Roman"/>
          <w:noProof/>
          <w:u w:val="single"/>
        </w:rPr>
        <w:t xml:space="preserve">food or drink products </w:t>
      </w:r>
    </w:p>
    <w:p w14:paraId="30FEB945"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objective of this investment is to create a blockchain-based verification methodology for the authentication of local products by using isotopic database(s). </w:t>
      </w:r>
    </w:p>
    <w:p w14:paraId="37164829" w14:textId="77777777" w:rsidR="000F72B9" w:rsidRPr="000F04FA" w:rsidRDefault="000F72B9" w:rsidP="000F72B9">
      <w:pPr>
        <w:spacing w:before="120" w:after="120" w:line="240" w:lineRule="auto"/>
        <w:jc w:val="both"/>
        <w:textAlignment w:val="baseline"/>
        <w:rPr>
          <w:rFonts w:ascii="Times New Roman" w:hAnsi="Times New Roman"/>
          <w:noProof/>
        </w:rPr>
      </w:pPr>
      <w:r w:rsidRPr="009E66EA">
        <w:rPr>
          <w:rFonts w:ascii="Times New Roman" w:hAnsi="Times New Roman" w:cs="Times New Roman"/>
          <w:noProof/>
        </w:rPr>
        <w:t>The measure consists in the purchase and instalation</w:t>
      </w:r>
      <w:r w:rsidRPr="000F04FA">
        <w:rPr>
          <w:rFonts w:ascii="Times New Roman" w:hAnsi="Times New Roman"/>
          <w:noProof/>
        </w:rPr>
        <w:t xml:space="preserve"> of new Liquid Chromatography - Isotopic Ratio Mass Spectrometer (LC-IRMS) for isotopic characterisation; integrated isotopic DataBase(s) and blockchain system are connected for at least ten Cypriot food or drinks products. </w:t>
      </w:r>
    </w:p>
    <w:p w14:paraId="6CDB1A4B" w14:textId="77777777" w:rsidR="000F72B9" w:rsidRPr="000F04FA" w:rsidRDefault="000F72B9" w:rsidP="000F72B9">
      <w:pPr>
        <w:spacing w:before="120" w:after="120" w:line="240" w:lineRule="auto"/>
        <w:jc w:val="both"/>
        <w:textAlignment w:val="baseline"/>
        <w:rPr>
          <w:rFonts w:ascii="Times New Roman" w:hAnsi="Times New Roman"/>
          <w:noProof/>
        </w:rPr>
      </w:pPr>
    </w:p>
    <w:p w14:paraId="2C8CA170"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3 (C3.1I3): Upskill the existing farming community and professionalise future labour force by investing in human capital</w:t>
      </w:r>
    </w:p>
    <w:p w14:paraId="2A1A18A3" w14:textId="77777777" w:rsidR="000F72B9" w:rsidRPr="000F04FA" w:rsidRDefault="000F72B9" w:rsidP="000F72B9">
      <w:pPr>
        <w:spacing w:after="0" w:line="240" w:lineRule="auto"/>
        <w:jc w:val="both"/>
        <w:textAlignment w:val="baseline"/>
        <w:rPr>
          <w:rFonts w:ascii="Times New Roman" w:hAnsi="Times New Roman"/>
          <w:noProof/>
        </w:rPr>
      </w:pPr>
      <w:r w:rsidRPr="000F04FA">
        <w:rPr>
          <w:rFonts w:ascii="Times New Roman" w:hAnsi="Times New Roman"/>
          <w:noProof/>
        </w:rPr>
        <w:t xml:space="preserve">The objective of the measure is the upskilling of the farming community, through knowledge transfer and the promotion of innovation. In this way, it aims at fostering a more competitive agricultural sector with higher potential, through capacity building and knowledge transfer. </w:t>
      </w:r>
    </w:p>
    <w:p w14:paraId="462FDB9D" w14:textId="77777777" w:rsidR="000F72B9" w:rsidRPr="000F04FA" w:rsidRDefault="000F72B9" w:rsidP="000F72B9">
      <w:pPr>
        <w:spacing w:after="0" w:line="240" w:lineRule="auto"/>
        <w:jc w:val="both"/>
        <w:textAlignment w:val="baseline"/>
        <w:rPr>
          <w:rFonts w:ascii="Times New Roman" w:hAnsi="Times New Roman"/>
          <w:noProof/>
        </w:rPr>
      </w:pPr>
    </w:p>
    <w:p w14:paraId="3508EAEE" w14:textId="6EDEA53D" w:rsidR="000F72B9" w:rsidRPr="000F04FA" w:rsidRDefault="000F72B9" w:rsidP="000F72B9">
      <w:pPr>
        <w:spacing w:after="0" w:line="240" w:lineRule="auto"/>
        <w:jc w:val="both"/>
        <w:textAlignment w:val="baseline"/>
        <w:rPr>
          <w:rFonts w:ascii="Times New Roman" w:hAnsi="Times New Roman"/>
          <w:noProof/>
        </w:rPr>
      </w:pPr>
      <w:r w:rsidRPr="000F04FA">
        <w:rPr>
          <w:rFonts w:ascii="Times New Roman" w:hAnsi="Times New Roman"/>
          <w:noProof/>
        </w:rPr>
        <w:t>The investment shall consist in</w:t>
      </w:r>
      <w:r w:rsidRPr="000F04FA">
        <w:rPr>
          <w:rFonts w:ascii="Times New Roman" w:hAnsi="Times New Roman"/>
          <w:b/>
          <w:noProof/>
        </w:rPr>
        <w:t xml:space="preserve"> </w:t>
      </w:r>
      <w:r w:rsidRPr="000F04FA">
        <w:rPr>
          <w:rFonts w:ascii="Times New Roman" w:hAnsi="Times New Roman"/>
          <w:noProof/>
        </w:rPr>
        <w:t>the granting of ten scholarships in the agricultural sector, of EUR</w:t>
      </w:r>
      <w:r w:rsidR="00BF3173">
        <w:rPr>
          <w:rFonts w:ascii="Times New Roman" w:hAnsi="Times New Roman"/>
          <w:noProof/>
        </w:rPr>
        <w:t> </w:t>
      </w:r>
      <w:r w:rsidRPr="000F04FA">
        <w:rPr>
          <w:rFonts w:ascii="Times New Roman" w:hAnsi="Times New Roman"/>
          <w:noProof/>
        </w:rPr>
        <w:t>10</w:t>
      </w:r>
      <w:r w:rsidR="00BF3173">
        <w:rPr>
          <w:rFonts w:ascii="Times New Roman" w:hAnsi="Times New Roman"/>
          <w:noProof/>
        </w:rPr>
        <w:t> </w:t>
      </w:r>
      <w:r w:rsidRPr="000F04FA">
        <w:rPr>
          <w:rFonts w:ascii="Times New Roman" w:hAnsi="Times New Roman"/>
          <w:noProof/>
        </w:rPr>
        <w:t xml:space="preserve">000 each, for supporting the development of the future labour force in the sector. It shall also support transfer of knowledge and innovation within the existing labour force, through the use of the Agricultural Knowledge and Innovation System with links to academia, bridging the gap between practical application on the one hand and knowledge, science, experience, and research on the other. </w:t>
      </w:r>
    </w:p>
    <w:p w14:paraId="32297E95" w14:textId="177446B6" w:rsidR="000F72B9" w:rsidRPr="000F04FA" w:rsidRDefault="000F72B9" w:rsidP="000F72B9">
      <w:pPr>
        <w:spacing w:before="120" w:after="120" w:line="240" w:lineRule="auto"/>
        <w:jc w:val="both"/>
        <w:textAlignment w:val="baseline"/>
        <w:rPr>
          <w:rFonts w:ascii="Times New Roman" w:hAnsi="Times New Roman"/>
          <w:b/>
          <w:noProof/>
          <w:u w:val="single"/>
        </w:rPr>
      </w:pPr>
      <w:r w:rsidRPr="000F04FA">
        <w:rPr>
          <w:rFonts w:ascii="Times New Roman" w:hAnsi="Times New Roman"/>
          <w:noProof/>
        </w:rPr>
        <w:t>The implementation of the investment shall be completed by 31</w:t>
      </w:r>
      <w:r w:rsidR="001F3EBA">
        <w:rPr>
          <w:rFonts w:ascii="Times New Roman" w:hAnsi="Times New Roman"/>
          <w:noProof/>
        </w:rPr>
        <w:t> </w:t>
      </w:r>
      <w:r w:rsidRPr="000F04FA">
        <w:rPr>
          <w:rFonts w:ascii="Times New Roman" w:hAnsi="Times New Roman"/>
          <w:noProof/>
        </w:rPr>
        <w:t>December</w:t>
      </w:r>
      <w:r w:rsidR="001F3EBA">
        <w:rPr>
          <w:rFonts w:ascii="Times New Roman" w:hAnsi="Times New Roman"/>
          <w:noProof/>
        </w:rPr>
        <w:t> </w:t>
      </w:r>
      <w:r w:rsidRPr="000F04FA">
        <w:rPr>
          <w:rFonts w:ascii="Times New Roman" w:hAnsi="Times New Roman"/>
          <w:noProof/>
        </w:rPr>
        <w:t>2022.</w:t>
      </w:r>
    </w:p>
    <w:p w14:paraId="7CE9F6F6" w14:textId="77777777" w:rsidR="000F72B9" w:rsidRPr="000F04FA" w:rsidRDefault="000F72B9" w:rsidP="000F72B9">
      <w:pPr>
        <w:spacing w:before="120" w:after="120" w:line="240" w:lineRule="auto"/>
        <w:jc w:val="both"/>
        <w:rPr>
          <w:rFonts w:ascii="Times New Roman" w:hAnsi="Times New Roman"/>
          <w:b/>
          <w:noProof/>
          <w:u w:val="single"/>
        </w:rPr>
      </w:pPr>
    </w:p>
    <w:p w14:paraId="36B43D98" w14:textId="77777777" w:rsidR="000F72B9" w:rsidRPr="000F04FA" w:rsidRDefault="000F72B9" w:rsidP="000F72B9">
      <w:pPr>
        <w:spacing w:before="120" w:after="120" w:line="240" w:lineRule="auto"/>
        <w:jc w:val="both"/>
        <w:rPr>
          <w:rFonts w:ascii="Times New Roman" w:hAnsi="Times New Roman"/>
          <w:b/>
          <w:noProof/>
          <w:u w:val="single"/>
        </w:rPr>
      </w:pPr>
      <w:r w:rsidRPr="000F04FA">
        <w:rPr>
          <w:rFonts w:ascii="Times New Roman" w:hAnsi="Times New Roman"/>
          <w:b/>
          <w:noProof/>
          <w:u w:val="single"/>
        </w:rPr>
        <w:t>Sub-Component 3.1.2 Innovative and competitive secondary sector</w:t>
      </w:r>
    </w:p>
    <w:p w14:paraId="3BABBE5F"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5 (C3.1I5): Creation of a National Commercial Identity and promotion of the traditional product “halloumi”</w:t>
      </w:r>
    </w:p>
    <w:p w14:paraId="46B3074C"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objective of the measure is to establish a brand name for the Cypriot products in order to promote their export.</w:t>
      </w:r>
    </w:p>
    <w:p w14:paraId="5D2BBEB5"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investment shall consist in the development of action plans based on two studies: (a) one on the creation of a National Commercial Identity “Made in Cyprus” (branding) focusing on the quality and structural characteristics of Cypriot products and services combined with elements of the tradition and history of the island, and (b) a study for implementing a strategy for halloumi cheese in order to increase its distinctiveness as an authentic Cyprus product and designing a promotional and awareness campaign.</w:t>
      </w:r>
    </w:p>
    <w:p w14:paraId="72400642" w14:textId="32C67176" w:rsidR="000F72B9" w:rsidRPr="000F04FA" w:rsidRDefault="000F72B9" w:rsidP="000F72B9">
      <w:pPr>
        <w:spacing w:before="120" w:after="120" w:line="240" w:lineRule="auto"/>
        <w:jc w:val="both"/>
        <w:textAlignment w:val="baseline"/>
        <w:rPr>
          <w:rFonts w:ascii="Times New Roman" w:hAnsi="Times New Roman"/>
          <w:noProof/>
        </w:rPr>
      </w:pPr>
      <w:r w:rsidRPr="000F04FA">
        <w:rPr>
          <w:rFonts w:ascii="Times New Roman" w:hAnsi="Times New Roman"/>
          <w:noProof/>
        </w:rPr>
        <w:t>The implementation of the investment shall be completed by 31</w:t>
      </w:r>
      <w:r w:rsidR="001F3EBA">
        <w:rPr>
          <w:rFonts w:ascii="Times New Roman" w:hAnsi="Times New Roman"/>
          <w:noProof/>
        </w:rPr>
        <w:t> </w:t>
      </w:r>
      <w:r w:rsidRPr="000F04FA">
        <w:rPr>
          <w:rFonts w:ascii="Times New Roman" w:hAnsi="Times New Roman"/>
          <w:noProof/>
        </w:rPr>
        <w:t>March</w:t>
      </w:r>
      <w:r w:rsidR="001F3EBA">
        <w:rPr>
          <w:rFonts w:ascii="Times New Roman" w:hAnsi="Times New Roman"/>
          <w:noProof/>
        </w:rPr>
        <w:t> </w:t>
      </w:r>
      <w:r w:rsidRPr="000F04FA">
        <w:rPr>
          <w:rFonts w:ascii="Times New Roman" w:hAnsi="Times New Roman"/>
          <w:noProof/>
        </w:rPr>
        <w:t>2022.</w:t>
      </w:r>
    </w:p>
    <w:p w14:paraId="1D3D1062" w14:textId="77777777" w:rsidR="000F72B9" w:rsidRPr="000F04FA" w:rsidRDefault="000F72B9" w:rsidP="000F72B9">
      <w:pPr>
        <w:spacing w:before="120" w:after="120" w:line="240" w:lineRule="auto"/>
        <w:jc w:val="both"/>
        <w:textAlignment w:val="baseline"/>
        <w:rPr>
          <w:rFonts w:ascii="Times New Roman" w:hAnsi="Times New Roman"/>
          <w:noProof/>
        </w:rPr>
      </w:pPr>
    </w:p>
    <w:p w14:paraId="4AAA4390"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6 (C3.1I6): Scheme for supporting the production of enterprises in the agricultural sector</w:t>
      </w:r>
    </w:p>
    <w:p w14:paraId="00EEBB7D"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support the resilience of the agricultural sector, diversification of economic activity, and incentivise investments in new businesses or in the technological advancement of existing businesses.</w:t>
      </w:r>
    </w:p>
    <w:p w14:paraId="619B6B85" w14:textId="77777777" w:rsidR="000F72B9" w:rsidRPr="000F04FA" w:rsidRDefault="000F72B9" w:rsidP="000F72B9">
      <w:pPr>
        <w:spacing w:before="120" w:after="120" w:line="240" w:lineRule="auto"/>
        <w:jc w:val="both"/>
        <w:rPr>
          <w:rFonts w:ascii="Times New Roman" w:hAnsi="Times New Roman" w:cs="Times New Roman"/>
          <w:noProof/>
        </w:rPr>
      </w:pPr>
      <w:r w:rsidRPr="000F04FA">
        <w:rPr>
          <w:rFonts w:ascii="Times New Roman" w:hAnsi="Times New Roman"/>
          <w:noProof/>
        </w:rPr>
        <w:t>The measure consists in providing grants to enterprises in the agricultural sector to finance investments in their production capabilities.</w:t>
      </w:r>
    </w:p>
    <w:p w14:paraId="2278C79A" w14:textId="77777777" w:rsidR="000F72B9" w:rsidRPr="000F04FA" w:rsidRDefault="000F72B9" w:rsidP="000F72B9">
      <w:pPr>
        <w:spacing w:before="120" w:after="120" w:line="240" w:lineRule="auto"/>
        <w:jc w:val="both"/>
        <w:textAlignment w:val="baseline"/>
        <w:rPr>
          <w:rFonts w:ascii="Times New Roman" w:hAnsi="Times New Roman" w:cs="Times New Roman"/>
          <w:noProof/>
        </w:rPr>
      </w:pPr>
    </w:p>
    <w:p w14:paraId="0E8E2EAC"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7 (C3.1I7): Scheme for the competitiveness and/or the energy efficiency of large enterprises in Cyprus</w:t>
      </w:r>
    </w:p>
    <w:p w14:paraId="7FA13A26"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support investments by large enterprises, including production process, technological and energy efficiency.</w:t>
      </w:r>
    </w:p>
    <w:p w14:paraId="6740B073" w14:textId="77777777" w:rsidR="000F72B9" w:rsidRPr="000F04FA" w:rsidRDefault="000F72B9" w:rsidP="000F72B9">
      <w:pPr>
        <w:spacing w:before="120" w:after="120" w:line="240" w:lineRule="auto"/>
        <w:jc w:val="both"/>
        <w:textAlignment w:val="baseline"/>
        <w:rPr>
          <w:rFonts w:ascii="Times New Roman" w:hAnsi="Times New Roman"/>
          <w:noProof/>
        </w:rPr>
      </w:pPr>
      <w:r w:rsidRPr="000F04FA">
        <w:rPr>
          <w:rFonts w:ascii="Times New Roman" w:hAnsi="Times New Roman"/>
          <w:noProof/>
        </w:rPr>
        <w:t xml:space="preserve">The measure consists in the publication of the call for proposals and the signature of grant agreements with at least 10 enterprises. </w:t>
      </w:r>
    </w:p>
    <w:p w14:paraId="37BE144E" w14:textId="77777777" w:rsidR="000F72B9" w:rsidRPr="000F04FA" w:rsidRDefault="000F72B9" w:rsidP="000F72B9">
      <w:pPr>
        <w:spacing w:before="120" w:after="120" w:line="240" w:lineRule="auto"/>
        <w:jc w:val="both"/>
        <w:rPr>
          <w:rFonts w:ascii="Times New Roman" w:hAnsi="Times New Roman"/>
          <w:noProof/>
        </w:rPr>
      </w:pPr>
    </w:p>
    <w:p w14:paraId="121DB6BA" w14:textId="77777777" w:rsidR="000F72B9" w:rsidRPr="000F04FA" w:rsidRDefault="000F72B9" w:rsidP="000F72B9">
      <w:pPr>
        <w:spacing w:before="120" w:after="120" w:line="240" w:lineRule="auto"/>
        <w:jc w:val="both"/>
        <w:rPr>
          <w:rFonts w:ascii="Times New Roman" w:hAnsi="Times New Roman"/>
          <w:b/>
          <w:noProof/>
          <w:u w:val="single"/>
        </w:rPr>
      </w:pPr>
      <w:r w:rsidRPr="000F04FA">
        <w:rPr>
          <w:rFonts w:ascii="Times New Roman" w:hAnsi="Times New Roman"/>
          <w:b/>
          <w:noProof/>
          <w:u w:val="single"/>
        </w:rPr>
        <w:t>Sub-component 3.1.3 Sustainable, high value-added tourism</w:t>
      </w:r>
    </w:p>
    <w:p w14:paraId="18F7AE80"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Investment 8 (C3.1I8): Added value of tourism </w:t>
      </w:r>
    </w:p>
    <w:p w14:paraId="70EE2F6D"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objective of this investment is to support tourism, attract new markets, reduce seasonality, and improve the built environment, especially in the countryside, mountainous and remote areas. </w:t>
      </w:r>
    </w:p>
    <w:p w14:paraId="7C9E5B03" w14:textId="6FFEAE41"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This measure consists in signing grant agreements and issuing acceptance certificates or proof of payments for renovation works and equipment in the hospitality sector. </w:t>
      </w:r>
    </w:p>
    <w:p w14:paraId="62166A03" w14:textId="77777777" w:rsidR="000F72B9" w:rsidRPr="000F04FA" w:rsidRDefault="000F72B9" w:rsidP="000F72B9">
      <w:pPr>
        <w:spacing w:before="120" w:after="120" w:line="240" w:lineRule="auto"/>
        <w:jc w:val="both"/>
        <w:rPr>
          <w:rFonts w:ascii="Times New Roman" w:hAnsi="Times New Roman"/>
          <w:noProof/>
          <w:u w:val="single"/>
        </w:rPr>
      </w:pPr>
    </w:p>
    <w:p w14:paraId="10EDF2E6"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9 (C3.1I9): Circular economy in hotels</w:t>
      </w:r>
    </w:p>
    <w:p w14:paraId="138C140F"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objective of this investment is to facilitate the transition of hotels’ business model to circular, or to launch circular products or services. </w:t>
      </w:r>
    </w:p>
    <w:p w14:paraId="7FEA4741" w14:textId="687D0A48"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This measure consists in certification. </w:t>
      </w:r>
    </w:p>
    <w:p w14:paraId="59BC9793" w14:textId="77777777" w:rsidR="000F72B9" w:rsidRPr="000F04FA" w:rsidRDefault="000F72B9" w:rsidP="000F72B9">
      <w:pPr>
        <w:spacing w:before="120" w:after="120" w:line="240" w:lineRule="auto"/>
        <w:jc w:val="both"/>
        <w:rPr>
          <w:rFonts w:ascii="Times New Roman" w:hAnsi="Times New Roman"/>
          <w:noProof/>
          <w:u w:val="single"/>
        </w:rPr>
      </w:pPr>
    </w:p>
    <w:p w14:paraId="330FD21F"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u w:val="single"/>
        </w:rPr>
        <w:t xml:space="preserve">Investment 10 (C3.1I10): Enrichment of tourism </w:t>
      </w:r>
    </w:p>
    <w:p w14:paraId="00FCC270"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support the economy in rural, mountainous, and remote areas and to diversify tourism.</w:t>
      </w:r>
    </w:p>
    <w:p w14:paraId="7BBBE7A0" w14:textId="01FB812E"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This measure consists in (i) the construction of the Aphrodite Route, and (ii) investments including, but not limited to, construction works, equipment, information and communication technologies, and advisory services for enterprises or local community boards. </w:t>
      </w:r>
    </w:p>
    <w:p w14:paraId="72B1D404" w14:textId="77777777" w:rsidR="000F72B9" w:rsidRPr="000F04FA" w:rsidRDefault="000F72B9" w:rsidP="000F72B9">
      <w:pPr>
        <w:spacing w:before="120" w:after="120" w:line="240" w:lineRule="auto"/>
        <w:jc w:val="both"/>
        <w:rPr>
          <w:rFonts w:ascii="Times New Roman" w:hAnsi="Times New Roman"/>
          <w:noProof/>
          <w:u w:val="single"/>
        </w:rPr>
      </w:pPr>
    </w:p>
    <w:p w14:paraId="2B1FA29A" w14:textId="77777777" w:rsidR="000F72B9" w:rsidRPr="00547ADA" w:rsidRDefault="000F72B9" w:rsidP="000F72B9">
      <w:pPr>
        <w:spacing w:before="120" w:after="120" w:line="240" w:lineRule="auto"/>
        <w:jc w:val="both"/>
        <w:rPr>
          <w:rFonts w:ascii="Times New Roman" w:hAnsi="Times New Roman"/>
          <w:b/>
          <w:noProof/>
          <w:u w:val="single"/>
          <w:lang w:val="pt-PT"/>
        </w:rPr>
      </w:pPr>
      <w:r w:rsidRPr="00547ADA">
        <w:rPr>
          <w:rFonts w:ascii="Times New Roman" w:hAnsi="Times New Roman"/>
          <w:b/>
          <w:noProof/>
          <w:u w:val="single"/>
          <w:lang w:val="pt-PT"/>
        </w:rPr>
        <w:t>Sub-component 3.1.4 Circular economy</w:t>
      </w:r>
    </w:p>
    <w:p w14:paraId="77ADBF3D" w14:textId="77777777" w:rsidR="000F72B9" w:rsidRPr="00547ADA" w:rsidRDefault="000F72B9" w:rsidP="000F72B9">
      <w:pPr>
        <w:spacing w:before="120" w:after="120" w:line="240" w:lineRule="auto"/>
        <w:jc w:val="both"/>
        <w:rPr>
          <w:rFonts w:ascii="Times New Roman" w:hAnsi="Times New Roman"/>
          <w:noProof/>
          <w:u w:val="single"/>
          <w:lang w:val="pt-PT"/>
        </w:rPr>
      </w:pPr>
      <w:r w:rsidRPr="00547ADA">
        <w:rPr>
          <w:rFonts w:ascii="Times New Roman" w:hAnsi="Times New Roman"/>
          <w:noProof/>
          <w:u w:val="single"/>
          <w:lang w:val="pt-PT"/>
        </w:rPr>
        <w:t xml:space="preserve">Reform 4 (C3.1R4): Circular economy </w:t>
      </w:r>
    </w:p>
    <w:p w14:paraId="5F8E8A6F"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objective of this reform is to support the circular economy model in the country. </w:t>
      </w:r>
    </w:p>
    <w:p w14:paraId="7A61A727"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measure consists of an Action Plan and a grant scheme for business investment in the circular economy.</w:t>
      </w:r>
    </w:p>
    <w:p w14:paraId="0F56736A" w14:textId="77777777" w:rsidR="000F72B9" w:rsidRPr="000F04FA" w:rsidRDefault="000F72B9" w:rsidP="000F72B9">
      <w:pPr>
        <w:spacing w:before="120" w:after="120" w:line="240" w:lineRule="auto"/>
        <w:jc w:val="both"/>
        <w:rPr>
          <w:rFonts w:ascii="Times New Roman" w:hAnsi="Times New Roman"/>
          <w:noProof/>
        </w:rPr>
      </w:pPr>
    </w:p>
    <w:p w14:paraId="029660E2"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Reform 5 (C3.1R5): Waste management coordination unit in the Department of Environment </w:t>
      </w:r>
    </w:p>
    <w:p w14:paraId="5E0F7A7E"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objective of this reform is to monitor municipal waste management. </w:t>
      </w:r>
    </w:p>
    <w:p w14:paraId="12DB1D0E" w14:textId="77777777" w:rsidR="000F72B9" w:rsidRPr="000F04FA" w:rsidRDefault="000F72B9" w:rsidP="000F72B9">
      <w:pPr>
        <w:spacing w:before="120" w:after="120" w:line="240" w:lineRule="auto"/>
        <w:jc w:val="both"/>
        <w:rPr>
          <w:rFonts w:ascii="Times New Roman" w:eastAsia="Times New Roman" w:hAnsi="Times New Roman" w:cs="Times New Roman"/>
          <w:noProof/>
        </w:rPr>
      </w:pPr>
      <w:r w:rsidRPr="000F04FA">
        <w:rPr>
          <w:rFonts w:ascii="Times New Roman" w:eastAsia="Times New Roman" w:hAnsi="Times New Roman" w:cs="Times New Roman"/>
          <w:noProof/>
          <w:color w:val="000000" w:themeColor="text1"/>
        </w:rPr>
        <w:t>This measure consists in a decision by the Council of Ministers on the framework for a unit for waste management coordination in the Department of Environment.</w:t>
      </w:r>
    </w:p>
    <w:p w14:paraId="7AF64E11" w14:textId="77777777" w:rsidR="000F72B9" w:rsidRPr="000F04FA" w:rsidRDefault="000F72B9" w:rsidP="000F72B9">
      <w:pPr>
        <w:spacing w:before="120" w:after="120" w:line="240" w:lineRule="auto"/>
        <w:jc w:val="both"/>
        <w:rPr>
          <w:rFonts w:ascii="Times New Roman" w:hAnsi="Times New Roman"/>
          <w:noProof/>
        </w:rPr>
      </w:pPr>
    </w:p>
    <w:p w14:paraId="561DD3EA"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12 (C3.1I12): Waste management towards circular economy</w:t>
      </w:r>
    </w:p>
    <w:p w14:paraId="5157AE05"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contribute to recycling of dry recyclables. This measure consists in the installation of 50 green kiosks for dry recyclables to help local authorities in remote areas to improve their waste management schemes.</w:t>
      </w:r>
    </w:p>
    <w:p w14:paraId="2BBBD2E1" w14:textId="77777777" w:rsidR="000F72B9" w:rsidRPr="000F04FA" w:rsidRDefault="000F72B9" w:rsidP="000F72B9">
      <w:pPr>
        <w:spacing w:before="120" w:after="120" w:line="240" w:lineRule="auto"/>
        <w:jc w:val="both"/>
        <w:rPr>
          <w:rFonts w:ascii="Times New Roman" w:hAnsi="Times New Roman"/>
          <w:noProof/>
        </w:rPr>
      </w:pPr>
    </w:p>
    <w:p w14:paraId="5F95CC24" w14:textId="77777777" w:rsidR="000F72B9" w:rsidRPr="000F04FA" w:rsidRDefault="000F72B9" w:rsidP="000F72B9">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Investment 11 (C3.1I11): Extension of the Cyprus Green Points Network </w:t>
      </w:r>
    </w:p>
    <w:p w14:paraId="10C56915" w14:textId="77777777"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The objective of this investment is the management of solid waste and the protection of the environment and public health. </w:t>
      </w:r>
    </w:p>
    <w:p w14:paraId="005D029B" w14:textId="7E23A8A8" w:rsidR="000F72B9" w:rsidRPr="000F04FA" w:rsidRDefault="000F72B9" w:rsidP="000F72B9">
      <w:pPr>
        <w:spacing w:before="120" w:after="120" w:line="240" w:lineRule="auto"/>
        <w:jc w:val="both"/>
        <w:rPr>
          <w:rFonts w:ascii="Times New Roman" w:hAnsi="Times New Roman"/>
          <w:noProof/>
        </w:rPr>
      </w:pPr>
      <w:r w:rsidRPr="000F04FA">
        <w:rPr>
          <w:rFonts w:ascii="Times New Roman" w:hAnsi="Times New Roman"/>
          <w:noProof/>
        </w:rPr>
        <w:t xml:space="preserve">This measure consists in the setup of six Green Points to deposit specific household and municipal waste streams. </w:t>
      </w:r>
    </w:p>
    <w:p w14:paraId="70F9E9D8" w14:textId="77777777" w:rsidR="000F72B9" w:rsidRPr="000F04FA" w:rsidRDefault="000F72B9">
      <w:pPr>
        <w:rPr>
          <w:noProof/>
        </w:rPr>
        <w:sectPr w:rsidR="000F72B9" w:rsidRPr="000F04FA" w:rsidSect="00C04BFF">
          <w:headerReference w:type="default" r:id="rId46"/>
          <w:footerReference w:type="default" r:id="rId47"/>
          <w:pgSz w:w="11906" w:h="16838"/>
          <w:pgMar w:top="1440" w:right="1440" w:bottom="1440" w:left="1440" w:header="708" w:footer="708" w:gutter="0"/>
          <w:cols w:space="708"/>
          <w:docGrid w:linePitch="360"/>
        </w:sectPr>
      </w:pPr>
    </w:p>
    <w:p w14:paraId="21225B0F" w14:textId="77777777" w:rsidR="000F72B9" w:rsidRPr="000F04FA" w:rsidRDefault="000F72B9" w:rsidP="00E53B92">
      <w:pPr>
        <w:spacing w:before="120" w:after="240" w:line="240" w:lineRule="auto"/>
        <w:jc w:val="center"/>
        <w:rPr>
          <w:rFonts w:ascii="Times New Roman" w:hAnsi="Times New Roman"/>
          <w:b/>
          <w:noProof/>
          <w:u w:val="single"/>
        </w:rPr>
      </w:pPr>
      <w:r w:rsidRPr="000F04FA">
        <w:rPr>
          <w:rFonts w:ascii="Times New Roman" w:hAnsi="Times New Roman"/>
          <w:b/>
          <w:bCs/>
          <w:noProof/>
          <w:u w:val="single"/>
        </w:rPr>
        <w:t xml:space="preserve">E.2.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1564"/>
        <w:gridCol w:w="1134"/>
        <w:gridCol w:w="1843"/>
        <w:gridCol w:w="1947"/>
        <w:gridCol w:w="1029"/>
        <w:gridCol w:w="993"/>
        <w:gridCol w:w="708"/>
        <w:gridCol w:w="993"/>
        <w:gridCol w:w="850"/>
        <w:gridCol w:w="3241"/>
      </w:tblGrid>
      <w:tr w:rsidR="000F72B9" w:rsidRPr="001F3EBA" w14:paraId="65DE69B3" w14:textId="77777777" w:rsidTr="00D8670B">
        <w:trPr>
          <w:trHeight w:val="300"/>
          <w:tblHeader/>
          <w:jc w:val="center"/>
        </w:trPr>
        <w:tc>
          <w:tcPr>
            <w:tcW w:w="1144" w:type="dxa"/>
            <w:vMerge w:val="restart"/>
            <w:shd w:val="clear" w:color="auto" w:fill="BDD7EE"/>
            <w:vAlign w:val="center"/>
            <w:hideMark/>
          </w:tcPr>
          <w:p w14:paraId="3E0C23B8" w14:textId="77777777"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Sequential Number</w:t>
            </w:r>
          </w:p>
        </w:tc>
        <w:tc>
          <w:tcPr>
            <w:tcW w:w="1564" w:type="dxa"/>
            <w:vMerge w:val="restart"/>
            <w:shd w:val="clear" w:color="auto" w:fill="BDD7EE"/>
            <w:vAlign w:val="center"/>
            <w:hideMark/>
          </w:tcPr>
          <w:p w14:paraId="72C31871" w14:textId="77777777"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418D95A5" w14:textId="77777777"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Milestone / Target</w:t>
            </w:r>
          </w:p>
        </w:tc>
        <w:tc>
          <w:tcPr>
            <w:tcW w:w="1843" w:type="dxa"/>
            <w:vMerge w:val="restart"/>
            <w:shd w:val="clear" w:color="auto" w:fill="BDD7EE"/>
            <w:vAlign w:val="center"/>
            <w:hideMark/>
          </w:tcPr>
          <w:p w14:paraId="6FB2B8AD" w14:textId="77777777"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Name</w:t>
            </w:r>
          </w:p>
        </w:tc>
        <w:tc>
          <w:tcPr>
            <w:tcW w:w="1947" w:type="dxa"/>
            <w:vMerge w:val="restart"/>
            <w:shd w:val="clear" w:color="auto" w:fill="BDD7EE"/>
            <w:vAlign w:val="center"/>
            <w:hideMark/>
          </w:tcPr>
          <w:p w14:paraId="3663A79B" w14:textId="012C1B3B"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Qualitative indicators</w:t>
            </w:r>
            <w:r w:rsidR="00064579">
              <w:rPr>
                <w:rFonts w:ascii="Times New Roman" w:hAnsi="Times New Roman" w:cs="Times New Roman"/>
                <w:b/>
                <w:noProof/>
                <w:sz w:val="18"/>
                <w:szCs w:val="18"/>
              </w:rPr>
              <w:t xml:space="preserve"> </w:t>
            </w:r>
            <w:r w:rsidRPr="001F3EBA">
              <w:rPr>
                <w:rFonts w:ascii="Times New Roman" w:hAnsi="Times New Roman" w:cs="Times New Roman"/>
                <w:noProof/>
                <w:sz w:val="18"/>
                <w:szCs w:val="18"/>
              </w:rPr>
              <w:br/>
            </w:r>
            <w:r w:rsidRPr="001F3EBA">
              <w:rPr>
                <w:rFonts w:ascii="Times New Roman" w:hAnsi="Times New Roman" w:cs="Times New Roman"/>
                <w:b/>
                <w:noProof/>
                <w:sz w:val="18"/>
                <w:szCs w:val="18"/>
              </w:rPr>
              <w:t>(for milestones)</w:t>
            </w:r>
          </w:p>
        </w:tc>
        <w:tc>
          <w:tcPr>
            <w:tcW w:w="2730" w:type="dxa"/>
            <w:gridSpan w:val="3"/>
            <w:shd w:val="clear" w:color="auto" w:fill="BDD7EE"/>
            <w:vAlign w:val="center"/>
            <w:hideMark/>
          </w:tcPr>
          <w:p w14:paraId="2821A85F" w14:textId="478774DE" w:rsidR="000F72B9" w:rsidRPr="001F3EBA" w:rsidRDefault="000F72B9" w:rsidP="00BF3173">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Quantitative indicators</w:t>
            </w:r>
            <w:r w:rsidR="00064579">
              <w:rPr>
                <w:rFonts w:ascii="Times New Roman" w:hAnsi="Times New Roman" w:cs="Times New Roman"/>
                <w:b/>
                <w:noProof/>
                <w:sz w:val="18"/>
                <w:szCs w:val="18"/>
              </w:rPr>
              <w:t xml:space="preserve"> </w:t>
            </w:r>
            <w:r w:rsidRPr="001F3EBA">
              <w:rPr>
                <w:rFonts w:ascii="Times New Roman" w:hAnsi="Times New Roman" w:cs="Times New Roman"/>
                <w:noProof/>
                <w:sz w:val="18"/>
                <w:szCs w:val="18"/>
              </w:rPr>
              <w:br/>
            </w:r>
            <w:r w:rsidRPr="001F3EBA">
              <w:rPr>
                <w:rFonts w:ascii="Times New Roman" w:hAnsi="Times New Roman" w:cs="Times New Roman"/>
                <w:b/>
                <w:noProof/>
                <w:sz w:val="18"/>
                <w:szCs w:val="18"/>
              </w:rPr>
              <w:t>(for targets)</w:t>
            </w:r>
          </w:p>
        </w:tc>
        <w:tc>
          <w:tcPr>
            <w:tcW w:w="1843" w:type="dxa"/>
            <w:gridSpan w:val="2"/>
            <w:shd w:val="clear" w:color="auto" w:fill="BDD7EE"/>
            <w:vAlign w:val="center"/>
            <w:hideMark/>
          </w:tcPr>
          <w:p w14:paraId="2E450DCB" w14:textId="77777777" w:rsidR="000F72B9" w:rsidRPr="001F3EBA" w:rsidRDefault="000F72B9" w:rsidP="00BF3173">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Indicative timeline for completion</w:t>
            </w:r>
          </w:p>
        </w:tc>
        <w:tc>
          <w:tcPr>
            <w:tcW w:w="3241" w:type="dxa"/>
            <w:vMerge w:val="restart"/>
            <w:shd w:val="clear" w:color="auto" w:fill="BDD7EE"/>
            <w:vAlign w:val="center"/>
            <w:hideMark/>
          </w:tcPr>
          <w:p w14:paraId="2A2EF0F3" w14:textId="77777777" w:rsidR="000F72B9" w:rsidRPr="001F3EBA" w:rsidRDefault="000F72B9" w:rsidP="00BF3173">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Description of each milestone and target</w:t>
            </w:r>
          </w:p>
        </w:tc>
      </w:tr>
      <w:tr w:rsidR="000F72B9" w:rsidRPr="001F3EBA" w14:paraId="3E5ED7E5" w14:textId="77777777" w:rsidTr="00D8670B">
        <w:trPr>
          <w:trHeight w:val="300"/>
          <w:tblHeader/>
          <w:jc w:val="center"/>
        </w:trPr>
        <w:tc>
          <w:tcPr>
            <w:tcW w:w="1144" w:type="dxa"/>
            <w:vMerge/>
            <w:hideMark/>
          </w:tcPr>
          <w:p w14:paraId="2089E68C" w14:textId="77777777" w:rsidR="000F72B9" w:rsidRPr="001F3EBA" w:rsidRDefault="000F72B9" w:rsidP="00D8670B">
            <w:pPr>
              <w:spacing w:after="0" w:line="240" w:lineRule="auto"/>
              <w:rPr>
                <w:rFonts w:ascii="Times New Roman" w:hAnsi="Times New Roman" w:cs="Times New Roman"/>
                <w:b/>
                <w:noProof/>
                <w:sz w:val="18"/>
                <w:szCs w:val="18"/>
              </w:rPr>
            </w:pPr>
          </w:p>
        </w:tc>
        <w:tc>
          <w:tcPr>
            <w:tcW w:w="1564" w:type="dxa"/>
            <w:vMerge/>
            <w:hideMark/>
          </w:tcPr>
          <w:p w14:paraId="655E5FA0" w14:textId="77777777" w:rsidR="000F72B9" w:rsidRPr="001F3EBA" w:rsidRDefault="000F72B9" w:rsidP="00D8670B">
            <w:pPr>
              <w:spacing w:after="0" w:line="240" w:lineRule="auto"/>
              <w:rPr>
                <w:rFonts w:ascii="Times New Roman" w:hAnsi="Times New Roman" w:cs="Times New Roman"/>
                <w:b/>
                <w:noProof/>
                <w:sz w:val="18"/>
                <w:szCs w:val="18"/>
              </w:rPr>
            </w:pPr>
          </w:p>
        </w:tc>
        <w:tc>
          <w:tcPr>
            <w:tcW w:w="1134" w:type="dxa"/>
            <w:vMerge/>
            <w:hideMark/>
          </w:tcPr>
          <w:p w14:paraId="70876400" w14:textId="77777777" w:rsidR="000F72B9" w:rsidRPr="001F3EBA" w:rsidRDefault="000F72B9" w:rsidP="00D8670B">
            <w:pPr>
              <w:spacing w:after="0" w:line="240" w:lineRule="auto"/>
              <w:rPr>
                <w:rFonts w:ascii="Times New Roman" w:hAnsi="Times New Roman" w:cs="Times New Roman"/>
                <w:b/>
                <w:noProof/>
                <w:sz w:val="18"/>
                <w:szCs w:val="18"/>
              </w:rPr>
            </w:pPr>
          </w:p>
        </w:tc>
        <w:tc>
          <w:tcPr>
            <w:tcW w:w="1843" w:type="dxa"/>
            <w:vMerge/>
            <w:hideMark/>
          </w:tcPr>
          <w:p w14:paraId="15143CE7" w14:textId="77777777" w:rsidR="000F72B9" w:rsidRPr="001F3EBA" w:rsidRDefault="000F72B9" w:rsidP="00D8670B">
            <w:pPr>
              <w:spacing w:after="0" w:line="240" w:lineRule="auto"/>
              <w:rPr>
                <w:rFonts w:ascii="Times New Roman" w:hAnsi="Times New Roman" w:cs="Times New Roman"/>
                <w:b/>
                <w:noProof/>
                <w:sz w:val="18"/>
                <w:szCs w:val="18"/>
              </w:rPr>
            </w:pPr>
          </w:p>
        </w:tc>
        <w:tc>
          <w:tcPr>
            <w:tcW w:w="1947" w:type="dxa"/>
            <w:vMerge/>
            <w:hideMark/>
          </w:tcPr>
          <w:p w14:paraId="447128C8" w14:textId="77777777" w:rsidR="000F72B9" w:rsidRPr="001F3EBA" w:rsidRDefault="000F72B9" w:rsidP="00D8670B">
            <w:pPr>
              <w:spacing w:after="0" w:line="240" w:lineRule="auto"/>
              <w:rPr>
                <w:rFonts w:ascii="Times New Roman" w:hAnsi="Times New Roman" w:cs="Times New Roman"/>
                <w:b/>
                <w:noProof/>
                <w:sz w:val="18"/>
                <w:szCs w:val="18"/>
              </w:rPr>
            </w:pPr>
          </w:p>
        </w:tc>
        <w:tc>
          <w:tcPr>
            <w:tcW w:w="1029" w:type="dxa"/>
            <w:shd w:val="clear" w:color="auto" w:fill="BDD7EE"/>
            <w:vAlign w:val="center"/>
            <w:hideMark/>
          </w:tcPr>
          <w:p w14:paraId="443669B5" w14:textId="77777777" w:rsidR="000F72B9" w:rsidRPr="001F3EBA" w:rsidRDefault="000F72B9" w:rsidP="00BF3173">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Unit of measure</w:t>
            </w:r>
          </w:p>
        </w:tc>
        <w:tc>
          <w:tcPr>
            <w:tcW w:w="993" w:type="dxa"/>
            <w:shd w:val="clear" w:color="auto" w:fill="BDD7EE"/>
            <w:vAlign w:val="center"/>
            <w:hideMark/>
          </w:tcPr>
          <w:p w14:paraId="7682118D" w14:textId="77777777" w:rsidR="000F72B9" w:rsidRPr="001F3EBA" w:rsidRDefault="000F72B9" w:rsidP="00BF3173">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Baseline</w:t>
            </w:r>
          </w:p>
        </w:tc>
        <w:tc>
          <w:tcPr>
            <w:tcW w:w="708" w:type="dxa"/>
            <w:shd w:val="clear" w:color="auto" w:fill="BDD7EE"/>
            <w:vAlign w:val="center"/>
            <w:hideMark/>
          </w:tcPr>
          <w:p w14:paraId="76E85564" w14:textId="77777777" w:rsidR="000F72B9" w:rsidRPr="001F3EBA" w:rsidRDefault="000F72B9" w:rsidP="00BF3173">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Goal</w:t>
            </w:r>
          </w:p>
        </w:tc>
        <w:tc>
          <w:tcPr>
            <w:tcW w:w="993" w:type="dxa"/>
            <w:shd w:val="clear" w:color="auto" w:fill="BDD7EE"/>
            <w:vAlign w:val="center"/>
            <w:hideMark/>
          </w:tcPr>
          <w:p w14:paraId="4A20D13E" w14:textId="77777777" w:rsidR="000F72B9" w:rsidRPr="001F3EBA" w:rsidRDefault="000F72B9" w:rsidP="00BF3173">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Quarter</w:t>
            </w:r>
          </w:p>
        </w:tc>
        <w:tc>
          <w:tcPr>
            <w:tcW w:w="850" w:type="dxa"/>
            <w:shd w:val="clear" w:color="auto" w:fill="BDD7EE"/>
            <w:vAlign w:val="center"/>
            <w:hideMark/>
          </w:tcPr>
          <w:p w14:paraId="6808115C" w14:textId="77777777" w:rsidR="000F72B9" w:rsidRPr="001F3EBA" w:rsidRDefault="000F72B9" w:rsidP="00BF3173">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Year</w:t>
            </w:r>
          </w:p>
        </w:tc>
        <w:tc>
          <w:tcPr>
            <w:tcW w:w="3241" w:type="dxa"/>
            <w:vMerge/>
            <w:hideMark/>
          </w:tcPr>
          <w:p w14:paraId="188EEE76" w14:textId="77777777" w:rsidR="000F72B9" w:rsidRPr="001F3EBA" w:rsidRDefault="000F72B9" w:rsidP="00BF3173">
            <w:pPr>
              <w:spacing w:after="0" w:line="240" w:lineRule="auto"/>
              <w:jc w:val="both"/>
              <w:rPr>
                <w:rFonts w:ascii="Times New Roman" w:hAnsi="Times New Roman" w:cs="Times New Roman"/>
                <w:b/>
                <w:noProof/>
                <w:sz w:val="18"/>
                <w:szCs w:val="18"/>
              </w:rPr>
            </w:pPr>
          </w:p>
        </w:tc>
      </w:tr>
      <w:tr w:rsidR="000F72B9" w:rsidRPr="001F3EBA" w14:paraId="29E9D90B" w14:textId="77777777" w:rsidTr="00D8670B">
        <w:trPr>
          <w:trHeight w:val="300"/>
          <w:jc w:val="center"/>
        </w:trPr>
        <w:tc>
          <w:tcPr>
            <w:tcW w:w="1144" w:type="dxa"/>
            <w:shd w:val="clear" w:color="auto" w:fill="C6EFCE"/>
            <w:noWrap/>
            <w:hideMark/>
          </w:tcPr>
          <w:p w14:paraId="578D3A6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85</w:t>
            </w:r>
          </w:p>
        </w:tc>
        <w:tc>
          <w:tcPr>
            <w:tcW w:w="1564" w:type="dxa"/>
            <w:shd w:val="clear" w:color="auto" w:fill="C6EFCE"/>
            <w:noWrap/>
            <w:hideMark/>
          </w:tcPr>
          <w:p w14:paraId="6006E69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C3.1R1</w:t>
            </w:r>
          </w:p>
          <w:p w14:paraId="03CA541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Move agricultural practices from the 20th century to the 21st century by investing in a national centre for excellence in agri-tech</w:t>
            </w:r>
          </w:p>
        </w:tc>
        <w:tc>
          <w:tcPr>
            <w:tcW w:w="1134" w:type="dxa"/>
            <w:shd w:val="clear" w:color="auto" w:fill="C6EFCE"/>
            <w:noWrap/>
            <w:hideMark/>
          </w:tcPr>
          <w:p w14:paraId="04094A5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6EFCE"/>
            <w:noWrap/>
            <w:hideMark/>
          </w:tcPr>
          <w:p w14:paraId="73754D0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Cooperation between the Agricultural </w:t>
            </w:r>
          </w:p>
          <w:p w14:paraId="761927E9" w14:textId="390A2640"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Research Institute and higher education institution(s), for at least one MSc programme</w:t>
            </w:r>
          </w:p>
        </w:tc>
        <w:tc>
          <w:tcPr>
            <w:tcW w:w="1947" w:type="dxa"/>
            <w:shd w:val="clear" w:color="auto" w:fill="C6EFCE"/>
            <w:noWrap/>
            <w:hideMark/>
          </w:tcPr>
          <w:p w14:paraId="3E1D072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Entry into force of signed cooperation agreement(s)</w:t>
            </w:r>
          </w:p>
        </w:tc>
        <w:tc>
          <w:tcPr>
            <w:tcW w:w="1029" w:type="dxa"/>
            <w:shd w:val="clear" w:color="auto" w:fill="C6EFCE"/>
            <w:noWrap/>
            <w:hideMark/>
          </w:tcPr>
          <w:p w14:paraId="7AA890EC"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hideMark/>
          </w:tcPr>
          <w:p w14:paraId="2FCCB68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6EFCE"/>
            <w:noWrap/>
            <w:hideMark/>
          </w:tcPr>
          <w:p w14:paraId="5B843323"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hideMark/>
          </w:tcPr>
          <w:p w14:paraId="79AA9F7A" w14:textId="265EF57F"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850" w:type="dxa"/>
            <w:shd w:val="clear" w:color="auto" w:fill="C6EFCE"/>
            <w:noWrap/>
            <w:hideMark/>
          </w:tcPr>
          <w:p w14:paraId="21B4FC6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3241" w:type="dxa"/>
            <w:shd w:val="clear" w:color="auto" w:fill="C6EFCE"/>
            <w:noWrap/>
            <w:hideMark/>
          </w:tcPr>
          <w:p w14:paraId="37433F8D" w14:textId="4D29FBD6"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Entry into force of legally binding document(s) establishing the collaboration for at least one MSc programme signed between the Agricultural Research Institute and higher </w:t>
            </w:r>
            <w:r w:rsidR="001F3EBA" w:rsidRPr="001F3EBA">
              <w:rPr>
                <w:rFonts w:ascii="Times New Roman" w:hAnsi="Times New Roman" w:cs="Times New Roman"/>
                <w:noProof/>
                <w:sz w:val="18"/>
                <w:szCs w:val="18"/>
              </w:rPr>
              <w:t>education</w:t>
            </w:r>
            <w:r w:rsidRPr="001F3EBA">
              <w:rPr>
                <w:rFonts w:ascii="Times New Roman" w:hAnsi="Times New Roman" w:cs="Times New Roman"/>
                <w:noProof/>
                <w:sz w:val="18"/>
                <w:szCs w:val="18"/>
              </w:rPr>
              <w:t xml:space="preserve"> institution(s).</w:t>
            </w:r>
          </w:p>
        </w:tc>
      </w:tr>
      <w:tr w:rsidR="000F72B9" w:rsidRPr="001F3EBA" w14:paraId="1006316B" w14:textId="77777777" w:rsidTr="00D8670B">
        <w:trPr>
          <w:trHeight w:val="300"/>
          <w:jc w:val="center"/>
        </w:trPr>
        <w:tc>
          <w:tcPr>
            <w:tcW w:w="1144" w:type="dxa"/>
            <w:shd w:val="clear" w:color="auto" w:fill="C6EFCE"/>
            <w:noWrap/>
            <w:hideMark/>
          </w:tcPr>
          <w:p w14:paraId="0B38462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86</w:t>
            </w:r>
          </w:p>
        </w:tc>
        <w:tc>
          <w:tcPr>
            <w:tcW w:w="1564" w:type="dxa"/>
            <w:shd w:val="clear" w:color="auto" w:fill="C6EFCE"/>
            <w:noWrap/>
            <w:hideMark/>
          </w:tcPr>
          <w:p w14:paraId="08E800C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C3.1R1</w:t>
            </w:r>
          </w:p>
          <w:p w14:paraId="4772145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Move agricultural practices from the 20th century to the 21st century by investing in a national centre for excellence in agri-tech</w:t>
            </w:r>
          </w:p>
        </w:tc>
        <w:tc>
          <w:tcPr>
            <w:tcW w:w="1134" w:type="dxa"/>
            <w:shd w:val="clear" w:color="auto" w:fill="C6EFCE"/>
            <w:noWrap/>
            <w:hideMark/>
          </w:tcPr>
          <w:p w14:paraId="7E82AC0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6EFCE"/>
            <w:noWrap/>
            <w:hideMark/>
          </w:tcPr>
          <w:p w14:paraId="760EC715" w14:textId="3F09B6DD"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Master in the wider domain of Agriculture</w:t>
            </w:r>
          </w:p>
        </w:tc>
        <w:tc>
          <w:tcPr>
            <w:tcW w:w="1947" w:type="dxa"/>
            <w:shd w:val="clear" w:color="auto" w:fill="C6EFCE"/>
            <w:noWrap/>
            <w:hideMark/>
          </w:tcPr>
          <w:p w14:paraId="2FF86D8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Media announcement and communication by competent authorities </w:t>
            </w:r>
          </w:p>
        </w:tc>
        <w:tc>
          <w:tcPr>
            <w:tcW w:w="1029" w:type="dxa"/>
            <w:shd w:val="clear" w:color="auto" w:fill="C6EFCE"/>
            <w:noWrap/>
            <w:hideMark/>
          </w:tcPr>
          <w:p w14:paraId="688EF2D0"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hideMark/>
          </w:tcPr>
          <w:p w14:paraId="4F0611CB"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6EFCE"/>
            <w:noWrap/>
            <w:hideMark/>
          </w:tcPr>
          <w:p w14:paraId="36E578BB"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hideMark/>
          </w:tcPr>
          <w:p w14:paraId="1C556B90" w14:textId="23FCD0D8"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shd w:val="clear" w:color="auto" w:fill="C6EFCE"/>
            <w:noWrap/>
            <w:hideMark/>
          </w:tcPr>
          <w:p w14:paraId="140C2DAF"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2023</w:t>
            </w:r>
          </w:p>
        </w:tc>
        <w:tc>
          <w:tcPr>
            <w:tcW w:w="3241" w:type="dxa"/>
            <w:shd w:val="clear" w:color="auto" w:fill="C6EFCE"/>
            <w:noWrap/>
            <w:hideMark/>
          </w:tcPr>
          <w:p w14:paraId="32415928" w14:textId="75B957C4"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Enrolment of students and start of a Master in the wider domain of Agriculture.</w:t>
            </w:r>
          </w:p>
        </w:tc>
      </w:tr>
      <w:tr w:rsidR="000F72B9" w:rsidRPr="001F3EBA" w14:paraId="5733A880" w14:textId="77777777" w:rsidTr="00D8670B">
        <w:trPr>
          <w:trHeight w:val="300"/>
          <w:jc w:val="center"/>
        </w:trPr>
        <w:tc>
          <w:tcPr>
            <w:tcW w:w="1144" w:type="dxa"/>
            <w:shd w:val="clear" w:color="auto" w:fill="C6EFCE"/>
            <w:noWrap/>
            <w:hideMark/>
          </w:tcPr>
          <w:p w14:paraId="58A2A03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87</w:t>
            </w:r>
          </w:p>
        </w:tc>
        <w:tc>
          <w:tcPr>
            <w:tcW w:w="1564" w:type="dxa"/>
            <w:shd w:val="clear" w:color="auto" w:fill="C6EFCE"/>
            <w:noWrap/>
            <w:hideMark/>
          </w:tcPr>
          <w:p w14:paraId="71E8A58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C3.1R2</w:t>
            </w:r>
          </w:p>
          <w:p w14:paraId="0524416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On-line platform for improving the trade and information symmetry in the fresh produce supply chain</w:t>
            </w:r>
          </w:p>
        </w:tc>
        <w:tc>
          <w:tcPr>
            <w:tcW w:w="1134" w:type="dxa"/>
            <w:shd w:val="clear" w:color="auto" w:fill="C6EFCE"/>
            <w:noWrap/>
            <w:hideMark/>
          </w:tcPr>
          <w:p w14:paraId="5AEE0055" w14:textId="0E89238A"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6EFCE"/>
            <w:noWrap/>
            <w:hideMark/>
          </w:tcPr>
          <w:p w14:paraId="778F96A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Law on unfair practices in transactions in the local fresh produce market</w:t>
            </w:r>
          </w:p>
        </w:tc>
        <w:tc>
          <w:tcPr>
            <w:tcW w:w="1947" w:type="dxa"/>
            <w:shd w:val="clear" w:color="auto" w:fill="C6EFCE"/>
            <w:noWrap/>
            <w:hideMark/>
          </w:tcPr>
          <w:p w14:paraId="5A9302A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Provision in the law indicating the entry into force of the new law on unfair practices in transactions in the local fresh produce market</w:t>
            </w:r>
          </w:p>
        </w:tc>
        <w:tc>
          <w:tcPr>
            <w:tcW w:w="1029" w:type="dxa"/>
            <w:shd w:val="clear" w:color="auto" w:fill="C6EFCE"/>
            <w:noWrap/>
            <w:hideMark/>
          </w:tcPr>
          <w:p w14:paraId="54D95187" w14:textId="6E76179C"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hideMark/>
          </w:tcPr>
          <w:p w14:paraId="30197CDD" w14:textId="43749EA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6EFCE"/>
            <w:noWrap/>
            <w:hideMark/>
          </w:tcPr>
          <w:p w14:paraId="5CD7F570" w14:textId="6BF7448E"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hideMark/>
          </w:tcPr>
          <w:p w14:paraId="63EFAAA5" w14:textId="46EB3B9F"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shd w:val="clear" w:color="auto" w:fill="C6EFCE"/>
            <w:noWrap/>
            <w:hideMark/>
          </w:tcPr>
          <w:p w14:paraId="7C72576D"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3241" w:type="dxa"/>
            <w:shd w:val="clear" w:color="auto" w:fill="C6EFCE"/>
            <w:noWrap/>
            <w:hideMark/>
          </w:tcPr>
          <w:p w14:paraId="4990E87C" w14:textId="7F5C2F22"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Entry into force of a new law which shall address unfair trading practices in transactions in the local fresh produce market, such as unilateral and retroactive amendments to contracts, </w:t>
            </w:r>
            <w:r w:rsidR="001F3EBA" w:rsidRPr="001F3EBA">
              <w:rPr>
                <w:rFonts w:ascii="Times New Roman" w:hAnsi="Times New Roman" w:cs="Times New Roman"/>
                <w:noProof/>
                <w:sz w:val="18"/>
                <w:szCs w:val="18"/>
              </w:rPr>
              <w:t>last-minute</w:t>
            </w:r>
            <w:r w:rsidRPr="001F3EBA">
              <w:rPr>
                <w:rFonts w:ascii="Times New Roman" w:hAnsi="Times New Roman" w:cs="Times New Roman"/>
                <w:noProof/>
                <w:sz w:val="18"/>
                <w:szCs w:val="18"/>
              </w:rPr>
              <w:t xml:space="preserve"> cancellations, payment deadlines longer than 30 days, payment for damaged or unsold products and other actions affecting those involved in the production and distribution chain of agricultural products.</w:t>
            </w:r>
          </w:p>
        </w:tc>
      </w:tr>
      <w:tr w:rsidR="000F72B9" w:rsidRPr="001F3EBA" w14:paraId="39478207" w14:textId="77777777" w:rsidTr="00D8670B">
        <w:trPr>
          <w:trHeight w:val="300"/>
          <w:jc w:val="center"/>
        </w:trPr>
        <w:tc>
          <w:tcPr>
            <w:tcW w:w="1144" w:type="dxa"/>
            <w:shd w:val="clear" w:color="auto" w:fill="C6EFCE"/>
            <w:noWrap/>
            <w:hideMark/>
          </w:tcPr>
          <w:p w14:paraId="73D40CF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88</w:t>
            </w:r>
          </w:p>
        </w:tc>
        <w:tc>
          <w:tcPr>
            <w:tcW w:w="1564" w:type="dxa"/>
            <w:shd w:val="clear" w:color="auto" w:fill="C6EFCE"/>
            <w:noWrap/>
            <w:hideMark/>
          </w:tcPr>
          <w:p w14:paraId="2902511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C3.1R2</w:t>
            </w:r>
          </w:p>
          <w:p w14:paraId="58EDFF2D"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On-line platform for trade and information symmetry in the fresh produce supply chain</w:t>
            </w:r>
          </w:p>
        </w:tc>
        <w:tc>
          <w:tcPr>
            <w:tcW w:w="1134" w:type="dxa"/>
            <w:shd w:val="clear" w:color="auto" w:fill="C6EFCE"/>
            <w:noWrap/>
            <w:hideMark/>
          </w:tcPr>
          <w:p w14:paraId="3D634C0C" w14:textId="3E252619"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6EFCE"/>
            <w:noWrap/>
            <w:hideMark/>
          </w:tcPr>
          <w:p w14:paraId="2569350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Platform for recording transactions in the local fresh produce market</w:t>
            </w:r>
          </w:p>
        </w:tc>
        <w:tc>
          <w:tcPr>
            <w:tcW w:w="1947" w:type="dxa"/>
            <w:shd w:val="clear" w:color="auto" w:fill="C6EFCE"/>
            <w:noWrap/>
            <w:hideMark/>
          </w:tcPr>
          <w:p w14:paraId="502386F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Platform available to Producers’ Organisations</w:t>
            </w:r>
          </w:p>
        </w:tc>
        <w:tc>
          <w:tcPr>
            <w:tcW w:w="1029" w:type="dxa"/>
            <w:shd w:val="clear" w:color="auto" w:fill="C6EFCE"/>
            <w:noWrap/>
            <w:hideMark/>
          </w:tcPr>
          <w:p w14:paraId="7DFD6128"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hideMark/>
          </w:tcPr>
          <w:p w14:paraId="7C853AE8" w14:textId="080DFE44"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6EFCE"/>
            <w:noWrap/>
            <w:hideMark/>
          </w:tcPr>
          <w:p w14:paraId="1E31CE65" w14:textId="1BE021CA"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hideMark/>
          </w:tcPr>
          <w:p w14:paraId="77C7B2C2" w14:textId="495B296A"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shd w:val="clear" w:color="auto" w:fill="C6EFCE"/>
            <w:noWrap/>
            <w:hideMark/>
          </w:tcPr>
          <w:p w14:paraId="4321B3EA"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2024</w:t>
            </w:r>
          </w:p>
        </w:tc>
        <w:tc>
          <w:tcPr>
            <w:tcW w:w="3241" w:type="dxa"/>
            <w:shd w:val="clear" w:color="auto" w:fill="C6EFCE"/>
            <w:noWrap/>
            <w:hideMark/>
          </w:tcPr>
          <w:p w14:paraId="7EFFE029"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Online Platform for recording transactions in the fresh produce market shall be available to Producers’ Organisations.</w:t>
            </w:r>
          </w:p>
        </w:tc>
      </w:tr>
      <w:tr w:rsidR="000F72B9" w:rsidRPr="001F3EBA" w14:paraId="6CE29829"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754073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90</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DA54CB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C3.1R3</w:t>
            </w:r>
          </w:p>
          <w:p w14:paraId="097D588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Genetic improvement of the Cyprus sheep and goat population</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8BB296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F2F80B9" w14:textId="32335311"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Genomic identifications registered in ARI database.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C6A172B" w14:textId="741B9879"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Aid disbursed and genomic identifications registered in ARI database. </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D079DEC" w14:textId="77777777" w:rsidR="000F72B9" w:rsidRPr="001F3EBA" w:rsidRDefault="000F72B9" w:rsidP="00BF3173">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8421D48" w14:textId="77777777" w:rsidR="000F72B9" w:rsidRPr="001F3EBA" w:rsidRDefault="000F72B9" w:rsidP="00BF3173">
            <w:pPr>
              <w:spacing w:after="0" w:line="240" w:lineRule="auto"/>
              <w:jc w:val="center"/>
              <w:rPr>
                <w:rFonts w:ascii="Times New Roman" w:hAnsi="Times New Roman" w:cs="Times New Roman"/>
                <w:noProof/>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B6A35FD" w14:textId="77777777" w:rsidR="000F72B9" w:rsidRPr="001F3EBA" w:rsidRDefault="000F72B9" w:rsidP="00BF3173">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4A5F4CB" w14:textId="49509B81"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DACC6F9"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859ECEA" w14:textId="725CFB24"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Aid has been disbursed to farmers for the upgrade of the collection of data related to dairy production. Genomic identifications for at least 15 000 unique sheep and goats have been registered in ARI (Agricultural Research Institute) database.</w:t>
            </w:r>
          </w:p>
        </w:tc>
      </w:tr>
      <w:tr w:rsidR="000F72B9" w:rsidRPr="001F3EBA" w14:paraId="37C64E38" w14:textId="77777777" w:rsidTr="00D8670B">
        <w:trPr>
          <w:trHeight w:val="300"/>
          <w:jc w:val="center"/>
        </w:trPr>
        <w:tc>
          <w:tcPr>
            <w:tcW w:w="1144" w:type="dxa"/>
            <w:shd w:val="clear" w:color="auto" w:fill="C6EFCE"/>
            <w:noWrap/>
          </w:tcPr>
          <w:p w14:paraId="4BF43DD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93</w:t>
            </w:r>
          </w:p>
        </w:tc>
        <w:tc>
          <w:tcPr>
            <w:tcW w:w="1564" w:type="dxa"/>
            <w:shd w:val="clear" w:color="auto" w:fill="C6EFCE"/>
            <w:noWrap/>
          </w:tcPr>
          <w:p w14:paraId="73F5AFD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C3.1I2</w:t>
            </w:r>
          </w:p>
          <w:p w14:paraId="33675DD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Enhancement of isotopic database of traditional Cypriot products</w:t>
            </w:r>
          </w:p>
        </w:tc>
        <w:tc>
          <w:tcPr>
            <w:tcW w:w="1134" w:type="dxa"/>
            <w:shd w:val="clear" w:color="auto" w:fill="C6EFCE"/>
            <w:noWrap/>
          </w:tcPr>
          <w:p w14:paraId="1F87C47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6EFCE"/>
            <w:noWrap/>
          </w:tcPr>
          <w:p w14:paraId="3688EE62"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Liquid Chromatography- Isotopic Ratio Mass Spectrometer (LC-IRMS) equipment</w:t>
            </w:r>
          </w:p>
        </w:tc>
        <w:tc>
          <w:tcPr>
            <w:tcW w:w="1947" w:type="dxa"/>
            <w:shd w:val="clear" w:color="auto" w:fill="C6EFCE"/>
            <w:noWrap/>
          </w:tcPr>
          <w:p w14:paraId="3E2E07A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Signed statement of the acceptance of equipment to the standard quality and time specified in the tender documents and the signed contract</w:t>
            </w:r>
          </w:p>
        </w:tc>
        <w:tc>
          <w:tcPr>
            <w:tcW w:w="1029" w:type="dxa"/>
            <w:shd w:val="clear" w:color="auto" w:fill="C6EFCE"/>
            <w:noWrap/>
          </w:tcPr>
          <w:p w14:paraId="06E99580"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tcPr>
          <w:p w14:paraId="4A190992"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6EFCE"/>
            <w:noWrap/>
          </w:tcPr>
          <w:p w14:paraId="3D90F71D"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tcPr>
          <w:p w14:paraId="7D64DB8A"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850" w:type="dxa"/>
            <w:shd w:val="clear" w:color="auto" w:fill="C6EFCE"/>
            <w:noWrap/>
          </w:tcPr>
          <w:p w14:paraId="21472C5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2021</w:t>
            </w:r>
          </w:p>
        </w:tc>
        <w:tc>
          <w:tcPr>
            <w:tcW w:w="3241" w:type="dxa"/>
            <w:shd w:val="clear" w:color="auto" w:fill="C6EFCE"/>
            <w:noWrap/>
          </w:tcPr>
          <w:p w14:paraId="427C5B45"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Purchase and Install New Liquid Chromatography- Isotopic Ratio Mass Spectrometer (LC-IRMS) equipment for isotopic characterisation.</w:t>
            </w:r>
          </w:p>
        </w:tc>
      </w:tr>
      <w:tr w:rsidR="000F72B9" w:rsidRPr="001F3EBA" w14:paraId="445BFE6B"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DB3804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94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4C032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C3.1I2</w:t>
            </w:r>
          </w:p>
          <w:p w14:paraId="512191D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Support of isotopic database of Cypriot food or drink products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FE582A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2D249C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Products connected to the system</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8658D4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AEA5807"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B3FDFF5"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C7F848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10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30D3185"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31B7EC"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69B544"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Integrated Isotopic DataBase(s) and blockchain system are connected for at least ten Cypriot food or drinks products. </w:t>
            </w:r>
          </w:p>
        </w:tc>
      </w:tr>
      <w:tr w:rsidR="000F72B9" w:rsidRPr="001F3EBA" w14:paraId="10EA5509" w14:textId="77777777" w:rsidTr="00D8670B">
        <w:trPr>
          <w:trHeight w:val="300"/>
          <w:jc w:val="center"/>
        </w:trPr>
        <w:tc>
          <w:tcPr>
            <w:tcW w:w="1144" w:type="dxa"/>
            <w:shd w:val="clear" w:color="auto" w:fill="C6EFCE"/>
            <w:noWrap/>
          </w:tcPr>
          <w:p w14:paraId="183C2D82"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95</w:t>
            </w:r>
          </w:p>
        </w:tc>
        <w:tc>
          <w:tcPr>
            <w:tcW w:w="1564" w:type="dxa"/>
            <w:shd w:val="clear" w:color="auto" w:fill="C6EFCE"/>
            <w:noWrap/>
          </w:tcPr>
          <w:p w14:paraId="57AA978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C3.1I3</w:t>
            </w:r>
          </w:p>
          <w:p w14:paraId="46835AC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Upskill existing and future farmers</w:t>
            </w:r>
          </w:p>
        </w:tc>
        <w:tc>
          <w:tcPr>
            <w:tcW w:w="1134" w:type="dxa"/>
            <w:shd w:val="clear" w:color="auto" w:fill="C6EFCE"/>
            <w:noWrap/>
          </w:tcPr>
          <w:p w14:paraId="383E4422"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shd w:val="clear" w:color="auto" w:fill="C6EFCE"/>
            <w:noWrap/>
          </w:tcPr>
          <w:p w14:paraId="47C89CE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Scholarships granted</w:t>
            </w:r>
          </w:p>
        </w:tc>
        <w:tc>
          <w:tcPr>
            <w:tcW w:w="1947" w:type="dxa"/>
            <w:shd w:val="clear" w:color="auto" w:fill="C6EFCE"/>
            <w:noWrap/>
          </w:tcPr>
          <w:p w14:paraId="76380782"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shd w:val="clear" w:color="auto" w:fill="C6EFCE"/>
            <w:noWrap/>
          </w:tcPr>
          <w:p w14:paraId="5E84EBE7"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shd w:val="clear" w:color="auto" w:fill="C6EFCE"/>
            <w:noWrap/>
          </w:tcPr>
          <w:p w14:paraId="2C5AE97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shd w:val="clear" w:color="auto" w:fill="C6EFCE"/>
            <w:noWrap/>
          </w:tcPr>
          <w:p w14:paraId="36BC41D1"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5</w:t>
            </w:r>
          </w:p>
        </w:tc>
        <w:tc>
          <w:tcPr>
            <w:tcW w:w="993" w:type="dxa"/>
            <w:shd w:val="clear" w:color="auto" w:fill="C6EFCE"/>
            <w:noWrap/>
          </w:tcPr>
          <w:p w14:paraId="6F35CDDB"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850" w:type="dxa"/>
            <w:shd w:val="clear" w:color="auto" w:fill="C6EFCE"/>
            <w:noWrap/>
          </w:tcPr>
          <w:p w14:paraId="7E27501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3241" w:type="dxa"/>
            <w:shd w:val="clear" w:color="auto" w:fill="C6EFCE"/>
            <w:noWrap/>
          </w:tcPr>
          <w:p w14:paraId="4538037B"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At least five scholarships granted to secondary school graduates to study degree courses related to agriculture, in cooperation with the Department of Agriculture, the Agricultural Research Institute and local universities.</w:t>
            </w:r>
          </w:p>
        </w:tc>
      </w:tr>
      <w:tr w:rsidR="000F72B9" w:rsidRPr="001F3EBA" w14:paraId="17908B91" w14:textId="77777777" w:rsidTr="00D8670B">
        <w:trPr>
          <w:trHeight w:val="300"/>
          <w:jc w:val="center"/>
        </w:trPr>
        <w:tc>
          <w:tcPr>
            <w:tcW w:w="1144" w:type="dxa"/>
            <w:shd w:val="clear" w:color="auto" w:fill="C6EFCE"/>
            <w:noWrap/>
          </w:tcPr>
          <w:p w14:paraId="08CCFB7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97</w:t>
            </w:r>
          </w:p>
        </w:tc>
        <w:tc>
          <w:tcPr>
            <w:tcW w:w="1564" w:type="dxa"/>
            <w:shd w:val="clear" w:color="auto" w:fill="C6EFCE"/>
            <w:noWrap/>
          </w:tcPr>
          <w:p w14:paraId="3AD7926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C3.1I5</w:t>
            </w:r>
          </w:p>
          <w:p w14:paraId="7B17ECD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Creation of a National Commercial Identity and promotion of the traditional product “halloumi”</w:t>
            </w:r>
          </w:p>
        </w:tc>
        <w:tc>
          <w:tcPr>
            <w:tcW w:w="1134" w:type="dxa"/>
            <w:shd w:val="clear" w:color="auto" w:fill="C6EFCE"/>
            <w:noWrap/>
          </w:tcPr>
          <w:p w14:paraId="5FE56D6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6EFCE"/>
            <w:noWrap/>
          </w:tcPr>
          <w:p w14:paraId="7FA4353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Action Plans for (a) the “made in Cyprus” branding, and (b) for the promotion of the halloumi cheese</w:t>
            </w:r>
          </w:p>
        </w:tc>
        <w:tc>
          <w:tcPr>
            <w:tcW w:w="1947" w:type="dxa"/>
            <w:shd w:val="clear" w:color="auto" w:fill="C6EFCE"/>
            <w:noWrap/>
          </w:tcPr>
          <w:p w14:paraId="599B069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Publication of the Council of Ministers’ decision and of the action plan</w:t>
            </w:r>
          </w:p>
        </w:tc>
        <w:tc>
          <w:tcPr>
            <w:tcW w:w="1029" w:type="dxa"/>
            <w:shd w:val="clear" w:color="auto" w:fill="C6EFCE"/>
            <w:noWrap/>
          </w:tcPr>
          <w:p w14:paraId="2B583635"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tcPr>
          <w:p w14:paraId="72244BF1"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6EFCE"/>
            <w:noWrap/>
          </w:tcPr>
          <w:p w14:paraId="758261B2"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tcPr>
          <w:p w14:paraId="25EAE15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Q1</w:t>
            </w:r>
          </w:p>
        </w:tc>
        <w:tc>
          <w:tcPr>
            <w:tcW w:w="850" w:type="dxa"/>
            <w:shd w:val="clear" w:color="auto" w:fill="C6EFCE"/>
            <w:noWrap/>
          </w:tcPr>
          <w:p w14:paraId="3ED30A2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3241" w:type="dxa"/>
            <w:shd w:val="clear" w:color="auto" w:fill="C6EFCE"/>
            <w:noWrap/>
          </w:tcPr>
          <w:p w14:paraId="4138CA84"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Adoption by the Council of Ministers of Action Plans that shall consist of: </w:t>
            </w:r>
          </w:p>
          <w:p w14:paraId="3ABDEFB6"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(1) assisting businesses to promote their products and services on the basis of the “made in Cyprus” branding, and</w:t>
            </w:r>
          </w:p>
          <w:p w14:paraId="23A1F714"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(2) increasing the distinctiveness of the halloumi cheese as an authentic Cyprus product and designing a promotional and awareness campaign for it.</w:t>
            </w:r>
          </w:p>
        </w:tc>
      </w:tr>
      <w:tr w:rsidR="00547ADA" w:rsidRPr="001F3EBA" w14:paraId="102D3AB9" w14:textId="77777777" w:rsidTr="00D8670B">
        <w:trPr>
          <w:trHeight w:val="300"/>
          <w:jc w:val="center"/>
        </w:trPr>
        <w:tc>
          <w:tcPr>
            <w:tcW w:w="1144" w:type="dxa"/>
            <w:shd w:val="clear" w:color="auto" w:fill="C6EFCE"/>
            <w:noWrap/>
          </w:tcPr>
          <w:p w14:paraId="2461E343" w14:textId="77777777" w:rsidR="00547ADA" w:rsidRPr="001F3EBA" w:rsidRDefault="00547ADA" w:rsidP="00D8670B">
            <w:pPr>
              <w:spacing w:after="0" w:line="240" w:lineRule="auto"/>
              <w:rPr>
                <w:rFonts w:ascii="Times New Roman" w:hAnsi="Times New Roman" w:cs="Times New Roman"/>
                <w:noProof/>
                <w:sz w:val="18"/>
                <w:szCs w:val="18"/>
              </w:rPr>
            </w:pPr>
          </w:p>
        </w:tc>
        <w:tc>
          <w:tcPr>
            <w:tcW w:w="1564" w:type="dxa"/>
            <w:shd w:val="clear" w:color="auto" w:fill="C6EFCE"/>
            <w:noWrap/>
          </w:tcPr>
          <w:p w14:paraId="5A58448D" w14:textId="77777777" w:rsidR="00547ADA" w:rsidRPr="001F3EBA" w:rsidRDefault="00547ADA" w:rsidP="00D8670B">
            <w:pPr>
              <w:spacing w:after="0" w:line="240" w:lineRule="auto"/>
              <w:rPr>
                <w:rFonts w:ascii="Times New Roman" w:hAnsi="Times New Roman" w:cs="Times New Roman"/>
                <w:noProof/>
                <w:sz w:val="18"/>
                <w:szCs w:val="18"/>
              </w:rPr>
            </w:pPr>
          </w:p>
        </w:tc>
        <w:tc>
          <w:tcPr>
            <w:tcW w:w="1134" w:type="dxa"/>
            <w:shd w:val="clear" w:color="auto" w:fill="C6EFCE"/>
            <w:noWrap/>
          </w:tcPr>
          <w:p w14:paraId="074AAC71" w14:textId="77777777" w:rsidR="00547ADA" w:rsidRPr="001F3EBA" w:rsidRDefault="00547ADA" w:rsidP="00D8670B">
            <w:pPr>
              <w:spacing w:after="0" w:line="240" w:lineRule="auto"/>
              <w:rPr>
                <w:rFonts w:ascii="Times New Roman" w:hAnsi="Times New Roman" w:cs="Times New Roman"/>
                <w:noProof/>
                <w:sz w:val="18"/>
                <w:szCs w:val="18"/>
              </w:rPr>
            </w:pPr>
          </w:p>
        </w:tc>
        <w:tc>
          <w:tcPr>
            <w:tcW w:w="1843" w:type="dxa"/>
            <w:shd w:val="clear" w:color="auto" w:fill="C6EFCE"/>
            <w:noWrap/>
          </w:tcPr>
          <w:p w14:paraId="56C62F02" w14:textId="77777777" w:rsidR="00547ADA" w:rsidRPr="001F3EBA" w:rsidRDefault="00547ADA" w:rsidP="00D8670B">
            <w:pPr>
              <w:spacing w:after="0" w:line="240" w:lineRule="auto"/>
              <w:rPr>
                <w:rFonts w:ascii="Times New Roman" w:hAnsi="Times New Roman" w:cs="Times New Roman"/>
                <w:noProof/>
                <w:sz w:val="18"/>
                <w:szCs w:val="18"/>
              </w:rPr>
            </w:pPr>
          </w:p>
        </w:tc>
        <w:tc>
          <w:tcPr>
            <w:tcW w:w="1947" w:type="dxa"/>
            <w:shd w:val="clear" w:color="auto" w:fill="C6EFCE"/>
            <w:noWrap/>
          </w:tcPr>
          <w:p w14:paraId="0C065644" w14:textId="77777777" w:rsidR="00547ADA" w:rsidRPr="001F3EBA" w:rsidRDefault="00547ADA" w:rsidP="00D8670B">
            <w:pPr>
              <w:spacing w:after="0" w:line="240" w:lineRule="auto"/>
              <w:rPr>
                <w:rFonts w:ascii="Times New Roman" w:hAnsi="Times New Roman" w:cs="Times New Roman"/>
                <w:noProof/>
                <w:sz w:val="18"/>
                <w:szCs w:val="18"/>
              </w:rPr>
            </w:pPr>
          </w:p>
        </w:tc>
        <w:tc>
          <w:tcPr>
            <w:tcW w:w="1029" w:type="dxa"/>
            <w:shd w:val="clear" w:color="auto" w:fill="C6EFCE"/>
            <w:noWrap/>
          </w:tcPr>
          <w:p w14:paraId="6A282FD0" w14:textId="77777777" w:rsidR="00547ADA" w:rsidRPr="001F3EBA" w:rsidRDefault="00547ADA" w:rsidP="00BF3173">
            <w:pPr>
              <w:spacing w:after="0" w:line="240" w:lineRule="auto"/>
              <w:jc w:val="center"/>
              <w:rPr>
                <w:rFonts w:ascii="Times New Roman" w:hAnsi="Times New Roman" w:cs="Times New Roman"/>
                <w:noProof/>
                <w:sz w:val="18"/>
                <w:szCs w:val="18"/>
              </w:rPr>
            </w:pPr>
          </w:p>
        </w:tc>
        <w:tc>
          <w:tcPr>
            <w:tcW w:w="993" w:type="dxa"/>
            <w:shd w:val="clear" w:color="auto" w:fill="C6EFCE"/>
            <w:noWrap/>
          </w:tcPr>
          <w:p w14:paraId="22BF38D9" w14:textId="77777777" w:rsidR="00547ADA" w:rsidRPr="001F3EBA" w:rsidRDefault="00547ADA" w:rsidP="00BF3173">
            <w:pPr>
              <w:spacing w:after="0" w:line="240" w:lineRule="auto"/>
              <w:jc w:val="center"/>
              <w:rPr>
                <w:rFonts w:ascii="Times New Roman" w:hAnsi="Times New Roman" w:cs="Times New Roman"/>
                <w:noProof/>
                <w:sz w:val="18"/>
                <w:szCs w:val="18"/>
              </w:rPr>
            </w:pPr>
          </w:p>
        </w:tc>
        <w:tc>
          <w:tcPr>
            <w:tcW w:w="708" w:type="dxa"/>
            <w:shd w:val="clear" w:color="auto" w:fill="C6EFCE"/>
            <w:noWrap/>
          </w:tcPr>
          <w:p w14:paraId="1CF4A118" w14:textId="77777777" w:rsidR="00547ADA" w:rsidRPr="001F3EBA" w:rsidRDefault="00547ADA" w:rsidP="00BF3173">
            <w:pPr>
              <w:spacing w:after="0" w:line="240" w:lineRule="auto"/>
              <w:jc w:val="center"/>
              <w:rPr>
                <w:rFonts w:ascii="Times New Roman" w:hAnsi="Times New Roman" w:cs="Times New Roman"/>
                <w:noProof/>
                <w:sz w:val="18"/>
                <w:szCs w:val="18"/>
              </w:rPr>
            </w:pPr>
          </w:p>
        </w:tc>
        <w:tc>
          <w:tcPr>
            <w:tcW w:w="993" w:type="dxa"/>
            <w:shd w:val="clear" w:color="auto" w:fill="C6EFCE"/>
            <w:noWrap/>
          </w:tcPr>
          <w:p w14:paraId="6FD4DB66" w14:textId="77777777" w:rsidR="00547ADA" w:rsidRPr="001F3EBA" w:rsidRDefault="00547ADA" w:rsidP="00BF3173">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53F1D569" w14:textId="77777777" w:rsidR="00547ADA" w:rsidRPr="001F3EBA" w:rsidRDefault="00547ADA" w:rsidP="00BF3173">
            <w:pPr>
              <w:spacing w:after="0" w:line="240" w:lineRule="auto"/>
              <w:jc w:val="center"/>
              <w:rPr>
                <w:rFonts w:ascii="Times New Roman" w:hAnsi="Times New Roman" w:cs="Times New Roman"/>
                <w:noProof/>
                <w:sz w:val="18"/>
                <w:szCs w:val="18"/>
              </w:rPr>
            </w:pPr>
          </w:p>
        </w:tc>
        <w:tc>
          <w:tcPr>
            <w:tcW w:w="3241" w:type="dxa"/>
            <w:shd w:val="clear" w:color="auto" w:fill="C6EFCE"/>
            <w:noWrap/>
          </w:tcPr>
          <w:p w14:paraId="7F94F2A2" w14:textId="77777777" w:rsidR="00547ADA" w:rsidRPr="001F3EBA" w:rsidRDefault="00547ADA" w:rsidP="00BF3173">
            <w:pPr>
              <w:spacing w:after="0" w:line="240" w:lineRule="auto"/>
              <w:jc w:val="both"/>
              <w:rPr>
                <w:rFonts w:ascii="Times New Roman" w:hAnsi="Times New Roman" w:cs="Times New Roman"/>
                <w:noProof/>
                <w:sz w:val="18"/>
                <w:szCs w:val="18"/>
              </w:rPr>
            </w:pPr>
          </w:p>
        </w:tc>
      </w:tr>
      <w:tr w:rsidR="000F72B9" w:rsidRPr="001F3EBA" w14:paraId="5505F412"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F46F03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99</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F7A9D8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C3.1I6</w:t>
            </w:r>
          </w:p>
          <w:p w14:paraId="1DFA8104" w14:textId="05172B3B"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Scheme for supporting the production of enterprises in </w:t>
            </w:r>
            <w:r w:rsidR="001F3EBA" w:rsidRPr="001F3EBA">
              <w:rPr>
                <w:rFonts w:ascii="Times New Roman" w:hAnsi="Times New Roman" w:cs="Times New Roman"/>
                <w:noProof/>
                <w:sz w:val="18"/>
                <w:szCs w:val="18"/>
              </w:rPr>
              <w:t>agricultural</w:t>
            </w:r>
            <w:r w:rsidRPr="001F3EBA">
              <w:rPr>
                <w:rFonts w:ascii="Times New Roman" w:hAnsi="Times New Roman" w:cs="Times New Roman"/>
                <w:noProof/>
                <w:sz w:val="18"/>
                <w:szCs w:val="18"/>
              </w:rPr>
              <w:t xml:space="preserve"> sector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E342DD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2CEDA69" w14:textId="27A17860"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Grant agreements signed with enterprises in the agricultural sector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49DB10D"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09E47CA"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3350B31"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4FB257A"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120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1D98886"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1572FEF"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CDBBD9D" w14:textId="54A9D11C"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Signature of grant agreements with at least 120 enterprises in the agricultural sector for supporting their production capabilities. </w:t>
            </w:r>
          </w:p>
        </w:tc>
      </w:tr>
      <w:tr w:rsidR="000F72B9" w:rsidRPr="001F3EBA" w14:paraId="4594764C" w14:textId="77777777" w:rsidTr="00D8670B">
        <w:trPr>
          <w:trHeight w:val="300"/>
          <w:jc w:val="center"/>
        </w:trPr>
        <w:tc>
          <w:tcPr>
            <w:tcW w:w="1144" w:type="dxa"/>
            <w:shd w:val="clear" w:color="auto" w:fill="C6EFCE"/>
            <w:noWrap/>
          </w:tcPr>
          <w:p w14:paraId="60712DA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100</w:t>
            </w:r>
          </w:p>
        </w:tc>
        <w:tc>
          <w:tcPr>
            <w:tcW w:w="1564" w:type="dxa"/>
            <w:shd w:val="clear" w:color="auto" w:fill="C6EFCE"/>
            <w:noWrap/>
          </w:tcPr>
          <w:p w14:paraId="70F24F9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C3.1I7</w:t>
            </w:r>
          </w:p>
          <w:p w14:paraId="1AE341F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Scheme for the competitiveness and/or the energy efficiency of large enterprises in Cyprus</w:t>
            </w:r>
          </w:p>
        </w:tc>
        <w:tc>
          <w:tcPr>
            <w:tcW w:w="1134" w:type="dxa"/>
            <w:shd w:val="clear" w:color="auto" w:fill="C6EFCE"/>
            <w:noWrap/>
          </w:tcPr>
          <w:p w14:paraId="1B66AE4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6EFCE"/>
            <w:noWrap/>
          </w:tcPr>
          <w:p w14:paraId="4D386B7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Start of the grant scheme on large enterprises </w:t>
            </w:r>
          </w:p>
        </w:tc>
        <w:tc>
          <w:tcPr>
            <w:tcW w:w="1947" w:type="dxa"/>
            <w:shd w:val="clear" w:color="auto" w:fill="C6EFCE"/>
            <w:noWrap/>
          </w:tcPr>
          <w:p w14:paraId="087FFC1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Publication of the call for proposals on the Ministry website</w:t>
            </w:r>
          </w:p>
        </w:tc>
        <w:tc>
          <w:tcPr>
            <w:tcW w:w="1029" w:type="dxa"/>
            <w:shd w:val="clear" w:color="auto" w:fill="C6EFCE"/>
            <w:noWrap/>
          </w:tcPr>
          <w:p w14:paraId="30F5DC5D"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tcPr>
          <w:p w14:paraId="63139A80"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6EFCE"/>
            <w:noWrap/>
          </w:tcPr>
          <w:p w14:paraId="021AFB9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tcPr>
          <w:p w14:paraId="60338B1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Q3</w:t>
            </w:r>
          </w:p>
        </w:tc>
        <w:tc>
          <w:tcPr>
            <w:tcW w:w="850" w:type="dxa"/>
            <w:shd w:val="clear" w:color="auto" w:fill="C6EFCE"/>
            <w:noWrap/>
          </w:tcPr>
          <w:p w14:paraId="346B5E5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2023</w:t>
            </w:r>
          </w:p>
        </w:tc>
        <w:tc>
          <w:tcPr>
            <w:tcW w:w="3241" w:type="dxa"/>
            <w:shd w:val="clear" w:color="auto" w:fill="C6EFCE"/>
            <w:noWrap/>
          </w:tcPr>
          <w:p w14:paraId="160E81C1"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Following scheme approval by the Council of Ministers, issuance of call for proposals for the award of grants to large enterprises to expand existing business through investments that enhance the technological level, the production process, and their productivity, as well as to undertake investments that improve their energy performance. The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0F72B9" w:rsidRPr="001F3EBA" w14:paraId="12876FE8"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B8B096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102a</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FF41B9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C3.1I7</w:t>
            </w:r>
          </w:p>
          <w:p w14:paraId="62D4519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Scheme for the competitiveness and/or the energy efficiency of large enterprises in Cyprus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64AFBD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5ACA68D"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Grant agreements signed with enterprises</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B7E263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18D189F"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F66347"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34B7AA0"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10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1AC322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60DD179"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0EBD642" w14:textId="5BDAECB3"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Signature of grant agreements with at least 10 enterprises. </w:t>
            </w:r>
          </w:p>
        </w:tc>
      </w:tr>
      <w:tr w:rsidR="000F72B9" w:rsidRPr="001F3EBA" w14:paraId="2C42EE61" w14:textId="77777777" w:rsidTr="00D8670B">
        <w:trPr>
          <w:trHeight w:val="1140"/>
          <w:jc w:val="center"/>
        </w:trPr>
        <w:tc>
          <w:tcPr>
            <w:tcW w:w="1144" w:type="dxa"/>
            <w:shd w:val="clear" w:color="auto" w:fill="C6EFCE"/>
            <w:noWrap/>
          </w:tcPr>
          <w:p w14:paraId="70DCC72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103</w:t>
            </w:r>
          </w:p>
        </w:tc>
        <w:tc>
          <w:tcPr>
            <w:tcW w:w="1564" w:type="dxa"/>
            <w:shd w:val="clear" w:color="auto" w:fill="C6EFCE"/>
            <w:noWrap/>
          </w:tcPr>
          <w:p w14:paraId="60D14C5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C3.1I8</w:t>
            </w:r>
          </w:p>
          <w:p w14:paraId="586B1E9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Added value of tourism </w:t>
            </w:r>
          </w:p>
        </w:tc>
        <w:tc>
          <w:tcPr>
            <w:tcW w:w="1134" w:type="dxa"/>
            <w:shd w:val="clear" w:color="auto" w:fill="C6EFCE"/>
            <w:noWrap/>
          </w:tcPr>
          <w:p w14:paraId="2081776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shd w:val="clear" w:color="auto" w:fill="C6EFCE"/>
            <w:noWrap/>
          </w:tcPr>
          <w:p w14:paraId="21CE572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Grant agreements signed with enterprises in the hospitality sector</w:t>
            </w:r>
          </w:p>
        </w:tc>
        <w:tc>
          <w:tcPr>
            <w:tcW w:w="1947" w:type="dxa"/>
            <w:shd w:val="clear" w:color="auto" w:fill="C6EFCE"/>
            <w:noWrap/>
          </w:tcPr>
          <w:p w14:paraId="03F23782"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shd w:val="clear" w:color="auto" w:fill="C6EFCE"/>
            <w:noWrap/>
          </w:tcPr>
          <w:p w14:paraId="7E481C83" w14:textId="007D06DF"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shd w:val="clear" w:color="auto" w:fill="C6EFCE"/>
            <w:noWrap/>
          </w:tcPr>
          <w:p w14:paraId="2F7AC6D3"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shd w:val="clear" w:color="auto" w:fill="C6EFCE"/>
            <w:noWrap/>
          </w:tcPr>
          <w:p w14:paraId="142A6299"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186</w:t>
            </w:r>
          </w:p>
        </w:tc>
        <w:tc>
          <w:tcPr>
            <w:tcW w:w="993" w:type="dxa"/>
            <w:shd w:val="clear" w:color="auto" w:fill="C6EFCE"/>
            <w:noWrap/>
          </w:tcPr>
          <w:p w14:paraId="3915482C" w14:textId="346A6F18"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shd w:val="clear" w:color="auto" w:fill="C6EFCE"/>
            <w:noWrap/>
          </w:tcPr>
          <w:p w14:paraId="007E897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2024</w:t>
            </w:r>
          </w:p>
        </w:tc>
        <w:tc>
          <w:tcPr>
            <w:tcW w:w="3241" w:type="dxa"/>
            <w:shd w:val="clear" w:color="auto" w:fill="C6EFCE"/>
            <w:noWrap/>
          </w:tcPr>
          <w:p w14:paraId="116D6185"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Signature of grant agreements with at least 186 enterprises in the hospitality sector.</w:t>
            </w:r>
          </w:p>
        </w:tc>
      </w:tr>
      <w:tr w:rsidR="000F72B9" w:rsidRPr="001F3EBA" w14:paraId="4AA4D82D"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EBFD40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104</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0359EA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C3.1I8</w:t>
            </w:r>
          </w:p>
          <w:p w14:paraId="6414D5F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Added value of tourism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E60F34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8615AA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Grant to hotels or other tourism establishments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9E0C36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EB4A8AD" w14:textId="577D4D3C"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3B7A40D"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71D7131"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36</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F8C6946" w14:textId="7234AD4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8AF81AB"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00E2B6D" w14:textId="57D8FEBB"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Signature of grant agreements with at least 36 hotels or other tourism establishments for renovation, refurbishing and/or equipment. </w:t>
            </w:r>
          </w:p>
        </w:tc>
      </w:tr>
      <w:tr w:rsidR="000F72B9" w:rsidRPr="001F3EBA" w14:paraId="030CE8C6"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1061F8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104c</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2F5189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C3.1I8</w:t>
            </w:r>
          </w:p>
          <w:p w14:paraId="1FBD7E2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Added value of tourism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39D461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3974C89" w14:textId="3D35FE3C"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Renovation works and equipment for Filoxenia Conference Centre</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E5FC543" w14:textId="479A4336"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Acceptance certificate(s) </w:t>
            </w:r>
            <w:r w:rsidR="00E20C69" w:rsidRPr="001F3EBA">
              <w:rPr>
                <w:rFonts w:ascii="Times New Roman" w:hAnsi="Times New Roman" w:cs="Times New Roman"/>
                <w:noProof/>
                <w:sz w:val="18"/>
                <w:szCs w:val="18"/>
              </w:rPr>
              <w:t>or</w:t>
            </w:r>
            <w:r w:rsidRPr="001F3EBA">
              <w:rPr>
                <w:rFonts w:ascii="Times New Roman" w:hAnsi="Times New Roman" w:cs="Times New Roman"/>
                <w:noProof/>
                <w:sz w:val="18"/>
                <w:szCs w:val="18"/>
              </w:rPr>
              <w:t xml:space="preserve"> proof of payment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B1F7C99"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1FBCA95"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397772A"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4C37992" w14:textId="69E87A85"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A1BC4C9"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659187A" w14:textId="03131452"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Acceptance certificate(s) </w:t>
            </w:r>
            <w:r w:rsidR="00E20C69" w:rsidRPr="001F3EBA">
              <w:rPr>
                <w:rFonts w:ascii="Times New Roman" w:hAnsi="Times New Roman" w:cs="Times New Roman"/>
                <w:noProof/>
                <w:sz w:val="18"/>
                <w:szCs w:val="18"/>
              </w:rPr>
              <w:t>or</w:t>
            </w:r>
            <w:r w:rsidRPr="001F3EBA">
              <w:rPr>
                <w:rFonts w:ascii="Times New Roman" w:hAnsi="Times New Roman" w:cs="Times New Roman"/>
                <w:noProof/>
                <w:sz w:val="18"/>
                <w:szCs w:val="18"/>
              </w:rPr>
              <w:t xml:space="preserve"> proof of payment for renovation works and equipment for Filoxenia Conference Centre</w:t>
            </w:r>
          </w:p>
        </w:tc>
      </w:tr>
      <w:tr w:rsidR="000F72B9" w:rsidRPr="001F3EBA" w14:paraId="12E23543" w14:textId="77777777" w:rsidTr="00D8670B">
        <w:trPr>
          <w:trHeight w:val="300"/>
          <w:jc w:val="center"/>
        </w:trPr>
        <w:tc>
          <w:tcPr>
            <w:tcW w:w="1144" w:type="dxa"/>
            <w:shd w:val="clear" w:color="auto" w:fill="C6EFCE"/>
            <w:noWrap/>
          </w:tcPr>
          <w:p w14:paraId="214AAF5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105</w:t>
            </w:r>
          </w:p>
        </w:tc>
        <w:tc>
          <w:tcPr>
            <w:tcW w:w="1564" w:type="dxa"/>
            <w:shd w:val="clear" w:color="auto" w:fill="C6EFCE"/>
            <w:noWrap/>
          </w:tcPr>
          <w:p w14:paraId="4935C4B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C3.1I9</w:t>
            </w:r>
          </w:p>
          <w:p w14:paraId="2EC9B4F2" w14:textId="77777777" w:rsidR="000F72B9" w:rsidRPr="001F3EBA" w:rsidDel="00FA10E1"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Promotion of circular economy in hotel establishments</w:t>
            </w:r>
          </w:p>
        </w:tc>
        <w:tc>
          <w:tcPr>
            <w:tcW w:w="1134" w:type="dxa"/>
            <w:shd w:val="clear" w:color="auto" w:fill="C6EFCE"/>
            <w:noWrap/>
          </w:tcPr>
          <w:p w14:paraId="0B2F6E6D"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shd w:val="clear" w:color="auto" w:fill="C6EFCE"/>
            <w:noWrap/>
          </w:tcPr>
          <w:p w14:paraId="35ABFC27" w14:textId="77777777" w:rsidR="000F72B9" w:rsidRPr="001F3EBA" w:rsidDel="00FA10E1"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Coaching scheme for circular economy</w:t>
            </w:r>
          </w:p>
        </w:tc>
        <w:tc>
          <w:tcPr>
            <w:tcW w:w="1947" w:type="dxa"/>
            <w:shd w:val="clear" w:color="auto" w:fill="C6EFCE"/>
            <w:noWrap/>
          </w:tcPr>
          <w:p w14:paraId="21F5329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shd w:val="clear" w:color="auto" w:fill="C6EFCE"/>
            <w:noWrap/>
          </w:tcPr>
          <w:p w14:paraId="56A3B80E" w14:textId="77777777" w:rsidR="000F72B9" w:rsidRPr="001F3EBA" w:rsidDel="00FA10E1"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shd w:val="clear" w:color="auto" w:fill="C6EFCE"/>
            <w:noWrap/>
          </w:tcPr>
          <w:p w14:paraId="61D8D710" w14:textId="77777777" w:rsidR="000F72B9" w:rsidRPr="001F3EBA" w:rsidDel="00FA10E1"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shd w:val="clear" w:color="auto" w:fill="C6EFCE"/>
            <w:noWrap/>
          </w:tcPr>
          <w:p w14:paraId="56BF62D1" w14:textId="77777777" w:rsidR="000F72B9" w:rsidRPr="001F3EBA" w:rsidDel="00FA10E1"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50</w:t>
            </w:r>
          </w:p>
        </w:tc>
        <w:tc>
          <w:tcPr>
            <w:tcW w:w="993" w:type="dxa"/>
            <w:shd w:val="clear" w:color="auto" w:fill="C6EFCE"/>
            <w:noWrap/>
          </w:tcPr>
          <w:p w14:paraId="073EDC3F" w14:textId="16B138BB" w:rsidR="000F72B9" w:rsidRPr="001F3EBA" w:rsidDel="00FA10E1"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shd w:val="clear" w:color="auto" w:fill="C6EFCE"/>
            <w:noWrap/>
          </w:tcPr>
          <w:p w14:paraId="11941B15" w14:textId="77777777" w:rsidR="000F72B9" w:rsidRPr="001F3EBA" w:rsidDel="00FA10E1"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3241" w:type="dxa"/>
            <w:shd w:val="clear" w:color="auto" w:fill="C6EFCE"/>
            <w:noWrap/>
          </w:tcPr>
          <w:p w14:paraId="79DF9EF6" w14:textId="77777777" w:rsidR="000F72B9" w:rsidRPr="001F3EBA" w:rsidDel="00FA10E1"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Signed collaboration agreements with at least 50 hotels have been signed for tailored business coaching for circular economy.</w:t>
            </w:r>
          </w:p>
        </w:tc>
      </w:tr>
      <w:tr w:rsidR="000F72B9" w:rsidRPr="001F3EBA" w14:paraId="45DD890D"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B22026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106</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2C3636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C3.1I9</w:t>
            </w:r>
          </w:p>
          <w:p w14:paraId="0CC8C6B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Circular economy in hotel establishments</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D7C876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D63D00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Certified circular hotels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930E40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3A7C238" w14:textId="7D08E7C9"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5D2BFAD"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11027D0"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18</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3D439D8"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Q1</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FBBE0D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5AE96D6"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At least 18 hotels certified as circular hotels according to the national certification scheme national standards.</w:t>
            </w:r>
          </w:p>
        </w:tc>
      </w:tr>
      <w:tr w:rsidR="000F72B9" w:rsidRPr="001F3EBA" w14:paraId="0871391E" w14:textId="77777777" w:rsidTr="00D8670B">
        <w:trPr>
          <w:trHeight w:val="300"/>
          <w:jc w:val="center"/>
        </w:trPr>
        <w:tc>
          <w:tcPr>
            <w:tcW w:w="1144" w:type="dxa"/>
            <w:shd w:val="clear" w:color="auto" w:fill="C1F0C7" w:themeFill="accent3" w:themeFillTint="33"/>
            <w:noWrap/>
          </w:tcPr>
          <w:p w14:paraId="5EDF948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107</w:t>
            </w:r>
          </w:p>
        </w:tc>
        <w:tc>
          <w:tcPr>
            <w:tcW w:w="1564" w:type="dxa"/>
            <w:shd w:val="clear" w:color="auto" w:fill="C1F0C7" w:themeFill="accent3" w:themeFillTint="33"/>
            <w:noWrap/>
          </w:tcPr>
          <w:p w14:paraId="42530DD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C3.1I10</w:t>
            </w:r>
          </w:p>
          <w:p w14:paraId="0745B29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Enrichment of tourism </w:t>
            </w:r>
          </w:p>
        </w:tc>
        <w:tc>
          <w:tcPr>
            <w:tcW w:w="1134" w:type="dxa"/>
            <w:shd w:val="clear" w:color="auto" w:fill="C1F0C7" w:themeFill="accent3" w:themeFillTint="33"/>
            <w:noWrap/>
          </w:tcPr>
          <w:p w14:paraId="17E01B8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1F0C7" w:themeFill="accent3" w:themeFillTint="33"/>
            <w:noWrap/>
          </w:tcPr>
          <w:p w14:paraId="0B8CBC0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Aphrodite Route</w:t>
            </w:r>
          </w:p>
        </w:tc>
        <w:tc>
          <w:tcPr>
            <w:tcW w:w="1947" w:type="dxa"/>
            <w:shd w:val="clear" w:color="auto" w:fill="C1F0C7" w:themeFill="accent3" w:themeFillTint="33"/>
            <w:noWrap/>
          </w:tcPr>
          <w:p w14:paraId="3115EB9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Taking-over certificate </w:t>
            </w:r>
          </w:p>
        </w:tc>
        <w:tc>
          <w:tcPr>
            <w:tcW w:w="1029" w:type="dxa"/>
            <w:shd w:val="clear" w:color="auto" w:fill="C1F0C7" w:themeFill="accent3" w:themeFillTint="33"/>
            <w:noWrap/>
          </w:tcPr>
          <w:p w14:paraId="30FB457D" w14:textId="59B11263"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1F0C7" w:themeFill="accent3" w:themeFillTint="33"/>
            <w:noWrap/>
          </w:tcPr>
          <w:p w14:paraId="32A59325" w14:textId="791B504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1F0C7" w:themeFill="accent3" w:themeFillTint="33"/>
            <w:noWrap/>
          </w:tcPr>
          <w:p w14:paraId="150AB7E7" w14:textId="27E3BEB6"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1F0C7" w:themeFill="accent3" w:themeFillTint="33"/>
            <w:noWrap/>
          </w:tcPr>
          <w:p w14:paraId="573DDB01"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Q1</w:t>
            </w:r>
          </w:p>
        </w:tc>
        <w:tc>
          <w:tcPr>
            <w:tcW w:w="850" w:type="dxa"/>
            <w:shd w:val="clear" w:color="auto" w:fill="C1F0C7" w:themeFill="accent3" w:themeFillTint="33"/>
            <w:noWrap/>
          </w:tcPr>
          <w:p w14:paraId="7B07972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2024</w:t>
            </w:r>
          </w:p>
        </w:tc>
        <w:tc>
          <w:tcPr>
            <w:tcW w:w="3241" w:type="dxa"/>
            <w:shd w:val="clear" w:color="auto" w:fill="C1F0C7" w:themeFill="accent3" w:themeFillTint="33"/>
            <w:noWrap/>
          </w:tcPr>
          <w:p w14:paraId="6D3E41DA"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Taking-over certificate for construction works for the Aphrodite Route.</w:t>
            </w:r>
          </w:p>
        </w:tc>
      </w:tr>
      <w:tr w:rsidR="000F72B9" w:rsidRPr="001F3EBA" w14:paraId="3F3FDE27" w14:textId="77777777" w:rsidTr="00C443D9">
        <w:trPr>
          <w:trHeight w:val="2164"/>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AA8DD2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108</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B3A312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C3.1I10</w:t>
            </w:r>
          </w:p>
          <w:p w14:paraId="427BD64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Enrichment of tourism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3D7E4A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C6B3DAC" w14:textId="07572DF3"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eastAsia="Times New Roman" w:hAnsi="Times New Roman" w:cs="Times New Roman"/>
                <w:noProof/>
                <w:sz w:val="18"/>
                <w:szCs w:val="18"/>
              </w:rPr>
              <w:t>Investments, including but not limited to construction works, equipment, information and communication services, and advisory services.</w:t>
            </w:r>
            <w:r w:rsidR="00064579">
              <w:rPr>
                <w:rFonts w:ascii="Times New Roman" w:eastAsia="Times New Roman" w:hAnsi="Times New Roman" w:cs="Times New Roman"/>
                <w:noProof/>
                <w:sz w:val="18"/>
                <w:szCs w:val="18"/>
              </w:rPr>
              <w:t xml:space="preserve">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929BE0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16B3A5A" w14:textId="67181CF6"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9AA708D"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AACB39B"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E7307BE" w14:textId="27DA0D71"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DFCD3F8"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75CCA07" w14:textId="1BEE698E"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Investments, including but not limited to construction works, equipment, information and communication technologies, and advisory services in at least 200 enterprises or local community boards.</w:t>
            </w:r>
          </w:p>
          <w:p w14:paraId="4DBF4ED3" w14:textId="77777777" w:rsidR="000F72B9" w:rsidRPr="001F3EBA" w:rsidRDefault="000F72B9" w:rsidP="00BF3173">
            <w:pPr>
              <w:spacing w:after="0" w:line="240" w:lineRule="auto"/>
              <w:jc w:val="both"/>
              <w:rPr>
                <w:rFonts w:ascii="Times New Roman" w:hAnsi="Times New Roman" w:cs="Times New Roman"/>
                <w:noProof/>
                <w:sz w:val="18"/>
                <w:szCs w:val="18"/>
              </w:rPr>
            </w:pPr>
          </w:p>
        </w:tc>
      </w:tr>
      <w:tr w:rsidR="000F72B9" w:rsidRPr="001F3EBA" w14:paraId="5D20EFBD" w14:textId="77777777" w:rsidTr="00C443D9">
        <w:trPr>
          <w:trHeight w:val="300"/>
          <w:jc w:val="center"/>
        </w:trPr>
        <w:tc>
          <w:tcPr>
            <w:tcW w:w="1144" w:type="dxa"/>
            <w:shd w:val="clear" w:color="auto" w:fill="C1F0C7" w:themeFill="accent3" w:themeFillTint="33"/>
            <w:noWrap/>
          </w:tcPr>
          <w:p w14:paraId="103A4E6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109</w:t>
            </w:r>
          </w:p>
        </w:tc>
        <w:tc>
          <w:tcPr>
            <w:tcW w:w="1564" w:type="dxa"/>
            <w:shd w:val="clear" w:color="auto" w:fill="C1F0C7" w:themeFill="accent3" w:themeFillTint="33"/>
            <w:noWrap/>
          </w:tcPr>
          <w:p w14:paraId="27DF26F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C3.1R4</w:t>
            </w:r>
          </w:p>
          <w:p w14:paraId="36E62E7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Enhancement of circular economy in the Industry</w:t>
            </w:r>
          </w:p>
        </w:tc>
        <w:tc>
          <w:tcPr>
            <w:tcW w:w="1134" w:type="dxa"/>
            <w:shd w:val="clear" w:color="auto" w:fill="C1F0C7" w:themeFill="accent3" w:themeFillTint="33"/>
            <w:noWrap/>
          </w:tcPr>
          <w:p w14:paraId="379069B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1F0C7" w:themeFill="accent3" w:themeFillTint="33"/>
            <w:noWrap/>
          </w:tcPr>
          <w:p w14:paraId="3A33471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Approval of the National Action Plan for the Enhancement of Circular Economy in Cyprus </w:t>
            </w:r>
          </w:p>
        </w:tc>
        <w:tc>
          <w:tcPr>
            <w:tcW w:w="1947" w:type="dxa"/>
            <w:shd w:val="clear" w:color="auto" w:fill="C1F0C7" w:themeFill="accent3" w:themeFillTint="33"/>
            <w:noWrap/>
          </w:tcPr>
          <w:p w14:paraId="5C3B72D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Publication of the Council of Ministers’ decision for the approval of the National Action plan.</w:t>
            </w:r>
          </w:p>
        </w:tc>
        <w:tc>
          <w:tcPr>
            <w:tcW w:w="1029" w:type="dxa"/>
            <w:shd w:val="clear" w:color="auto" w:fill="C1F0C7" w:themeFill="accent3" w:themeFillTint="33"/>
            <w:noWrap/>
          </w:tcPr>
          <w:p w14:paraId="6FB12CAB" w14:textId="231C0932"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1F0C7" w:themeFill="accent3" w:themeFillTint="33"/>
            <w:noWrap/>
          </w:tcPr>
          <w:p w14:paraId="7B0B8D69" w14:textId="0599985D"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1F0C7" w:themeFill="accent3" w:themeFillTint="33"/>
            <w:noWrap/>
          </w:tcPr>
          <w:p w14:paraId="053CE790" w14:textId="7076C90D"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1F0C7" w:themeFill="accent3" w:themeFillTint="33"/>
            <w:noWrap/>
          </w:tcPr>
          <w:p w14:paraId="0C8C40E1" w14:textId="734261AB"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850" w:type="dxa"/>
            <w:shd w:val="clear" w:color="auto" w:fill="C1F0C7" w:themeFill="accent3" w:themeFillTint="33"/>
            <w:noWrap/>
          </w:tcPr>
          <w:p w14:paraId="7BA1A8BD"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2021</w:t>
            </w:r>
          </w:p>
        </w:tc>
        <w:tc>
          <w:tcPr>
            <w:tcW w:w="3241" w:type="dxa"/>
            <w:shd w:val="clear" w:color="auto" w:fill="C1F0C7" w:themeFill="accent3" w:themeFillTint="33"/>
            <w:noWrap/>
          </w:tcPr>
          <w:p w14:paraId="03D352ED"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Approval, by the Council of Ministers, of the National Action Plan for the Enhancement of Circular Economy in Cyprus </w:t>
            </w:r>
          </w:p>
        </w:tc>
      </w:tr>
      <w:tr w:rsidR="000F72B9" w:rsidRPr="001F3EBA" w14:paraId="215DF280" w14:textId="77777777" w:rsidTr="00D8670B">
        <w:trPr>
          <w:trHeight w:val="300"/>
          <w:jc w:val="center"/>
        </w:trPr>
        <w:tc>
          <w:tcPr>
            <w:tcW w:w="1144" w:type="dxa"/>
            <w:shd w:val="clear" w:color="auto" w:fill="C1F0C7" w:themeFill="accent3" w:themeFillTint="33"/>
            <w:noWrap/>
          </w:tcPr>
          <w:p w14:paraId="539A14D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110</w:t>
            </w:r>
          </w:p>
        </w:tc>
        <w:tc>
          <w:tcPr>
            <w:tcW w:w="1564" w:type="dxa"/>
            <w:shd w:val="clear" w:color="auto" w:fill="C1F0C7" w:themeFill="accent3" w:themeFillTint="33"/>
            <w:noWrap/>
          </w:tcPr>
          <w:p w14:paraId="591EDE5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C3.1R4</w:t>
            </w:r>
          </w:p>
          <w:p w14:paraId="10438B3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Circular economy </w:t>
            </w:r>
          </w:p>
        </w:tc>
        <w:tc>
          <w:tcPr>
            <w:tcW w:w="1134" w:type="dxa"/>
            <w:shd w:val="clear" w:color="auto" w:fill="C1F0C7" w:themeFill="accent3" w:themeFillTint="33"/>
            <w:noWrap/>
          </w:tcPr>
          <w:p w14:paraId="0A4082E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shd w:val="clear" w:color="auto" w:fill="C1F0C7" w:themeFill="accent3" w:themeFillTint="33"/>
            <w:noWrap/>
          </w:tcPr>
          <w:p w14:paraId="67EA2A5C" w14:textId="64E2361F"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Signed grant agreement with companies which are moving into a circular operating model</w:t>
            </w:r>
          </w:p>
        </w:tc>
        <w:tc>
          <w:tcPr>
            <w:tcW w:w="1947" w:type="dxa"/>
            <w:shd w:val="clear" w:color="auto" w:fill="C1F0C7" w:themeFill="accent3" w:themeFillTint="33"/>
            <w:noWrap/>
          </w:tcPr>
          <w:p w14:paraId="1D67FAD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shd w:val="clear" w:color="auto" w:fill="C1F0C7" w:themeFill="accent3" w:themeFillTint="33"/>
            <w:noWrap/>
          </w:tcPr>
          <w:p w14:paraId="390EE7C4"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shd w:val="clear" w:color="auto" w:fill="C1F0C7" w:themeFill="accent3" w:themeFillTint="33"/>
            <w:noWrap/>
          </w:tcPr>
          <w:p w14:paraId="0BDE25F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shd w:val="clear" w:color="auto" w:fill="C1F0C7" w:themeFill="accent3" w:themeFillTint="33"/>
            <w:noWrap/>
          </w:tcPr>
          <w:p w14:paraId="6464484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25</w:t>
            </w:r>
          </w:p>
        </w:tc>
        <w:tc>
          <w:tcPr>
            <w:tcW w:w="993" w:type="dxa"/>
            <w:shd w:val="clear" w:color="auto" w:fill="C1F0C7" w:themeFill="accent3" w:themeFillTint="33"/>
            <w:noWrap/>
          </w:tcPr>
          <w:p w14:paraId="7636B9AA"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shd w:val="clear" w:color="auto" w:fill="C1F0C7" w:themeFill="accent3" w:themeFillTint="33"/>
            <w:noWrap/>
          </w:tcPr>
          <w:p w14:paraId="2C7DAD17"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3241" w:type="dxa"/>
            <w:shd w:val="clear" w:color="auto" w:fill="C1F0C7" w:themeFill="accent3" w:themeFillTint="33"/>
            <w:noWrap/>
          </w:tcPr>
          <w:p w14:paraId="6C66086B" w14:textId="647F2C50"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Signature of grant agreements with at least 25 companies moving to a circular operating model</w:t>
            </w:r>
          </w:p>
        </w:tc>
      </w:tr>
      <w:tr w:rsidR="000F72B9" w:rsidRPr="001F3EBA" w14:paraId="464CB98A" w14:textId="77777777" w:rsidTr="00D8670B">
        <w:trPr>
          <w:trHeight w:val="300"/>
          <w:jc w:val="center"/>
        </w:trPr>
        <w:tc>
          <w:tcPr>
            <w:tcW w:w="1144" w:type="dxa"/>
            <w:shd w:val="clear" w:color="auto" w:fill="C1F0C7" w:themeFill="accent3" w:themeFillTint="33"/>
            <w:noWrap/>
          </w:tcPr>
          <w:p w14:paraId="2C2CD54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111</w:t>
            </w:r>
          </w:p>
        </w:tc>
        <w:tc>
          <w:tcPr>
            <w:tcW w:w="1564" w:type="dxa"/>
            <w:shd w:val="clear" w:color="auto" w:fill="C1F0C7" w:themeFill="accent3" w:themeFillTint="33"/>
            <w:noWrap/>
          </w:tcPr>
          <w:p w14:paraId="4EFE7775" w14:textId="79341932"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C3.1R5</w:t>
            </w:r>
            <w:r w:rsidR="00064579">
              <w:rPr>
                <w:rFonts w:ascii="Times New Roman" w:hAnsi="Times New Roman" w:cs="Times New Roman"/>
                <w:noProof/>
                <w:sz w:val="18"/>
                <w:szCs w:val="18"/>
              </w:rPr>
              <w:t xml:space="preserve"> </w:t>
            </w:r>
            <w:r w:rsidRPr="001F3EBA">
              <w:rPr>
                <w:rFonts w:ascii="Times New Roman" w:hAnsi="Times New Roman" w:cs="Times New Roman"/>
                <w:noProof/>
                <w:sz w:val="18"/>
                <w:szCs w:val="18"/>
              </w:rPr>
              <w:t xml:space="preserve"> </w:t>
            </w:r>
          </w:p>
          <w:p w14:paraId="1339909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Waste management coordination unit in the Department of Environment</w:t>
            </w:r>
          </w:p>
        </w:tc>
        <w:tc>
          <w:tcPr>
            <w:tcW w:w="1134" w:type="dxa"/>
            <w:shd w:val="clear" w:color="auto" w:fill="C1F0C7" w:themeFill="accent3" w:themeFillTint="33"/>
            <w:noWrap/>
          </w:tcPr>
          <w:p w14:paraId="226D60A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1F0C7" w:themeFill="accent3" w:themeFillTint="33"/>
            <w:noWrap/>
          </w:tcPr>
          <w:p w14:paraId="5920BD8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Waste management coordination unit</w:t>
            </w:r>
          </w:p>
        </w:tc>
        <w:tc>
          <w:tcPr>
            <w:tcW w:w="1947" w:type="dxa"/>
            <w:shd w:val="clear" w:color="auto" w:fill="C1F0C7" w:themeFill="accent3" w:themeFillTint="33"/>
            <w:noWrap/>
          </w:tcPr>
          <w:p w14:paraId="5814CBD9" w14:textId="77777777" w:rsidR="000F72B9" w:rsidRPr="001F3EBA" w:rsidRDefault="000F72B9" w:rsidP="00D8670B">
            <w:pPr>
              <w:tabs>
                <w:tab w:val="left" w:pos="1327"/>
              </w:tabs>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Publication of the Council of Ministers Decision</w:t>
            </w:r>
          </w:p>
        </w:tc>
        <w:tc>
          <w:tcPr>
            <w:tcW w:w="1029" w:type="dxa"/>
            <w:shd w:val="clear" w:color="auto" w:fill="C1F0C7" w:themeFill="accent3" w:themeFillTint="33"/>
            <w:noWrap/>
          </w:tcPr>
          <w:p w14:paraId="30DD26D0" w14:textId="180BEA71"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1F0C7" w:themeFill="accent3" w:themeFillTint="33"/>
            <w:noWrap/>
          </w:tcPr>
          <w:p w14:paraId="2F26D161" w14:textId="1C2DA820"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1F0C7" w:themeFill="accent3" w:themeFillTint="33"/>
            <w:noWrap/>
          </w:tcPr>
          <w:p w14:paraId="7F3B4B94" w14:textId="1E979A82"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1F0C7" w:themeFill="accent3" w:themeFillTint="33"/>
            <w:noWrap/>
          </w:tcPr>
          <w:p w14:paraId="20CF68B3"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shd w:val="clear" w:color="auto" w:fill="C1F0C7" w:themeFill="accent3" w:themeFillTint="33"/>
            <w:noWrap/>
          </w:tcPr>
          <w:p w14:paraId="4FF05F49"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2025</w:t>
            </w:r>
          </w:p>
        </w:tc>
        <w:tc>
          <w:tcPr>
            <w:tcW w:w="3241" w:type="dxa"/>
            <w:shd w:val="clear" w:color="auto" w:fill="C1F0C7" w:themeFill="accent3" w:themeFillTint="33"/>
            <w:noWrap/>
          </w:tcPr>
          <w:p w14:paraId="53845F91"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Approval of the waste coordination unit in the Department of Environment by the Council of Ministers. </w:t>
            </w:r>
          </w:p>
          <w:p w14:paraId="185314AC" w14:textId="77777777" w:rsidR="000F72B9" w:rsidRPr="001F3EBA" w:rsidRDefault="000F72B9" w:rsidP="00BF3173">
            <w:pPr>
              <w:spacing w:after="0" w:line="240" w:lineRule="auto"/>
              <w:jc w:val="both"/>
              <w:rPr>
                <w:rFonts w:ascii="Times New Roman" w:hAnsi="Times New Roman" w:cs="Times New Roman"/>
                <w:noProof/>
                <w:sz w:val="18"/>
                <w:szCs w:val="18"/>
              </w:rPr>
            </w:pPr>
          </w:p>
        </w:tc>
      </w:tr>
      <w:tr w:rsidR="000F72B9" w:rsidRPr="001F3EBA" w14:paraId="6A6FC230" w14:textId="77777777" w:rsidTr="00D8670B">
        <w:trPr>
          <w:trHeight w:val="300"/>
          <w:jc w:val="center"/>
        </w:trPr>
        <w:tc>
          <w:tcPr>
            <w:tcW w:w="1144" w:type="dxa"/>
            <w:shd w:val="clear" w:color="auto" w:fill="C6EFCE"/>
            <w:noWrap/>
          </w:tcPr>
          <w:p w14:paraId="0876BFA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112</w:t>
            </w:r>
          </w:p>
        </w:tc>
        <w:tc>
          <w:tcPr>
            <w:tcW w:w="1564" w:type="dxa"/>
            <w:shd w:val="clear" w:color="auto" w:fill="C6EFCE"/>
            <w:noWrap/>
          </w:tcPr>
          <w:p w14:paraId="4EA3E97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C3.1I12</w:t>
            </w:r>
          </w:p>
          <w:p w14:paraId="0140A572"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Waste management towards circular economy </w:t>
            </w:r>
          </w:p>
        </w:tc>
        <w:tc>
          <w:tcPr>
            <w:tcW w:w="1134" w:type="dxa"/>
            <w:shd w:val="clear" w:color="auto" w:fill="C6EFCE"/>
            <w:noWrap/>
          </w:tcPr>
          <w:p w14:paraId="2817BBC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1843" w:type="dxa"/>
            <w:shd w:val="clear" w:color="auto" w:fill="C6EFCE"/>
            <w:noWrap/>
          </w:tcPr>
          <w:p w14:paraId="318B0E4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Signature of the contract for the installation of Green kiosks</w:t>
            </w:r>
          </w:p>
        </w:tc>
        <w:tc>
          <w:tcPr>
            <w:tcW w:w="1947" w:type="dxa"/>
            <w:shd w:val="clear" w:color="auto" w:fill="C6EFCE"/>
            <w:noWrap/>
          </w:tcPr>
          <w:p w14:paraId="3EAF37A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Signature of the contract</w:t>
            </w:r>
          </w:p>
        </w:tc>
        <w:tc>
          <w:tcPr>
            <w:tcW w:w="1029" w:type="dxa"/>
            <w:shd w:val="clear" w:color="auto" w:fill="C6EFCE"/>
            <w:noWrap/>
          </w:tcPr>
          <w:p w14:paraId="62F70E45" w14:textId="390F409F"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tcPr>
          <w:p w14:paraId="3AEB5451" w14:textId="192EF3F9"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708" w:type="dxa"/>
            <w:shd w:val="clear" w:color="auto" w:fill="C6EFCE"/>
            <w:noWrap/>
          </w:tcPr>
          <w:p w14:paraId="710E8CCD" w14:textId="395253A0"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993" w:type="dxa"/>
            <w:shd w:val="clear" w:color="auto" w:fill="C6EFCE"/>
            <w:noWrap/>
          </w:tcPr>
          <w:p w14:paraId="563C8B75"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Q3</w:t>
            </w:r>
          </w:p>
        </w:tc>
        <w:tc>
          <w:tcPr>
            <w:tcW w:w="850" w:type="dxa"/>
            <w:shd w:val="clear" w:color="auto" w:fill="C6EFCE"/>
            <w:noWrap/>
          </w:tcPr>
          <w:p w14:paraId="6BBEF26D"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2023</w:t>
            </w:r>
          </w:p>
        </w:tc>
        <w:tc>
          <w:tcPr>
            <w:tcW w:w="3241" w:type="dxa"/>
            <w:shd w:val="clear" w:color="auto" w:fill="C6EFCE"/>
            <w:noWrap/>
          </w:tcPr>
          <w:p w14:paraId="17672128"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Signed contract for the set up and installation of at least 50 Green kiosks for dry recyclables. </w:t>
            </w:r>
          </w:p>
        </w:tc>
      </w:tr>
      <w:tr w:rsidR="000F72B9" w:rsidRPr="001F3EBA" w14:paraId="5E2E19C6"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C79904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115</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3EA1537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C3.1I12</w:t>
            </w:r>
          </w:p>
          <w:p w14:paraId="4E0B6A8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Waste management towards circular economy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7035BC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6E559E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Installation of green kiosks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7B6E6F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EC812E2"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C8950EE"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AF27270"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50</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21CDA1A"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7E7DFBF"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2025</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57FAD75"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At least 50 green kiosks are installed.</w:t>
            </w:r>
          </w:p>
        </w:tc>
      </w:tr>
      <w:tr w:rsidR="000F72B9" w:rsidRPr="001F3EBA" w14:paraId="196A211C" w14:textId="77777777" w:rsidTr="00D8670B">
        <w:trPr>
          <w:trHeight w:val="300"/>
          <w:jc w:val="center"/>
        </w:trPr>
        <w:tc>
          <w:tcPr>
            <w:tcW w:w="114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99FAA9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116b</w:t>
            </w:r>
          </w:p>
        </w:tc>
        <w:tc>
          <w:tcPr>
            <w:tcW w:w="156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D5FCDF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C3.1I11</w:t>
            </w:r>
          </w:p>
          <w:p w14:paraId="0F6CC97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Extension of the Cyprus Green Points Network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B7A443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C986F62"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Installation of six Green Points </w:t>
            </w:r>
          </w:p>
        </w:tc>
        <w:tc>
          <w:tcPr>
            <w:tcW w:w="194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EF60EA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102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09C9626"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2391149"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7259036B"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6</w:t>
            </w:r>
          </w:p>
        </w:tc>
        <w:tc>
          <w:tcPr>
            <w:tcW w:w="99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BE52145"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003A4896" w14:textId="77777777" w:rsidR="000F72B9" w:rsidRPr="001F3EBA" w:rsidRDefault="000F72B9" w:rsidP="00BF3173">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324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56FF40E9" w14:textId="77777777" w:rsidR="000F72B9" w:rsidRPr="001F3EBA" w:rsidRDefault="000F72B9" w:rsidP="00BF3173">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Six Green Points are installed.</w:t>
            </w:r>
          </w:p>
        </w:tc>
      </w:tr>
    </w:tbl>
    <w:p w14:paraId="1784F7B5" w14:textId="77777777" w:rsidR="000F72B9" w:rsidRPr="000F04FA" w:rsidRDefault="000F72B9" w:rsidP="000F72B9">
      <w:pPr>
        <w:spacing w:before="120" w:after="240" w:line="240" w:lineRule="auto"/>
        <w:jc w:val="both"/>
        <w:rPr>
          <w:rFonts w:ascii="Times New Roman" w:hAnsi="Times New Roman"/>
          <w:b/>
          <w:noProof/>
          <w:u w:val="single"/>
        </w:rPr>
      </w:pPr>
    </w:p>
    <w:p w14:paraId="631F87A2" w14:textId="77777777" w:rsidR="000F72B9" w:rsidRPr="000F04FA" w:rsidRDefault="000F72B9" w:rsidP="000F72B9">
      <w:pPr>
        <w:rPr>
          <w:noProof/>
        </w:rPr>
      </w:pPr>
    </w:p>
    <w:p w14:paraId="646125A9" w14:textId="77777777" w:rsidR="000F72B9" w:rsidRPr="000F04FA" w:rsidRDefault="000F72B9">
      <w:pPr>
        <w:rPr>
          <w:noProof/>
        </w:rPr>
        <w:sectPr w:rsidR="000F72B9" w:rsidRPr="000F04FA" w:rsidSect="000F72B9">
          <w:headerReference w:type="default" r:id="rId48"/>
          <w:footerReference w:type="default" r:id="rId49"/>
          <w:pgSz w:w="16838" w:h="11906" w:orient="landscape"/>
          <w:pgMar w:top="1440" w:right="1440" w:bottom="1440" w:left="1440" w:header="708" w:footer="708" w:gutter="0"/>
          <w:cols w:space="708"/>
          <w:docGrid w:linePitch="360"/>
        </w:sectPr>
      </w:pPr>
    </w:p>
    <w:p w14:paraId="2063755C" w14:textId="77777777" w:rsidR="000F72B9" w:rsidRPr="000F04FA" w:rsidRDefault="000F72B9" w:rsidP="00D8670B">
      <w:pPr>
        <w:widowControl w:val="0"/>
        <w:tabs>
          <w:tab w:val="left" w:pos="850"/>
        </w:tabs>
        <w:spacing w:after="120" w:line="240" w:lineRule="auto"/>
        <w:ind w:left="851" w:hanging="851"/>
        <w:jc w:val="both"/>
        <w:outlineLvl w:val="0"/>
        <w:rPr>
          <w:rFonts w:ascii="Times New Roman" w:hAnsi="Times New Roman"/>
          <w:b/>
          <w:bCs/>
          <w:smallCaps/>
          <w:noProof/>
        </w:rPr>
      </w:pPr>
      <w:r w:rsidRPr="000F04FA">
        <w:rPr>
          <w:rFonts w:ascii="Times New Roman" w:hAnsi="Times New Roman"/>
          <w:b/>
          <w:bCs/>
          <w:smallCaps/>
          <w:noProof/>
        </w:rPr>
        <w:t>F. COMPONENT 3.2: Enhanced Research and Innovation</w:t>
      </w:r>
    </w:p>
    <w:p w14:paraId="229A046B"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 xml:space="preserve">The component of the Cypriot recovery and resilience plan addresses the challenges that Cyprus faces as regards the Research and Development ecosystem that plays a relatively limited role in economic growth. This is mainly due to a low share of Science, Technology, Engineering and Math (STEM) graduates, limited interaction of the public research system with the business sector and limited access and availability of risk funding. </w:t>
      </w:r>
    </w:p>
    <w:p w14:paraId="09A846FB"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 xml:space="preserve">The objectives of the component are to strengthen links between research organisations and enterprises, commercialise research results, increase intensity in research &amp; development (R&amp;D) activity and investments by both public and private organisations, as well as to make all publicly funded research infrastructure accessible to the entire ecosystem. Furthermore, it aims to enhance financial support to start-ups, scale-ups, SMEs, internationalise the local research and innovation (R&amp;I) ecosystem, develop local talent and attract talent from abroad to work in R&amp;I with emphasis on specific thematic areas. </w:t>
      </w:r>
    </w:p>
    <w:p w14:paraId="17B7B0F3"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The component addresses the Country-Specific Recommendations on increasing the focus on investment-related economic policy on research and innovation (Country-Specific Recommendations 3 of 2020 and 4 of 2019).</w:t>
      </w:r>
    </w:p>
    <w:p w14:paraId="7D0C22BB" w14:textId="77777777" w:rsidR="000F72B9" w:rsidRPr="000F04FA" w:rsidRDefault="000F72B9" w:rsidP="00D8670B">
      <w:pPr>
        <w:pStyle w:val="Text1"/>
        <w:ind w:left="0"/>
        <w:rPr>
          <w:rFonts w:eastAsia="Times New Roman"/>
          <w:noProof/>
          <w:lang w:val="en-US"/>
        </w:rPr>
      </w:pPr>
      <w:r w:rsidRPr="000F04FA">
        <w:rPr>
          <w:noProof/>
          <w:lang w:val="en-US"/>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59D5293" w14:textId="77777777" w:rsidR="000F72B9" w:rsidRPr="000F04FA" w:rsidRDefault="000F72B9" w:rsidP="00D8670B">
      <w:pPr>
        <w:spacing w:after="120" w:line="240" w:lineRule="auto"/>
        <w:jc w:val="both"/>
        <w:rPr>
          <w:rFonts w:ascii="Times New Roman" w:hAnsi="Times New Roman"/>
          <w:b/>
          <w:i/>
          <w:noProof/>
        </w:rPr>
      </w:pPr>
      <w:r w:rsidRPr="000F04FA">
        <w:rPr>
          <w:rFonts w:ascii="Times New Roman" w:hAnsi="Times New Roman"/>
          <w:b/>
          <w:noProof/>
          <w:u w:val="single"/>
        </w:rPr>
        <w:t xml:space="preserve">F.1. </w:t>
      </w:r>
      <w:r w:rsidRPr="000F04FA">
        <w:rPr>
          <w:noProof/>
        </w:rPr>
        <w:tab/>
      </w:r>
      <w:r w:rsidRPr="000F04FA">
        <w:rPr>
          <w:rFonts w:ascii="Times New Roman" w:hAnsi="Times New Roman"/>
          <w:b/>
          <w:noProof/>
          <w:u w:val="single"/>
        </w:rPr>
        <w:t>Description of the reforms and investments for non-repayable financial support</w:t>
      </w:r>
    </w:p>
    <w:p w14:paraId="0F75A7F3" w14:textId="77777777" w:rsidR="000F72B9" w:rsidRPr="000F04FA" w:rsidRDefault="000F72B9" w:rsidP="00D8670B">
      <w:pPr>
        <w:spacing w:after="120" w:line="240" w:lineRule="auto"/>
        <w:jc w:val="both"/>
        <w:rPr>
          <w:rFonts w:ascii="Times New Roman" w:hAnsi="Times New Roman"/>
          <w:noProof/>
          <w:u w:val="single"/>
        </w:rPr>
      </w:pPr>
    </w:p>
    <w:p w14:paraId="2FB8C0E3" w14:textId="77777777" w:rsidR="000F72B9" w:rsidRPr="000F04FA" w:rsidRDefault="000F72B9" w:rsidP="00D8670B">
      <w:pPr>
        <w:spacing w:after="120" w:line="240" w:lineRule="auto"/>
        <w:jc w:val="both"/>
        <w:rPr>
          <w:rFonts w:ascii="Times New Roman" w:hAnsi="Times New Roman"/>
          <w:noProof/>
          <w:u w:val="single"/>
        </w:rPr>
      </w:pPr>
      <w:r w:rsidRPr="000F04FA">
        <w:rPr>
          <w:rFonts w:ascii="Times New Roman" w:hAnsi="Times New Roman"/>
          <w:noProof/>
          <w:u w:val="single"/>
        </w:rPr>
        <w:t xml:space="preserve">Reform 1 (C3.2R1): National Research and Innovation Policy </w:t>
      </w:r>
    </w:p>
    <w:p w14:paraId="5DCC935D"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The objective of the reform is to support the R&amp;I Ecosystem.</w:t>
      </w:r>
    </w:p>
    <w:p w14:paraId="0C3E3AE5" w14:textId="77777777" w:rsidR="000F72B9" w:rsidRDefault="000F72B9" w:rsidP="00D8670B">
      <w:pPr>
        <w:spacing w:after="120" w:line="240" w:lineRule="auto"/>
        <w:jc w:val="both"/>
        <w:rPr>
          <w:rFonts w:ascii="Times New Roman" w:hAnsi="Times New Roman"/>
          <w:noProof/>
        </w:rPr>
      </w:pPr>
      <w:r w:rsidRPr="000F04FA">
        <w:rPr>
          <w:rFonts w:ascii="Times New Roman" w:hAnsi="Times New Roman"/>
          <w:noProof/>
        </w:rPr>
        <w:t xml:space="preserve">This measure consists in the adoption of the R&amp;I Strategy and the Action Plan. </w:t>
      </w:r>
    </w:p>
    <w:p w14:paraId="50FF85DC" w14:textId="77777777" w:rsidR="00C443D9" w:rsidRPr="000F04FA" w:rsidRDefault="00C443D9" w:rsidP="00D8670B">
      <w:pPr>
        <w:spacing w:after="120" w:line="240" w:lineRule="auto"/>
        <w:jc w:val="both"/>
        <w:rPr>
          <w:rFonts w:ascii="Times New Roman" w:eastAsia="Times New Roman" w:hAnsi="Times New Roman" w:cs="Times New Roman"/>
          <w:noProof/>
        </w:rPr>
      </w:pPr>
    </w:p>
    <w:p w14:paraId="4A660A14"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u w:val="single"/>
        </w:rPr>
        <w:t>Reform 2 (C3.2R2): Incentives to encourage and attract investments and human capital in Research and Innovation</w:t>
      </w:r>
    </w:p>
    <w:p w14:paraId="479D8585"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The objective of the measure is to attract investment in innovative companies and entrepreneurial and scientific talents from abroad.</w:t>
      </w:r>
    </w:p>
    <w:p w14:paraId="01181A82"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The reform shall consist in the extension of the application of the tax scheme for investing in innovative companies to legal entities (from physical persons currently). Eligible investments of up to EUR 150 000 per investor, under this incentive, include equity, loans, guarantees and factoring. In addition, it shall consist in the review, promotion and, where appropriate, amendment of current incentive schemes aimed at attracting talents from third countries, including the Scientific VISA scheme for researchers and their families and the Start-up VISA scheme for founders of innovative enterprises and their families.</w:t>
      </w:r>
    </w:p>
    <w:p w14:paraId="14BDA2E1" w14:textId="3DDE6611"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The implementation of the reform shall be completed by 30</w:t>
      </w:r>
      <w:r w:rsidR="001F3EBA">
        <w:rPr>
          <w:rFonts w:ascii="Times New Roman" w:hAnsi="Times New Roman"/>
          <w:noProof/>
        </w:rPr>
        <w:t> </w:t>
      </w:r>
      <w:r w:rsidRPr="000F04FA">
        <w:rPr>
          <w:rFonts w:ascii="Times New Roman" w:hAnsi="Times New Roman"/>
          <w:noProof/>
        </w:rPr>
        <w:t>September</w:t>
      </w:r>
      <w:r w:rsidR="001F3EBA">
        <w:rPr>
          <w:rFonts w:ascii="Times New Roman" w:hAnsi="Times New Roman"/>
          <w:noProof/>
        </w:rPr>
        <w:t> </w:t>
      </w:r>
      <w:r w:rsidRPr="000F04FA">
        <w:rPr>
          <w:rFonts w:ascii="Times New Roman" w:hAnsi="Times New Roman"/>
          <w:noProof/>
        </w:rPr>
        <w:t>2022.</w:t>
      </w:r>
    </w:p>
    <w:p w14:paraId="4A1E4750" w14:textId="77777777" w:rsidR="000F72B9" w:rsidRPr="000F04FA" w:rsidRDefault="000F72B9" w:rsidP="00D8670B">
      <w:pPr>
        <w:spacing w:after="120" w:line="240" w:lineRule="auto"/>
        <w:jc w:val="both"/>
        <w:rPr>
          <w:rFonts w:ascii="Times New Roman" w:hAnsi="Times New Roman"/>
          <w:noProof/>
          <w:u w:val="single"/>
        </w:rPr>
      </w:pPr>
    </w:p>
    <w:p w14:paraId="06A2A889" w14:textId="77777777" w:rsidR="000F72B9" w:rsidRPr="000F04FA" w:rsidRDefault="000F72B9" w:rsidP="00D8670B">
      <w:pPr>
        <w:spacing w:after="120" w:line="240" w:lineRule="auto"/>
        <w:jc w:val="both"/>
        <w:rPr>
          <w:rFonts w:ascii="Times New Roman" w:hAnsi="Times New Roman"/>
          <w:noProof/>
          <w:u w:val="single"/>
        </w:rPr>
      </w:pPr>
      <w:r w:rsidRPr="000F04FA">
        <w:rPr>
          <w:rFonts w:ascii="Times New Roman" w:hAnsi="Times New Roman"/>
          <w:noProof/>
          <w:u w:val="single"/>
        </w:rPr>
        <w:t xml:space="preserve">Reform 3 (C3.2R3): Support access to publicly funded research infrastructure </w:t>
      </w:r>
    </w:p>
    <w:p w14:paraId="2928511C"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 xml:space="preserve">The objective of the reform is to support access to publicly funded research infrastructure. </w:t>
      </w:r>
    </w:p>
    <w:p w14:paraId="0ABC61A3"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This measure consists in the publication of the National Policy of the Republic of Cyprus for Open Science Practices.</w:t>
      </w:r>
    </w:p>
    <w:p w14:paraId="77FA621C" w14:textId="77777777" w:rsidR="000F72B9" w:rsidRPr="000F04FA" w:rsidRDefault="000F72B9" w:rsidP="00D8670B">
      <w:pPr>
        <w:spacing w:after="120" w:line="240" w:lineRule="auto"/>
        <w:jc w:val="both"/>
        <w:rPr>
          <w:rFonts w:ascii="Times New Roman" w:hAnsi="Times New Roman"/>
          <w:noProof/>
        </w:rPr>
      </w:pPr>
    </w:p>
    <w:p w14:paraId="5B92B957" w14:textId="77777777" w:rsidR="000F72B9" w:rsidRPr="000F04FA" w:rsidRDefault="000F72B9" w:rsidP="00D8670B">
      <w:pPr>
        <w:spacing w:after="120" w:line="240" w:lineRule="auto"/>
        <w:rPr>
          <w:rFonts w:ascii="Times New Roman" w:hAnsi="Times New Roman"/>
          <w:noProof/>
          <w:u w:val="single"/>
        </w:rPr>
      </w:pPr>
      <w:r w:rsidRPr="000F04FA">
        <w:rPr>
          <w:rFonts w:ascii="Times New Roman" w:hAnsi="Times New Roman"/>
          <w:noProof/>
          <w:u w:val="single"/>
        </w:rPr>
        <w:t>Investment 1 (C3.2I1): Set up a central knowledge transfer office (cKTO)</w:t>
      </w:r>
    </w:p>
    <w:p w14:paraId="26DD3179"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 xml:space="preserve">The objective of the investment is to support academia-business collaboration and commercialisation of research results to enhance </w:t>
      </w:r>
      <w:r w:rsidRPr="000F04FA">
        <w:rPr>
          <w:rFonts w:ascii="Times New Roman" w:eastAsia="Times New Roman" w:hAnsi="Times New Roman" w:cs="Times New Roman"/>
          <w:noProof/>
          <w:color w:val="000000" w:themeColor="text1"/>
        </w:rPr>
        <w:t>technology transfer in Cyprus.</w:t>
      </w:r>
      <w:r w:rsidRPr="000F04FA">
        <w:rPr>
          <w:rFonts w:ascii="Times New Roman" w:hAnsi="Times New Roman"/>
          <w:noProof/>
        </w:rPr>
        <w:t xml:space="preserve"> </w:t>
      </w:r>
    </w:p>
    <w:p w14:paraId="0EBFB3E5"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This measure consists in a central Knowledge Transfer Office.</w:t>
      </w:r>
    </w:p>
    <w:p w14:paraId="6B650FDC" w14:textId="77777777" w:rsidR="000F72B9" w:rsidRPr="000F04FA" w:rsidRDefault="000F72B9" w:rsidP="00D8670B">
      <w:pPr>
        <w:spacing w:after="120" w:line="240" w:lineRule="auto"/>
        <w:jc w:val="both"/>
        <w:rPr>
          <w:rFonts w:ascii="Times New Roman" w:hAnsi="Times New Roman"/>
          <w:noProof/>
        </w:rPr>
      </w:pPr>
    </w:p>
    <w:p w14:paraId="1F1E698E" w14:textId="77777777" w:rsidR="000F72B9" w:rsidRPr="000F04FA" w:rsidRDefault="000F72B9" w:rsidP="00D8670B">
      <w:pPr>
        <w:spacing w:after="120" w:line="240" w:lineRule="auto"/>
        <w:jc w:val="both"/>
        <w:rPr>
          <w:rFonts w:ascii="Times New Roman" w:hAnsi="Times New Roman"/>
          <w:noProof/>
          <w:u w:val="single"/>
        </w:rPr>
      </w:pPr>
      <w:r w:rsidRPr="000F04FA">
        <w:rPr>
          <w:rFonts w:ascii="Times New Roman" w:hAnsi="Times New Roman"/>
          <w:noProof/>
          <w:u w:val="single"/>
        </w:rPr>
        <w:t xml:space="preserve">Investment 2 (C3.2I2): Innovation funding programmes </w:t>
      </w:r>
    </w:p>
    <w:p w14:paraId="6CC41F29"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The objective of the investment is to support enterprises and start-ups on R&amp;I activities and to support research organisations to create open access research infrastructures.</w:t>
      </w:r>
    </w:p>
    <w:p w14:paraId="3AEC5909"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This measure consists in projects on R&amp;I activities.</w:t>
      </w:r>
    </w:p>
    <w:p w14:paraId="182092E7" w14:textId="77777777" w:rsidR="000F72B9" w:rsidRPr="000F04FA" w:rsidRDefault="000F72B9" w:rsidP="00D8670B">
      <w:pPr>
        <w:spacing w:after="120" w:line="240" w:lineRule="auto"/>
        <w:jc w:val="both"/>
        <w:rPr>
          <w:rFonts w:ascii="Times New Roman" w:hAnsi="Times New Roman"/>
          <w:noProof/>
        </w:rPr>
      </w:pPr>
    </w:p>
    <w:p w14:paraId="34B05939" w14:textId="77777777" w:rsidR="000F72B9" w:rsidRPr="000F04FA" w:rsidRDefault="000F72B9" w:rsidP="00D8670B">
      <w:pPr>
        <w:spacing w:after="120" w:line="240" w:lineRule="auto"/>
        <w:jc w:val="both"/>
        <w:rPr>
          <w:rFonts w:ascii="Times New Roman" w:hAnsi="Times New Roman"/>
          <w:noProof/>
          <w:u w:val="single"/>
        </w:rPr>
      </w:pPr>
      <w:r w:rsidRPr="000F04FA">
        <w:rPr>
          <w:rFonts w:ascii="Times New Roman" w:hAnsi="Times New Roman"/>
          <w:noProof/>
          <w:u w:val="single"/>
        </w:rPr>
        <w:t>Investment 3 (C3.2I3): R&amp;I funding programme on green transition</w:t>
      </w:r>
    </w:p>
    <w:p w14:paraId="6C5BA71C"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 xml:space="preserve">The objective of the investment is to support projects on green transition activities. </w:t>
      </w:r>
    </w:p>
    <w:p w14:paraId="1326E159" w14:textId="77777777" w:rsidR="000F72B9" w:rsidRPr="000F04FA" w:rsidRDefault="000F72B9" w:rsidP="00D8670B">
      <w:pPr>
        <w:spacing w:after="120" w:line="240" w:lineRule="auto"/>
        <w:jc w:val="both"/>
        <w:rPr>
          <w:rFonts w:ascii="Times New Roman" w:eastAsia="Times New Roman" w:hAnsi="Times New Roman" w:cs="Times New Roman"/>
          <w:noProof/>
        </w:rPr>
      </w:pPr>
      <w:r w:rsidRPr="000F04FA">
        <w:rPr>
          <w:rFonts w:ascii="Times New Roman" w:hAnsi="Times New Roman"/>
          <w:noProof/>
        </w:rPr>
        <w:t>This measure consists in projects on green transition R&amp;I activities.</w:t>
      </w:r>
    </w:p>
    <w:p w14:paraId="42601098" w14:textId="77777777" w:rsidR="00C443D9" w:rsidRDefault="00C443D9" w:rsidP="00D8670B">
      <w:pPr>
        <w:keepNext/>
        <w:widowControl w:val="0"/>
        <w:spacing w:after="120" w:line="240" w:lineRule="auto"/>
        <w:jc w:val="both"/>
        <w:rPr>
          <w:rFonts w:ascii="Times New Roman" w:hAnsi="Times New Roman"/>
          <w:noProof/>
        </w:rPr>
      </w:pPr>
    </w:p>
    <w:p w14:paraId="6FFC2974" w14:textId="75BF2E4C" w:rsidR="000F72B9" w:rsidRPr="000F04FA" w:rsidRDefault="000F72B9" w:rsidP="00D8670B">
      <w:pPr>
        <w:keepNext/>
        <w:widowControl w:val="0"/>
        <w:spacing w:after="120" w:line="240" w:lineRule="auto"/>
        <w:jc w:val="both"/>
        <w:rPr>
          <w:rFonts w:ascii="Times New Roman" w:hAnsi="Times New Roman"/>
          <w:noProof/>
          <w:u w:val="single"/>
        </w:rPr>
      </w:pPr>
      <w:r w:rsidRPr="000F04FA">
        <w:rPr>
          <w:rFonts w:ascii="Times New Roman" w:hAnsi="Times New Roman"/>
          <w:noProof/>
          <w:u w:val="single"/>
        </w:rPr>
        <w:t xml:space="preserve">Investment 4 (C3.2I4): Funding schemes </w:t>
      </w:r>
      <w:r w:rsidRPr="000F04FA">
        <w:rPr>
          <w:rFonts w:ascii="Times New Roman" w:eastAsia="Calibri" w:hAnsi="Times New Roman" w:cs="Arial"/>
          <w:noProof/>
          <w:u w:val="single"/>
        </w:rPr>
        <w:t>for R&amp;D</w:t>
      </w:r>
      <w:r w:rsidRPr="000F04FA">
        <w:rPr>
          <w:rFonts w:ascii="Times New Roman" w:hAnsi="Times New Roman"/>
          <w:noProof/>
          <w:u w:val="single"/>
        </w:rPr>
        <w:t xml:space="preserve"> activities on dual</w:t>
      </w:r>
      <w:r w:rsidRPr="000F04FA">
        <w:rPr>
          <w:rFonts w:ascii="Times New Roman" w:eastAsia="Calibri" w:hAnsi="Times New Roman" w:cs="Arial"/>
          <w:noProof/>
          <w:u w:val="single"/>
        </w:rPr>
        <w:t>-use</w:t>
      </w:r>
      <w:r w:rsidRPr="000F04FA">
        <w:rPr>
          <w:rFonts w:ascii="Times New Roman" w:hAnsi="Times New Roman"/>
          <w:noProof/>
          <w:u w:val="single"/>
        </w:rPr>
        <w:t xml:space="preserve"> technologies and classified laboratories</w:t>
      </w:r>
    </w:p>
    <w:p w14:paraId="37CF2939"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The objective of the investment is to support dual-use technologies, which would otherwise only serve government/military purposes, for civilian, commercial and societal interests.</w:t>
      </w:r>
    </w:p>
    <w:p w14:paraId="216D40B5"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The measure consists in the signature of grant agreements and the issuing of facility security clearance certificates.</w:t>
      </w:r>
    </w:p>
    <w:p w14:paraId="775820CA" w14:textId="77777777" w:rsidR="000F72B9" w:rsidRPr="000F04FA" w:rsidRDefault="000F72B9" w:rsidP="00D8670B">
      <w:pPr>
        <w:spacing w:after="120" w:line="240" w:lineRule="auto"/>
        <w:jc w:val="both"/>
        <w:rPr>
          <w:rFonts w:ascii="Times New Roman" w:hAnsi="Times New Roman"/>
          <w:noProof/>
        </w:rPr>
        <w:sectPr w:rsidR="000F72B9" w:rsidRPr="000F04FA" w:rsidSect="000F72B9">
          <w:headerReference w:type="even" r:id="rId50"/>
          <w:headerReference w:type="default" r:id="rId51"/>
          <w:footerReference w:type="even" r:id="rId52"/>
          <w:footerReference w:type="default" r:id="rId53"/>
          <w:headerReference w:type="first" r:id="rId54"/>
          <w:footerReference w:type="first" r:id="rId55"/>
          <w:pgSz w:w="11906" w:h="16838"/>
          <w:pgMar w:top="1440" w:right="1440" w:bottom="1440" w:left="1440" w:header="708" w:footer="708" w:gutter="0"/>
          <w:cols w:space="708"/>
          <w:docGrid w:linePitch="360"/>
        </w:sectPr>
      </w:pPr>
    </w:p>
    <w:p w14:paraId="0AEED8B3" w14:textId="7194647F" w:rsidR="000F72B9" w:rsidRPr="000F04FA" w:rsidRDefault="000F72B9" w:rsidP="00C443D9">
      <w:pPr>
        <w:spacing w:before="120" w:after="120" w:line="240" w:lineRule="auto"/>
        <w:jc w:val="center"/>
        <w:rPr>
          <w:rFonts w:ascii="Times New Roman" w:hAnsi="Times New Roman"/>
          <w:b/>
          <w:noProof/>
          <w:u w:val="single"/>
        </w:rPr>
      </w:pPr>
      <w:r w:rsidRPr="000F04FA">
        <w:rPr>
          <w:rFonts w:ascii="Times New Roman" w:hAnsi="Times New Roman"/>
          <w:b/>
          <w:noProof/>
          <w:u w:val="single"/>
        </w:rPr>
        <w:t xml:space="preserve">F.2.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1395"/>
        <w:gridCol w:w="1157"/>
        <w:gridCol w:w="1671"/>
        <w:gridCol w:w="1428"/>
        <w:gridCol w:w="1031"/>
        <w:gridCol w:w="1037"/>
        <w:gridCol w:w="734"/>
        <w:gridCol w:w="1028"/>
        <w:gridCol w:w="1019"/>
        <w:gridCol w:w="3286"/>
      </w:tblGrid>
      <w:tr w:rsidR="000F72B9" w:rsidRPr="001F3EBA" w14:paraId="0863AFBF" w14:textId="77777777" w:rsidTr="001F3EBA">
        <w:trPr>
          <w:trHeight w:val="594"/>
          <w:tblHeader/>
          <w:jc w:val="center"/>
        </w:trPr>
        <w:tc>
          <w:tcPr>
            <w:tcW w:w="414" w:type="pct"/>
            <w:vMerge w:val="restart"/>
            <w:shd w:val="clear" w:color="auto" w:fill="BDD7EE"/>
            <w:vAlign w:val="center"/>
            <w:hideMark/>
          </w:tcPr>
          <w:p w14:paraId="07FC137D" w14:textId="77777777"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Sequential Number</w:t>
            </w:r>
          </w:p>
        </w:tc>
        <w:tc>
          <w:tcPr>
            <w:tcW w:w="464" w:type="pct"/>
            <w:vMerge w:val="restart"/>
            <w:shd w:val="clear" w:color="auto" w:fill="BDD7EE"/>
            <w:vAlign w:val="center"/>
            <w:hideMark/>
          </w:tcPr>
          <w:p w14:paraId="6C844852" w14:textId="77777777"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Related Measure (Reform or Investment)</w:t>
            </w:r>
          </w:p>
        </w:tc>
        <w:tc>
          <w:tcPr>
            <w:tcW w:w="385" w:type="pct"/>
            <w:vMerge w:val="restart"/>
            <w:shd w:val="clear" w:color="auto" w:fill="BDD7EE"/>
            <w:vAlign w:val="center"/>
            <w:hideMark/>
          </w:tcPr>
          <w:p w14:paraId="29D76E8C" w14:textId="77777777"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Milestone / Target</w:t>
            </w:r>
          </w:p>
        </w:tc>
        <w:tc>
          <w:tcPr>
            <w:tcW w:w="556" w:type="pct"/>
            <w:vMerge w:val="restart"/>
            <w:shd w:val="clear" w:color="auto" w:fill="BDD7EE"/>
            <w:vAlign w:val="center"/>
            <w:hideMark/>
          </w:tcPr>
          <w:p w14:paraId="48B8B4F8" w14:textId="77777777"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Name</w:t>
            </w:r>
          </w:p>
        </w:tc>
        <w:tc>
          <w:tcPr>
            <w:tcW w:w="475" w:type="pct"/>
            <w:vMerge w:val="restart"/>
            <w:shd w:val="clear" w:color="auto" w:fill="BDD7EE"/>
            <w:vAlign w:val="center"/>
            <w:hideMark/>
          </w:tcPr>
          <w:p w14:paraId="71036C33" w14:textId="42B19980" w:rsidR="000F72B9" w:rsidRPr="001F3EBA" w:rsidRDefault="000F72B9" w:rsidP="00D8670B">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Qualitative indicators</w:t>
            </w:r>
            <w:r w:rsidR="00064579">
              <w:rPr>
                <w:rFonts w:ascii="Times New Roman" w:hAnsi="Times New Roman" w:cs="Times New Roman"/>
                <w:b/>
                <w:noProof/>
                <w:sz w:val="18"/>
                <w:szCs w:val="18"/>
              </w:rPr>
              <w:t xml:space="preserve"> </w:t>
            </w:r>
            <w:r w:rsidRPr="001F3EBA">
              <w:rPr>
                <w:rFonts w:ascii="Times New Roman" w:hAnsi="Times New Roman" w:cs="Times New Roman"/>
                <w:noProof/>
                <w:sz w:val="18"/>
                <w:szCs w:val="18"/>
              </w:rPr>
              <w:br/>
            </w:r>
            <w:r w:rsidRPr="001F3EBA">
              <w:rPr>
                <w:rFonts w:ascii="Times New Roman" w:hAnsi="Times New Roman" w:cs="Times New Roman"/>
                <w:b/>
                <w:noProof/>
                <w:sz w:val="18"/>
                <w:szCs w:val="18"/>
              </w:rPr>
              <w:t>(for milestones)</w:t>
            </w:r>
          </w:p>
        </w:tc>
        <w:tc>
          <w:tcPr>
            <w:tcW w:w="932" w:type="pct"/>
            <w:gridSpan w:val="3"/>
            <w:shd w:val="clear" w:color="auto" w:fill="BDD7EE"/>
            <w:vAlign w:val="center"/>
            <w:hideMark/>
          </w:tcPr>
          <w:p w14:paraId="2B5AE620" w14:textId="593345B3" w:rsidR="000F72B9" w:rsidRPr="001F3EBA" w:rsidRDefault="000F72B9" w:rsidP="00C443D9">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Quantitative indicators</w:t>
            </w:r>
            <w:r w:rsidR="00064579">
              <w:rPr>
                <w:rFonts w:ascii="Times New Roman" w:hAnsi="Times New Roman" w:cs="Times New Roman"/>
                <w:b/>
                <w:noProof/>
                <w:sz w:val="18"/>
                <w:szCs w:val="18"/>
              </w:rPr>
              <w:t xml:space="preserve"> </w:t>
            </w:r>
            <w:r w:rsidRPr="001F3EBA">
              <w:rPr>
                <w:rFonts w:ascii="Times New Roman" w:hAnsi="Times New Roman" w:cs="Times New Roman"/>
                <w:noProof/>
                <w:sz w:val="18"/>
                <w:szCs w:val="18"/>
              </w:rPr>
              <w:br/>
            </w:r>
            <w:r w:rsidRPr="001F3EBA">
              <w:rPr>
                <w:rFonts w:ascii="Times New Roman" w:hAnsi="Times New Roman" w:cs="Times New Roman"/>
                <w:b/>
                <w:noProof/>
                <w:sz w:val="18"/>
                <w:szCs w:val="18"/>
              </w:rPr>
              <w:t>(for targets)</w:t>
            </w:r>
          </w:p>
        </w:tc>
        <w:tc>
          <w:tcPr>
            <w:tcW w:w="680" w:type="pct"/>
            <w:gridSpan w:val="2"/>
            <w:shd w:val="clear" w:color="auto" w:fill="BDD7EE"/>
            <w:vAlign w:val="center"/>
            <w:hideMark/>
          </w:tcPr>
          <w:p w14:paraId="593B2E5E" w14:textId="77777777" w:rsidR="000F72B9" w:rsidRPr="001F3EBA" w:rsidRDefault="000F72B9" w:rsidP="00C443D9">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Indicative timeline for completion</w:t>
            </w:r>
          </w:p>
        </w:tc>
        <w:tc>
          <w:tcPr>
            <w:tcW w:w="1094" w:type="pct"/>
            <w:vMerge w:val="restart"/>
            <w:shd w:val="clear" w:color="auto" w:fill="BDD7EE"/>
            <w:vAlign w:val="center"/>
            <w:hideMark/>
          </w:tcPr>
          <w:p w14:paraId="4E6EB6B2" w14:textId="77777777" w:rsidR="000F72B9" w:rsidRPr="001F3EBA" w:rsidRDefault="000F72B9" w:rsidP="00C443D9">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Description of each milestone and target</w:t>
            </w:r>
          </w:p>
        </w:tc>
      </w:tr>
      <w:tr w:rsidR="000F72B9" w:rsidRPr="001F3EBA" w14:paraId="69671629" w14:textId="77777777" w:rsidTr="001F3EBA">
        <w:trPr>
          <w:trHeight w:val="365"/>
          <w:tblHeader/>
          <w:jc w:val="center"/>
        </w:trPr>
        <w:tc>
          <w:tcPr>
            <w:tcW w:w="414" w:type="pct"/>
            <w:vMerge/>
            <w:hideMark/>
          </w:tcPr>
          <w:p w14:paraId="7359E722" w14:textId="77777777" w:rsidR="000F72B9" w:rsidRPr="001F3EBA" w:rsidRDefault="000F72B9" w:rsidP="00D8670B">
            <w:pPr>
              <w:spacing w:after="0" w:line="240" w:lineRule="auto"/>
              <w:rPr>
                <w:rFonts w:ascii="Times New Roman" w:hAnsi="Times New Roman" w:cs="Times New Roman"/>
                <w:b/>
                <w:noProof/>
                <w:sz w:val="18"/>
                <w:szCs w:val="18"/>
              </w:rPr>
            </w:pPr>
          </w:p>
        </w:tc>
        <w:tc>
          <w:tcPr>
            <w:tcW w:w="464" w:type="pct"/>
            <w:vMerge/>
            <w:hideMark/>
          </w:tcPr>
          <w:p w14:paraId="5B04FEC2" w14:textId="77777777" w:rsidR="000F72B9" w:rsidRPr="001F3EBA" w:rsidRDefault="000F72B9" w:rsidP="00D8670B">
            <w:pPr>
              <w:spacing w:after="0" w:line="240" w:lineRule="auto"/>
              <w:rPr>
                <w:rFonts w:ascii="Times New Roman" w:hAnsi="Times New Roman" w:cs="Times New Roman"/>
                <w:b/>
                <w:noProof/>
                <w:sz w:val="18"/>
                <w:szCs w:val="18"/>
              </w:rPr>
            </w:pPr>
          </w:p>
        </w:tc>
        <w:tc>
          <w:tcPr>
            <w:tcW w:w="385" w:type="pct"/>
            <w:vMerge/>
            <w:hideMark/>
          </w:tcPr>
          <w:p w14:paraId="69AE389B" w14:textId="77777777" w:rsidR="000F72B9" w:rsidRPr="001F3EBA" w:rsidRDefault="000F72B9" w:rsidP="00D8670B">
            <w:pPr>
              <w:spacing w:after="0" w:line="240" w:lineRule="auto"/>
              <w:rPr>
                <w:rFonts w:ascii="Times New Roman" w:hAnsi="Times New Roman" w:cs="Times New Roman"/>
                <w:b/>
                <w:noProof/>
                <w:sz w:val="18"/>
                <w:szCs w:val="18"/>
              </w:rPr>
            </w:pPr>
          </w:p>
        </w:tc>
        <w:tc>
          <w:tcPr>
            <w:tcW w:w="556" w:type="pct"/>
            <w:vMerge/>
            <w:hideMark/>
          </w:tcPr>
          <w:p w14:paraId="5BBE943C" w14:textId="77777777" w:rsidR="000F72B9" w:rsidRPr="001F3EBA" w:rsidRDefault="000F72B9" w:rsidP="00D8670B">
            <w:pPr>
              <w:spacing w:after="0" w:line="240" w:lineRule="auto"/>
              <w:rPr>
                <w:rFonts w:ascii="Times New Roman" w:hAnsi="Times New Roman" w:cs="Times New Roman"/>
                <w:b/>
                <w:noProof/>
                <w:sz w:val="18"/>
                <w:szCs w:val="18"/>
              </w:rPr>
            </w:pPr>
          </w:p>
        </w:tc>
        <w:tc>
          <w:tcPr>
            <w:tcW w:w="475" w:type="pct"/>
            <w:vMerge/>
            <w:hideMark/>
          </w:tcPr>
          <w:p w14:paraId="39499A4A" w14:textId="77777777" w:rsidR="000F72B9" w:rsidRPr="001F3EBA" w:rsidRDefault="000F72B9" w:rsidP="00D8670B">
            <w:pPr>
              <w:spacing w:after="0" w:line="240" w:lineRule="auto"/>
              <w:rPr>
                <w:rFonts w:ascii="Times New Roman" w:hAnsi="Times New Roman" w:cs="Times New Roman"/>
                <w:b/>
                <w:noProof/>
                <w:sz w:val="18"/>
                <w:szCs w:val="18"/>
              </w:rPr>
            </w:pPr>
          </w:p>
        </w:tc>
        <w:tc>
          <w:tcPr>
            <w:tcW w:w="343" w:type="pct"/>
            <w:shd w:val="clear" w:color="auto" w:fill="BDD7EE"/>
            <w:vAlign w:val="center"/>
            <w:hideMark/>
          </w:tcPr>
          <w:p w14:paraId="57B0D037" w14:textId="77777777" w:rsidR="000F72B9" w:rsidRPr="001F3EBA" w:rsidRDefault="000F72B9" w:rsidP="00C443D9">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Unit of measure</w:t>
            </w:r>
          </w:p>
        </w:tc>
        <w:tc>
          <w:tcPr>
            <w:tcW w:w="345" w:type="pct"/>
            <w:shd w:val="clear" w:color="auto" w:fill="BDD7EE"/>
            <w:vAlign w:val="center"/>
            <w:hideMark/>
          </w:tcPr>
          <w:p w14:paraId="3530A4D3" w14:textId="77777777" w:rsidR="000F72B9" w:rsidRPr="001F3EBA" w:rsidRDefault="000F72B9" w:rsidP="00C443D9">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Baseline</w:t>
            </w:r>
          </w:p>
        </w:tc>
        <w:tc>
          <w:tcPr>
            <w:tcW w:w="244" w:type="pct"/>
            <w:shd w:val="clear" w:color="auto" w:fill="BDD7EE"/>
            <w:vAlign w:val="center"/>
            <w:hideMark/>
          </w:tcPr>
          <w:p w14:paraId="262FFA23" w14:textId="77777777" w:rsidR="000F72B9" w:rsidRPr="001F3EBA" w:rsidRDefault="000F72B9" w:rsidP="00C443D9">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Goal</w:t>
            </w:r>
          </w:p>
        </w:tc>
        <w:tc>
          <w:tcPr>
            <w:tcW w:w="342" w:type="pct"/>
            <w:shd w:val="clear" w:color="auto" w:fill="BDD7EE"/>
            <w:vAlign w:val="center"/>
            <w:hideMark/>
          </w:tcPr>
          <w:p w14:paraId="199BCF22" w14:textId="77777777" w:rsidR="000F72B9" w:rsidRPr="001F3EBA" w:rsidRDefault="000F72B9" w:rsidP="00C443D9">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Quarter</w:t>
            </w:r>
          </w:p>
        </w:tc>
        <w:tc>
          <w:tcPr>
            <w:tcW w:w="339" w:type="pct"/>
            <w:shd w:val="clear" w:color="auto" w:fill="BDD7EE"/>
            <w:vAlign w:val="center"/>
            <w:hideMark/>
          </w:tcPr>
          <w:p w14:paraId="09660A98" w14:textId="77777777" w:rsidR="000F72B9" w:rsidRPr="001F3EBA" w:rsidRDefault="000F72B9" w:rsidP="00C443D9">
            <w:pPr>
              <w:spacing w:after="0" w:line="240" w:lineRule="auto"/>
              <w:jc w:val="center"/>
              <w:rPr>
                <w:rFonts w:ascii="Times New Roman" w:hAnsi="Times New Roman" w:cs="Times New Roman"/>
                <w:b/>
                <w:noProof/>
                <w:sz w:val="18"/>
                <w:szCs w:val="18"/>
              </w:rPr>
            </w:pPr>
            <w:r w:rsidRPr="001F3EBA">
              <w:rPr>
                <w:rFonts w:ascii="Times New Roman" w:hAnsi="Times New Roman" w:cs="Times New Roman"/>
                <w:b/>
                <w:noProof/>
                <w:sz w:val="18"/>
                <w:szCs w:val="18"/>
              </w:rPr>
              <w:t>Year</w:t>
            </w:r>
          </w:p>
        </w:tc>
        <w:tc>
          <w:tcPr>
            <w:tcW w:w="1094" w:type="pct"/>
            <w:vMerge/>
            <w:hideMark/>
          </w:tcPr>
          <w:p w14:paraId="2AB12863" w14:textId="77777777" w:rsidR="000F72B9" w:rsidRPr="001F3EBA" w:rsidRDefault="000F72B9" w:rsidP="00C443D9">
            <w:pPr>
              <w:spacing w:after="0" w:line="240" w:lineRule="auto"/>
              <w:jc w:val="both"/>
              <w:rPr>
                <w:rFonts w:ascii="Times New Roman" w:hAnsi="Times New Roman" w:cs="Times New Roman"/>
                <w:b/>
                <w:noProof/>
                <w:sz w:val="18"/>
                <w:szCs w:val="18"/>
              </w:rPr>
            </w:pPr>
          </w:p>
        </w:tc>
      </w:tr>
      <w:tr w:rsidR="000F72B9" w:rsidRPr="001F3EBA" w14:paraId="3C075253" w14:textId="77777777" w:rsidTr="00C443D9">
        <w:trPr>
          <w:trHeight w:val="1964"/>
          <w:jc w:val="center"/>
        </w:trPr>
        <w:tc>
          <w:tcPr>
            <w:tcW w:w="414" w:type="pct"/>
            <w:shd w:val="clear" w:color="auto" w:fill="C6EFCE"/>
            <w:noWrap/>
            <w:hideMark/>
          </w:tcPr>
          <w:p w14:paraId="32CA059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120</w:t>
            </w:r>
          </w:p>
        </w:tc>
        <w:tc>
          <w:tcPr>
            <w:tcW w:w="464" w:type="pct"/>
            <w:shd w:val="clear" w:color="auto" w:fill="C6EFCE"/>
            <w:noWrap/>
          </w:tcPr>
          <w:p w14:paraId="0B44BAB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C3.2R1</w:t>
            </w:r>
          </w:p>
          <w:p w14:paraId="66BB979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National R&amp;I Policy and policy tools</w:t>
            </w:r>
          </w:p>
        </w:tc>
        <w:tc>
          <w:tcPr>
            <w:tcW w:w="385" w:type="pct"/>
            <w:shd w:val="clear" w:color="auto" w:fill="C6EFCE"/>
            <w:noWrap/>
            <w:hideMark/>
          </w:tcPr>
          <w:p w14:paraId="45B3033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tcPr>
          <w:p w14:paraId="7F8E8DB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Adoption of the national R&amp;I Strategy and of the Action Plan to implement it</w:t>
            </w:r>
          </w:p>
        </w:tc>
        <w:tc>
          <w:tcPr>
            <w:tcW w:w="475" w:type="pct"/>
            <w:shd w:val="clear" w:color="auto" w:fill="C6EFCE"/>
            <w:noWrap/>
            <w:hideMark/>
          </w:tcPr>
          <w:p w14:paraId="1ADFD60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Publication of the Council of Ministers’ decision</w:t>
            </w:r>
          </w:p>
        </w:tc>
        <w:tc>
          <w:tcPr>
            <w:tcW w:w="343" w:type="pct"/>
            <w:shd w:val="clear" w:color="auto" w:fill="C6EFCE"/>
            <w:noWrap/>
            <w:hideMark/>
          </w:tcPr>
          <w:p w14:paraId="182208D5"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tcPr>
          <w:p w14:paraId="6CB9A1C0"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tcPr>
          <w:p w14:paraId="287F42CE"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hideMark/>
          </w:tcPr>
          <w:p w14:paraId="35329CA6"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339" w:type="pct"/>
            <w:shd w:val="clear" w:color="auto" w:fill="C6EFCE"/>
            <w:noWrap/>
            <w:hideMark/>
          </w:tcPr>
          <w:p w14:paraId="71B04E8A"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1094" w:type="pct"/>
            <w:shd w:val="clear" w:color="auto" w:fill="C6EFCE"/>
            <w:noWrap/>
            <w:hideMark/>
          </w:tcPr>
          <w:p w14:paraId="13C1F3DB"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Develop an integrated R&amp;I Strategy, providing a long-term perspective framework, ensuring a focused effort and commitment for implementation, over time, on behalf of the State and stakeholders involved in the national R&amp;I system, and a digital tool for the dynamic mapping of the R&amp;I ecosystem.</w:t>
            </w:r>
          </w:p>
          <w:p w14:paraId="12B4C572" w14:textId="77777777" w:rsidR="000F72B9" w:rsidRPr="001F3EBA" w:rsidRDefault="000F72B9" w:rsidP="00C443D9">
            <w:pPr>
              <w:spacing w:after="0" w:line="240" w:lineRule="auto"/>
              <w:jc w:val="both"/>
              <w:rPr>
                <w:rFonts w:ascii="Times New Roman" w:hAnsi="Times New Roman" w:cs="Times New Roman"/>
                <w:noProof/>
                <w:sz w:val="18"/>
                <w:szCs w:val="18"/>
              </w:rPr>
            </w:pPr>
          </w:p>
        </w:tc>
      </w:tr>
      <w:tr w:rsidR="000F72B9" w:rsidRPr="001F3EBA" w14:paraId="4EF5959E" w14:textId="77777777" w:rsidTr="001F3EBA">
        <w:trPr>
          <w:trHeight w:val="2490"/>
          <w:jc w:val="center"/>
        </w:trPr>
        <w:tc>
          <w:tcPr>
            <w:tcW w:w="414" w:type="pct"/>
            <w:shd w:val="clear" w:color="auto" w:fill="C6EFCE"/>
            <w:noWrap/>
          </w:tcPr>
          <w:p w14:paraId="7FEDFE8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121</w:t>
            </w:r>
          </w:p>
        </w:tc>
        <w:tc>
          <w:tcPr>
            <w:tcW w:w="464" w:type="pct"/>
            <w:shd w:val="clear" w:color="auto" w:fill="C6EFCE"/>
            <w:noWrap/>
          </w:tcPr>
          <w:p w14:paraId="684BADE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C3.2R1</w:t>
            </w:r>
          </w:p>
          <w:p w14:paraId="3A5C789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National Research and Innovation Policy </w:t>
            </w:r>
          </w:p>
        </w:tc>
        <w:tc>
          <w:tcPr>
            <w:tcW w:w="385" w:type="pct"/>
            <w:shd w:val="clear" w:color="auto" w:fill="C6EFCE"/>
            <w:noWrap/>
          </w:tcPr>
          <w:p w14:paraId="088A759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tcPr>
          <w:p w14:paraId="42CD3788" w14:textId="474DE00A"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Performance-based funding mechanism; open access policy framework for publicly funded research and</w:t>
            </w:r>
            <w:r w:rsidRPr="001F3EBA">
              <w:rPr>
                <w:rFonts w:ascii="Times New Roman" w:hAnsi="Times New Roman" w:cs="Times New Roman"/>
                <w:noProof/>
                <w:sz w:val="18"/>
                <w:szCs w:val="18"/>
              </w:rPr>
              <w:br/>
              <w:t>technological infrastructure; framework for monitoring and coordinating the participation in ESFRI Landmarks</w:t>
            </w:r>
          </w:p>
        </w:tc>
        <w:tc>
          <w:tcPr>
            <w:tcW w:w="475" w:type="pct"/>
            <w:shd w:val="clear" w:color="auto" w:fill="C6EFCE"/>
            <w:noWrap/>
          </w:tcPr>
          <w:p w14:paraId="55D83FE9" w14:textId="3B4BD412"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Approval of a performance based funding-mechanism; publishing online an open access policy framework for publicly funded research and</w:t>
            </w:r>
            <w:r w:rsidRPr="001F3EBA">
              <w:rPr>
                <w:rFonts w:ascii="Times New Roman" w:hAnsi="Times New Roman" w:cs="Times New Roman"/>
                <w:noProof/>
                <w:sz w:val="18"/>
                <w:szCs w:val="18"/>
              </w:rPr>
              <w:br/>
              <w:t>technological infrastructure;</w:t>
            </w:r>
            <w:r w:rsidR="00064579">
              <w:rPr>
                <w:rFonts w:ascii="Times New Roman" w:hAnsi="Times New Roman" w:cs="Times New Roman"/>
                <w:noProof/>
                <w:sz w:val="18"/>
                <w:szCs w:val="18"/>
              </w:rPr>
              <w:t xml:space="preserve"> </w:t>
            </w:r>
            <w:r w:rsidRPr="001F3EBA">
              <w:rPr>
                <w:rFonts w:ascii="Times New Roman" w:hAnsi="Times New Roman" w:cs="Times New Roman"/>
                <w:noProof/>
                <w:sz w:val="18"/>
                <w:szCs w:val="18"/>
              </w:rPr>
              <w:t>publishing online a framework</w:t>
            </w:r>
          </w:p>
        </w:tc>
        <w:tc>
          <w:tcPr>
            <w:tcW w:w="343" w:type="pct"/>
            <w:shd w:val="clear" w:color="auto" w:fill="C6EFCE"/>
            <w:noWrap/>
          </w:tcPr>
          <w:p w14:paraId="6418AFE0"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tcPr>
          <w:p w14:paraId="2220033D"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tcPr>
          <w:p w14:paraId="4128ECFD"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tcPr>
          <w:p w14:paraId="5A1877BB"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339" w:type="pct"/>
            <w:shd w:val="clear" w:color="auto" w:fill="C6EFCE"/>
            <w:noWrap/>
          </w:tcPr>
          <w:p w14:paraId="77B62842"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1094" w:type="pct"/>
            <w:shd w:val="clear" w:color="auto" w:fill="C6EFCE"/>
            <w:noWrap/>
          </w:tcPr>
          <w:p w14:paraId="22335853" w14:textId="7288A293"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Approval by the Council of Ministers of a performance-based funding mechanism for publicly funded research organizations, which may include but is not limited to the Centers of Excellence.</w:t>
            </w:r>
            <w:r w:rsidR="00064579">
              <w:rPr>
                <w:rFonts w:ascii="Times New Roman" w:hAnsi="Times New Roman" w:cs="Times New Roman"/>
                <w:noProof/>
                <w:sz w:val="18"/>
                <w:szCs w:val="18"/>
              </w:rPr>
              <w:t xml:space="preserve"> </w:t>
            </w:r>
          </w:p>
          <w:p w14:paraId="26D034CE" w14:textId="77777777" w:rsidR="000F72B9" w:rsidRPr="001F3EBA" w:rsidRDefault="000F72B9" w:rsidP="00C443D9">
            <w:pPr>
              <w:spacing w:after="0" w:line="240" w:lineRule="auto"/>
              <w:jc w:val="both"/>
              <w:rPr>
                <w:rFonts w:ascii="Times New Roman" w:hAnsi="Times New Roman" w:cs="Times New Roman"/>
                <w:noProof/>
                <w:sz w:val="18"/>
                <w:szCs w:val="18"/>
              </w:rPr>
            </w:pPr>
          </w:p>
          <w:p w14:paraId="722A168B" w14:textId="29CB0EB1" w:rsidR="000F72B9" w:rsidRPr="001F3EBA" w:rsidRDefault="000F72B9" w:rsidP="00C443D9">
            <w:pPr>
              <w:spacing w:after="18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Publishing online an open access policy framework for publicly funded research and</w:t>
            </w:r>
            <w:r w:rsidR="00322C8E">
              <w:rPr>
                <w:rFonts w:ascii="Times New Roman" w:hAnsi="Times New Roman" w:cs="Times New Roman"/>
                <w:noProof/>
                <w:sz w:val="18"/>
                <w:szCs w:val="18"/>
              </w:rPr>
              <w:t xml:space="preserve"> </w:t>
            </w:r>
            <w:r w:rsidRPr="001F3EBA">
              <w:rPr>
                <w:rFonts w:ascii="Times New Roman" w:hAnsi="Times New Roman" w:cs="Times New Roman"/>
                <w:noProof/>
                <w:sz w:val="18"/>
                <w:szCs w:val="18"/>
              </w:rPr>
              <w:t>technological infrastructure,</w:t>
            </w:r>
            <w:r w:rsidR="00322C8E">
              <w:rPr>
                <w:rFonts w:ascii="Times New Roman" w:hAnsi="Times New Roman" w:cs="Times New Roman"/>
                <w:noProof/>
                <w:sz w:val="18"/>
                <w:szCs w:val="18"/>
              </w:rPr>
              <w:t xml:space="preserve"> </w:t>
            </w:r>
            <w:r w:rsidRPr="001F3EBA">
              <w:rPr>
                <w:rFonts w:ascii="Times New Roman" w:hAnsi="Times New Roman" w:cs="Times New Roman"/>
                <w:noProof/>
                <w:sz w:val="18"/>
                <w:szCs w:val="18"/>
              </w:rPr>
              <w:t>which may include but is not limited to access condition(s) and pricing.</w:t>
            </w:r>
          </w:p>
          <w:p w14:paraId="1B135020" w14:textId="17558D00" w:rsidR="000F72B9" w:rsidRPr="001F3EBA" w:rsidRDefault="000F72B9" w:rsidP="00C443D9">
            <w:pPr>
              <w:spacing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Publishing online a framework for monitoring and coordinating the participation in European Strategy Forum on Research Infrastructures (ESFRI) Landmarks.</w:t>
            </w:r>
          </w:p>
        </w:tc>
      </w:tr>
      <w:tr w:rsidR="000F72B9" w:rsidRPr="001F3EBA" w14:paraId="7A89BAF7" w14:textId="77777777" w:rsidTr="001F3EBA">
        <w:trPr>
          <w:trHeight w:val="313"/>
          <w:jc w:val="center"/>
        </w:trPr>
        <w:tc>
          <w:tcPr>
            <w:tcW w:w="414" w:type="pct"/>
            <w:shd w:val="clear" w:color="auto" w:fill="C6EFCE"/>
            <w:noWrap/>
            <w:hideMark/>
          </w:tcPr>
          <w:p w14:paraId="3E79BED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122</w:t>
            </w:r>
          </w:p>
        </w:tc>
        <w:tc>
          <w:tcPr>
            <w:tcW w:w="464" w:type="pct"/>
            <w:shd w:val="clear" w:color="auto" w:fill="C6EFCE"/>
            <w:noWrap/>
            <w:hideMark/>
          </w:tcPr>
          <w:p w14:paraId="5F9C16C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C3.2R2</w:t>
            </w:r>
          </w:p>
          <w:p w14:paraId="022298C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Incentives for investments and human capital in R&amp;I</w:t>
            </w:r>
          </w:p>
        </w:tc>
        <w:tc>
          <w:tcPr>
            <w:tcW w:w="385" w:type="pct"/>
            <w:shd w:val="clear" w:color="auto" w:fill="C6EFCE"/>
            <w:noWrap/>
            <w:hideMark/>
          </w:tcPr>
          <w:p w14:paraId="044ACA0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hideMark/>
          </w:tcPr>
          <w:p w14:paraId="443544F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Tax exemption of legal entities for investing in innovative companies</w:t>
            </w:r>
          </w:p>
        </w:tc>
        <w:tc>
          <w:tcPr>
            <w:tcW w:w="475" w:type="pct"/>
            <w:shd w:val="clear" w:color="auto" w:fill="C6EFCE"/>
            <w:noWrap/>
            <w:hideMark/>
          </w:tcPr>
          <w:p w14:paraId="4AA2863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Provision in the law indicating the entry into force of the legislation</w:t>
            </w:r>
          </w:p>
        </w:tc>
        <w:tc>
          <w:tcPr>
            <w:tcW w:w="343" w:type="pct"/>
            <w:shd w:val="clear" w:color="auto" w:fill="C6EFCE"/>
            <w:noWrap/>
            <w:hideMark/>
          </w:tcPr>
          <w:p w14:paraId="5803D122"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hideMark/>
          </w:tcPr>
          <w:p w14:paraId="257AE76F"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hideMark/>
          </w:tcPr>
          <w:p w14:paraId="770D5E3E"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hideMark/>
          </w:tcPr>
          <w:p w14:paraId="56E57752"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Q1</w:t>
            </w:r>
          </w:p>
        </w:tc>
        <w:tc>
          <w:tcPr>
            <w:tcW w:w="339" w:type="pct"/>
            <w:shd w:val="clear" w:color="auto" w:fill="C6EFCE"/>
            <w:noWrap/>
            <w:hideMark/>
          </w:tcPr>
          <w:p w14:paraId="3C1F55F0"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1094" w:type="pct"/>
            <w:shd w:val="clear" w:color="auto" w:fill="C6EFCE"/>
            <w:noWrap/>
            <w:hideMark/>
          </w:tcPr>
          <w:p w14:paraId="1930A72A"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Entry into force of a law establishing the tax exemption of corporate investors (legal entities) for investing in innovative companies.</w:t>
            </w:r>
          </w:p>
        </w:tc>
      </w:tr>
      <w:tr w:rsidR="000F72B9" w:rsidRPr="001F3EBA" w14:paraId="08F437F2" w14:textId="77777777" w:rsidTr="001F3EBA">
        <w:trPr>
          <w:trHeight w:val="313"/>
          <w:jc w:val="center"/>
        </w:trPr>
        <w:tc>
          <w:tcPr>
            <w:tcW w:w="414" w:type="pct"/>
            <w:shd w:val="clear" w:color="auto" w:fill="C6EFCE"/>
            <w:noWrap/>
            <w:hideMark/>
          </w:tcPr>
          <w:p w14:paraId="10D6853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123</w:t>
            </w:r>
          </w:p>
        </w:tc>
        <w:tc>
          <w:tcPr>
            <w:tcW w:w="464" w:type="pct"/>
            <w:shd w:val="clear" w:color="auto" w:fill="C6EFCE"/>
            <w:noWrap/>
            <w:hideMark/>
          </w:tcPr>
          <w:p w14:paraId="10C1C05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C3.2R3</w:t>
            </w:r>
          </w:p>
          <w:p w14:paraId="73FC7AE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Policies to foster access to publicly funded research infrastructure and laboratories</w:t>
            </w:r>
          </w:p>
        </w:tc>
        <w:tc>
          <w:tcPr>
            <w:tcW w:w="385" w:type="pct"/>
            <w:shd w:val="clear" w:color="auto" w:fill="C6EFCE"/>
            <w:noWrap/>
            <w:hideMark/>
          </w:tcPr>
          <w:p w14:paraId="3804040D"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hideMark/>
          </w:tcPr>
          <w:p w14:paraId="0D1C449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Digital registry to record and publish research infrastructure </w:t>
            </w:r>
          </w:p>
        </w:tc>
        <w:tc>
          <w:tcPr>
            <w:tcW w:w="475" w:type="pct"/>
            <w:shd w:val="clear" w:color="auto" w:fill="C6EFCE"/>
            <w:noWrap/>
            <w:hideMark/>
          </w:tcPr>
          <w:p w14:paraId="1080DF0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Link to the digital registry published in the Deputy Ministry for Research, Innovation and Digital Policy website</w:t>
            </w:r>
          </w:p>
        </w:tc>
        <w:tc>
          <w:tcPr>
            <w:tcW w:w="343" w:type="pct"/>
            <w:shd w:val="clear" w:color="auto" w:fill="C6EFCE"/>
            <w:noWrap/>
            <w:hideMark/>
          </w:tcPr>
          <w:p w14:paraId="3AF7E408"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hideMark/>
          </w:tcPr>
          <w:p w14:paraId="52F3E95C"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hideMark/>
          </w:tcPr>
          <w:p w14:paraId="724C622F"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hideMark/>
          </w:tcPr>
          <w:p w14:paraId="775F9743"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339" w:type="pct"/>
            <w:shd w:val="clear" w:color="auto" w:fill="C6EFCE"/>
            <w:noWrap/>
            <w:hideMark/>
          </w:tcPr>
          <w:p w14:paraId="293ADEA7"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1094" w:type="pct"/>
            <w:shd w:val="clear" w:color="auto" w:fill="C6EFCE"/>
            <w:noWrap/>
            <w:hideMark/>
          </w:tcPr>
          <w:p w14:paraId="527C6324"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Development and start of operation of a digital registry to record and publish research infrastructure that shall facilitate the request of access of interested parties to such infrastructure. It shall include the mapping of all publicly funded research institutions (under Horizon 2020, national schemes). It shall also improve visibility of the Research Institutions and support collaboration with the private sector. </w:t>
            </w:r>
          </w:p>
        </w:tc>
      </w:tr>
      <w:tr w:rsidR="000F72B9" w:rsidRPr="001F3EBA" w14:paraId="088FECA1" w14:textId="77777777" w:rsidTr="001F3EBA">
        <w:trPr>
          <w:trHeight w:val="313"/>
          <w:jc w:val="center"/>
        </w:trPr>
        <w:tc>
          <w:tcPr>
            <w:tcW w:w="414" w:type="pct"/>
            <w:shd w:val="clear" w:color="auto" w:fill="C6EFCE"/>
            <w:noWrap/>
            <w:hideMark/>
          </w:tcPr>
          <w:p w14:paraId="1C12E68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124</w:t>
            </w:r>
          </w:p>
        </w:tc>
        <w:tc>
          <w:tcPr>
            <w:tcW w:w="464" w:type="pct"/>
            <w:shd w:val="clear" w:color="auto" w:fill="C6EFCE"/>
            <w:noWrap/>
            <w:hideMark/>
          </w:tcPr>
          <w:p w14:paraId="1C238C7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C3.2R3</w:t>
            </w:r>
          </w:p>
          <w:p w14:paraId="1ACF56A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Support access to publicly funded research infrastructure </w:t>
            </w:r>
          </w:p>
        </w:tc>
        <w:tc>
          <w:tcPr>
            <w:tcW w:w="385" w:type="pct"/>
            <w:shd w:val="clear" w:color="auto" w:fill="C6EFCE"/>
            <w:noWrap/>
            <w:hideMark/>
          </w:tcPr>
          <w:p w14:paraId="1F3C978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hideMark/>
          </w:tcPr>
          <w:p w14:paraId="728D820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National Policy of the Republic of Cyprus for Open Science Practices</w:t>
            </w:r>
          </w:p>
        </w:tc>
        <w:tc>
          <w:tcPr>
            <w:tcW w:w="475" w:type="pct"/>
            <w:shd w:val="clear" w:color="auto" w:fill="C6EFCE"/>
            <w:noWrap/>
          </w:tcPr>
          <w:p w14:paraId="39C2805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Publication of the National Policy of the Republic of Cyprus for Open Science Practices</w:t>
            </w:r>
          </w:p>
        </w:tc>
        <w:tc>
          <w:tcPr>
            <w:tcW w:w="343" w:type="pct"/>
            <w:shd w:val="clear" w:color="auto" w:fill="C6EFCE"/>
            <w:noWrap/>
            <w:hideMark/>
          </w:tcPr>
          <w:p w14:paraId="75C35B9B"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hideMark/>
          </w:tcPr>
          <w:p w14:paraId="629E31C2"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hideMark/>
          </w:tcPr>
          <w:p w14:paraId="69E7C168"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hideMark/>
          </w:tcPr>
          <w:p w14:paraId="7AF39C21"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339" w:type="pct"/>
            <w:shd w:val="clear" w:color="auto" w:fill="C6EFCE"/>
            <w:noWrap/>
            <w:hideMark/>
          </w:tcPr>
          <w:p w14:paraId="6EB986A9"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2024</w:t>
            </w:r>
          </w:p>
        </w:tc>
        <w:tc>
          <w:tcPr>
            <w:tcW w:w="1094" w:type="pct"/>
            <w:shd w:val="clear" w:color="auto" w:fill="C6EFCE"/>
            <w:noWrap/>
            <w:hideMark/>
          </w:tcPr>
          <w:p w14:paraId="5E6FF828"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Publication of the National Policy of the Republic of Cyprus for Open Science Practices.</w:t>
            </w:r>
          </w:p>
        </w:tc>
      </w:tr>
      <w:tr w:rsidR="000F72B9" w:rsidRPr="001F3EBA" w14:paraId="7D367906" w14:textId="77777777" w:rsidTr="001F3EBA">
        <w:trPr>
          <w:trHeight w:val="313"/>
          <w:jc w:val="center"/>
        </w:trPr>
        <w:tc>
          <w:tcPr>
            <w:tcW w:w="414" w:type="pct"/>
            <w:shd w:val="clear" w:color="auto" w:fill="C6EFCE"/>
            <w:noWrap/>
          </w:tcPr>
          <w:p w14:paraId="147584A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125</w:t>
            </w:r>
          </w:p>
        </w:tc>
        <w:tc>
          <w:tcPr>
            <w:tcW w:w="464" w:type="pct"/>
            <w:shd w:val="clear" w:color="auto" w:fill="C6EFCE"/>
            <w:noWrap/>
          </w:tcPr>
          <w:p w14:paraId="7B6EBBED"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C3.2I1</w:t>
            </w:r>
          </w:p>
          <w:p w14:paraId="622C7B5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Set up and operate a central Knowledge Transfer Office (KTO)</w:t>
            </w:r>
          </w:p>
        </w:tc>
        <w:tc>
          <w:tcPr>
            <w:tcW w:w="385" w:type="pct"/>
            <w:shd w:val="clear" w:color="auto" w:fill="C6EFCE"/>
            <w:noWrap/>
          </w:tcPr>
          <w:p w14:paraId="5F83B4F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tcPr>
          <w:p w14:paraId="5AC1EF5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Launch of KTO </w:t>
            </w:r>
          </w:p>
        </w:tc>
        <w:tc>
          <w:tcPr>
            <w:tcW w:w="475" w:type="pct"/>
            <w:shd w:val="clear" w:color="auto" w:fill="C6EFCE"/>
            <w:noWrap/>
          </w:tcPr>
          <w:p w14:paraId="5D08FD9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Opening of KTO’s first case</w:t>
            </w:r>
          </w:p>
        </w:tc>
        <w:tc>
          <w:tcPr>
            <w:tcW w:w="343" w:type="pct"/>
            <w:shd w:val="clear" w:color="auto" w:fill="C6EFCE"/>
            <w:noWrap/>
          </w:tcPr>
          <w:p w14:paraId="3CF51073"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tcPr>
          <w:p w14:paraId="2084E505"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tcPr>
          <w:p w14:paraId="2552B11B"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tcPr>
          <w:p w14:paraId="70612CCD"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339" w:type="pct"/>
            <w:shd w:val="clear" w:color="auto" w:fill="C6EFCE"/>
            <w:noWrap/>
          </w:tcPr>
          <w:p w14:paraId="5B00A610"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1094" w:type="pct"/>
            <w:shd w:val="clear" w:color="auto" w:fill="C6EFCE"/>
            <w:noWrap/>
          </w:tcPr>
          <w:p w14:paraId="42EF9BBD"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The Research and Innovation Foundation, responsible for putting in operation the KTO, has hired or contracted highly trained staff and/or experts to provide expert knowledge transfer services. Systems and tools shall be in place to support KTO operation. The KTO shall start the provision of services to universities, other research organisations or enterprises.</w:t>
            </w:r>
          </w:p>
        </w:tc>
      </w:tr>
      <w:tr w:rsidR="000F72B9" w:rsidRPr="001F3EBA" w14:paraId="75CCEBC1" w14:textId="77777777" w:rsidTr="001F3EBA">
        <w:trPr>
          <w:trHeight w:val="313"/>
          <w:jc w:val="center"/>
        </w:trPr>
        <w:tc>
          <w:tcPr>
            <w:tcW w:w="414" w:type="pct"/>
            <w:shd w:val="clear" w:color="auto" w:fill="C6EFCE"/>
            <w:noWrap/>
          </w:tcPr>
          <w:p w14:paraId="2DCDD37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126</w:t>
            </w:r>
          </w:p>
        </w:tc>
        <w:tc>
          <w:tcPr>
            <w:tcW w:w="464" w:type="pct"/>
            <w:shd w:val="clear" w:color="auto" w:fill="C6EFCE"/>
            <w:noWrap/>
          </w:tcPr>
          <w:p w14:paraId="4C355E0E" w14:textId="77777777" w:rsidR="000F72B9" w:rsidRPr="001F3EBA" w:rsidRDefault="000F72B9" w:rsidP="00D8670B">
            <w:pPr>
              <w:spacing w:after="0" w:line="240" w:lineRule="auto"/>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C3.2I1</w:t>
            </w:r>
          </w:p>
          <w:p w14:paraId="36662E48" w14:textId="77777777" w:rsidR="000F72B9" w:rsidRPr="001F3EBA" w:rsidRDefault="000F72B9" w:rsidP="00D8670B">
            <w:pPr>
              <w:spacing w:after="0" w:line="240" w:lineRule="auto"/>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Set up a central Knowledge Transfer Office (cKTO)</w:t>
            </w:r>
          </w:p>
        </w:tc>
        <w:tc>
          <w:tcPr>
            <w:tcW w:w="385" w:type="pct"/>
            <w:shd w:val="clear" w:color="auto" w:fill="C6EFCE"/>
            <w:noWrap/>
          </w:tcPr>
          <w:p w14:paraId="090A48EA" w14:textId="77777777" w:rsidR="000F72B9" w:rsidRPr="001F3EBA" w:rsidRDefault="000F72B9" w:rsidP="00D8670B">
            <w:pPr>
              <w:spacing w:after="0" w:line="240" w:lineRule="auto"/>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Target</w:t>
            </w:r>
          </w:p>
        </w:tc>
        <w:tc>
          <w:tcPr>
            <w:tcW w:w="556" w:type="pct"/>
            <w:shd w:val="clear" w:color="auto" w:fill="C6EFCE"/>
            <w:noWrap/>
          </w:tcPr>
          <w:p w14:paraId="6A9BFACB" w14:textId="77777777" w:rsidR="000F72B9" w:rsidRPr="001F3EBA" w:rsidRDefault="000F72B9" w:rsidP="00D8670B">
            <w:pPr>
              <w:spacing w:after="0" w:line="240" w:lineRule="auto"/>
              <w:rPr>
                <w:rFonts w:ascii="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 xml:space="preserve">Progress report on the provision of knowledge transfer support services </w:t>
            </w:r>
          </w:p>
        </w:tc>
        <w:tc>
          <w:tcPr>
            <w:tcW w:w="475" w:type="pct"/>
            <w:shd w:val="clear" w:color="auto" w:fill="C6EFCE"/>
            <w:noWrap/>
          </w:tcPr>
          <w:p w14:paraId="7CF12A04" w14:textId="77777777" w:rsidR="000F72B9" w:rsidRPr="001F3EBA" w:rsidRDefault="000F72B9" w:rsidP="00D8670B">
            <w:pPr>
              <w:spacing w:after="0" w:line="240" w:lineRule="auto"/>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w:t>
            </w:r>
          </w:p>
        </w:tc>
        <w:tc>
          <w:tcPr>
            <w:tcW w:w="343" w:type="pct"/>
            <w:shd w:val="clear" w:color="auto" w:fill="C6EFCE"/>
            <w:noWrap/>
          </w:tcPr>
          <w:p w14:paraId="4AE5C759" w14:textId="77777777" w:rsidR="000F72B9" w:rsidRPr="001F3EBA" w:rsidRDefault="000F72B9" w:rsidP="00C443D9">
            <w:pPr>
              <w:spacing w:after="0" w:line="240" w:lineRule="auto"/>
              <w:jc w:val="center"/>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Number</w:t>
            </w:r>
          </w:p>
        </w:tc>
        <w:tc>
          <w:tcPr>
            <w:tcW w:w="345" w:type="pct"/>
            <w:shd w:val="clear" w:color="auto" w:fill="C6EFCE"/>
            <w:noWrap/>
          </w:tcPr>
          <w:p w14:paraId="6C1D90BF" w14:textId="77777777" w:rsidR="000F72B9" w:rsidRPr="001F3EBA" w:rsidRDefault="000F72B9" w:rsidP="00C443D9">
            <w:pPr>
              <w:spacing w:after="0" w:line="240" w:lineRule="auto"/>
              <w:jc w:val="center"/>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0</w:t>
            </w:r>
          </w:p>
        </w:tc>
        <w:tc>
          <w:tcPr>
            <w:tcW w:w="244" w:type="pct"/>
            <w:shd w:val="clear" w:color="auto" w:fill="C6EFCE"/>
            <w:noWrap/>
          </w:tcPr>
          <w:p w14:paraId="4546F369" w14:textId="77777777" w:rsidR="000F72B9" w:rsidRPr="001F3EBA" w:rsidRDefault="000F72B9" w:rsidP="00C443D9">
            <w:pPr>
              <w:spacing w:after="0" w:line="240" w:lineRule="auto"/>
              <w:jc w:val="center"/>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30</w:t>
            </w:r>
          </w:p>
        </w:tc>
        <w:tc>
          <w:tcPr>
            <w:tcW w:w="342" w:type="pct"/>
            <w:shd w:val="clear" w:color="auto" w:fill="C6EFCE"/>
            <w:noWrap/>
          </w:tcPr>
          <w:p w14:paraId="4DF4DF15" w14:textId="77777777" w:rsidR="000F72B9" w:rsidRPr="001F3EBA" w:rsidRDefault="000F72B9" w:rsidP="00C443D9">
            <w:pPr>
              <w:spacing w:after="0" w:line="240" w:lineRule="auto"/>
              <w:jc w:val="center"/>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Q4</w:t>
            </w:r>
          </w:p>
        </w:tc>
        <w:tc>
          <w:tcPr>
            <w:tcW w:w="339" w:type="pct"/>
            <w:shd w:val="clear" w:color="auto" w:fill="C6EFCE"/>
            <w:noWrap/>
          </w:tcPr>
          <w:p w14:paraId="461EFD99" w14:textId="77777777" w:rsidR="000F72B9" w:rsidRPr="001F3EBA" w:rsidRDefault="000F72B9" w:rsidP="00C443D9">
            <w:pPr>
              <w:spacing w:after="0" w:line="240" w:lineRule="auto"/>
              <w:jc w:val="center"/>
              <w:rPr>
                <w:rFonts w:ascii="Times New Roman" w:eastAsia="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2025</w:t>
            </w:r>
          </w:p>
        </w:tc>
        <w:tc>
          <w:tcPr>
            <w:tcW w:w="1094" w:type="pct"/>
            <w:shd w:val="clear" w:color="auto" w:fill="C6EFCE"/>
            <w:noWrap/>
          </w:tcPr>
          <w:p w14:paraId="2DF3AFAC" w14:textId="77777777" w:rsidR="000F72B9" w:rsidRPr="001F3EBA" w:rsidRDefault="000F72B9" w:rsidP="00C443D9">
            <w:pPr>
              <w:spacing w:after="0" w:line="240" w:lineRule="auto"/>
              <w:jc w:val="both"/>
              <w:rPr>
                <w:rFonts w:ascii="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 xml:space="preserve">Progress report issued by META, on the provision of knowledge transfer support services for at least 30 projects. </w:t>
            </w:r>
          </w:p>
          <w:p w14:paraId="78A73232" w14:textId="24A11977" w:rsidR="000F72B9" w:rsidRPr="001F3EBA" w:rsidRDefault="000F72B9" w:rsidP="00C443D9">
            <w:pPr>
              <w:spacing w:after="0" w:line="240" w:lineRule="auto"/>
              <w:jc w:val="both"/>
              <w:rPr>
                <w:rFonts w:ascii="Times New Roman" w:eastAsia="Times New Roman" w:hAnsi="Times New Roman" w:cs="Times New Roman"/>
                <w:noProof/>
                <w:color w:val="000000" w:themeColor="text1"/>
                <w:sz w:val="18"/>
                <w:szCs w:val="18"/>
              </w:rPr>
            </w:pPr>
          </w:p>
          <w:p w14:paraId="413DAAC4" w14:textId="77777777" w:rsidR="000F72B9" w:rsidRPr="001F3EBA" w:rsidRDefault="000F72B9" w:rsidP="00C443D9">
            <w:pPr>
              <w:spacing w:after="0" w:line="240" w:lineRule="auto"/>
              <w:jc w:val="both"/>
              <w:rPr>
                <w:rFonts w:ascii="Times New Roman" w:hAnsi="Times New Roman" w:cs="Times New Roman"/>
                <w:noProof/>
                <w:color w:val="000000" w:themeColor="text1"/>
                <w:sz w:val="18"/>
                <w:szCs w:val="18"/>
              </w:rPr>
            </w:pPr>
            <w:r w:rsidRPr="001F3EBA">
              <w:rPr>
                <w:rFonts w:ascii="Times New Roman" w:hAnsi="Times New Roman" w:cs="Times New Roman"/>
                <w:noProof/>
                <w:color w:val="000000" w:themeColor="text1"/>
                <w:sz w:val="18"/>
                <w:szCs w:val="18"/>
              </w:rPr>
              <w:t>cKTO business plan issued by the Research and Innovation Foundation (RIF), which may include but is not limited to a SWOT analysis.</w:t>
            </w:r>
          </w:p>
        </w:tc>
      </w:tr>
      <w:tr w:rsidR="000F72B9" w:rsidRPr="001F3EBA" w14:paraId="134AEFD4" w14:textId="77777777" w:rsidTr="001F3EBA">
        <w:trPr>
          <w:trHeight w:val="313"/>
          <w:jc w:val="center"/>
        </w:trPr>
        <w:tc>
          <w:tcPr>
            <w:tcW w:w="414" w:type="pct"/>
            <w:shd w:val="clear" w:color="auto" w:fill="C6EFCE"/>
            <w:noWrap/>
          </w:tcPr>
          <w:p w14:paraId="517D410D"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127</w:t>
            </w:r>
          </w:p>
        </w:tc>
        <w:tc>
          <w:tcPr>
            <w:tcW w:w="464" w:type="pct"/>
            <w:shd w:val="clear" w:color="auto" w:fill="C6EFCE"/>
            <w:noWrap/>
          </w:tcPr>
          <w:p w14:paraId="4D3565F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C3.2I2</w:t>
            </w:r>
          </w:p>
          <w:p w14:paraId="14959132"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Innovation funding programmes for start-ups, innovative companies, and SMEs</w:t>
            </w:r>
          </w:p>
        </w:tc>
        <w:tc>
          <w:tcPr>
            <w:tcW w:w="385" w:type="pct"/>
            <w:shd w:val="clear" w:color="auto" w:fill="C6EFCE"/>
            <w:noWrap/>
          </w:tcPr>
          <w:p w14:paraId="48EFE42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tcPr>
          <w:p w14:paraId="3611C1A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Signature of grant agreements for 50% of budget</w:t>
            </w:r>
          </w:p>
        </w:tc>
        <w:tc>
          <w:tcPr>
            <w:tcW w:w="475" w:type="pct"/>
            <w:shd w:val="clear" w:color="auto" w:fill="C6EFCE"/>
            <w:noWrap/>
          </w:tcPr>
          <w:p w14:paraId="62400B8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Grant agreements signed</w:t>
            </w:r>
          </w:p>
        </w:tc>
        <w:tc>
          <w:tcPr>
            <w:tcW w:w="343" w:type="pct"/>
            <w:shd w:val="clear" w:color="auto" w:fill="C6EFCE"/>
            <w:noWrap/>
          </w:tcPr>
          <w:p w14:paraId="4E07E3CF"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tcPr>
          <w:p w14:paraId="1FBB4FE5"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tcPr>
          <w:p w14:paraId="6FF4D9E8"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tcPr>
          <w:p w14:paraId="1F5891B1"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339" w:type="pct"/>
            <w:shd w:val="clear" w:color="auto" w:fill="C6EFCE"/>
            <w:noWrap/>
          </w:tcPr>
          <w:p w14:paraId="23DA093F"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1094" w:type="pct"/>
            <w:shd w:val="clear" w:color="auto" w:fill="C6EFCE"/>
            <w:noWrap/>
          </w:tcPr>
          <w:p w14:paraId="7EA17679" w14:textId="6827E0C1"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Signing of grant agreements which commit at least 50% of total budget (contracts of a total value of at least EUR</w:t>
            </w:r>
            <w:r w:rsidR="00322C8E" w:rsidRPr="001F3EBA">
              <w:rPr>
                <w:rFonts w:ascii="Times New Roman" w:hAnsi="Times New Roman" w:cs="Times New Roman"/>
                <w:noProof/>
                <w:sz w:val="18"/>
                <w:szCs w:val="18"/>
              </w:rPr>
              <w:t> </w:t>
            </w:r>
            <w:r w:rsidRPr="001F3EBA">
              <w:rPr>
                <w:rFonts w:ascii="Times New Roman" w:hAnsi="Times New Roman" w:cs="Times New Roman"/>
                <w:noProof/>
                <w:sz w:val="18"/>
                <w:szCs w:val="18"/>
              </w:rPr>
              <w:t>26 000 000 total budget) for innovation funding programmes for start-ups, innovative companies and SMEs,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0F72B9" w:rsidRPr="001F3EBA" w14:paraId="4B7A90A2" w14:textId="77777777" w:rsidTr="001F3EBA">
        <w:trPr>
          <w:trHeight w:val="313"/>
          <w:jc w:val="center"/>
        </w:trPr>
        <w:tc>
          <w:tcPr>
            <w:tcW w:w="414" w:type="pct"/>
            <w:shd w:val="clear" w:color="auto" w:fill="C6EFCE"/>
            <w:noWrap/>
          </w:tcPr>
          <w:p w14:paraId="3CDF52D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128</w:t>
            </w:r>
          </w:p>
        </w:tc>
        <w:tc>
          <w:tcPr>
            <w:tcW w:w="464" w:type="pct"/>
            <w:shd w:val="clear" w:color="auto" w:fill="C6EFCE"/>
            <w:noWrap/>
          </w:tcPr>
          <w:p w14:paraId="5E79A5C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C3.2I2</w:t>
            </w:r>
          </w:p>
          <w:p w14:paraId="7BD9621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Innovation funding programmes for start-ups, innovative companies, and SMEs</w:t>
            </w:r>
          </w:p>
        </w:tc>
        <w:tc>
          <w:tcPr>
            <w:tcW w:w="385" w:type="pct"/>
            <w:shd w:val="clear" w:color="auto" w:fill="C6EFCE"/>
            <w:noWrap/>
          </w:tcPr>
          <w:p w14:paraId="5D94D8E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556" w:type="pct"/>
            <w:shd w:val="clear" w:color="auto" w:fill="C6EFCE"/>
            <w:noWrap/>
          </w:tcPr>
          <w:p w14:paraId="325314E1"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Completed projects to carry out R&amp;I related activities</w:t>
            </w:r>
          </w:p>
        </w:tc>
        <w:tc>
          <w:tcPr>
            <w:tcW w:w="475" w:type="pct"/>
            <w:shd w:val="clear" w:color="auto" w:fill="C6EFCE"/>
            <w:noWrap/>
          </w:tcPr>
          <w:p w14:paraId="3854BD3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3" w:type="pct"/>
            <w:shd w:val="clear" w:color="auto" w:fill="C6EFCE"/>
            <w:noWrap/>
          </w:tcPr>
          <w:p w14:paraId="25EC2A78"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345" w:type="pct"/>
            <w:shd w:val="clear" w:color="auto" w:fill="C6EFCE"/>
            <w:noWrap/>
          </w:tcPr>
          <w:p w14:paraId="7026139C"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244" w:type="pct"/>
            <w:shd w:val="clear" w:color="auto" w:fill="C6EFCE"/>
            <w:noWrap/>
          </w:tcPr>
          <w:p w14:paraId="7FCB3597"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70</w:t>
            </w:r>
          </w:p>
        </w:tc>
        <w:tc>
          <w:tcPr>
            <w:tcW w:w="342" w:type="pct"/>
            <w:shd w:val="clear" w:color="auto" w:fill="C6EFCE"/>
            <w:noWrap/>
          </w:tcPr>
          <w:p w14:paraId="31D3CDAE"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Q3</w:t>
            </w:r>
          </w:p>
        </w:tc>
        <w:tc>
          <w:tcPr>
            <w:tcW w:w="339" w:type="pct"/>
            <w:shd w:val="clear" w:color="auto" w:fill="C6EFCE"/>
            <w:noWrap/>
          </w:tcPr>
          <w:p w14:paraId="25864E60"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2023</w:t>
            </w:r>
          </w:p>
        </w:tc>
        <w:tc>
          <w:tcPr>
            <w:tcW w:w="1094" w:type="pct"/>
            <w:shd w:val="clear" w:color="auto" w:fill="C6EFCE"/>
            <w:noWrap/>
          </w:tcPr>
          <w:p w14:paraId="2C797B43"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At least 70 completed projects to carry out R&amp;I related activities. </w:t>
            </w:r>
          </w:p>
        </w:tc>
      </w:tr>
      <w:tr w:rsidR="000F72B9" w:rsidRPr="001F3EBA" w14:paraId="41E49BD6" w14:textId="77777777" w:rsidTr="001F3EBA">
        <w:trPr>
          <w:trHeight w:val="340"/>
          <w:jc w:val="center"/>
        </w:trPr>
        <w:tc>
          <w:tcPr>
            <w:tcW w:w="414" w:type="pct"/>
            <w:shd w:val="clear" w:color="auto" w:fill="C6EFCE"/>
            <w:noWrap/>
          </w:tcPr>
          <w:p w14:paraId="380B61C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129</w:t>
            </w:r>
          </w:p>
        </w:tc>
        <w:tc>
          <w:tcPr>
            <w:tcW w:w="464" w:type="pct"/>
            <w:shd w:val="clear" w:color="auto" w:fill="C6EFCE"/>
            <w:noWrap/>
          </w:tcPr>
          <w:p w14:paraId="27B301B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C3.2I2</w:t>
            </w:r>
          </w:p>
          <w:p w14:paraId="1955649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Innovation funding programmes </w:t>
            </w:r>
          </w:p>
        </w:tc>
        <w:tc>
          <w:tcPr>
            <w:tcW w:w="385" w:type="pct"/>
            <w:shd w:val="clear" w:color="auto" w:fill="C6EFCE"/>
            <w:noWrap/>
          </w:tcPr>
          <w:p w14:paraId="7C015EB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556" w:type="pct"/>
            <w:shd w:val="clear" w:color="auto" w:fill="C6EFCE"/>
            <w:noWrap/>
          </w:tcPr>
          <w:p w14:paraId="5B9B1BC5"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Projects on R&amp;I activities</w:t>
            </w:r>
          </w:p>
        </w:tc>
        <w:tc>
          <w:tcPr>
            <w:tcW w:w="475" w:type="pct"/>
            <w:shd w:val="clear" w:color="auto" w:fill="C6EFCE"/>
            <w:noWrap/>
          </w:tcPr>
          <w:p w14:paraId="6885427C"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3" w:type="pct"/>
            <w:shd w:val="clear" w:color="auto" w:fill="C6EFCE"/>
            <w:noWrap/>
          </w:tcPr>
          <w:p w14:paraId="5B547ACB"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345" w:type="pct"/>
            <w:shd w:val="clear" w:color="auto" w:fill="C6EFCE"/>
            <w:noWrap/>
          </w:tcPr>
          <w:p w14:paraId="52F79F3A"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70</w:t>
            </w:r>
          </w:p>
        </w:tc>
        <w:tc>
          <w:tcPr>
            <w:tcW w:w="244" w:type="pct"/>
            <w:shd w:val="clear" w:color="auto" w:fill="C6EFCE"/>
            <w:noWrap/>
          </w:tcPr>
          <w:p w14:paraId="00A459FA"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231</w:t>
            </w:r>
          </w:p>
        </w:tc>
        <w:tc>
          <w:tcPr>
            <w:tcW w:w="342" w:type="pct"/>
            <w:shd w:val="clear" w:color="auto" w:fill="C6EFCE"/>
            <w:noWrap/>
          </w:tcPr>
          <w:p w14:paraId="3C1C807F"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339" w:type="pct"/>
            <w:shd w:val="clear" w:color="auto" w:fill="C6EFCE"/>
            <w:noWrap/>
          </w:tcPr>
          <w:p w14:paraId="2C7A5637"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1094" w:type="pct"/>
            <w:shd w:val="clear" w:color="auto" w:fill="C6EFCE"/>
            <w:noWrap/>
          </w:tcPr>
          <w:p w14:paraId="2C728EFF" w14:textId="44BCD4B5" w:rsidR="000F72B9" w:rsidRPr="001F3EBA" w:rsidRDefault="000F72B9" w:rsidP="00EB23AC">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Reports issued by the RIF for at least 231 projects on R&amp;I activities. </w:t>
            </w:r>
          </w:p>
        </w:tc>
      </w:tr>
      <w:tr w:rsidR="000F72B9" w:rsidRPr="001F3EBA" w14:paraId="2E49C0A2" w14:textId="77777777" w:rsidTr="001F3EBA">
        <w:trPr>
          <w:trHeight w:val="313"/>
          <w:jc w:val="center"/>
        </w:trPr>
        <w:tc>
          <w:tcPr>
            <w:tcW w:w="414" w:type="pct"/>
            <w:shd w:val="clear" w:color="auto" w:fill="C6EFCE"/>
            <w:noWrap/>
          </w:tcPr>
          <w:p w14:paraId="7A3B3A5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130</w:t>
            </w:r>
          </w:p>
        </w:tc>
        <w:tc>
          <w:tcPr>
            <w:tcW w:w="464" w:type="pct"/>
            <w:shd w:val="clear" w:color="auto" w:fill="C6EFCE"/>
            <w:noWrap/>
          </w:tcPr>
          <w:p w14:paraId="4D3A9830"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C3.2I3</w:t>
            </w:r>
          </w:p>
          <w:p w14:paraId="2EC4F921" w14:textId="7191227A" w:rsidR="000F72B9" w:rsidRPr="001F3EBA" w:rsidRDefault="000F72B9" w:rsidP="00EB23AC">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R&amp;I funding program on green transition</w:t>
            </w:r>
          </w:p>
        </w:tc>
        <w:tc>
          <w:tcPr>
            <w:tcW w:w="385" w:type="pct"/>
            <w:shd w:val="clear" w:color="auto" w:fill="C6EFCE"/>
            <w:noWrap/>
          </w:tcPr>
          <w:p w14:paraId="5596246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tcPr>
          <w:p w14:paraId="7C0067B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Signature of grant agreements for a R&amp;I funding programme of EUR 6 million budget</w:t>
            </w:r>
          </w:p>
        </w:tc>
        <w:tc>
          <w:tcPr>
            <w:tcW w:w="475" w:type="pct"/>
            <w:shd w:val="clear" w:color="auto" w:fill="C6EFCE"/>
            <w:noWrap/>
          </w:tcPr>
          <w:p w14:paraId="369732C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Grant agreements signed by the Director of the Research and Innovation Foundation</w:t>
            </w:r>
          </w:p>
        </w:tc>
        <w:tc>
          <w:tcPr>
            <w:tcW w:w="343" w:type="pct"/>
            <w:shd w:val="clear" w:color="auto" w:fill="C6EFCE"/>
            <w:noWrap/>
          </w:tcPr>
          <w:p w14:paraId="6183630A"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tcPr>
          <w:p w14:paraId="087B6EAC"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tcPr>
          <w:p w14:paraId="02516F84"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tcPr>
          <w:p w14:paraId="092FC2D2"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Q4</w:t>
            </w:r>
          </w:p>
        </w:tc>
        <w:tc>
          <w:tcPr>
            <w:tcW w:w="339" w:type="pct"/>
            <w:shd w:val="clear" w:color="auto" w:fill="C6EFCE"/>
            <w:noWrap/>
          </w:tcPr>
          <w:p w14:paraId="085197AF"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2022</w:t>
            </w:r>
          </w:p>
        </w:tc>
        <w:tc>
          <w:tcPr>
            <w:tcW w:w="1094" w:type="pct"/>
            <w:shd w:val="clear" w:color="auto" w:fill="C6EFCE"/>
            <w:noWrap/>
          </w:tcPr>
          <w:p w14:paraId="3D34D12F" w14:textId="708FCF84"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Signing of grant agreements for the selected proposals to be funded under a R&amp;I funding program on green transition, with a total budget of EUR</w:t>
            </w:r>
            <w:r w:rsidR="00322C8E">
              <w:rPr>
                <w:rFonts w:ascii="Times New Roman" w:hAnsi="Times New Roman" w:cs="Times New Roman"/>
                <w:noProof/>
                <w:sz w:val="18"/>
                <w:szCs w:val="18"/>
              </w:rPr>
              <w:t> </w:t>
            </w:r>
            <w:r w:rsidRPr="001F3EBA">
              <w:rPr>
                <w:rFonts w:ascii="Times New Roman" w:hAnsi="Times New Roman" w:cs="Times New Roman"/>
                <w:noProof/>
                <w:sz w:val="18"/>
                <w:szCs w:val="18"/>
              </w:rPr>
              <w:t>6</w:t>
            </w:r>
            <w:r w:rsidR="00322C8E">
              <w:rPr>
                <w:rFonts w:ascii="Times New Roman" w:hAnsi="Times New Roman" w:cs="Times New Roman"/>
                <w:noProof/>
                <w:sz w:val="18"/>
                <w:szCs w:val="18"/>
              </w:rPr>
              <w:t> </w:t>
            </w:r>
            <w:r w:rsidRPr="001F3EBA">
              <w:rPr>
                <w:rFonts w:ascii="Times New Roman" w:hAnsi="Times New Roman" w:cs="Times New Roman"/>
                <w:noProof/>
                <w:sz w:val="18"/>
                <w:szCs w:val="18"/>
              </w:rPr>
              <w:t>million,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0F72B9" w:rsidRPr="001F3EBA" w14:paraId="79531040" w14:textId="77777777" w:rsidTr="001F3EBA">
        <w:trPr>
          <w:trHeight w:val="313"/>
          <w:jc w:val="center"/>
        </w:trPr>
        <w:tc>
          <w:tcPr>
            <w:tcW w:w="414" w:type="pct"/>
            <w:shd w:val="clear" w:color="auto" w:fill="C6EFCE"/>
            <w:noWrap/>
          </w:tcPr>
          <w:p w14:paraId="5E6FE183"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131a</w:t>
            </w:r>
          </w:p>
        </w:tc>
        <w:tc>
          <w:tcPr>
            <w:tcW w:w="464" w:type="pct"/>
            <w:shd w:val="clear" w:color="auto" w:fill="C6EFCE"/>
            <w:noWrap/>
          </w:tcPr>
          <w:p w14:paraId="052B568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C3.2I3</w:t>
            </w:r>
          </w:p>
          <w:p w14:paraId="6AA431A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R&amp;I funding program on green transition</w:t>
            </w:r>
          </w:p>
        </w:tc>
        <w:tc>
          <w:tcPr>
            <w:tcW w:w="385" w:type="pct"/>
            <w:shd w:val="clear" w:color="auto" w:fill="C6EFCE"/>
            <w:noWrap/>
          </w:tcPr>
          <w:p w14:paraId="3811594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556" w:type="pct"/>
            <w:shd w:val="clear" w:color="auto" w:fill="C6EFCE"/>
            <w:noWrap/>
          </w:tcPr>
          <w:p w14:paraId="0C9B3744"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Projects on green transition R&amp;I activities</w:t>
            </w:r>
          </w:p>
        </w:tc>
        <w:tc>
          <w:tcPr>
            <w:tcW w:w="475" w:type="pct"/>
            <w:shd w:val="clear" w:color="auto" w:fill="C6EFCE"/>
            <w:noWrap/>
          </w:tcPr>
          <w:p w14:paraId="39A3D4D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3" w:type="pct"/>
            <w:shd w:val="clear" w:color="auto" w:fill="C6EFCE"/>
            <w:noWrap/>
          </w:tcPr>
          <w:p w14:paraId="5D290B3A"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345" w:type="pct"/>
            <w:shd w:val="clear" w:color="auto" w:fill="C6EFCE"/>
            <w:noWrap/>
          </w:tcPr>
          <w:p w14:paraId="0AA0A915"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244" w:type="pct"/>
            <w:shd w:val="clear" w:color="auto" w:fill="C6EFCE"/>
            <w:noWrap/>
          </w:tcPr>
          <w:p w14:paraId="50834B84"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10</w:t>
            </w:r>
          </w:p>
        </w:tc>
        <w:tc>
          <w:tcPr>
            <w:tcW w:w="342" w:type="pct"/>
            <w:shd w:val="clear" w:color="auto" w:fill="C6EFCE"/>
            <w:noWrap/>
          </w:tcPr>
          <w:p w14:paraId="57F4EC54"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339" w:type="pct"/>
            <w:shd w:val="clear" w:color="auto" w:fill="C6EFCE"/>
            <w:noWrap/>
          </w:tcPr>
          <w:p w14:paraId="6A1B4980"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1094" w:type="pct"/>
            <w:shd w:val="clear" w:color="auto" w:fill="C6EFCE"/>
            <w:noWrap/>
          </w:tcPr>
          <w:p w14:paraId="33DF9E6C"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Reports issued by the RIF for at least 10 projects on green transition R&amp;I activities. </w:t>
            </w:r>
          </w:p>
          <w:p w14:paraId="24CD76CB" w14:textId="77777777" w:rsidR="000F72B9" w:rsidRPr="001F3EBA" w:rsidRDefault="000F72B9" w:rsidP="00C443D9">
            <w:pPr>
              <w:spacing w:after="0" w:line="240" w:lineRule="auto"/>
              <w:jc w:val="both"/>
              <w:rPr>
                <w:rFonts w:ascii="Times New Roman" w:hAnsi="Times New Roman" w:cs="Times New Roman"/>
                <w:noProof/>
                <w:sz w:val="18"/>
                <w:szCs w:val="18"/>
              </w:rPr>
            </w:pPr>
          </w:p>
        </w:tc>
      </w:tr>
      <w:tr w:rsidR="000F72B9" w:rsidRPr="001F3EBA" w14:paraId="4F3A1221" w14:textId="77777777" w:rsidTr="00C443D9">
        <w:trPr>
          <w:trHeight w:val="2796"/>
          <w:jc w:val="center"/>
        </w:trPr>
        <w:tc>
          <w:tcPr>
            <w:tcW w:w="414" w:type="pct"/>
            <w:shd w:val="clear" w:color="auto" w:fill="C6EFCE"/>
            <w:noWrap/>
          </w:tcPr>
          <w:p w14:paraId="02A3648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132</w:t>
            </w:r>
          </w:p>
        </w:tc>
        <w:tc>
          <w:tcPr>
            <w:tcW w:w="464" w:type="pct"/>
            <w:shd w:val="clear" w:color="auto" w:fill="C6EFCE"/>
            <w:noWrap/>
          </w:tcPr>
          <w:p w14:paraId="515483DB"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C3.2I4</w:t>
            </w:r>
          </w:p>
          <w:p w14:paraId="32534938"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Funding to organisations performing R&amp;D activities on dual technologies</w:t>
            </w:r>
          </w:p>
        </w:tc>
        <w:tc>
          <w:tcPr>
            <w:tcW w:w="385" w:type="pct"/>
            <w:shd w:val="clear" w:color="auto" w:fill="C6EFCE"/>
            <w:noWrap/>
          </w:tcPr>
          <w:p w14:paraId="402CBFF6"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Milestone</w:t>
            </w:r>
          </w:p>
        </w:tc>
        <w:tc>
          <w:tcPr>
            <w:tcW w:w="556" w:type="pct"/>
            <w:shd w:val="clear" w:color="auto" w:fill="C6EFCE"/>
            <w:noWrap/>
          </w:tcPr>
          <w:p w14:paraId="0FCD194F"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Signing of grant agreements which commit 80% of total budget for funding to organisations performing R&amp;D activities on dual technologies</w:t>
            </w:r>
          </w:p>
        </w:tc>
        <w:tc>
          <w:tcPr>
            <w:tcW w:w="475" w:type="pct"/>
            <w:shd w:val="clear" w:color="auto" w:fill="C6EFCE"/>
            <w:noWrap/>
          </w:tcPr>
          <w:p w14:paraId="4A50B67A"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Grant agreements signed</w:t>
            </w:r>
          </w:p>
        </w:tc>
        <w:tc>
          <w:tcPr>
            <w:tcW w:w="343" w:type="pct"/>
            <w:shd w:val="clear" w:color="auto" w:fill="C6EFCE"/>
            <w:noWrap/>
          </w:tcPr>
          <w:p w14:paraId="15754ACD"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5" w:type="pct"/>
            <w:shd w:val="clear" w:color="auto" w:fill="C6EFCE"/>
            <w:noWrap/>
          </w:tcPr>
          <w:p w14:paraId="4FC36434"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244" w:type="pct"/>
            <w:shd w:val="clear" w:color="auto" w:fill="C6EFCE"/>
            <w:noWrap/>
          </w:tcPr>
          <w:p w14:paraId="15E7EE8B"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2" w:type="pct"/>
            <w:shd w:val="clear" w:color="auto" w:fill="C6EFCE"/>
            <w:noWrap/>
          </w:tcPr>
          <w:p w14:paraId="7DB70131"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339" w:type="pct"/>
            <w:shd w:val="clear" w:color="auto" w:fill="C6EFCE"/>
            <w:noWrap/>
          </w:tcPr>
          <w:p w14:paraId="70B5A591"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2023</w:t>
            </w:r>
          </w:p>
        </w:tc>
        <w:tc>
          <w:tcPr>
            <w:tcW w:w="1094" w:type="pct"/>
            <w:shd w:val="clear" w:color="auto" w:fill="C6EFCE"/>
            <w:noWrap/>
          </w:tcPr>
          <w:p w14:paraId="039D93C1"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Signing of grant agreements which commit 80% of total budget (contracts of at least a total value of 2 400 000 euro total budget) for funding to organisations performing R&amp;D activities on dual technologies,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0F72B9" w:rsidRPr="001F3EBA" w14:paraId="731ADF71" w14:textId="77777777" w:rsidTr="001F3EBA">
        <w:trPr>
          <w:trHeight w:val="313"/>
          <w:jc w:val="center"/>
        </w:trPr>
        <w:tc>
          <w:tcPr>
            <w:tcW w:w="414" w:type="pct"/>
            <w:shd w:val="clear" w:color="auto" w:fill="C6EFCE"/>
            <w:noWrap/>
          </w:tcPr>
          <w:p w14:paraId="01D64C9E"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133</w:t>
            </w:r>
          </w:p>
        </w:tc>
        <w:tc>
          <w:tcPr>
            <w:tcW w:w="464" w:type="pct"/>
            <w:shd w:val="clear" w:color="auto" w:fill="C6EFCE"/>
            <w:noWrap/>
          </w:tcPr>
          <w:p w14:paraId="1545E799"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C3.2I4</w:t>
            </w:r>
          </w:p>
          <w:p w14:paraId="35D293C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 xml:space="preserve">Funding schemes for R&amp;D activities on dual-use technologies and classified laboratories </w:t>
            </w:r>
          </w:p>
        </w:tc>
        <w:tc>
          <w:tcPr>
            <w:tcW w:w="385" w:type="pct"/>
            <w:shd w:val="clear" w:color="auto" w:fill="C6EFCE"/>
            <w:noWrap/>
          </w:tcPr>
          <w:p w14:paraId="6A7C16CD"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Target</w:t>
            </w:r>
          </w:p>
        </w:tc>
        <w:tc>
          <w:tcPr>
            <w:tcW w:w="556" w:type="pct"/>
            <w:shd w:val="clear" w:color="auto" w:fill="C6EFCE"/>
            <w:noWrap/>
          </w:tcPr>
          <w:p w14:paraId="3583AAB0" w14:textId="52C0808A"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Facility security clearance certificates</w:t>
            </w:r>
            <w:r w:rsidR="00064579">
              <w:rPr>
                <w:rFonts w:ascii="Times New Roman" w:hAnsi="Times New Roman" w:cs="Times New Roman"/>
                <w:noProof/>
                <w:sz w:val="18"/>
                <w:szCs w:val="18"/>
              </w:rPr>
              <w:t xml:space="preserve"> </w:t>
            </w:r>
          </w:p>
        </w:tc>
        <w:tc>
          <w:tcPr>
            <w:tcW w:w="475" w:type="pct"/>
            <w:shd w:val="clear" w:color="auto" w:fill="C6EFCE"/>
            <w:noWrap/>
          </w:tcPr>
          <w:p w14:paraId="1737F137" w14:textId="77777777" w:rsidR="000F72B9" w:rsidRPr="001F3EBA" w:rsidRDefault="000F72B9" w:rsidP="00D8670B">
            <w:pPr>
              <w:spacing w:after="0" w:line="240" w:lineRule="auto"/>
              <w:rPr>
                <w:rFonts w:ascii="Times New Roman" w:hAnsi="Times New Roman" w:cs="Times New Roman"/>
                <w:noProof/>
                <w:sz w:val="18"/>
                <w:szCs w:val="18"/>
              </w:rPr>
            </w:pPr>
            <w:r w:rsidRPr="001F3EBA">
              <w:rPr>
                <w:rFonts w:ascii="Times New Roman" w:hAnsi="Times New Roman" w:cs="Times New Roman"/>
                <w:noProof/>
                <w:sz w:val="18"/>
                <w:szCs w:val="18"/>
              </w:rPr>
              <w:t>-</w:t>
            </w:r>
          </w:p>
        </w:tc>
        <w:tc>
          <w:tcPr>
            <w:tcW w:w="343" w:type="pct"/>
            <w:shd w:val="clear" w:color="auto" w:fill="C6EFCE"/>
            <w:noWrap/>
          </w:tcPr>
          <w:p w14:paraId="582D8533"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Number</w:t>
            </w:r>
          </w:p>
        </w:tc>
        <w:tc>
          <w:tcPr>
            <w:tcW w:w="345" w:type="pct"/>
            <w:shd w:val="clear" w:color="auto" w:fill="C6EFCE"/>
            <w:noWrap/>
          </w:tcPr>
          <w:p w14:paraId="655BD489"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0</w:t>
            </w:r>
          </w:p>
        </w:tc>
        <w:tc>
          <w:tcPr>
            <w:tcW w:w="244" w:type="pct"/>
            <w:shd w:val="clear" w:color="auto" w:fill="C6EFCE"/>
            <w:noWrap/>
          </w:tcPr>
          <w:p w14:paraId="0EF571E6"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16</w:t>
            </w:r>
          </w:p>
        </w:tc>
        <w:tc>
          <w:tcPr>
            <w:tcW w:w="342" w:type="pct"/>
            <w:shd w:val="clear" w:color="auto" w:fill="C6EFCE"/>
            <w:noWrap/>
          </w:tcPr>
          <w:p w14:paraId="791F4E22"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Q2</w:t>
            </w:r>
          </w:p>
        </w:tc>
        <w:tc>
          <w:tcPr>
            <w:tcW w:w="339" w:type="pct"/>
            <w:shd w:val="clear" w:color="auto" w:fill="C6EFCE"/>
            <w:noWrap/>
          </w:tcPr>
          <w:p w14:paraId="4105566D" w14:textId="77777777" w:rsidR="000F72B9" w:rsidRPr="001F3EBA" w:rsidRDefault="000F72B9" w:rsidP="00C443D9">
            <w:pPr>
              <w:spacing w:after="0" w:line="240" w:lineRule="auto"/>
              <w:jc w:val="center"/>
              <w:rPr>
                <w:rFonts w:ascii="Times New Roman" w:hAnsi="Times New Roman" w:cs="Times New Roman"/>
                <w:noProof/>
                <w:sz w:val="18"/>
                <w:szCs w:val="18"/>
              </w:rPr>
            </w:pPr>
            <w:r w:rsidRPr="001F3EBA">
              <w:rPr>
                <w:rFonts w:ascii="Times New Roman" w:hAnsi="Times New Roman" w:cs="Times New Roman"/>
                <w:noProof/>
                <w:sz w:val="18"/>
                <w:szCs w:val="18"/>
              </w:rPr>
              <w:t>2026</w:t>
            </w:r>
          </w:p>
        </w:tc>
        <w:tc>
          <w:tcPr>
            <w:tcW w:w="1094" w:type="pct"/>
            <w:shd w:val="clear" w:color="auto" w:fill="C6EFCE"/>
            <w:noWrap/>
          </w:tcPr>
          <w:p w14:paraId="04D178FB" w14:textId="77777777" w:rsidR="000F72B9" w:rsidRPr="001F3EBA" w:rsidRDefault="000F72B9" w:rsidP="00C443D9">
            <w:pPr>
              <w:spacing w:after="0" w:line="240" w:lineRule="auto"/>
              <w:jc w:val="both"/>
              <w:rPr>
                <w:rFonts w:ascii="Times New Roman" w:hAnsi="Times New Roman" w:cs="Times New Roman"/>
                <w:noProof/>
                <w:sz w:val="18"/>
                <w:szCs w:val="18"/>
              </w:rPr>
            </w:pPr>
            <w:r w:rsidRPr="001F3EBA">
              <w:rPr>
                <w:rFonts w:ascii="Times New Roman" w:hAnsi="Times New Roman" w:cs="Times New Roman"/>
                <w:noProof/>
                <w:sz w:val="18"/>
                <w:szCs w:val="18"/>
              </w:rPr>
              <w:t xml:space="preserve">At least 16 facility security clearance certificates issued. </w:t>
            </w:r>
          </w:p>
        </w:tc>
      </w:tr>
    </w:tbl>
    <w:p w14:paraId="315818DB" w14:textId="77777777" w:rsidR="000F72B9" w:rsidRPr="000F04FA" w:rsidRDefault="000F72B9" w:rsidP="000F72B9">
      <w:pPr>
        <w:rPr>
          <w:noProof/>
        </w:rPr>
      </w:pPr>
    </w:p>
    <w:p w14:paraId="5D1B7C8B" w14:textId="77777777" w:rsidR="000F72B9" w:rsidRPr="000F04FA" w:rsidRDefault="000F72B9" w:rsidP="000F72B9">
      <w:pPr>
        <w:rPr>
          <w:noProof/>
        </w:rPr>
        <w:sectPr w:rsidR="000F72B9" w:rsidRPr="000F04FA" w:rsidSect="000F72B9">
          <w:headerReference w:type="even" r:id="rId56"/>
          <w:headerReference w:type="default" r:id="rId57"/>
          <w:footerReference w:type="even" r:id="rId58"/>
          <w:footerReference w:type="default" r:id="rId59"/>
          <w:headerReference w:type="first" r:id="rId60"/>
          <w:footerReference w:type="first" r:id="rId61"/>
          <w:pgSz w:w="16839" w:h="11907" w:orient="landscape"/>
          <w:pgMar w:top="1134" w:right="1134" w:bottom="1134" w:left="1134" w:header="567" w:footer="567" w:gutter="0"/>
          <w:cols w:space="720"/>
          <w:docGrid w:linePitch="360"/>
        </w:sectPr>
      </w:pPr>
    </w:p>
    <w:p w14:paraId="353E89E4" w14:textId="77777777" w:rsidR="000F72B9" w:rsidRPr="000F04FA" w:rsidRDefault="000F72B9" w:rsidP="00D8670B">
      <w:pPr>
        <w:keepNext/>
        <w:tabs>
          <w:tab w:val="left" w:pos="850"/>
        </w:tabs>
        <w:spacing w:after="120" w:line="240" w:lineRule="auto"/>
        <w:ind w:left="850" w:hanging="850"/>
        <w:jc w:val="both"/>
        <w:outlineLvl w:val="0"/>
        <w:rPr>
          <w:rFonts w:ascii="Times New Roman" w:hAnsi="Times New Roman"/>
          <w:b/>
          <w:bCs/>
          <w:smallCaps/>
          <w:noProof/>
        </w:rPr>
      </w:pPr>
      <w:r w:rsidRPr="000F04FA">
        <w:rPr>
          <w:rFonts w:ascii="Times New Roman" w:hAnsi="Times New Roman"/>
          <w:b/>
          <w:bCs/>
          <w:smallCaps/>
          <w:noProof/>
        </w:rPr>
        <w:t>G. COMPONENT 3.3: Business support for Competitiveness</w:t>
      </w:r>
    </w:p>
    <w:p w14:paraId="3B3CC1E0"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This component of the Cypriot Recovery and Resilience plan addresses the challenges of low productivity and competitiveness of the economy, driven by the enterprises’ small size on average, the complex licensing process requested for an investment and difficulties of access to funding to business. The objectives of this component are to support entrepreneurs and enterprises and improve their competitiveness and contribution to the growth of the economy by improving the regulatory framework regarding investment and entrepreneurial activity and to enhance SMEs productivity, mainly through digitalisation. It consists of six reforms and four investments, to be completed by Q2 2026.</w:t>
      </w:r>
    </w:p>
    <w:p w14:paraId="24E6843F" w14:textId="77777777" w:rsidR="000F72B9" w:rsidRPr="000F04FA" w:rsidRDefault="000F72B9" w:rsidP="00D8670B">
      <w:pPr>
        <w:spacing w:before="120" w:after="120" w:line="240" w:lineRule="auto"/>
        <w:jc w:val="both"/>
        <w:rPr>
          <w:rFonts w:ascii="Times New Roman" w:hAnsi="Times New Roman"/>
          <w:noProof/>
        </w:rPr>
      </w:pPr>
      <w:r w:rsidRPr="000F04FA">
        <w:rPr>
          <w:rFonts w:ascii="Times New Roman" w:hAnsi="Times New Roman"/>
          <w:noProof/>
        </w:rPr>
        <w:t xml:space="preserve">The component addresses the Country-Specific Recommendation 3 of 2020 and Country-Specific Recommendation 4 of 2019. </w:t>
      </w:r>
    </w:p>
    <w:p w14:paraId="3A6C1E82" w14:textId="77777777" w:rsidR="000F72B9" w:rsidRPr="000F04FA" w:rsidRDefault="000F72B9" w:rsidP="00D8670B">
      <w:pPr>
        <w:spacing w:after="120" w:line="240" w:lineRule="auto"/>
        <w:jc w:val="both"/>
        <w:rPr>
          <w:rFonts w:ascii="Times New Roman" w:hAnsi="Times New Roman"/>
          <w:i/>
          <w:noProof/>
        </w:rPr>
      </w:pPr>
    </w:p>
    <w:p w14:paraId="29DB1CC6" w14:textId="55EBB118" w:rsidR="00C443D9" w:rsidRPr="00C443D9" w:rsidRDefault="000F72B9" w:rsidP="00D8670B">
      <w:pPr>
        <w:spacing w:after="120" w:line="240" w:lineRule="auto"/>
        <w:jc w:val="both"/>
        <w:rPr>
          <w:rFonts w:ascii="Times New Roman" w:hAnsi="Times New Roman"/>
          <w:b/>
          <w:noProof/>
          <w:u w:val="single"/>
        </w:rPr>
      </w:pPr>
      <w:r w:rsidRPr="000F04FA">
        <w:rPr>
          <w:rFonts w:ascii="Times New Roman" w:hAnsi="Times New Roman"/>
          <w:b/>
          <w:noProof/>
          <w:u w:val="single"/>
        </w:rPr>
        <w:t xml:space="preserve">G.1. </w:t>
      </w:r>
      <w:r w:rsidRPr="000F04FA">
        <w:rPr>
          <w:noProof/>
        </w:rPr>
        <w:tab/>
      </w:r>
      <w:r w:rsidRPr="000F04FA">
        <w:rPr>
          <w:rFonts w:ascii="Times New Roman" w:hAnsi="Times New Roman"/>
          <w:b/>
          <w:noProof/>
          <w:u w:val="single"/>
        </w:rPr>
        <w:t>Description of the reforms and investments for non-repayable financial support</w:t>
      </w:r>
    </w:p>
    <w:p w14:paraId="53A141ED" w14:textId="06E3BA95" w:rsidR="000F72B9" w:rsidRPr="000F04FA" w:rsidRDefault="000F72B9" w:rsidP="00D8670B">
      <w:pPr>
        <w:spacing w:after="120" w:line="240" w:lineRule="auto"/>
        <w:jc w:val="both"/>
        <w:rPr>
          <w:rFonts w:ascii="Times New Roman" w:hAnsi="Times New Roman"/>
          <w:noProof/>
          <w:u w:val="single"/>
        </w:rPr>
      </w:pPr>
      <w:r w:rsidRPr="000F04FA">
        <w:rPr>
          <w:rFonts w:ascii="Times New Roman" w:hAnsi="Times New Roman"/>
          <w:noProof/>
          <w:u w:val="single"/>
        </w:rPr>
        <w:t>Investment 1 (C3.3I1):</w:t>
      </w:r>
      <w:r w:rsidR="00064579">
        <w:rPr>
          <w:rFonts w:ascii="Times New Roman" w:hAnsi="Times New Roman"/>
          <w:noProof/>
          <w:u w:val="single"/>
        </w:rPr>
        <w:t xml:space="preserve"> </w:t>
      </w:r>
      <w:r w:rsidRPr="000F04FA">
        <w:rPr>
          <w:rFonts w:ascii="Times New Roman" w:hAnsi="Times New Roman"/>
          <w:noProof/>
          <w:u w:val="single"/>
        </w:rPr>
        <w:t>Information system for the Department of Registrar of Companies and Intellectual Property.</w:t>
      </w:r>
    </w:p>
    <w:p w14:paraId="6C6B0E0A" w14:textId="77777777" w:rsidR="000F72B9" w:rsidRPr="000F04FA" w:rsidRDefault="000F72B9" w:rsidP="00D8670B">
      <w:pPr>
        <w:spacing w:after="120" w:line="240" w:lineRule="auto"/>
        <w:jc w:val="both"/>
        <w:rPr>
          <w:rFonts w:ascii="Times New Roman" w:eastAsia="Times New Roman" w:hAnsi="Times New Roman" w:cs="Times New Roman"/>
          <w:noProof/>
        </w:rPr>
      </w:pPr>
      <w:r w:rsidRPr="000F04FA">
        <w:rPr>
          <w:rFonts w:ascii="Times New Roman" w:hAnsi="Times New Roman"/>
          <w:noProof/>
        </w:rPr>
        <w:t>The objective of this investment is to support and digitalize the Department of Registrar of Companies and Intellectual Property.</w:t>
      </w:r>
    </w:p>
    <w:p w14:paraId="620699E1"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This measure consists in a Registry Platform for the Companies Section of the Department of Registrar of Companies and Intellectual Property and trainings being provided.</w:t>
      </w:r>
    </w:p>
    <w:p w14:paraId="324A3D82" w14:textId="77777777" w:rsidR="000F72B9" w:rsidRPr="000F04FA" w:rsidRDefault="000F72B9" w:rsidP="00D8670B">
      <w:pPr>
        <w:spacing w:after="120" w:line="240" w:lineRule="auto"/>
        <w:jc w:val="both"/>
        <w:rPr>
          <w:rFonts w:ascii="Times New Roman" w:hAnsi="Times New Roman"/>
          <w:b/>
          <w:noProof/>
          <w:u w:val="single"/>
        </w:rPr>
      </w:pPr>
    </w:p>
    <w:p w14:paraId="652665DD" w14:textId="77777777" w:rsidR="000F72B9" w:rsidRPr="000F04FA" w:rsidRDefault="000F72B9" w:rsidP="00D8670B">
      <w:pPr>
        <w:spacing w:after="120" w:line="240" w:lineRule="auto"/>
        <w:jc w:val="both"/>
        <w:rPr>
          <w:rFonts w:ascii="Times New Roman" w:hAnsi="Times New Roman"/>
          <w:noProof/>
          <w:u w:val="single"/>
          <w14:ligatures w14:val="standardContextual"/>
        </w:rPr>
      </w:pPr>
      <w:r w:rsidRPr="000F04FA">
        <w:rPr>
          <w:rFonts w:ascii="Times New Roman" w:hAnsi="Times New Roman"/>
          <w:noProof/>
          <w:u w:val="single"/>
        </w:rPr>
        <w:t>Reform 1 (C3.3R1): Facilitation of Strategic investments</w:t>
      </w:r>
    </w:p>
    <w:p w14:paraId="0D1EADA0" w14:textId="77777777" w:rsidR="000F72B9" w:rsidRPr="000F04FA" w:rsidRDefault="000F72B9" w:rsidP="00D8670B">
      <w:pPr>
        <w:spacing w:after="120" w:line="240" w:lineRule="auto"/>
        <w:jc w:val="both"/>
        <w:rPr>
          <w:rFonts w:ascii="Times New Roman" w:hAnsi="Times New Roman"/>
          <w:noProof/>
          <w14:ligatures w14:val="standardContextual"/>
        </w:rPr>
      </w:pPr>
      <w:r w:rsidRPr="000F04FA">
        <w:rPr>
          <w:rFonts w:ascii="Times New Roman" w:hAnsi="Times New Roman"/>
          <w:noProof/>
        </w:rPr>
        <w:t>The objective of the measure is to develop a new system supporting strategic investments, aiming at stimulating investment activity in the country through streamlined rules and mechanisms, simplifying the licencing and permit procedures, reducing the administrative burden, and making the strategic investment environment more efficient. The definition of strategic investment refers to investments in strategic sectors (including Health and Social Care, Education, Culture, Sport, Environment, Industry, Tourism, Energy, Research, Development, and Innovation) that significantly contribute to the development of the economy.</w:t>
      </w:r>
    </w:p>
    <w:p w14:paraId="6CF77A89" w14:textId="77777777" w:rsidR="000F72B9" w:rsidRPr="000F04FA" w:rsidRDefault="000F72B9" w:rsidP="00D8670B">
      <w:pPr>
        <w:spacing w:after="120" w:line="240" w:lineRule="auto"/>
        <w:jc w:val="both"/>
        <w:rPr>
          <w:rFonts w:ascii="Times New Roman" w:hAnsi="Times New Roman"/>
          <w:noProof/>
        </w:rPr>
      </w:pPr>
      <w:r w:rsidRPr="000F04FA">
        <w:rPr>
          <w:rFonts w:ascii="Times New Roman" w:hAnsi="Times New Roman"/>
          <w:noProof/>
        </w:rPr>
        <w:t xml:space="preserve">The reform shall consist in the entry into force of a legislation for the facilitation of strategic investments, in regards to the efficiency of obtaining investment licenses and building permits. A dedicated governmental sector shall be assigned for the processing of strategic investments. It shall consist in the preparation of the operational guidelines, process flows, and other ISO 9001:2015 requirements for mainstreaming the process. It shall develop Memorandum of Understandings with other Departments relevant to parts of the process in order to ensure the fast-track mechanism’s feasibility. Moreover, it shall include training of employees in the procedures to be introduced. In addition, the reform shall benefit from the set-up of a digital platform that shall enable applying, studying, and issuing Planning and Building Permits digitally, through an application management tool and a GIS system (project under Component 3.4: “enhancing e-system for issuing building permits”). </w:t>
      </w:r>
    </w:p>
    <w:p w14:paraId="6D24C870" w14:textId="3CF5A538" w:rsidR="000F72B9" w:rsidRPr="00322C8E" w:rsidRDefault="000F72B9" w:rsidP="00D8670B">
      <w:pPr>
        <w:spacing w:after="120" w:line="240" w:lineRule="auto"/>
        <w:jc w:val="both"/>
        <w:rPr>
          <w:rFonts w:ascii="Times New Roman" w:hAnsi="Times New Roman"/>
          <w:noProof/>
        </w:rPr>
      </w:pPr>
      <w:r w:rsidRPr="000F04FA">
        <w:rPr>
          <w:rFonts w:ascii="Times New Roman" w:hAnsi="Times New Roman"/>
          <w:noProof/>
        </w:rPr>
        <w:t>The implementation of the reform shall be completed by 30</w:t>
      </w:r>
      <w:r w:rsidR="00322C8E" w:rsidRPr="00322C8E">
        <w:rPr>
          <w:rFonts w:ascii="Times New Roman" w:hAnsi="Times New Roman"/>
          <w:noProof/>
        </w:rPr>
        <w:t> </w:t>
      </w:r>
      <w:r w:rsidRPr="000F04FA">
        <w:rPr>
          <w:rFonts w:ascii="Times New Roman" w:hAnsi="Times New Roman"/>
          <w:noProof/>
        </w:rPr>
        <w:t>June</w:t>
      </w:r>
      <w:r w:rsidR="00322C8E" w:rsidRPr="00322C8E">
        <w:rPr>
          <w:rFonts w:ascii="Times New Roman" w:hAnsi="Times New Roman"/>
          <w:noProof/>
        </w:rPr>
        <w:t> </w:t>
      </w:r>
      <w:r w:rsidRPr="000F04FA">
        <w:rPr>
          <w:rFonts w:ascii="Times New Roman" w:hAnsi="Times New Roman"/>
          <w:noProof/>
        </w:rPr>
        <w:t>2023.</w:t>
      </w:r>
    </w:p>
    <w:p w14:paraId="372A5578" w14:textId="77777777" w:rsidR="000F72B9" w:rsidRPr="000F04FA" w:rsidRDefault="000F72B9" w:rsidP="00D8670B">
      <w:pPr>
        <w:spacing w:after="120" w:line="240" w:lineRule="auto"/>
        <w:jc w:val="both"/>
        <w:rPr>
          <w:rFonts w:ascii="Times New Roman" w:hAnsi="Times New Roman"/>
          <w:noProof/>
          <w:u w:val="single"/>
        </w:rPr>
      </w:pPr>
    </w:p>
    <w:p w14:paraId="6E1D9BE8" w14:textId="77777777" w:rsidR="000F72B9" w:rsidRPr="000F04FA" w:rsidRDefault="000F72B9" w:rsidP="00D8670B">
      <w:pPr>
        <w:spacing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2 (C3.3R2): Supporting Fast-Track Business Activation Mechanism</w:t>
      </w:r>
    </w:p>
    <w:p w14:paraId="00F2FFC8" w14:textId="77777777" w:rsidR="000F72B9" w:rsidRPr="000F04FA" w:rsidRDefault="000F72B9" w:rsidP="00D8670B">
      <w:pPr>
        <w:spacing w:after="120" w:line="240" w:lineRule="auto"/>
        <w:jc w:val="both"/>
        <w:rPr>
          <w:rFonts w:ascii="Times New Roman" w:eastAsia="Times New Roman" w:hAnsi="Times New Roman" w:cs="Times New Roman"/>
          <w:noProof/>
        </w:rPr>
      </w:pPr>
      <w:r w:rsidRPr="000F04FA">
        <w:rPr>
          <w:rFonts w:ascii="Times New Roman" w:hAnsi="Times New Roman" w:cs="Times New Roman"/>
          <w:noProof/>
        </w:rPr>
        <w:t>The objective of this reform is the digitalisation of business support.</w:t>
      </w:r>
    </w:p>
    <w:p w14:paraId="054B4FBC" w14:textId="77777777" w:rsidR="000F72B9"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 xml:space="preserve">This measure consists in an interactive digital platform for business support being accessible. </w:t>
      </w:r>
    </w:p>
    <w:p w14:paraId="2CFD0113" w14:textId="77777777" w:rsidR="00C443D9" w:rsidRPr="000F04FA" w:rsidRDefault="00C443D9" w:rsidP="00D8670B">
      <w:pPr>
        <w:spacing w:after="120" w:line="240" w:lineRule="auto"/>
        <w:jc w:val="both"/>
        <w:rPr>
          <w:rFonts w:ascii="Times New Roman" w:eastAsia="Times New Roman" w:hAnsi="Times New Roman" w:cs="Times New Roman"/>
          <w:noProof/>
          <w:lang w:eastAsia="en-GB"/>
        </w:rPr>
      </w:pPr>
    </w:p>
    <w:p w14:paraId="3DF32331" w14:textId="77777777" w:rsidR="000F72B9" w:rsidRPr="000F04FA" w:rsidRDefault="000F72B9" w:rsidP="00D8670B">
      <w:pPr>
        <w:spacing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 xml:space="preserve">Reform 7 (C3.3R7): Screening of Foreign Direct Investment </w:t>
      </w:r>
    </w:p>
    <w:p w14:paraId="3399E708" w14:textId="77777777" w:rsidR="000F72B9" w:rsidRPr="000F04FA"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this reform is to establish a mechanism for assessing foreign direct investment in the economy. </w:t>
      </w:r>
    </w:p>
    <w:p w14:paraId="3240DFFF" w14:textId="77777777" w:rsidR="000F72B9" w:rsidRPr="000F04FA"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This measure consists in the entry into force of a Foreign Direct Investment screening law.</w:t>
      </w:r>
    </w:p>
    <w:p w14:paraId="7DDDF50D" w14:textId="77777777" w:rsidR="000F72B9" w:rsidRPr="000F04FA" w:rsidRDefault="000F72B9" w:rsidP="00D8670B">
      <w:pPr>
        <w:spacing w:after="120" w:line="240" w:lineRule="auto"/>
        <w:jc w:val="both"/>
        <w:rPr>
          <w:rFonts w:ascii="Times New Roman" w:hAnsi="Times New Roman" w:cs="Times New Roman"/>
          <w:noProof/>
        </w:rPr>
      </w:pPr>
    </w:p>
    <w:p w14:paraId="470EF580" w14:textId="480EE74E" w:rsidR="000F72B9" w:rsidRPr="000F04FA" w:rsidRDefault="000F72B9" w:rsidP="00D8670B">
      <w:pPr>
        <w:spacing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4 (C3.3R4): National Promotional Agency</w:t>
      </w:r>
    </w:p>
    <w:p w14:paraId="23ECFA0E" w14:textId="77777777" w:rsidR="000F72B9" w:rsidRPr="000F04FA"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w:t>
      </w:r>
      <w:r w:rsidRPr="000F04FA">
        <w:rPr>
          <w:rFonts w:ascii="Times New Roman" w:eastAsia="Calibri" w:hAnsi="Times New Roman" w:cs="Times New Roman"/>
          <w:noProof/>
        </w:rPr>
        <w:t>this</w:t>
      </w:r>
      <w:r w:rsidRPr="000F04FA">
        <w:rPr>
          <w:rFonts w:ascii="Times New Roman" w:hAnsi="Times New Roman" w:cs="Times New Roman"/>
          <w:noProof/>
        </w:rPr>
        <w:t xml:space="preserve"> reform is to </w:t>
      </w:r>
      <w:r w:rsidRPr="000F04FA">
        <w:rPr>
          <w:rFonts w:ascii="Times New Roman" w:eastAsia="Calibri" w:hAnsi="Times New Roman" w:cs="Times New Roman"/>
          <w:noProof/>
        </w:rPr>
        <w:t>facilitate</w:t>
      </w:r>
      <w:r w:rsidRPr="000F04FA">
        <w:rPr>
          <w:rFonts w:ascii="Times New Roman" w:hAnsi="Times New Roman" w:cs="Times New Roman"/>
          <w:noProof/>
        </w:rPr>
        <w:t xml:space="preserve"> access to finance for </w:t>
      </w:r>
      <w:r w:rsidRPr="000F04FA">
        <w:rPr>
          <w:rFonts w:ascii="Times New Roman" w:eastAsia="Calibri" w:hAnsi="Times New Roman" w:cs="Times New Roman"/>
          <w:noProof/>
        </w:rPr>
        <w:t>enterprises</w:t>
      </w:r>
      <w:r w:rsidRPr="000F04FA">
        <w:rPr>
          <w:rFonts w:ascii="Times New Roman" w:hAnsi="Times New Roman" w:cs="Times New Roman"/>
          <w:noProof/>
        </w:rPr>
        <w:t>.</w:t>
      </w:r>
    </w:p>
    <w:p w14:paraId="5541BAA9" w14:textId="062DC036" w:rsidR="000F72B9" w:rsidRPr="000F04FA" w:rsidRDefault="000F72B9" w:rsidP="00D8670B">
      <w:pPr>
        <w:spacing w:after="120" w:line="240" w:lineRule="auto"/>
        <w:jc w:val="both"/>
        <w:rPr>
          <w:rFonts w:ascii="Times New Roman" w:eastAsia="Times New Roman" w:hAnsi="Times New Roman" w:cs="Times New Roman"/>
          <w:noProof/>
        </w:rPr>
      </w:pPr>
      <w:r w:rsidRPr="000F04FA">
        <w:rPr>
          <w:rFonts w:ascii="Times New Roman" w:eastAsia="Calibri" w:hAnsi="Times New Roman" w:cs="Times New Roman"/>
          <w:noProof/>
        </w:rPr>
        <w:t xml:space="preserve">This measure consists in the appointment of the Board of Directors of a National Promotional Agency (NPA). </w:t>
      </w:r>
    </w:p>
    <w:p w14:paraId="55A2BB7C" w14:textId="77777777" w:rsidR="000F72B9" w:rsidRPr="000F04FA" w:rsidRDefault="000F72B9" w:rsidP="00D8670B">
      <w:pPr>
        <w:spacing w:after="120" w:line="240" w:lineRule="auto"/>
        <w:jc w:val="both"/>
        <w:rPr>
          <w:rFonts w:ascii="Times New Roman" w:hAnsi="Times New Roman" w:cs="Times New Roman"/>
          <w:noProof/>
        </w:rPr>
      </w:pPr>
    </w:p>
    <w:p w14:paraId="5EFF78EF" w14:textId="77777777" w:rsidR="000F72B9" w:rsidRPr="000F04FA" w:rsidRDefault="000F72B9" w:rsidP="00D8670B">
      <w:pPr>
        <w:spacing w:after="120" w:line="240" w:lineRule="auto"/>
        <w:jc w:val="both"/>
        <w:rPr>
          <w:rFonts w:ascii="Times New Roman" w:hAnsi="Times New Roman" w:cs="Times New Roman"/>
          <w:noProof/>
          <w:u w:val="single"/>
          <w14:ligatures w14:val="standardContextual"/>
        </w:rPr>
      </w:pPr>
      <w:r w:rsidRPr="000F04FA">
        <w:rPr>
          <w:rFonts w:ascii="Times New Roman" w:hAnsi="Times New Roman" w:cs="Times New Roman"/>
          <w:noProof/>
          <w:u w:val="single"/>
        </w:rPr>
        <w:t>Reform 6 (C3.3R6): Incentives to promote mergers &amp; acquisitions</w:t>
      </w:r>
    </w:p>
    <w:p w14:paraId="09CF5074" w14:textId="77777777" w:rsidR="000F72B9" w:rsidRPr="000F04FA" w:rsidRDefault="000F72B9" w:rsidP="00D8670B">
      <w:pPr>
        <w:spacing w:after="120" w:line="240" w:lineRule="auto"/>
        <w:jc w:val="both"/>
        <w:rPr>
          <w:rFonts w:ascii="Times New Roman" w:hAnsi="Times New Roman" w:cs="Times New Roman"/>
          <w:noProof/>
          <w14:ligatures w14:val="standardContextual"/>
        </w:rPr>
      </w:pPr>
      <w:r w:rsidRPr="000F04FA">
        <w:rPr>
          <w:rFonts w:ascii="Times New Roman" w:hAnsi="Times New Roman" w:cs="Times New Roman"/>
          <w:noProof/>
        </w:rPr>
        <w:t>The objective of the measure is to incentivise the increase of SMEs’ size.</w:t>
      </w:r>
    </w:p>
    <w:p w14:paraId="714E2DA2" w14:textId="77777777" w:rsidR="000F72B9" w:rsidRPr="000F04FA"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The reform shall consist in targeted incentives to promote the mergers or acquisitions of enterprises in order to scale-up and become more competitive. In particular, the reform shall consist in the approval of a report and an accompanying action plan by the Council of Ministers, following the evaluation of similar regimes within the EU and consultation with stakeholders for specific incentives for promoting mergers and acquisitions.</w:t>
      </w:r>
    </w:p>
    <w:p w14:paraId="5F39823B" w14:textId="34F6E430" w:rsidR="000F72B9" w:rsidRPr="000F04FA"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The implementation of the reform shall be completed by 31</w:t>
      </w:r>
      <w:r w:rsidR="00322C8E" w:rsidRPr="00322C8E">
        <w:rPr>
          <w:rFonts w:ascii="Times New Roman" w:hAnsi="Times New Roman" w:cs="Times New Roman"/>
          <w:noProof/>
        </w:rPr>
        <w:t> </w:t>
      </w:r>
      <w:r w:rsidRPr="000F04FA">
        <w:rPr>
          <w:rFonts w:ascii="Times New Roman" w:hAnsi="Times New Roman" w:cs="Times New Roman"/>
          <w:noProof/>
        </w:rPr>
        <w:t>December</w:t>
      </w:r>
      <w:r w:rsidR="00322C8E" w:rsidRPr="00322C8E">
        <w:rPr>
          <w:rFonts w:ascii="Times New Roman" w:hAnsi="Times New Roman" w:cs="Times New Roman"/>
          <w:noProof/>
        </w:rPr>
        <w:t> </w:t>
      </w:r>
      <w:r w:rsidRPr="000F04FA">
        <w:rPr>
          <w:rFonts w:ascii="Times New Roman" w:hAnsi="Times New Roman" w:cs="Times New Roman"/>
          <w:noProof/>
        </w:rPr>
        <w:t>2022.</w:t>
      </w:r>
    </w:p>
    <w:p w14:paraId="3C45FE4E" w14:textId="77777777" w:rsidR="000F72B9" w:rsidRPr="000F04FA" w:rsidRDefault="000F72B9" w:rsidP="00D8670B">
      <w:pPr>
        <w:spacing w:after="120" w:line="240" w:lineRule="auto"/>
        <w:jc w:val="both"/>
        <w:rPr>
          <w:rFonts w:ascii="Times New Roman" w:hAnsi="Times New Roman" w:cs="Times New Roman"/>
          <w:noProof/>
        </w:rPr>
      </w:pPr>
    </w:p>
    <w:p w14:paraId="6439CD40" w14:textId="77777777" w:rsidR="000F72B9" w:rsidRPr="000F04FA" w:rsidRDefault="000F72B9" w:rsidP="00D8670B">
      <w:pPr>
        <w:spacing w:after="120" w:line="240" w:lineRule="auto"/>
        <w:jc w:val="both"/>
        <w:rPr>
          <w:rFonts w:ascii="Times New Roman" w:hAnsi="Times New Roman" w:cs="Times New Roman"/>
          <w:noProof/>
          <w:u w:val="single"/>
          <w14:ligatures w14:val="standardContextual"/>
        </w:rPr>
      </w:pPr>
      <w:r w:rsidRPr="000F04FA">
        <w:rPr>
          <w:rFonts w:ascii="Times New Roman" w:hAnsi="Times New Roman" w:cs="Times New Roman"/>
          <w:noProof/>
          <w:u w:val="single"/>
        </w:rPr>
        <w:t xml:space="preserve">Investment 2 (C3.3I2): A Regulatory Sandbox </w:t>
      </w:r>
    </w:p>
    <w:p w14:paraId="18840511" w14:textId="77777777" w:rsidR="000F72B9" w:rsidRPr="000F04FA" w:rsidRDefault="000F72B9" w:rsidP="00D8670B">
      <w:pPr>
        <w:spacing w:after="120" w:line="240" w:lineRule="auto"/>
        <w:jc w:val="both"/>
        <w:rPr>
          <w:rFonts w:ascii="Times New Roman" w:hAnsi="Times New Roman" w:cs="Times New Roman"/>
          <w:noProof/>
          <w14:ligatures w14:val="standardContextual"/>
        </w:rPr>
      </w:pPr>
      <w:r w:rsidRPr="000F04FA">
        <w:rPr>
          <w:rFonts w:ascii="Times New Roman" w:hAnsi="Times New Roman" w:cs="Times New Roman"/>
          <w:noProof/>
        </w:rPr>
        <w:t xml:space="preserve">The objective of the measure is to allow companies to test products and services in a controlled environment. </w:t>
      </w:r>
    </w:p>
    <w:p w14:paraId="1BC31779" w14:textId="77777777" w:rsidR="000F72B9" w:rsidRPr="000F04FA" w:rsidRDefault="000F72B9" w:rsidP="00D8670B">
      <w:pPr>
        <w:spacing w:after="120" w:line="240" w:lineRule="auto"/>
        <w:jc w:val="both"/>
        <w:rPr>
          <w:rFonts w:ascii="Times New Roman" w:hAnsi="Times New Roman" w:cs="Times New Roman"/>
          <w:noProof/>
          <w14:ligatures w14:val="standardContextual"/>
        </w:rPr>
      </w:pPr>
      <w:r w:rsidRPr="000F04FA">
        <w:rPr>
          <w:rFonts w:ascii="Times New Roman" w:hAnsi="Times New Roman" w:cs="Times New Roman"/>
          <w:noProof/>
        </w:rPr>
        <w:t>The investment consists in a Regulatory Sandbox for Fintech, start-ups, and other companies.</w:t>
      </w:r>
    </w:p>
    <w:p w14:paraId="26683C93" w14:textId="77777777" w:rsidR="000F72B9" w:rsidRPr="000F04FA" w:rsidRDefault="000F72B9" w:rsidP="00D8670B">
      <w:pPr>
        <w:spacing w:after="120" w:line="240" w:lineRule="auto"/>
        <w:jc w:val="both"/>
        <w:rPr>
          <w:rFonts w:ascii="Times New Roman" w:hAnsi="Times New Roman" w:cs="Times New Roman"/>
          <w:noProof/>
          <w:u w:val="single"/>
        </w:rPr>
      </w:pPr>
    </w:p>
    <w:p w14:paraId="07E88F0D" w14:textId="77777777" w:rsidR="000F72B9" w:rsidRPr="000F04FA" w:rsidRDefault="000F72B9" w:rsidP="00D8670B">
      <w:pPr>
        <w:spacing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 xml:space="preserve">Investment 4 (C3.3I4): Scheme for the digital upgrade of enterprises </w:t>
      </w:r>
    </w:p>
    <w:p w14:paraId="7FC4894F" w14:textId="77777777" w:rsidR="000F72B9" w:rsidRPr="000F04FA" w:rsidRDefault="000F72B9" w:rsidP="00D8670B">
      <w:pPr>
        <w:spacing w:after="120" w:line="240" w:lineRule="auto"/>
        <w:jc w:val="both"/>
        <w:rPr>
          <w:rFonts w:ascii="Times New Roman" w:eastAsia="Times New Roman" w:hAnsi="Times New Roman" w:cs="Times New Roman"/>
          <w:noProof/>
        </w:rPr>
      </w:pPr>
      <w:r w:rsidRPr="000F04FA">
        <w:rPr>
          <w:rFonts w:ascii="Times New Roman" w:hAnsi="Times New Roman" w:cs="Times New Roman"/>
          <w:noProof/>
        </w:rPr>
        <w:t>The objective of this reform is to support the integration of digital technology in enterprises established in Cyprus.</w:t>
      </w:r>
    </w:p>
    <w:p w14:paraId="31D4A69E" w14:textId="77777777" w:rsidR="000F72B9" w:rsidRPr="000F04FA"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This measure consists in the provision of grants for digital investments of enterprises.</w:t>
      </w:r>
    </w:p>
    <w:p w14:paraId="4608CC3F" w14:textId="77777777" w:rsidR="000F72B9" w:rsidRPr="000F04FA" w:rsidRDefault="000F72B9" w:rsidP="00D8670B">
      <w:pPr>
        <w:spacing w:after="120" w:line="240" w:lineRule="auto"/>
        <w:jc w:val="both"/>
        <w:rPr>
          <w:rFonts w:ascii="Times New Roman" w:hAnsi="Times New Roman" w:cs="Times New Roman"/>
          <w:noProof/>
          <w:u w:val="single"/>
        </w:rPr>
      </w:pPr>
    </w:p>
    <w:p w14:paraId="5A90665A" w14:textId="77777777" w:rsidR="000F72B9" w:rsidRPr="000F04FA" w:rsidRDefault="000F72B9" w:rsidP="00D8670B">
      <w:pPr>
        <w:spacing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 xml:space="preserve">Investment 6 (C3.3I6): State funded equity fund </w:t>
      </w:r>
    </w:p>
    <w:p w14:paraId="70B35FE3" w14:textId="77777777" w:rsidR="000F72B9" w:rsidRPr="000F04FA"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this investment is the support of access to alternative sources of finance. </w:t>
      </w:r>
    </w:p>
    <w:p w14:paraId="2C727576" w14:textId="77777777" w:rsidR="000F72B9" w:rsidRPr="000F04FA" w:rsidRDefault="000F72B9" w:rsidP="00D8670B">
      <w:pPr>
        <w:spacing w:after="120" w:line="240" w:lineRule="auto"/>
        <w:jc w:val="both"/>
        <w:rPr>
          <w:rFonts w:ascii="Times New Roman" w:eastAsia="Times New Roman" w:hAnsi="Times New Roman" w:cs="Times New Roman"/>
          <w:noProof/>
        </w:rPr>
      </w:pPr>
      <w:r w:rsidRPr="000F04FA">
        <w:rPr>
          <w:rFonts w:ascii="Times New Roman" w:hAnsi="Times New Roman" w:cs="Times New Roman"/>
          <w:noProof/>
        </w:rPr>
        <w:t>This measure consists in the incorporation of an equity fund.</w:t>
      </w:r>
    </w:p>
    <w:p w14:paraId="3E10FC38" w14:textId="77777777" w:rsidR="000F72B9" w:rsidRPr="000F04FA" w:rsidRDefault="000F72B9" w:rsidP="00D8670B">
      <w:pPr>
        <w:spacing w:after="120" w:line="240" w:lineRule="auto"/>
        <w:jc w:val="both"/>
        <w:rPr>
          <w:rFonts w:ascii="Times New Roman" w:hAnsi="Times New Roman" w:cs="Times New Roman"/>
          <w:noProof/>
        </w:rPr>
      </w:pPr>
    </w:p>
    <w:p w14:paraId="2CA8CDB5" w14:textId="79F2565F" w:rsidR="000F72B9" w:rsidRPr="000F04FA" w:rsidRDefault="000F72B9" w:rsidP="00D8670B">
      <w:pPr>
        <w:spacing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8 - (C3.3R8): The Provision of Crowdfunding Services for Business Law</w:t>
      </w:r>
      <w:r w:rsidR="00064579">
        <w:rPr>
          <w:rFonts w:ascii="Times New Roman" w:hAnsi="Times New Roman" w:cs="Times New Roman"/>
          <w:noProof/>
          <w:u w:val="single"/>
        </w:rPr>
        <w:t xml:space="preserve"> </w:t>
      </w:r>
    </w:p>
    <w:p w14:paraId="62E858AA" w14:textId="77777777" w:rsidR="000F72B9" w:rsidRPr="000F04FA" w:rsidRDefault="000F72B9" w:rsidP="00D8670B">
      <w:pPr>
        <w:spacing w:after="120" w:line="240" w:lineRule="auto"/>
        <w:jc w:val="both"/>
        <w:rPr>
          <w:rFonts w:ascii="Times New Roman" w:hAnsi="Times New Roman" w:cs="Times New Roman"/>
          <w:noProof/>
        </w:rPr>
      </w:pPr>
      <w:r w:rsidRPr="000F04FA">
        <w:rPr>
          <w:rFonts w:ascii="Times New Roman" w:hAnsi="Times New Roman" w:cs="Times New Roman"/>
          <w:noProof/>
        </w:rPr>
        <w:t>The objective of the reform is to foster a secure and transparent crowdfunding environment, promoting alternative sources of financing opportunities for start-ups and SMEs, while maintaining high standards of investor protection.</w:t>
      </w:r>
    </w:p>
    <w:p w14:paraId="069E6FA4" w14:textId="640F60EE" w:rsidR="000F72B9" w:rsidRPr="000F04FA" w:rsidRDefault="000F72B9" w:rsidP="00D8670B">
      <w:pPr>
        <w:rPr>
          <w:rFonts w:ascii="Times New Roman" w:hAnsi="Times New Roman"/>
          <w:noProof/>
        </w:rPr>
      </w:pPr>
      <w:r w:rsidRPr="000F04FA">
        <w:rPr>
          <w:rFonts w:ascii="Times New Roman" w:hAnsi="Times New Roman" w:cs="Times New Roman"/>
          <w:noProof/>
        </w:rPr>
        <w:t>The reform consists in the entry into force of the Provision of Crowdfunding Services for Business Law</w:t>
      </w:r>
      <w:r w:rsidRPr="000F04FA">
        <w:rPr>
          <w:rFonts w:ascii="Times New Roman" w:hAnsi="Times New Roman"/>
          <w:noProof/>
        </w:rPr>
        <w:t>.</w:t>
      </w:r>
    </w:p>
    <w:p w14:paraId="072DA00D" w14:textId="77777777" w:rsidR="000F72B9" w:rsidRPr="000F04FA" w:rsidRDefault="000F72B9" w:rsidP="00D8670B">
      <w:pPr>
        <w:rPr>
          <w:noProof/>
        </w:rPr>
        <w:sectPr w:rsidR="000F72B9" w:rsidRPr="000F04FA" w:rsidSect="000F72B9">
          <w:headerReference w:type="default" r:id="rId62"/>
          <w:footerReference w:type="default" r:id="rId63"/>
          <w:pgSz w:w="11907" w:h="16839"/>
          <w:pgMar w:top="1134" w:right="1134" w:bottom="1134" w:left="1134" w:header="567" w:footer="567" w:gutter="0"/>
          <w:cols w:space="720"/>
          <w:docGrid w:linePitch="360"/>
        </w:sectPr>
      </w:pPr>
    </w:p>
    <w:p w14:paraId="7C61D269" w14:textId="77777777" w:rsidR="000F72B9" w:rsidRPr="000F04FA" w:rsidRDefault="000F72B9" w:rsidP="00EB23AC">
      <w:pPr>
        <w:spacing w:after="240" w:line="240" w:lineRule="auto"/>
        <w:jc w:val="center"/>
        <w:rPr>
          <w:rFonts w:ascii="Times New Roman" w:hAnsi="Times New Roman"/>
          <w:b/>
          <w:noProof/>
          <w:u w:val="single"/>
        </w:rPr>
      </w:pPr>
      <w:r w:rsidRPr="000F04FA">
        <w:rPr>
          <w:rFonts w:ascii="Times New Roman" w:hAnsi="Times New Roman"/>
          <w:b/>
          <w:noProof/>
          <w:u w:val="single"/>
        </w:rPr>
        <w:t xml:space="preserve">G.2.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72"/>
        <w:gridCol w:w="1277"/>
        <w:gridCol w:w="1369"/>
        <w:gridCol w:w="1684"/>
        <w:gridCol w:w="1546"/>
        <w:gridCol w:w="1056"/>
        <w:gridCol w:w="765"/>
        <w:gridCol w:w="1069"/>
        <w:gridCol w:w="772"/>
        <w:gridCol w:w="3261"/>
      </w:tblGrid>
      <w:tr w:rsidR="000F72B9" w:rsidRPr="00322C8E" w14:paraId="159A3105" w14:textId="77777777" w:rsidTr="00322C8E">
        <w:trPr>
          <w:trHeight w:val="300"/>
          <w:tblHeader/>
          <w:jc w:val="center"/>
        </w:trPr>
        <w:tc>
          <w:tcPr>
            <w:tcW w:w="372" w:type="pct"/>
            <w:vMerge w:val="restart"/>
            <w:shd w:val="clear" w:color="auto" w:fill="BDD7EE"/>
            <w:vAlign w:val="center"/>
            <w:hideMark/>
          </w:tcPr>
          <w:p w14:paraId="4FD1EF1E" w14:textId="77777777" w:rsidR="000F72B9" w:rsidRPr="00322C8E" w:rsidRDefault="000F72B9" w:rsidP="00D8670B">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Sequential Number</w:t>
            </w:r>
          </w:p>
        </w:tc>
        <w:tc>
          <w:tcPr>
            <w:tcW w:w="448" w:type="pct"/>
            <w:vMerge w:val="restart"/>
            <w:shd w:val="clear" w:color="auto" w:fill="BDD7EE"/>
            <w:vAlign w:val="center"/>
            <w:hideMark/>
          </w:tcPr>
          <w:p w14:paraId="43CF3E2B" w14:textId="77777777" w:rsidR="000F72B9" w:rsidRPr="00322C8E" w:rsidRDefault="000F72B9" w:rsidP="00D8670B">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Related Measure (Reform or Investment)</w:t>
            </w:r>
          </w:p>
        </w:tc>
        <w:tc>
          <w:tcPr>
            <w:tcW w:w="417" w:type="pct"/>
            <w:vMerge w:val="restart"/>
            <w:shd w:val="clear" w:color="auto" w:fill="BDD7EE"/>
            <w:vAlign w:val="center"/>
            <w:hideMark/>
          </w:tcPr>
          <w:p w14:paraId="0090E386" w14:textId="77777777" w:rsidR="000F72B9" w:rsidRPr="00322C8E" w:rsidRDefault="000F72B9" w:rsidP="00D8670B">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Milestone / Target</w:t>
            </w:r>
          </w:p>
        </w:tc>
        <w:tc>
          <w:tcPr>
            <w:tcW w:w="447" w:type="pct"/>
            <w:vMerge w:val="restart"/>
            <w:shd w:val="clear" w:color="auto" w:fill="BDD7EE"/>
            <w:vAlign w:val="center"/>
            <w:hideMark/>
          </w:tcPr>
          <w:p w14:paraId="51752E5F" w14:textId="77777777" w:rsidR="000F72B9" w:rsidRPr="00322C8E" w:rsidRDefault="000F72B9" w:rsidP="00D8670B">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Name</w:t>
            </w:r>
          </w:p>
        </w:tc>
        <w:tc>
          <w:tcPr>
            <w:tcW w:w="550" w:type="pct"/>
            <w:vMerge w:val="restart"/>
            <w:shd w:val="clear" w:color="auto" w:fill="BDD7EE"/>
            <w:vAlign w:val="center"/>
            <w:hideMark/>
          </w:tcPr>
          <w:p w14:paraId="1780D02D" w14:textId="6444272A" w:rsidR="000F72B9" w:rsidRPr="00322C8E" w:rsidRDefault="000F72B9" w:rsidP="00D8670B">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Qualitative indicators</w:t>
            </w:r>
            <w:r w:rsidR="00064579">
              <w:rPr>
                <w:rFonts w:ascii="Times New Roman" w:hAnsi="Times New Roman" w:cs="Times New Roman"/>
                <w:b/>
                <w:bCs/>
                <w:noProof/>
                <w:sz w:val="18"/>
                <w:szCs w:val="18"/>
              </w:rPr>
              <w:t xml:space="preserve"> </w:t>
            </w:r>
            <w:r w:rsidRPr="00322C8E">
              <w:rPr>
                <w:rFonts w:ascii="Times New Roman" w:hAnsi="Times New Roman" w:cs="Times New Roman"/>
                <w:noProof/>
                <w:sz w:val="18"/>
                <w:szCs w:val="18"/>
              </w:rPr>
              <w:br/>
            </w:r>
            <w:r w:rsidRPr="00322C8E">
              <w:rPr>
                <w:rFonts w:ascii="Times New Roman" w:hAnsi="Times New Roman" w:cs="Times New Roman"/>
                <w:b/>
                <w:bCs/>
                <w:noProof/>
                <w:sz w:val="18"/>
                <w:szCs w:val="18"/>
              </w:rPr>
              <w:t>(for milestones)</w:t>
            </w:r>
          </w:p>
        </w:tc>
        <w:tc>
          <w:tcPr>
            <w:tcW w:w="1100" w:type="pct"/>
            <w:gridSpan w:val="3"/>
            <w:shd w:val="clear" w:color="auto" w:fill="BDD7EE"/>
            <w:vAlign w:val="center"/>
            <w:hideMark/>
          </w:tcPr>
          <w:p w14:paraId="43BF0F3C" w14:textId="1BC590C7" w:rsidR="000F72B9" w:rsidRPr="00322C8E" w:rsidRDefault="000F72B9" w:rsidP="00322C8E">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Quantitative indicators</w:t>
            </w:r>
            <w:r w:rsidR="00064579">
              <w:rPr>
                <w:rFonts w:ascii="Times New Roman" w:hAnsi="Times New Roman" w:cs="Times New Roman"/>
                <w:b/>
                <w:bCs/>
                <w:noProof/>
                <w:sz w:val="18"/>
                <w:szCs w:val="18"/>
              </w:rPr>
              <w:t xml:space="preserve"> </w:t>
            </w:r>
            <w:r w:rsidRPr="00322C8E">
              <w:rPr>
                <w:rFonts w:ascii="Times New Roman" w:hAnsi="Times New Roman" w:cs="Times New Roman"/>
                <w:noProof/>
                <w:sz w:val="18"/>
                <w:szCs w:val="18"/>
              </w:rPr>
              <w:br/>
            </w:r>
            <w:r w:rsidRPr="00322C8E">
              <w:rPr>
                <w:rFonts w:ascii="Times New Roman" w:hAnsi="Times New Roman" w:cs="Times New Roman"/>
                <w:b/>
                <w:bCs/>
                <w:noProof/>
                <w:sz w:val="18"/>
                <w:szCs w:val="18"/>
              </w:rPr>
              <w:t>(for targets)</w:t>
            </w:r>
          </w:p>
        </w:tc>
        <w:tc>
          <w:tcPr>
            <w:tcW w:w="601" w:type="pct"/>
            <w:gridSpan w:val="2"/>
            <w:shd w:val="clear" w:color="auto" w:fill="BDD7EE"/>
            <w:vAlign w:val="center"/>
            <w:hideMark/>
          </w:tcPr>
          <w:p w14:paraId="13B8562E" w14:textId="77777777" w:rsidR="000F72B9" w:rsidRPr="00322C8E" w:rsidRDefault="000F72B9" w:rsidP="00322C8E">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Indicative timeline for completion</w:t>
            </w:r>
          </w:p>
        </w:tc>
        <w:tc>
          <w:tcPr>
            <w:tcW w:w="1067" w:type="pct"/>
            <w:vMerge w:val="restart"/>
            <w:shd w:val="clear" w:color="auto" w:fill="BDD7EE"/>
            <w:vAlign w:val="center"/>
            <w:hideMark/>
          </w:tcPr>
          <w:p w14:paraId="21CECCF9" w14:textId="77777777" w:rsidR="000F72B9" w:rsidRPr="00322C8E" w:rsidRDefault="000F72B9" w:rsidP="00322C8E">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Description of each milestone and target</w:t>
            </w:r>
          </w:p>
        </w:tc>
      </w:tr>
      <w:tr w:rsidR="000F72B9" w:rsidRPr="00322C8E" w14:paraId="6089B9C6" w14:textId="77777777" w:rsidTr="00322C8E">
        <w:trPr>
          <w:trHeight w:val="300"/>
          <w:tblHeader/>
          <w:jc w:val="center"/>
        </w:trPr>
        <w:tc>
          <w:tcPr>
            <w:tcW w:w="372" w:type="pct"/>
            <w:vMerge/>
            <w:hideMark/>
          </w:tcPr>
          <w:p w14:paraId="57574802" w14:textId="77777777" w:rsidR="000F72B9" w:rsidRPr="00322C8E" w:rsidRDefault="000F72B9" w:rsidP="00D8670B">
            <w:pPr>
              <w:spacing w:after="0" w:line="240" w:lineRule="auto"/>
              <w:rPr>
                <w:rFonts w:ascii="Times New Roman" w:hAnsi="Times New Roman" w:cs="Times New Roman"/>
                <w:b/>
                <w:noProof/>
                <w:sz w:val="18"/>
                <w:szCs w:val="18"/>
              </w:rPr>
            </w:pPr>
          </w:p>
        </w:tc>
        <w:tc>
          <w:tcPr>
            <w:tcW w:w="448" w:type="pct"/>
            <w:vMerge/>
            <w:hideMark/>
          </w:tcPr>
          <w:p w14:paraId="4A726199" w14:textId="77777777" w:rsidR="000F72B9" w:rsidRPr="00322C8E" w:rsidRDefault="000F72B9" w:rsidP="00D8670B">
            <w:pPr>
              <w:spacing w:after="0" w:line="240" w:lineRule="auto"/>
              <w:rPr>
                <w:rFonts w:ascii="Times New Roman" w:hAnsi="Times New Roman" w:cs="Times New Roman"/>
                <w:b/>
                <w:noProof/>
                <w:sz w:val="18"/>
                <w:szCs w:val="18"/>
              </w:rPr>
            </w:pPr>
          </w:p>
        </w:tc>
        <w:tc>
          <w:tcPr>
            <w:tcW w:w="417" w:type="pct"/>
            <w:vMerge/>
            <w:hideMark/>
          </w:tcPr>
          <w:p w14:paraId="21170180" w14:textId="77777777" w:rsidR="000F72B9" w:rsidRPr="00322C8E" w:rsidRDefault="000F72B9" w:rsidP="00D8670B">
            <w:pPr>
              <w:spacing w:after="0" w:line="240" w:lineRule="auto"/>
              <w:rPr>
                <w:rFonts w:ascii="Times New Roman" w:hAnsi="Times New Roman" w:cs="Times New Roman"/>
                <w:b/>
                <w:noProof/>
                <w:sz w:val="18"/>
                <w:szCs w:val="18"/>
              </w:rPr>
            </w:pPr>
          </w:p>
        </w:tc>
        <w:tc>
          <w:tcPr>
            <w:tcW w:w="447" w:type="pct"/>
            <w:vMerge/>
            <w:hideMark/>
          </w:tcPr>
          <w:p w14:paraId="0AA159F4" w14:textId="77777777" w:rsidR="000F72B9" w:rsidRPr="00322C8E" w:rsidRDefault="000F72B9" w:rsidP="00D8670B">
            <w:pPr>
              <w:spacing w:after="0" w:line="240" w:lineRule="auto"/>
              <w:rPr>
                <w:rFonts w:ascii="Times New Roman" w:hAnsi="Times New Roman" w:cs="Times New Roman"/>
                <w:b/>
                <w:noProof/>
                <w:sz w:val="18"/>
                <w:szCs w:val="18"/>
              </w:rPr>
            </w:pPr>
          </w:p>
        </w:tc>
        <w:tc>
          <w:tcPr>
            <w:tcW w:w="550" w:type="pct"/>
            <w:vMerge/>
            <w:hideMark/>
          </w:tcPr>
          <w:p w14:paraId="6B049FEF" w14:textId="77777777" w:rsidR="000F72B9" w:rsidRPr="00322C8E" w:rsidRDefault="000F72B9" w:rsidP="00D8670B">
            <w:pPr>
              <w:spacing w:after="0" w:line="240" w:lineRule="auto"/>
              <w:rPr>
                <w:rFonts w:ascii="Times New Roman" w:hAnsi="Times New Roman" w:cs="Times New Roman"/>
                <w:b/>
                <w:noProof/>
                <w:sz w:val="18"/>
                <w:szCs w:val="18"/>
              </w:rPr>
            </w:pPr>
          </w:p>
        </w:tc>
        <w:tc>
          <w:tcPr>
            <w:tcW w:w="505" w:type="pct"/>
            <w:shd w:val="clear" w:color="auto" w:fill="BDD7EE"/>
            <w:vAlign w:val="center"/>
            <w:hideMark/>
          </w:tcPr>
          <w:p w14:paraId="2B7879CE" w14:textId="77777777" w:rsidR="000F72B9" w:rsidRPr="00322C8E" w:rsidRDefault="000F72B9" w:rsidP="00322C8E">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Unit of measure</w:t>
            </w:r>
          </w:p>
        </w:tc>
        <w:tc>
          <w:tcPr>
            <w:tcW w:w="345" w:type="pct"/>
            <w:shd w:val="clear" w:color="auto" w:fill="BDD7EE"/>
            <w:vAlign w:val="center"/>
            <w:hideMark/>
          </w:tcPr>
          <w:p w14:paraId="47E58F8E" w14:textId="77777777" w:rsidR="000F72B9" w:rsidRPr="00322C8E" w:rsidRDefault="000F72B9" w:rsidP="00322C8E">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Baseline</w:t>
            </w:r>
          </w:p>
        </w:tc>
        <w:tc>
          <w:tcPr>
            <w:tcW w:w="250" w:type="pct"/>
            <w:shd w:val="clear" w:color="auto" w:fill="BDD7EE"/>
            <w:vAlign w:val="center"/>
            <w:hideMark/>
          </w:tcPr>
          <w:p w14:paraId="4CC10B82" w14:textId="77777777" w:rsidR="000F72B9" w:rsidRPr="00322C8E" w:rsidRDefault="000F72B9" w:rsidP="00322C8E">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Goal</w:t>
            </w:r>
          </w:p>
        </w:tc>
        <w:tc>
          <w:tcPr>
            <w:tcW w:w="349" w:type="pct"/>
            <w:shd w:val="clear" w:color="auto" w:fill="BDD7EE"/>
            <w:vAlign w:val="center"/>
            <w:hideMark/>
          </w:tcPr>
          <w:p w14:paraId="24E35AA9" w14:textId="77777777" w:rsidR="000F72B9" w:rsidRPr="00322C8E" w:rsidRDefault="000F72B9" w:rsidP="00322C8E">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Quarter</w:t>
            </w:r>
          </w:p>
        </w:tc>
        <w:tc>
          <w:tcPr>
            <w:tcW w:w="252" w:type="pct"/>
            <w:shd w:val="clear" w:color="auto" w:fill="BDD7EE"/>
            <w:vAlign w:val="center"/>
            <w:hideMark/>
          </w:tcPr>
          <w:p w14:paraId="4119D678" w14:textId="77777777" w:rsidR="000F72B9" w:rsidRPr="00322C8E" w:rsidRDefault="000F72B9" w:rsidP="00322C8E">
            <w:pPr>
              <w:spacing w:after="0" w:line="240" w:lineRule="auto"/>
              <w:jc w:val="center"/>
              <w:rPr>
                <w:rFonts w:ascii="Times New Roman" w:hAnsi="Times New Roman" w:cs="Times New Roman"/>
                <w:b/>
                <w:bCs/>
                <w:noProof/>
                <w:sz w:val="18"/>
                <w:szCs w:val="18"/>
              </w:rPr>
            </w:pPr>
            <w:r w:rsidRPr="00322C8E">
              <w:rPr>
                <w:rFonts w:ascii="Times New Roman" w:hAnsi="Times New Roman" w:cs="Times New Roman"/>
                <w:b/>
                <w:bCs/>
                <w:noProof/>
                <w:sz w:val="18"/>
                <w:szCs w:val="18"/>
              </w:rPr>
              <w:t>Year</w:t>
            </w:r>
          </w:p>
        </w:tc>
        <w:tc>
          <w:tcPr>
            <w:tcW w:w="1067" w:type="pct"/>
            <w:vMerge/>
            <w:hideMark/>
          </w:tcPr>
          <w:p w14:paraId="1745819A" w14:textId="77777777" w:rsidR="000F72B9" w:rsidRPr="00322C8E" w:rsidRDefault="000F72B9" w:rsidP="00322C8E">
            <w:pPr>
              <w:spacing w:after="0" w:line="240" w:lineRule="auto"/>
              <w:jc w:val="both"/>
              <w:rPr>
                <w:rFonts w:ascii="Times New Roman" w:hAnsi="Times New Roman" w:cs="Times New Roman"/>
                <w:b/>
                <w:noProof/>
                <w:sz w:val="18"/>
                <w:szCs w:val="18"/>
              </w:rPr>
            </w:pPr>
          </w:p>
        </w:tc>
      </w:tr>
      <w:tr w:rsidR="000F72B9" w:rsidRPr="00322C8E" w14:paraId="3F410CB7" w14:textId="77777777" w:rsidTr="00322C8E">
        <w:trPr>
          <w:trHeight w:val="300"/>
          <w:jc w:val="center"/>
        </w:trPr>
        <w:tc>
          <w:tcPr>
            <w:tcW w:w="370" w:type="pct"/>
            <w:shd w:val="clear" w:color="auto" w:fill="C6EFCE"/>
            <w:noWrap/>
            <w:hideMark/>
          </w:tcPr>
          <w:p w14:paraId="1EA8D00D"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134</w:t>
            </w:r>
          </w:p>
        </w:tc>
        <w:tc>
          <w:tcPr>
            <w:tcW w:w="448" w:type="pct"/>
            <w:shd w:val="clear" w:color="auto" w:fill="C6EFCE"/>
            <w:noWrap/>
          </w:tcPr>
          <w:p w14:paraId="4D424482"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C3.3R1</w:t>
            </w:r>
          </w:p>
          <w:p w14:paraId="024B1B81"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Facilitation of Strategic investments</w:t>
            </w:r>
          </w:p>
        </w:tc>
        <w:tc>
          <w:tcPr>
            <w:tcW w:w="417" w:type="pct"/>
            <w:shd w:val="clear" w:color="auto" w:fill="C6EFCE"/>
            <w:noWrap/>
          </w:tcPr>
          <w:p w14:paraId="166AC309"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tcPr>
          <w:p w14:paraId="18C8F954"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Law for strategic investments</w:t>
            </w:r>
          </w:p>
        </w:tc>
        <w:tc>
          <w:tcPr>
            <w:tcW w:w="550" w:type="pct"/>
            <w:shd w:val="clear" w:color="auto" w:fill="C6EFCE"/>
            <w:noWrap/>
          </w:tcPr>
          <w:p w14:paraId="7111D9D0"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Provision in the law indicating the entry into force of the law</w:t>
            </w:r>
          </w:p>
        </w:tc>
        <w:tc>
          <w:tcPr>
            <w:tcW w:w="505" w:type="pct"/>
            <w:shd w:val="clear" w:color="auto" w:fill="C6EFCE"/>
            <w:noWrap/>
          </w:tcPr>
          <w:p w14:paraId="54DDF9A5" w14:textId="5FEBEC54"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tcPr>
          <w:p w14:paraId="62BF1D29" w14:textId="78D6332C"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tcPr>
          <w:p w14:paraId="58CE8F26" w14:textId="4C7604F6"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tcPr>
          <w:p w14:paraId="07569C2B"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Q1</w:t>
            </w:r>
          </w:p>
        </w:tc>
        <w:tc>
          <w:tcPr>
            <w:tcW w:w="252" w:type="pct"/>
            <w:shd w:val="clear" w:color="auto" w:fill="C6EFCE"/>
            <w:noWrap/>
          </w:tcPr>
          <w:p w14:paraId="20B1DEA9"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2022</w:t>
            </w:r>
          </w:p>
        </w:tc>
        <w:tc>
          <w:tcPr>
            <w:tcW w:w="1067" w:type="pct"/>
            <w:shd w:val="clear" w:color="auto" w:fill="C6EFCE"/>
            <w:noWrap/>
          </w:tcPr>
          <w:p w14:paraId="62B7C658"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Entry into force of a law supporting strategic investments in Cyprus which shall include the following elements: streamlining of procedures for licencing strategic investment, project manager for each project, timely issuance of building permits.</w:t>
            </w:r>
          </w:p>
        </w:tc>
      </w:tr>
      <w:tr w:rsidR="000F72B9" w:rsidRPr="00322C8E" w14:paraId="6F0074B8" w14:textId="77777777" w:rsidTr="00322C8E">
        <w:trPr>
          <w:trHeight w:val="300"/>
          <w:jc w:val="center"/>
        </w:trPr>
        <w:tc>
          <w:tcPr>
            <w:tcW w:w="370" w:type="pct"/>
            <w:shd w:val="clear" w:color="auto" w:fill="C6EFCE"/>
            <w:noWrap/>
            <w:hideMark/>
          </w:tcPr>
          <w:p w14:paraId="3D918DCA"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135</w:t>
            </w:r>
          </w:p>
        </w:tc>
        <w:tc>
          <w:tcPr>
            <w:tcW w:w="448" w:type="pct"/>
            <w:shd w:val="clear" w:color="auto" w:fill="C6EFCE"/>
            <w:noWrap/>
          </w:tcPr>
          <w:p w14:paraId="13F958E6"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C3.3R1</w:t>
            </w:r>
          </w:p>
          <w:p w14:paraId="5FD43337"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Facilitation of Strategic investments</w:t>
            </w:r>
          </w:p>
        </w:tc>
        <w:tc>
          <w:tcPr>
            <w:tcW w:w="417" w:type="pct"/>
            <w:shd w:val="clear" w:color="auto" w:fill="C6EFCE"/>
            <w:noWrap/>
          </w:tcPr>
          <w:p w14:paraId="6ABD9FA4"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tcPr>
          <w:p w14:paraId="07A24E8B"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Organisational capacity’s enhancement for the facilitation of strategic investments</w:t>
            </w:r>
          </w:p>
        </w:tc>
        <w:tc>
          <w:tcPr>
            <w:tcW w:w="550" w:type="pct"/>
            <w:shd w:val="clear" w:color="auto" w:fill="C6EFCE"/>
            <w:noWrap/>
          </w:tcPr>
          <w:p w14:paraId="78ABD68D"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Publication in the official gazette the setup of a government sector facilitating the reform, and of the process system and guidelines, and stated verification by the coordinating authority of training completion</w:t>
            </w:r>
          </w:p>
        </w:tc>
        <w:tc>
          <w:tcPr>
            <w:tcW w:w="505" w:type="pct"/>
            <w:shd w:val="clear" w:color="auto" w:fill="C6EFCE"/>
            <w:noWrap/>
          </w:tcPr>
          <w:p w14:paraId="7352D7EE" w14:textId="66A93372"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tcPr>
          <w:p w14:paraId="4C32B747"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tcPr>
          <w:p w14:paraId="50ADF556" w14:textId="042793B4"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tcPr>
          <w:p w14:paraId="3CA9B637"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Q2</w:t>
            </w:r>
          </w:p>
        </w:tc>
        <w:tc>
          <w:tcPr>
            <w:tcW w:w="252" w:type="pct"/>
            <w:shd w:val="clear" w:color="auto" w:fill="C6EFCE"/>
            <w:noWrap/>
          </w:tcPr>
          <w:p w14:paraId="55C02AE1"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2023</w:t>
            </w:r>
          </w:p>
        </w:tc>
        <w:tc>
          <w:tcPr>
            <w:tcW w:w="1067" w:type="pct"/>
            <w:shd w:val="clear" w:color="auto" w:fill="C6EFCE"/>
            <w:noWrap/>
          </w:tcPr>
          <w:p w14:paraId="4839DDD8"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Publication in the official gazette of the completion of the setup of a sector in the Department of Town Planning and Housing for the enhancement of the facilitation of strategic system; publication of the process system and of the guidelines design; and reporting by the Coordinating authority of key personnel training for the implementation of the reform.</w:t>
            </w:r>
          </w:p>
        </w:tc>
      </w:tr>
      <w:tr w:rsidR="000F72B9" w:rsidRPr="00322C8E" w14:paraId="7AD72003" w14:textId="77777777" w:rsidTr="00322C8E">
        <w:trPr>
          <w:trHeight w:val="300"/>
          <w:jc w:val="center"/>
        </w:trPr>
        <w:tc>
          <w:tcPr>
            <w:tcW w:w="370" w:type="pct"/>
            <w:shd w:val="clear" w:color="auto" w:fill="C6EFCE"/>
            <w:noWrap/>
            <w:hideMark/>
          </w:tcPr>
          <w:p w14:paraId="7F8A9B18"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136</w:t>
            </w:r>
          </w:p>
        </w:tc>
        <w:tc>
          <w:tcPr>
            <w:tcW w:w="448" w:type="pct"/>
            <w:shd w:val="clear" w:color="auto" w:fill="C6EFCE"/>
            <w:noWrap/>
            <w:hideMark/>
          </w:tcPr>
          <w:p w14:paraId="036CE96C"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C3.3R2</w:t>
            </w:r>
          </w:p>
          <w:p w14:paraId="044397E6"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Enhancing Fast-Track Business Activation Mechanism</w:t>
            </w:r>
          </w:p>
        </w:tc>
        <w:tc>
          <w:tcPr>
            <w:tcW w:w="417" w:type="pct"/>
            <w:shd w:val="clear" w:color="auto" w:fill="C6EFCE"/>
            <w:noWrap/>
            <w:hideMark/>
          </w:tcPr>
          <w:p w14:paraId="302706DB"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hideMark/>
          </w:tcPr>
          <w:p w14:paraId="643ED127"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Establishment of an electronic system where investors can submit their online application </w:t>
            </w:r>
          </w:p>
        </w:tc>
        <w:tc>
          <w:tcPr>
            <w:tcW w:w="550" w:type="pct"/>
            <w:shd w:val="clear" w:color="auto" w:fill="C6EFCE"/>
            <w:noWrap/>
            <w:hideMark/>
          </w:tcPr>
          <w:p w14:paraId="58EABDF4"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Announcement by the Ministry of Commerce of the electronic system accepting applications</w:t>
            </w:r>
          </w:p>
        </w:tc>
        <w:tc>
          <w:tcPr>
            <w:tcW w:w="505" w:type="pct"/>
            <w:shd w:val="clear" w:color="auto" w:fill="C6EFCE"/>
            <w:noWrap/>
            <w:hideMark/>
          </w:tcPr>
          <w:p w14:paraId="40860BFD" w14:textId="7D5A1A75"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hideMark/>
          </w:tcPr>
          <w:p w14:paraId="7186B449" w14:textId="04B5F1F2"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hideMark/>
          </w:tcPr>
          <w:p w14:paraId="57BF4A61" w14:textId="530F72B5"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hideMark/>
          </w:tcPr>
          <w:p w14:paraId="609560CD"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Q4</w:t>
            </w:r>
          </w:p>
        </w:tc>
        <w:tc>
          <w:tcPr>
            <w:tcW w:w="252" w:type="pct"/>
            <w:shd w:val="clear" w:color="auto" w:fill="C6EFCE"/>
            <w:noWrap/>
            <w:hideMark/>
          </w:tcPr>
          <w:p w14:paraId="5DAF7216"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2022</w:t>
            </w:r>
          </w:p>
        </w:tc>
        <w:tc>
          <w:tcPr>
            <w:tcW w:w="1067" w:type="pct"/>
            <w:shd w:val="clear" w:color="auto" w:fill="C6EFCE"/>
            <w:noWrap/>
            <w:hideMark/>
          </w:tcPr>
          <w:p w14:paraId="2EB89920"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Upgrade of the services of applications for business permit issuance, guidance for establishment and operation, provision of information for all the necessary permits required by the company to start operations, facilitation for the issuance of residence and employment permits in Cyprus for third-country nationals, application for registration as a foreign interest company through the establishment of an electronic system where investors may submit their online application.</w:t>
            </w:r>
          </w:p>
        </w:tc>
      </w:tr>
      <w:tr w:rsidR="000F72B9" w:rsidRPr="00322C8E" w14:paraId="270D89AC" w14:textId="77777777" w:rsidTr="00322C8E">
        <w:trPr>
          <w:trHeight w:val="300"/>
          <w:jc w:val="center"/>
        </w:trPr>
        <w:tc>
          <w:tcPr>
            <w:tcW w:w="370" w:type="pct"/>
            <w:tcBorders>
              <w:bottom w:val="single" w:sz="4" w:space="0" w:color="auto"/>
            </w:tcBorders>
            <w:shd w:val="clear" w:color="auto" w:fill="C1F0C7" w:themeFill="accent3" w:themeFillTint="33"/>
            <w:noWrap/>
          </w:tcPr>
          <w:p w14:paraId="29F4068E"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137</w:t>
            </w:r>
          </w:p>
        </w:tc>
        <w:tc>
          <w:tcPr>
            <w:tcW w:w="448" w:type="pct"/>
            <w:tcBorders>
              <w:bottom w:val="single" w:sz="4" w:space="0" w:color="auto"/>
            </w:tcBorders>
            <w:shd w:val="clear" w:color="auto" w:fill="C1F0C7" w:themeFill="accent3" w:themeFillTint="33"/>
            <w:noWrap/>
          </w:tcPr>
          <w:p w14:paraId="11AC4BFB"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C3.3R2</w:t>
            </w:r>
          </w:p>
          <w:p w14:paraId="19EBA039"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Supporting Fast-Track Business Activation Mechanism</w:t>
            </w:r>
          </w:p>
        </w:tc>
        <w:tc>
          <w:tcPr>
            <w:tcW w:w="417" w:type="pct"/>
            <w:tcBorders>
              <w:bottom w:val="single" w:sz="4" w:space="0" w:color="auto"/>
            </w:tcBorders>
            <w:shd w:val="clear" w:color="auto" w:fill="C1F0C7" w:themeFill="accent3" w:themeFillTint="33"/>
            <w:noWrap/>
          </w:tcPr>
          <w:p w14:paraId="7F6E5B7B"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Target</w:t>
            </w:r>
          </w:p>
        </w:tc>
        <w:tc>
          <w:tcPr>
            <w:tcW w:w="447" w:type="pct"/>
            <w:tcBorders>
              <w:bottom w:val="single" w:sz="4" w:space="0" w:color="auto"/>
            </w:tcBorders>
            <w:shd w:val="clear" w:color="auto" w:fill="C1F0C7" w:themeFill="accent3" w:themeFillTint="33"/>
            <w:noWrap/>
          </w:tcPr>
          <w:p w14:paraId="47B88767" w14:textId="24338BFE"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Investment application assessment through the platform</w:t>
            </w:r>
          </w:p>
        </w:tc>
        <w:tc>
          <w:tcPr>
            <w:tcW w:w="550" w:type="pct"/>
            <w:tcBorders>
              <w:bottom w:val="single" w:sz="4" w:space="0" w:color="auto"/>
            </w:tcBorders>
            <w:shd w:val="clear" w:color="auto" w:fill="C1F0C7" w:themeFill="accent3" w:themeFillTint="33"/>
            <w:noWrap/>
          </w:tcPr>
          <w:p w14:paraId="0D2F4EDE"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 -</w:t>
            </w:r>
          </w:p>
        </w:tc>
        <w:tc>
          <w:tcPr>
            <w:tcW w:w="505" w:type="pct"/>
            <w:tcBorders>
              <w:bottom w:val="single" w:sz="4" w:space="0" w:color="auto"/>
            </w:tcBorders>
            <w:shd w:val="clear" w:color="auto" w:fill="C1F0C7" w:themeFill="accent3" w:themeFillTint="33"/>
            <w:noWrap/>
          </w:tcPr>
          <w:p w14:paraId="6AF142F5"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Number</w:t>
            </w:r>
          </w:p>
        </w:tc>
        <w:tc>
          <w:tcPr>
            <w:tcW w:w="345" w:type="pct"/>
            <w:tcBorders>
              <w:bottom w:val="single" w:sz="4" w:space="0" w:color="auto"/>
            </w:tcBorders>
            <w:shd w:val="clear" w:color="auto" w:fill="C1F0C7" w:themeFill="accent3" w:themeFillTint="33"/>
            <w:noWrap/>
          </w:tcPr>
          <w:p w14:paraId="44A2A691"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0</w:t>
            </w:r>
          </w:p>
        </w:tc>
        <w:tc>
          <w:tcPr>
            <w:tcW w:w="250" w:type="pct"/>
            <w:tcBorders>
              <w:bottom w:val="single" w:sz="4" w:space="0" w:color="auto"/>
            </w:tcBorders>
            <w:shd w:val="clear" w:color="auto" w:fill="C1F0C7" w:themeFill="accent3" w:themeFillTint="33"/>
            <w:noWrap/>
          </w:tcPr>
          <w:p w14:paraId="2EDCE25E"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50</w:t>
            </w:r>
          </w:p>
        </w:tc>
        <w:tc>
          <w:tcPr>
            <w:tcW w:w="349" w:type="pct"/>
            <w:tcBorders>
              <w:bottom w:val="single" w:sz="4" w:space="0" w:color="auto"/>
            </w:tcBorders>
            <w:shd w:val="clear" w:color="auto" w:fill="C1F0C7" w:themeFill="accent3" w:themeFillTint="33"/>
            <w:noWrap/>
          </w:tcPr>
          <w:p w14:paraId="6AE4F3E2"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Q4</w:t>
            </w:r>
          </w:p>
        </w:tc>
        <w:tc>
          <w:tcPr>
            <w:tcW w:w="252" w:type="pct"/>
            <w:tcBorders>
              <w:bottom w:val="single" w:sz="4" w:space="0" w:color="auto"/>
            </w:tcBorders>
            <w:shd w:val="clear" w:color="auto" w:fill="C1F0C7" w:themeFill="accent3" w:themeFillTint="33"/>
            <w:noWrap/>
          </w:tcPr>
          <w:p w14:paraId="6C6D06BB"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2025</w:t>
            </w:r>
          </w:p>
        </w:tc>
        <w:tc>
          <w:tcPr>
            <w:tcW w:w="1067" w:type="pct"/>
            <w:tcBorders>
              <w:bottom w:val="single" w:sz="4" w:space="0" w:color="auto"/>
            </w:tcBorders>
            <w:shd w:val="clear" w:color="auto" w:fill="C1F0C7" w:themeFill="accent3" w:themeFillTint="33"/>
            <w:noWrap/>
          </w:tcPr>
          <w:p w14:paraId="2DA827D9" w14:textId="77777777" w:rsidR="000F72B9" w:rsidRPr="00322C8E" w:rsidRDefault="000F72B9" w:rsidP="00322C8E">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Assessment of at least 50 applications for investment through the platform.</w:t>
            </w:r>
          </w:p>
        </w:tc>
      </w:tr>
      <w:tr w:rsidR="000F72B9" w:rsidRPr="00322C8E" w14:paraId="60FB91C3" w14:textId="77777777" w:rsidTr="00322C8E">
        <w:trPr>
          <w:trHeight w:val="300"/>
          <w:jc w:val="center"/>
        </w:trPr>
        <w:tc>
          <w:tcPr>
            <w:tcW w:w="370" w:type="pct"/>
            <w:tcBorders>
              <w:top w:val="single" w:sz="4" w:space="0" w:color="auto"/>
            </w:tcBorders>
            <w:shd w:val="clear" w:color="auto" w:fill="C1F0C7" w:themeFill="accent3" w:themeFillTint="33"/>
            <w:noWrap/>
          </w:tcPr>
          <w:p w14:paraId="4D675D28" w14:textId="77777777" w:rsidR="000F72B9" w:rsidRPr="00322C8E" w:rsidRDefault="000F72B9" w:rsidP="00D8670B">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138a</w:t>
            </w:r>
          </w:p>
        </w:tc>
        <w:tc>
          <w:tcPr>
            <w:tcW w:w="448" w:type="pct"/>
            <w:tcBorders>
              <w:top w:val="single" w:sz="4" w:space="0" w:color="auto"/>
            </w:tcBorders>
            <w:shd w:val="clear" w:color="auto" w:fill="C1F0C7" w:themeFill="accent3" w:themeFillTint="33"/>
            <w:noWrap/>
          </w:tcPr>
          <w:p w14:paraId="116DA0ED"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C3.3R7 Screening of Foreign Direct Investment</w:t>
            </w:r>
          </w:p>
        </w:tc>
        <w:tc>
          <w:tcPr>
            <w:tcW w:w="417" w:type="pct"/>
            <w:tcBorders>
              <w:top w:val="single" w:sz="4" w:space="0" w:color="auto"/>
            </w:tcBorders>
            <w:shd w:val="clear" w:color="auto" w:fill="C1F0C7" w:themeFill="accent3" w:themeFillTint="33"/>
            <w:noWrap/>
          </w:tcPr>
          <w:p w14:paraId="35C34BF6"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tcBorders>
              <w:top w:val="single" w:sz="4" w:space="0" w:color="auto"/>
            </w:tcBorders>
            <w:shd w:val="clear" w:color="auto" w:fill="C1F0C7" w:themeFill="accent3" w:themeFillTint="33"/>
            <w:noWrap/>
          </w:tcPr>
          <w:p w14:paraId="2045E81F"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Entry into force of the legal act(s) on foreign Direct Investment screening </w:t>
            </w:r>
          </w:p>
        </w:tc>
        <w:tc>
          <w:tcPr>
            <w:tcW w:w="550" w:type="pct"/>
            <w:tcBorders>
              <w:top w:val="single" w:sz="4" w:space="0" w:color="auto"/>
            </w:tcBorders>
            <w:shd w:val="clear" w:color="auto" w:fill="C1F0C7" w:themeFill="accent3" w:themeFillTint="33"/>
            <w:noWrap/>
          </w:tcPr>
          <w:p w14:paraId="34E6B93D"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Entry into force of the legal act(s)</w:t>
            </w:r>
          </w:p>
        </w:tc>
        <w:tc>
          <w:tcPr>
            <w:tcW w:w="505" w:type="pct"/>
            <w:tcBorders>
              <w:top w:val="single" w:sz="4" w:space="0" w:color="auto"/>
            </w:tcBorders>
            <w:shd w:val="clear" w:color="auto" w:fill="C1F0C7" w:themeFill="accent3" w:themeFillTint="33"/>
            <w:noWrap/>
          </w:tcPr>
          <w:p w14:paraId="125D3A0C"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tcBorders>
              <w:top w:val="single" w:sz="4" w:space="0" w:color="auto"/>
            </w:tcBorders>
            <w:shd w:val="clear" w:color="auto" w:fill="C1F0C7" w:themeFill="accent3" w:themeFillTint="33"/>
            <w:noWrap/>
          </w:tcPr>
          <w:p w14:paraId="1D888C85"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tcBorders>
              <w:top w:val="single" w:sz="4" w:space="0" w:color="auto"/>
            </w:tcBorders>
            <w:shd w:val="clear" w:color="auto" w:fill="C1F0C7" w:themeFill="accent3" w:themeFillTint="33"/>
            <w:noWrap/>
          </w:tcPr>
          <w:p w14:paraId="1A837999"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tcBorders>
              <w:top w:val="single" w:sz="4" w:space="0" w:color="auto"/>
            </w:tcBorders>
            <w:shd w:val="clear" w:color="auto" w:fill="C1F0C7" w:themeFill="accent3" w:themeFillTint="33"/>
            <w:noWrap/>
          </w:tcPr>
          <w:p w14:paraId="40DCADA9"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Q2</w:t>
            </w:r>
          </w:p>
        </w:tc>
        <w:tc>
          <w:tcPr>
            <w:tcW w:w="252" w:type="pct"/>
            <w:tcBorders>
              <w:top w:val="single" w:sz="4" w:space="0" w:color="auto"/>
            </w:tcBorders>
            <w:shd w:val="clear" w:color="auto" w:fill="C1F0C7" w:themeFill="accent3" w:themeFillTint="33"/>
            <w:noWrap/>
          </w:tcPr>
          <w:p w14:paraId="6CFF0662"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2026</w:t>
            </w:r>
          </w:p>
        </w:tc>
        <w:tc>
          <w:tcPr>
            <w:tcW w:w="1067" w:type="pct"/>
            <w:tcBorders>
              <w:top w:val="single" w:sz="4" w:space="0" w:color="auto"/>
            </w:tcBorders>
            <w:shd w:val="clear" w:color="auto" w:fill="C1F0C7" w:themeFill="accent3" w:themeFillTint="33"/>
            <w:noWrap/>
          </w:tcPr>
          <w:p w14:paraId="0EA4BD37" w14:textId="77777777" w:rsidR="000F72B9" w:rsidRPr="00322C8E" w:rsidRDefault="000F72B9" w:rsidP="00322C8E">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 xml:space="preserve">Entry into force of the </w:t>
            </w:r>
            <w:r w:rsidRPr="00322C8E">
              <w:rPr>
                <w:rFonts w:ascii="Times New Roman" w:eastAsia="Calibri" w:hAnsi="Times New Roman" w:cs="Times New Roman"/>
                <w:noProof/>
                <w:sz w:val="18"/>
                <w:szCs w:val="18"/>
              </w:rPr>
              <w:t>legal act(s) on</w:t>
            </w:r>
            <w:r w:rsidRPr="00322C8E">
              <w:rPr>
                <w:rFonts w:ascii="Times New Roman" w:hAnsi="Times New Roman" w:cs="Times New Roman"/>
                <w:noProof/>
                <w:sz w:val="18"/>
                <w:szCs w:val="18"/>
              </w:rPr>
              <w:t xml:space="preserve"> the </w:t>
            </w:r>
            <w:r w:rsidRPr="00322C8E">
              <w:rPr>
                <w:rFonts w:ascii="Times New Roman" w:eastAsia="Calibri" w:hAnsi="Times New Roman" w:cs="Times New Roman"/>
                <w:noProof/>
                <w:sz w:val="18"/>
                <w:szCs w:val="18"/>
              </w:rPr>
              <w:t>foreign Direct Investment screening</w:t>
            </w:r>
            <w:r w:rsidRPr="00322C8E">
              <w:rPr>
                <w:rFonts w:ascii="Times New Roman" w:hAnsi="Times New Roman" w:cs="Times New Roman"/>
                <w:noProof/>
                <w:sz w:val="18"/>
                <w:szCs w:val="18"/>
              </w:rPr>
              <w:t xml:space="preserve">. </w:t>
            </w:r>
          </w:p>
        </w:tc>
      </w:tr>
      <w:tr w:rsidR="000F72B9" w:rsidRPr="00322C8E" w14:paraId="01E29C44" w14:textId="77777777" w:rsidTr="00322C8E">
        <w:trPr>
          <w:trHeight w:val="300"/>
          <w:jc w:val="center"/>
        </w:trPr>
        <w:tc>
          <w:tcPr>
            <w:tcW w:w="370" w:type="pct"/>
            <w:shd w:val="clear" w:color="auto" w:fill="C6EFCE"/>
            <w:noWrap/>
          </w:tcPr>
          <w:p w14:paraId="2E13DB2E" w14:textId="77777777" w:rsidR="000F72B9" w:rsidRPr="00322C8E" w:rsidRDefault="000F72B9" w:rsidP="00D8670B">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140</w:t>
            </w:r>
          </w:p>
        </w:tc>
        <w:tc>
          <w:tcPr>
            <w:tcW w:w="448" w:type="pct"/>
            <w:shd w:val="clear" w:color="auto" w:fill="C6EFCE"/>
            <w:noWrap/>
          </w:tcPr>
          <w:p w14:paraId="4ACC386B"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C3.3R4</w:t>
            </w:r>
          </w:p>
          <w:p w14:paraId="179D505E"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Design and establish a National Promotional Agency </w:t>
            </w:r>
          </w:p>
        </w:tc>
        <w:tc>
          <w:tcPr>
            <w:tcW w:w="417" w:type="pct"/>
            <w:shd w:val="clear" w:color="auto" w:fill="C6EFCE"/>
            <w:noWrap/>
          </w:tcPr>
          <w:p w14:paraId="0920E46B"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tcPr>
          <w:p w14:paraId="4DE78E2C"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Approval by the Council of Ministers of the roadmap for the creation and establishment of a National Promotional Agency</w:t>
            </w:r>
          </w:p>
        </w:tc>
        <w:tc>
          <w:tcPr>
            <w:tcW w:w="550" w:type="pct"/>
            <w:shd w:val="clear" w:color="auto" w:fill="C6EFCE"/>
            <w:noWrap/>
          </w:tcPr>
          <w:p w14:paraId="47461BC1"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Publication of the Council of Ministers’ decision</w:t>
            </w:r>
          </w:p>
        </w:tc>
        <w:tc>
          <w:tcPr>
            <w:tcW w:w="505" w:type="pct"/>
            <w:shd w:val="clear" w:color="auto" w:fill="C6EFCE"/>
            <w:noWrap/>
          </w:tcPr>
          <w:p w14:paraId="67A398EC" w14:textId="12B06086"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tcPr>
          <w:p w14:paraId="0A2E7F76" w14:textId="1373B532"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tcPr>
          <w:p w14:paraId="34DC90A8" w14:textId="58FB01B3"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tcPr>
          <w:p w14:paraId="0CA65F1E"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Q2</w:t>
            </w:r>
          </w:p>
        </w:tc>
        <w:tc>
          <w:tcPr>
            <w:tcW w:w="252" w:type="pct"/>
            <w:shd w:val="clear" w:color="auto" w:fill="C6EFCE"/>
            <w:noWrap/>
          </w:tcPr>
          <w:p w14:paraId="659BAC75"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2023</w:t>
            </w:r>
          </w:p>
        </w:tc>
        <w:tc>
          <w:tcPr>
            <w:tcW w:w="1067" w:type="pct"/>
            <w:shd w:val="clear" w:color="auto" w:fill="C6EFCE"/>
            <w:noWrap/>
          </w:tcPr>
          <w:p w14:paraId="2033E4F0"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Approval by the Council of Ministers of the roadmap for the creation and establishment of a National Promotional Agency which shall facilitate access to loans and guarantees to Small and Medium Enterprises and enhance the absorption capacity of EU financing through EU tools.</w:t>
            </w:r>
          </w:p>
        </w:tc>
      </w:tr>
      <w:tr w:rsidR="000F72B9" w:rsidRPr="00322C8E" w14:paraId="09A959F5" w14:textId="77777777" w:rsidTr="00322C8E">
        <w:trPr>
          <w:trHeight w:val="300"/>
          <w:jc w:val="center"/>
        </w:trPr>
        <w:tc>
          <w:tcPr>
            <w:tcW w:w="370" w:type="pct"/>
            <w:shd w:val="clear" w:color="auto" w:fill="C1F0C7" w:themeFill="accent3" w:themeFillTint="33"/>
            <w:noWrap/>
            <w:hideMark/>
          </w:tcPr>
          <w:p w14:paraId="6D917E58" w14:textId="77777777" w:rsidR="000F72B9" w:rsidRPr="00322C8E" w:rsidRDefault="000F72B9" w:rsidP="00D8670B">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141</w:t>
            </w:r>
          </w:p>
        </w:tc>
        <w:tc>
          <w:tcPr>
            <w:tcW w:w="448" w:type="pct"/>
            <w:shd w:val="clear" w:color="auto" w:fill="C1F0C7" w:themeFill="accent3" w:themeFillTint="33"/>
            <w:noWrap/>
            <w:hideMark/>
          </w:tcPr>
          <w:p w14:paraId="01A8E52B"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C3.3R4</w:t>
            </w:r>
          </w:p>
          <w:p w14:paraId="476C5C17" w14:textId="688E67D6"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National Promotional Agency </w:t>
            </w:r>
          </w:p>
        </w:tc>
        <w:tc>
          <w:tcPr>
            <w:tcW w:w="417" w:type="pct"/>
            <w:shd w:val="clear" w:color="auto" w:fill="C1F0C7" w:themeFill="accent3" w:themeFillTint="33"/>
            <w:noWrap/>
            <w:hideMark/>
          </w:tcPr>
          <w:p w14:paraId="2315C469"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1F0C7" w:themeFill="accent3" w:themeFillTint="33"/>
            <w:noWrap/>
            <w:hideMark/>
          </w:tcPr>
          <w:p w14:paraId="151CBE39" w14:textId="3A327168"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Cyprus National Promotional Agency</w:t>
            </w:r>
          </w:p>
        </w:tc>
        <w:tc>
          <w:tcPr>
            <w:tcW w:w="550" w:type="pct"/>
            <w:shd w:val="clear" w:color="auto" w:fill="C1F0C7" w:themeFill="accent3" w:themeFillTint="33"/>
            <w:noWrap/>
            <w:hideMark/>
          </w:tcPr>
          <w:p w14:paraId="0ABA4E87"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Appointment of the Board of Directors</w:t>
            </w:r>
          </w:p>
        </w:tc>
        <w:tc>
          <w:tcPr>
            <w:tcW w:w="505" w:type="pct"/>
            <w:shd w:val="clear" w:color="auto" w:fill="C1F0C7" w:themeFill="accent3" w:themeFillTint="33"/>
            <w:noWrap/>
            <w:hideMark/>
          </w:tcPr>
          <w:p w14:paraId="28633EE7" w14:textId="77777777" w:rsidR="000F72B9" w:rsidRPr="00322C8E" w:rsidRDefault="000F72B9" w:rsidP="00322C8E">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hideMark/>
          </w:tcPr>
          <w:p w14:paraId="0270DDB1" w14:textId="77777777" w:rsidR="000F72B9" w:rsidRPr="00322C8E" w:rsidRDefault="000F72B9" w:rsidP="00322C8E">
            <w:pPr>
              <w:spacing w:after="0" w:line="240" w:lineRule="auto"/>
              <w:jc w:val="center"/>
              <w:rPr>
                <w:rFonts w:ascii="Times New Roman" w:hAnsi="Times New Roman" w:cs="Times New Roman"/>
                <w:noProof/>
                <w:sz w:val="18"/>
                <w:szCs w:val="18"/>
              </w:rPr>
            </w:pPr>
          </w:p>
        </w:tc>
        <w:tc>
          <w:tcPr>
            <w:tcW w:w="250" w:type="pct"/>
            <w:shd w:val="clear" w:color="auto" w:fill="C1F0C7" w:themeFill="accent3" w:themeFillTint="33"/>
            <w:noWrap/>
            <w:hideMark/>
          </w:tcPr>
          <w:p w14:paraId="3EF58480" w14:textId="77777777" w:rsidR="000F72B9" w:rsidRPr="00322C8E" w:rsidRDefault="000F72B9" w:rsidP="00322C8E">
            <w:pPr>
              <w:spacing w:after="0" w:line="240" w:lineRule="auto"/>
              <w:jc w:val="center"/>
              <w:rPr>
                <w:rFonts w:ascii="Times New Roman" w:hAnsi="Times New Roman" w:cs="Times New Roman"/>
                <w:noProof/>
                <w:sz w:val="18"/>
                <w:szCs w:val="18"/>
              </w:rPr>
            </w:pPr>
          </w:p>
        </w:tc>
        <w:tc>
          <w:tcPr>
            <w:tcW w:w="349" w:type="pct"/>
            <w:shd w:val="clear" w:color="auto" w:fill="C1F0C7" w:themeFill="accent3" w:themeFillTint="33"/>
            <w:noWrap/>
            <w:hideMark/>
          </w:tcPr>
          <w:p w14:paraId="6BE8FAFE"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Q3</w:t>
            </w:r>
          </w:p>
        </w:tc>
        <w:tc>
          <w:tcPr>
            <w:tcW w:w="252" w:type="pct"/>
            <w:shd w:val="clear" w:color="auto" w:fill="C1F0C7" w:themeFill="accent3" w:themeFillTint="33"/>
            <w:noWrap/>
            <w:hideMark/>
          </w:tcPr>
          <w:p w14:paraId="63F1C09B"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2025</w:t>
            </w:r>
          </w:p>
        </w:tc>
        <w:tc>
          <w:tcPr>
            <w:tcW w:w="1067" w:type="pct"/>
            <w:shd w:val="clear" w:color="auto" w:fill="C1F0C7" w:themeFill="accent3" w:themeFillTint="33"/>
            <w:noWrap/>
            <w:hideMark/>
          </w:tcPr>
          <w:p w14:paraId="4C76EE86" w14:textId="42547D1A" w:rsidR="000F72B9" w:rsidRPr="00322C8E" w:rsidRDefault="000F72B9" w:rsidP="00322C8E">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Appointment of the Board of Directors of the National Promotional Agency published in the Official Gazette of the Republic of Cyprus.</w:t>
            </w:r>
          </w:p>
        </w:tc>
      </w:tr>
      <w:tr w:rsidR="000F72B9" w:rsidRPr="00322C8E" w14:paraId="2C9F907A" w14:textId="77777777" w:rsidTr="00322C8E">
        <w:trPr>
          <w:trHeight w:val="300"/>
          <w:jc w:val="center"/>
        </w:trPr>
        <w:tc>
          <w:tcPr>
            <w:tcW w:w="370" w:type="pct"/>
            <w:shd w:val="clear" w:color="auto" w:fill="C1F0C7" w:themeFill="accent3" w:themeFillTint="33"/>
            <w:noWrap/>
          </w:tcPr>
          <w:p w14:paraId="40ECC639" w14:textId="77777777" w:rsidR="000F72B9" w:rsidRPr="00322C8E" w:rsidRDefault="000F72B9" w:rsidP="00D8670B">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142a</w:t>
            </w:r>
          </w:p>
        </w:tc>
        <w:tc>
          <w:tcPr>
            <w:tcW w:w="448" w:type="pct"/>
            <w:shd w:val="clear" w:color="auto" w:fill="C1F0C7" w:themeFill="accent3" w:themeFillTint="33"/>
            <w:noWrap/>
          </w:tcPr>
          <w:p w14:paraId="567D57B7"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C3.3R8</w:t>
            </w:r>
          </w:p>
          <w:p w14:paraId="219AED9C"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The Provision of Crowdfunding Services for Business Law</w:t>
            </w:r>
          </w:p>
        </w:tc>
        <w:tc>
          <w:tcPr>
            <w:tcW w:w="417" w:type="pct"/>
            <w:shd w:val="clear" w:color="auto" w:fill="C1F0C7" w:themeFill="accent3" w:themeFillTint="33"/>
            <w:noWrap/>
          </w:tcPr>
          <w:p w14:paraId="4F9A4340"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1F0C7" w:themeFill="accent3" w:themeFillTint="33"/>
            <w:noWrap/>
          </w:tcPr>
          <w:p w14:paraId="6C12D653"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Entry into force of legal act(s) on the Provision of Crowdfunding Services for Business Law </w:t>
            </w:r>
          </w:p>
        </w:tc>
        <w:tc>
          <w:tcPr>
            <w:tcW w:w="550" w:type="pct"/>
            <w:shd w:val="clear" w:color="auto" w:fill="C1F0C7" w:themeFill="accent3" w:themeFillTint="33"/>
            <w:noWrap/>
          </w:tcPr>
          <w:p w14:paraId="29B51375"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Provision in the law indicating the entry into force of legal act(s)</w:t>
            </w:r>
          </w:p>
        </w:tc>
        <w:tc>
          <w:tcPr>
            <w:tcW w:w="505" w:type="pct"/>
            <w:shd w:val="clear" w:color="auto" w:fill="C1F0C7" w:themeFill="accent3" w:themeFillTint="33"/>
            <w:noWrap/>
          </w:tcPr>
          <w:p w14:paraId="22B83929" w14:textId="307D1542"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1F0C7" w:themeFill="accent3" w:themeFillTint="33"/>
            <w:noWrap/>
          </w:tcPr>
          <w:p w14:paraId="1075A294"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1F0C7" w:themeFill="accent3" w:themeFillTint="33"/>
            <w:noWrap/>
          </w:tcPr>
          <w:p w14:paraId="0BEAC296"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1F0C7" w:themeFill="accent3" w:themeFillTint="33"/>
            <w:noWrap/>
          </w:tcPr>
          <w:p w14:paraId="4837BE85"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Q4</w:t>
            </w:r>
          </w:p>
        </w:tc>
        <w:tc>
          <w:tcPr>
            <w:tcW w:w="252" w:type="pct"/>
            <w:shd w:val="clear" w:color="auto" w:fill="C1F0C7" w:themeFill="accent3" w:themeFillTint="33"/>
            <w:noWrap/>
          </w:tcPr>
          <w:p w14:paraId="1D94DFD7"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2024</w:t>
            </w:r>
          </w:p>
        </w:tc>
        <w:tc>
          <w:tcPr>
            <w:tcW w:w="1067" w:type="pct"/>
            <w:shd w:val="clear" w:color="auto" w:fill="C1F0C7" w:themeFill="accent3" w:themeFillTint="33"/>
            <w:noWrap/>
          </w:tcPr>
          <w:p w14:paraId="735C07AE" w14:textId="77777777" w:rsidR="000F72B9" w:rsidRPr="00322C8E" w:rsidRDefault="000F72B9" w:rsidP="00322C8E">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 xml:space="preserve">Entry into force of the legal act(s) on the Provision of Crowdfunding Services for Business. </w:t>
            </w:r>
          </w:p>
        </w:tc>
      </w:tr>
      <w:tr w:rsidR="000F72B9" w:rsidRPr="00322C8E" w14:paraId="7CECC42F" w14:textId="77777777" w:rsidTr="00322C8E">
        <w:trPr>
          <w:trHeight w:val="300"/>
          <w:jc w:val="center"/>
        </w:trPr>
        <w:tc>
          <w:tcPr>
            <w:tcW w:w="370" w:type="pct"/>
            <w:shd w:val="clear" w:color="auto" w:fill="C6EFCE"/>
            <w:noWrap/>
          </w:tcPr>
          <w:p w14:paraId="00767250"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143</w:t>
            </w:r>
          </w:p>
        </w:tc>
        <w:tc>
          <w:tcPr>
            <w:tcW w:w="448" w:type="pct"/>
            <w:shd w:val="clear" w:color="auto" w:fill="C6EFCE"/>
            <w:noWrap/>
          </w:tcPr>
          <w:p w14:paraId="5B0C204E"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C3.3R6</w:t>
            </w:r>
          </w:p>
          <w:p w14:paraId="7B4047D8"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Incentives to promote mergers and acquisitions.</w:t>
            </w:r>
          </w:p>
        </w:tc>
        <w:tc>
          <w:tcPr>
            <w:tcW w:w="417" w:type="pct"/>
            <w:shd w:val="clear" w:color="auto" w:fill="C6EFCE"/>
            <w:noWrap/>
          </w:tcPr>
          <w:p w14:paraId="6C112A45"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tcPr>
          <w:p w14:paraId="698F7C32"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Action Plan for incentives for mergers and acquisitions</w:t>
            </w:r>
          </w:p>
        </w:tc>
        <w:tc>
          <w:tcPr>
            <w:tcW w:w="550" w:type="pct"/>
            <w:shd w:val="clear" w:color="auto" w:fill="C6EFCE"/>
            <w:noWrap/>
          </w:tcPr>
          <w:p w14:paraId="409C6FFE"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Council of Ministers adoption of a report and the accompanying action plan</w:t>
            </w:r>
          </w:p>
        </w:tc>
        <w:tc>
          <w:tcPr>
            <w:tcW w:w="505" w:type="pct"/>
            <w:shd w:val="clear" w:color="auto" w:fill="C6EFCE"/>
            <w:noWrap/>
          </w:tcPr>
          <w:p w14:paraId="4C813758"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tcPr>
          <w:p w14:paraId="1434FD2B"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tcPr>
          <w:p w14:paraId="4FE11810"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tcPr>
          <w:p w14:paraId="0964F58F"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Q4</w:t>
            </w:r>
          </w:p>
        </w:tc>
        <w:tc>
          <w:tcPr>
            <w:tcW w:w="252" w:type="pct"/>
            <w:shd w:val="clear" w:color="auto" w:fill="C6EFCE"/>
            <w:noWrap/>
          </w:tcPr>
          <w:p w14:paraId="012D16F7"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2022</w:t>
            </w:r>
          </w:p>
        </w:tc>
        <w:tc>
          <w:tcPr>
            <w:tcW w:w="1067" w:type="pct"/>
            <w:shd w:val="clear" w:color="auto" w:fill="C6EFCE"/>
            <w:noWrap/>
          </w:tcPr>
          <w:p w14:paraId="39D6B50F"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 xml:space="preserve">Approval of a report and an accompanying action plan by the Council of Ministers on specific incentives for promoting mergers and acquisitions, following the evaluation of similar regimes within the EU and consultation with stakeholders. </w:t>
            </w:r>
          </w:p>
        </w:tc>
      </w:tr>
      <w:tr w:rsidR="000F72B9" w:rsidRPr="00322C8E" w14:paraId="7795C58D" w14:textId="77777777" w:rsidTr="00322C8E">
        <w:trPr>
          <w:trHeight w:val="300"/>
          <w:jc w:val="center"/>
        </w:trPr>
        <w:tc>
          <w:tcPr>
            <w:tcW w:w="370" w:type="pct"/>
            <w:shd w:val="clear" w:color="auto" w:fill="C6EFCE"/>
            <w:noWrap/>
          </w:tcPr>
          <w:p w14:paraId="222F2C2C"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144</w:t>
            </w:r>
          </w:p>
        </w:tc>
        <w:tc>
          <w:tcPr>
            <w:tcW w:w="448" w:type="pct"/>
            <w:shd w:val="clear" w:color="auto" w:fill="C6EFCE"/>
            <w:noWrap/>
          </w:tcPr>
          <w:p w14:paraId="06BE5972"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C3.3I2</w:t>
            </w:r>
          </w:p>
          <w:p w14:paraId="4F7A2C80"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A Regulatory Sandbox </w:t>
            </w:r>
          </w:p>
        </w:tc>
        <w:tc>
          <w:tcPr>
            <w:tcW w:w="417" w:type="pct"/>
            <w:shd w:val="clear" w:color="auto" w:fill="C6EFCE"/>
            <w:noWrap/>
          </w:tcPr>
          <w:p w14:paraId="1D0A0C49"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tcPr>
          <w:p w14:paraId="25860192"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Regulatory Sandbox </w:t>
            </w:r>
          </w:p>
        </w:tc>
        <w:tc>
          <w:tcPr>
            <w:tcW w:w="550" w:type="pct"/>
            <w:shd w:val="clear" w:color="auto" w:fill="C6EFCE"/>
            <w:noWrap/>
          </w:tcPr>
          <w:p w14:paraId="20F70898"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Regulatory Sandbox is accessible. </w:t>
            </w:r>
          </w:p>
        </w:tc>
        <w:tc>
          <w:tcPr>
            <w:tcW w:w="505" w:type="pct"/>
            <w:shd w:val="clear" w:color="auto" w:fill="C6EFCE"/>
            <w:noWrap/>
          </w:tcPr>
          <w:p w14:paraId="40117ECB" w14:textId="49A547AA"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tcPr>
          <w:p w14:paraId="7A3A07D6" w14:textId="64BB118F"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tcPr>
          <w:p w14:paraId="1F4B91A2" w14:textId="779D7BC1"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tcPr>
          <w:p w14:paraId="311EB51E"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Q2</w:t>
            </w:r>
          </w:p>
        </w:tc>
        <w:tc>
          <w:tcPr>
            <w:tcW w:w="252" w:type="pct"/>
            <w:shd w:val="clear" w:color="auto" w:fill="C6EFCE"/>
            <w:noWrap/>
          </w:tcPr>
          <w:p w14:paraId="0216FB65"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2024</w:t>
            </w:r>
          </w:p>
        </w:tc>
        <w:tc>
          <w:tcPr>
            <w:tcW w:w="1067" w:type="pct"/>
            <w:shd w:val="clear" w:color="auto" w:fill="C6EFCE"/>
            <w:noWrap/>
          </w:tcPr>
          <w:p w14:paraId="46B70DB5"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A Regulatory Sandbox is accessible.</w:t>
            </w:r>
          </w:p>
        </w:tc>
      </w:tr>
      <w:tr w:rsidR="000F72B9" w:rsidRPr="00322C8E" w14:paraId="0CF7CD83" w14:textId="77777777" w:rsidTr="00322C8E">
        <w:trPr>
          <w:trHeight w:val="300"/>
          <w:jc w:val="center"/>
        </w:trPr>
        <w:tc>
          <w:tcPr>
            <w:tcW w:w="370" w:type="pct"/>
            <w:shd w:val="clear" w:color="auto" w:fill="C6EFCE"/>
            <w:noWrap/>
          </w:tcPr>
          <w:p w14:paraId="47C8992D"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147</w:t>
            </w:r>
          </w:p>
        </w:tc>
        <w:tc>
          <w:tcPr>
            <w:tcW w:w="448" w:type="pct"/>
            <w:shd w:val="clear" w:color="auto" w:fill="C6EFCE"/>
            <w:noWrap/>
          </w:tcPr>
          <w:p w14:paraId="75A91D00"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C3.3I4</w:t>
            </w:r>
          </w:p>
          <w:p w14:paraId="73CA780A"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Scheme for the digital upgrade of enterprises </w:t>
            </w:r>
          </w:p>
        </w:tc>
        <w:tc>
          <w:tcPr>
            <w:tcW w:w="417" w:type="pct"/>
            <w:shd w:val="clear" w:color="auto" w:fill="C6EFCE"/>
            <w:noWrap/>
          </w:tcPr>
          <w:p w14:paraId="396C1F54"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tcPr>
          <w:p w14:paraId="03FAB18F"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Publication of call for proposals following approval of the scheme by the Council of Ministers</w:t>
            </w:r>
          </w:p>
        </w:tc>
        <w:tc>
          <w:tcPr>
            <w:tcW w:w="550" w:type="pct"/>
            <w:shd w:val="clear" w:color="auto" w:fill="C6EFCE"/>
            <w:noWrap/>
          </w:tcPr>
          <w:p w14:paraId="437A7ED6"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Official announcement of the call for proposals in the press, the MECI/ITS website and MECI/ITS social media</w:t>
            </w:r>
          </w:p>
        </w:tc>
        <w:tc>
          <w:tcPr>
            <w:tcW w:w="505" w:type="pct"/>
            <w:shd w:val="clear" w:color="auto" w:fill="C6EFCE"/>
            <w:noWrap/>
          </w:tcPr>
          <w:p w14:paraId="4D60A0F2" w14:textId="6FA18F06"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tcPr>
          <w:p w14:paraId="0F0B4F84"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tcPr>
          <w:p w14:paraId="3FF62823"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tcPr>
          <w:p w14:paraId="616E8E7F"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Q2</w:t>
            </w:r>
          </w:p>
        </w:tc>
        <w:tc>
          <w:tcPr>
            <w:tcW w:w="252" w:type="pct"/>
            <w:shd w:val="clear" w:color="auto" w:fill="C6EFCE"/>
            <w:noWrap/>
          </w:tcPr>
          <w:p w14:paraId="695D786C"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2023</w:t>
            </w:r>
          </w:p>
        </w:tc>
        <w:tc>
          <w:tcPr>
            <w:tcW w:w="1067" w:type="pct"/>
            <w:shd w:val="clear" w:color="auto" w:fill="C6EFCE"/>
            <w:noWrap/>
          </w:tcPr>
          <w:p w14:paraId="41E1C2B7"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 xml:space="preserve">Publication of call for proposals for grants covering a percentage of expenditure that shall enhance the digital identity of the businesses or shall increase the amount of small and medium-size enterprises that use information and communication technologies (including the e-commerce sector), or shall promote digital entrepreneurship, following approval of the scheme for the digital upgrade of enterprises by the Council of Ministers. </w:t>
            </w:r>
          </w:p>
        </w:tc>
      </w:tr>
      <w:tr w:rsidR="000F72B9" w:rsidRPr="00322C8E" w14:paraId="1A34C4C4" w14:textId="77777777" w:rsidTr="00322C8E">
        <w:trPr>
          <w:trHeight w:val="300"/>
          <w:jc w:val="center"/>
        </w:trPr>
        <w:tc>
          <w:tcPr>
            <w:tcW w:w="370" w:type="pct"/>
            <w:shd w:val="clear" w:color="auto" w:fill="C1F0C7" w:themeFill="accent3" w:themeFillTint="33"/>
            <w:noWrap/>
          </w:tcPr>
          <w:p w14:paraId="1993C4B4"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148</w:t>
            </w:r>
          </w:p>
        </w:tc>
        <w:tc>
          <w:tcPr>
            <w:tcW w:w="448" w:type="pct"/>
            <w:shd w:val="clear" w:color="auto" w:fill="C1F0C7" w:themeFill="accent3" w:themeFillTint="33"/>
            <w:noWrap/>
          </w:tcPr>
          <w:p w14:paraId="54EDE403"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C3.3I4</w:t>
            </w:r>
          </w:p>
          <w:p w14:paraId="455130E3"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Scheme for the digital upgrade of enterprises </w:t>
            </w:r>
          </w:p>
        </w:tc>
        <w:tc>
          <w:tcPr>
            <w:tcW w:w="417" w:type="pct"/>
            <w:shd w:val="clear" w:color="auto" w:fill="C1F0C7" w:themeFill="accent3" w:themeFillTint="33"/>
            <w:noWrap/>
          </w:tcPr>
          <w:p w14:paraId="56CD6096"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Target</w:t>
            </w:r>
          </w:p>
        </w:tc>
        <w:tc>
          <w:tcPr>
            <w:tcW w:w="447" w:type="pct"/>
            <w:shd w:val="clear" w:color="auto" w:fill="C1F0C7" w:themeFill="accent3" w:themeFillTint="33"/>
            <w:noWrap/>
          </w:tcPr>
          <w:p w14:paraId="1FFF3874" w14:textId="7076AB36"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Grant agreements signed</w:t>
            </w:r>
            <w:r w:rsidR="00064579">
              <w:rPr>
                <w:rFonts w:ascii="Times New Roman" w:hAnsi="Times New Roman" w:cs="Times New Roman"/>
                <w:noProof/>
                <w:sz w:val="18"/>
                <w:szCs w:val="18"/>
              </w:rPr>
              <w:t xml:space="preserve"> </w:t>
            </w:r>
          </w:p>
        </w:tc>
        <w:tc>
          <w:tcPr>
            <w:tcW w:w="550" w:type="pct"/>
            <w:shd w:val="clear" w:color="auto" w:fill="C1F0C7" w:themeFill="accent3" w:themeFillTint="33"/>
            <w:noWrap/>
          </w:tcPr>
          <w:p w14:paraId="1D258B71"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 -</w:t>
            </w:r>
          </w:p>
        </w:tc>
        <w:tc>
          <w:tcPr>
            <w:tcW w:w="505" w:type="pct"/>
            <w:shd w:val="clear" w:color="auto" w:fill="C1F0C7" w:themeFill="accent3" w:themeFillTint="33"/>
            <w:noWrap/>
          </w:tcPr>
          <w:p w14:paraId="44632499"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Number</w:t>
            </w:r>
          </w:p>
        </w:tc>
        <w:tc>
          <w:tcPr>
            <w:tcW w:w="345" w:type="pct"/>
            <w:shd w:val="clear" w:color="auto" w:fill="C1F0C7" w:themeFill="accent3" w:themeFillTint="33"/>
            <w:noWrap/>
          </w:tcPr>
          <w:p w14:paraId="2A7FE46A"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0</w:t>
            </w:r>
          </w:p>
        </w:tc>
        <w:tc>
          <w:tcPr>
            <w:tcW w:w="250" w:type="pct"/>
            <w:shd w:val="clear" w:color="auto" w:fill="C1F0C7" w:themeFill="accent3" w:themeFillTint="33"/>
            <w:noWrap/>
          </w:tcPr>
          <w:p w14:paraId="076A8064"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290</w:t>
            </w:r>
          </w:p>
        </w:tc>
        <w:tc>
          <w:tcPr>
            <w:tcW w:w="349" w:type="pct"/>
            <w:shd w:val="clear" w:color="auto" w:fill="C1F0C7" w:themeFill="accent3" w:themeFillTint="33"/>
            <w:noWrap/>
          </w:tcPr>
          <w:p w14:paraId="1BCC338E"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Q2</w:t>
            </w:r>
          </w:p>
        </w:tc>
        <w:tc>
          <w:tcPr>
            <w:tcW w:w="252" w:type="pct"/>
            <w:shd w:val="clear" w:color="auto" w:fill="C1F0C7" w:themeFill="accent3" w:themeFillTint="33"/>
            <w:noWrap/>
          </w:tcPr>
          <w:p w14:paraId="03E27D0C"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2026</w:t>
            </w:r>
          </w:p>
        </w:tc>
        <w:tc>
          <w:tcPr>
            <w:tcW w:w="1067" w:type="pct"/>
            <w:shd w:val="clear" w:color="auto" w:fill="C1F0C7" w:themeFill="accent3" w:themeFillTint="33"/>
            <w:noWrap/>
          </w:tcPr>
          <w:p w14:paraId="22E3DA27" w14:textId="77777777" w:rsidR="000F72B9" w:rsidRPr="00322C8E" w:rsidRDefault="000F72B9" w:rsidP="00322C8E">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Signature of grant agreements with at least 290 enterprises.</w:t>
            </w:r>
          </w:p>
        </w:tc>
      </w:tr>
      <w:tr w:rsidR="000F72B9" w:rsidRPr="00322C8E" w14:paraId="6AAB621B" w14:textId="77777777" w:rsidTr="00322C8E">
        <w:trPr>
          <w:trHeight w:val="300"/>
          <w:jc w:val="center"/>
        </w:trPr>
        <w:tc>
          <w:tcPr>
            <w:tcW w:w="370" w:type="pct"/>
            <w:shd w:val="clear" w:color="auto" w:fill="C6EFCE"/>
            <w:noWrap/>
          </w:tcPr>
          <w:p w14:paraId="756D4853"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151</w:t>
            </w:r>
          </w:p>
        </w:tc>
        <w:tc>
          <w:tcPr>
            <w:tcW w:w="448" w:type="pct"/>
            <w:shd w:val="clear" w:color="auto" w:fill="C6EFCE"/>
            <w:noWrap/>
          </w:tcPr>
          <w:p w14:paraId="7C7C9009"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C3.3I6</w:t>
            </w:r>
          </w:p>
          <w:p w14:paraId="51AE9B16"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State funded equity fund </w:t>
            </w:r>
          </w:p>
        </w:tc>
        <w:tc>
          <w:tcPr>
            <w:tcW w:w="417" w:type="pct"/>
            <w:shd w:val="clear" w:color="auto" w:fill="C6EFCE"/>
            <w:noWrap/>
          </w:tcPr>
          <w:p w14:paraId="32807189"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tcPr>
          <w:p w14:paraId="049066BF"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Setup of the Fund </w:t>
            </w:r>
          </w:p>
        </w:tc>
        <w:tc>
          <w:tcPr>
            <w:tcW w:w="550" w:type="pct"/>
            <w:shd w:val="clear" w:color="auto" w:fill="C6EFCE"/>
            <w:noWrap/>
          </w:tcPr>
          <w:p w14:paraId="32C255ED"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Registration of the Fund </w:t>
            </w:r>
          </w:p>
        </w:tc>
        <w:tc>
          <w:tcPr>
            <w:tcW w:w="505" w:type="pct"/>
            <w:shd w:val="clear" w:color="auto" w:fill="C6EFCE"/>
            <w:noWrap/>
          </w:tcPr>
          <w:p w14:paraId="646722D6" w14:textId="23F8D962"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tcPr>
          <w:p w14:paraId="63B05F5B" w14:textId="1CB8565A"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tcPr>
          <w:p w14:paraId="00470A51" w14:textId="66D574B0"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tcPr>
          <w:p w14:paraId="40637A40"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Q4</w:t>
            </w:r>
          </w:p>
        </w:tc>
        <w:tc>
          <w:tcPr>
            <w:tcW w:w="252" w:type="pct"/>
            <w:shd w:val="clear" w:color="auto" w:fill="C6EFCE"/>
            <w:noWrap/>
          </w:tcPr>
          <w:p w14:paraId="4355C543"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2022</w:t>
            </w:r>
          </w:p>
        </w:tc>
        <w:tc>
          <w:tcPr>
            <w:tcW w:w="1067" w:type="pct"/>
            <w:shd w:val="clear" w:color="auto" w:fill="C6EFCE"/>
            <w:noWrap/>
          </w:tcPr>
          <w:p w14:paraId="4C7D85AA"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 xml:space="preserve">The setup of the Fund is completed. The Fund shall increase the availability of alternative financing sources, particularly for innovative companies and start-ups. </w:t>
            </w:r>
          </w:p>
          <w:p w14:paraId="067D9AEF" w14:textId="77777777" w:rsidR="000F72B9" w:rsidRPr="00322C8E" w:rsidRDefault="000F72B9" w:rsidP="00322C8E">
            <w:pPr>
              <w:spacing w:after="0" w:line="240" w:lineRule="auto"/>
              <w:jc w:val="both"/>
              <w:rPr>
                <w:rFonts w:ascii="Times New Roman" w:hAnsi="Times New Roman" w:cs="Times New Roman"/>
                <w:noProof/>
                <w:sz w:val="18"/>
                <w:szCs w:val="18"/>
              </w:rPr>
            </w:pPr>
          </w:p>
          <w:p w14:paraId="1BAD83F0" w14:textId="77777777" w:rsidR="000F72B9" w:rsidRPr="00322C8E" w:rsidRDefault="000F72B9" w:rsidP="00322C8E">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The investment policy shall include eligibility criteria for investees to ensure compliance with the ‘Do no significant harm’ Technical Guidance (2021/C58/01) of supported transactions under this measure through the use of sustainability proofing, the requirement of compliance with the relevant EU and national environmental legislation, and the requirement for beneficiaries that derived more than 50% of their revenues during the preceding financial year from activities or assets in the exclusion list to adopt and publish green transition plans.</w:t>
            </w:r>
          </w:p>
        </w:tc>
      </w:tr>
      <w:tr w:rsidR="000F72B9" w:rsidRPr="00322C8E" w14:paraId="256D1B39" w14:textId="77777777" w:rsidTr="00322C8E">
        <w:trPr>
          <w:trHeight w:val="300"/>
          <w:jc w:val="center"/>
        </w:trPr>
        <w:tc>
          <w:tcPr>
            <w:tcW w:w="370" w:type="pct"/>
            <w:shd w:val="clear" w:color="auto" w:fill="C1F0C7" w:themeFill="accent3" w:themeFillTint="33"/>
            <w:noWrap/>
          </w:tcPr>
          <w:p w14:paraId="4BDF906E"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152</w:t>
            </w:r>
          </w:p>
        </w:tc>
        <w:tc>
          <w:tcPr>
            <w:tcW w:w="448" w:type="pct"/>
            <w:shd w:val="clear" w:color="auto" w:fill="C1F0C7" w:themeFill="accent3" w:themeFillTint="33"/>
            <w:noWrap/>
          </w:tcPr>
          <w:p w14:paraId="5AB4B802"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C3.3I6</w:t>
            </w:r>
          </w:p>
          <w:p w14:paraId="6203FBB7"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State funded equity fund </w:t>
            </w:r>
          </w:p>
        </w:tc>
        <w:tc>
          <w:tcPr>
            <w:tcW w:w="417" w:type="pct"/>
            <w:shd w:val="clear" w:color="auto" w:fill="C1F0C7" w:themeFill="accent3" w:themeFillTint="33"/>
            <w:noWrap/>
          </w:tcPr>
          <w:p w14:paraId="4DDC9743"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Target</w:t>
            </w:r>
          </w:p>
        </w:tc>
        <w:tc>
          <w:tcPr>
            <w:tcW w:w="447" w:type="pct"/>
            <w:shd w:val="clear" w:color="auto" w:fill="C1F0C7" w:themeFill="accent3" w:themeFillTint="33"/>
            <w:noWrap/>
          </w:tcPr>
          <w:p w14:paraId="22A3C1E1"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Investees supported through the Fund</w:t>
            </w:r>
          </w:p>
        </w:tc>
        <w:tc>
          <w:tcPr>
            <w:tcW w:w="550" w:type="pct"/>
            <w:shd w:val="clear" w:color="auto" w:fill="C1F0C7" w:themeFill="accent3" w:themeFillTint="33"/>
            <w:noWrap/>
          </w:tcPr>
          <w:p w14:paraId="7F5194B9" w14:textId="77777777" w:rsidR="000F72B9" w:rsidRPr="00322C8E" w:rsidRDefault="000F72B9" w:rsidP="00D8670B">
            <w:pPr>
              <w:spacing w:after="0" w:line="240" w:lineRule="auto"/>
              <w:rPr>
                <w:rFonts w:ascii="Times New Roman" w:hAnsi="Times New Roman" w:cs="Times New Roman"/>
                <w:noProof/>
                <w:sz w:val="18"/>
                <w:szCs w:val="18"/>
              </w:rPr>
            </w:pPr>
          </w:p>
        </w:tc>
        <w:tc>
          <w:tcPr>
            <w:tcW w:w="505" w:type="pct"/>
            <w:shd w:val="clear" w:color="auto" w:fill="C1F0C7" w:themeFill="accent3" w:themeFillTint="33"/>
            <w:noWrap/>
          </w:tcPr>
          <w:p w14:paraId="77C3820D" w14:textId="25EA7468"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Number</w:t>
            </w:r>
          </w:p>
        </w:tc>
        <w:tc>
          <w:tcPr>
            <w:tcW w:w="345" w:type="pct"/>
            <w:shd w:val="clear" w:color="auto" w:fill="C1F0C7" w:themeFill="accent3" w:themeFillTint="33"/>
            <w:noWrap/>
          </w:tcPr>
          <w:p w14:paraId="22612EE0"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0</w:t>
            </w:r>
          </w:p>
        </w:tc>
        <w:tc>
          <w:tcPr>
            <w:tcW w:w="250" w:type="pct"/>
            <w:shd w:val="clear" w:color="auto" w:fill="C1F0C7" w:themeFill="accent3" w:themeFillTint="33"/>
            <w:noWrap/>
          </w:tcPr>
          <w:p w14:paraId="05500E7C"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7</w:t>
            </w:r>
          </w:p>
        </w:tc>
        <w:tc>
          <w:tcPr>
            <w:tcW w:w="349" w:type="pct"/>
            <w:shd w:val="clear" w:color="auto" w:fill="C1F0C7" w:themeFill="accent3" w:themeFillTint="33"/>
            <w:noWrap/>
          </w:tcPr>
          <w:p w14:paraId="6B486CFB"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Q2</w:t>
            </w:r>
          </w:p>
        </w:tc>
        <w:tc>
          <w:tcPr>
            <w:tcW w:w="252" w:type="pct"/>
            <w:shd w:val="clear" w:color="auto" w:fill="C1F0C7" w:themeFill="accent3" w:themeFillTint="33"/>
            <w:noWrap/>
          </w:tcPr>
          <w:p w14:paraId="5489D364"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2026</w:t>
            </w:r>
          </w:p>
        </w:tc>
        <w:tc>
          <w:tcPr>
            <w:tcW w:w="1067" w:type="pct"/>
            <w:shd w:val="clear" w:color="auto" w:fill="C1F0C7" w:themeFill="accent3" w:themeFillTint="33"/>
            <w:noWrap/>
          </w:tcPr>
          <w:p w14:paraId="467F870F" w14:textId="77777777" w:rsidR="000F72B9" w:rsidRPr="00322C8E" w:rsidRDefault="000F72B9" w:rsidP="00322C8E">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At least 7 investees supported through equity financing by the Fund.</w:t>
            </w:r>
          </w:p>
        </w:tc>
      </w:tr>
      <w:tr w:rsidR="000F72B9" w:rsidRPr="00322C8E" w14:paraId="10D4455A" w14:textId="77777777" w:rsidTr="00322C8E">
        <w:trPr>
          <w:trHeight w:val="300"/>
          <w:jc w:val="center"/>
        </w:trPr>
        <w:tc>
          <w:tcPr>
            <w:tcW w:w="370" w:type="pct"/>
            <w:shd w:val="clear" w:color="auto" w:fill="C6EFCE"/>
            <w:noWrap/>
          </w:tcPr>
          <w:p w14:paraId="65BA2C33"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153</w:t>
            </w:r>
          </w:p>
        </w:tc>
        <w:tc>
          <w:tcPr>
            <w:tcW w:w="448" w:type="pct"/>
            <w:shd w:val="clear" w:color="auto" w:fill="C6EFCE"/>
            <w:noWrap/>
          </w:tcPr>
          <w:p w14:paraId="323EA035"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C3.3I1</w:t>
            </w:r>
          </w:p>
          <w:p w14:paraId="1442E977" w14:textId="30D6ED52"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Integrated Information system for the Department of Registrar of Companies and Intellectual Property</w:t>
            </w:r>
          </w:p>
        </w:tc>
        <w:tc>
          <w:tcPr>
            <w:tcW w:w="417" w:type="pct"/>
            <w:shd w:val="clear" w:color="auto" w:fill="C6EFCE"/>
            <w:noWrap/>
          </w:tcPr>
          <w:p w14:paraId="660345D5"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6EFCE"/>
            <w:noWrap/>
          </w:tcPr>
          <w:p w14:paraId="269AE0C9" w14:textId="0EE2081D"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System hardware, software, and networking installation</w:t>
            </w:r>
            <w:r w:rsidR="00064579">
              <w:rPr>
                <w:rFonts w:ascii="Times New Roman" w:hAnsi="Times New Roman" w:cs="Times New Roman"/>
                <w:noProof/>
                <w:sz w:val="18"/>
                <w:szCs w:val="18"/>
              </w:rPr>
              <w:t xml:space="preserve"> </w:t>
            </w:r>
          </w:p>
        </w:tc>
        <w:tc>
          <w:tcPr>
            <w:tcW w:w="550" w:type="pct"/>
            <w:shd w:val="clear" w:color="auto" w:fill="C6EFCE"/>
            <w:noWrap/>
          </w:tcPr>
          <w:p w14:paraId="1EAE41C8"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Certificate of receipt and acceptance issued</w:t>
            </w:r>
          </w:p>
        </w:tc>
        <w:tc>
          <w:tcPr>
            <w:tcW w:w="505" w:type="pct"/>
            <w:shd w:val="clear" w:color="auto" w:fill="C6EFCE"/>
            <w:noWrap/>
          </w:tcPr>
          <w:p w14:paraId="1E1E696E" w14:textId="2E8085E9"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5" w:type="pct"/>
            <w:shd w:val="clear" w:color="auto" w:fill="C6EFCE"/>
            <w:noWrap/>
          </w:tcPr>
          <w:p w14:paraId="0FBF574A" w14:textId="139E041A"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250" w:type="pct"/>
            <w:shd w:val="clear" w:color="auto" w:fill="C6EFCE"/>
            <w:noWrap/>
          </w:tcPr>
          <w:p w14:paraId="3A845972" w14:textId="301025B9"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w:t>
            </w:r>
          </w:p>
        </w:tc>
        <w:tc>
          <w:tcPr>
            <w:tcW w:w="349" w:type="pct"/>
            <w:shd w:val="clear" w:color="auto" w:fill="C6EFCE"/>
            <w:noWrap/>
          </w:tcPr>
          <w:p w14:paraId="026840A9"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Q1</w:t>
            </w:r>
          </w:p>
        </w:tc>
        <w:tc>
          <w:tcPr>
            <w:tcW w:w="252" w:type="pct"/>
            <w:shd w:val="clear" w:color="auto" w:fill="C6EFCE"/>
            <w:noWrap/>
          </w:tcPr>
          <w:p w14:paraId="7485497D"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2024</w:t>
            </w:r>
          </w:p>
        </w:tc>
        <w:tc>
          <w:tcPr>
            <w:tcW w:w="1067" w:type="pct"/>
            <w:shd w:val="clear" w:color="auto" w:fill="C6EFCE"/>
            <w:noWrap/>
          </w:tcPr>
          <w:p w14:paraId="06CD6625" w14:textId="4991FC8C" w:rsidR="000F72B9" w:rsidRPr="00322C8E" w:rsidRDefault="000F72B9" w:rsidP="00EB23AC">
            <w:pPr>
              <w:spacing w:after="0" w:line="240" w:lineRule="auto"/>
              <w:jc w:val="both"/>
              <w:rPr>
                <w:rFonts w:ascii="Times New Roman" w:hAnsi="Times New Roman" w:cs="Times New Roman"/>
                <w:noProof/>
                <w:sz w:val="18"/>
                <w:szCs w:val="18"/>
                <w14:ligatures w14:val="standardContextual"/>
              </w:rPr>
            </w:pPr>
            <w:r w:rsidRPr="00322C8E">
              <w:rPr>
                <w:rFonts w:ascii="Times New Roman" w:hAnsi="Times New Roman" w:cs="Times New Roman"/>
                <w:noProof/>
                <w:sz w:val="18"/>
                <w:szCs w:val="18"/>
              </w:rPr>
              <w:t>Installation of system hardware, software, and networking.</w:t>
            </w:r>
          </w:p>
        </w:tc>
      </w:tr>
      <w:tr w:rsidR="000F72B9" w:rsidRPr="00322C8E" w14:paraId="6927F72D" w14:textId="77777777" w:rsidTr="00322C8E">
        <w:trPr>
          <w:trHeight w:val="300"/>
          <w:jc w:val="center"/>
        </w:trPr>
        <w:tc>
          <w:tcPr>
            <w:tcW w:w="370" w:type="pct"/>
            <w:shd w:val="clear" w:color="auto" w:fill="C1F0C7" w:themeFill="accent3" w:themeFillTint="33"/>
            <w:noWrap/>
          </w:tcPr>
          <w:p w14:paraId="3A75521B"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154</w:t>
            </w:r>
          </w:p>
        </w:tc>
        <w:tc>
          <w:tcPr>
            <w:tcW w:w="448" w:type="pct"/>
            <w:shd w:val="clear" w:color="auto" w:fill="C1F0C7" w:themeFill="accent3" w:themeFillTint="33"/>
            <w:noWrap/>
          </w:tcPr>
          <w:p w14:paraId="41DBA96E"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C3.3I1</w:t>
            </w:r>
          </w:p>
          <w:p w14:paraId="22FFAFB6" w14:textId="405B33C9"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Information system for the Department of Registrar of Companies and Intellectual Property</w:t>
            </w:r>
          </w:p>
        </w:tc>
        <w:tc>
          <w:tcPr>
            <w:tcW w:w="417" w:type="pct"/>
            <w:shd w:val="clear" w:color="auto" w:fill="C1F0C7" w:themeFill="accent3" w:themeFillTint="33"/>
            <w:noWrap/>
          </w:tcPr>
          <w:p w14:paraId="4604AF49"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Milestone</w:t>
            </w:r>
          </w:p>
        </w:tc>
        <w:tc>
          <w:tcPr>
            <w:tcW w:w="447" w:type="pct"/>
            <w:shd w:val="clear" w:color="auto" w:fill="C1F0C7" w:themeFill="accent3" w:themeFillTint="33"/>
            <w:noWrap/>
          </w:tcPr>
          <w:p w14:paraId="3CC55903"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 xml:space="preserve">Training courses </w:t>
            </w:r>
          </w:p>
        </w:tc>
        <w:tc>
          <w:tcPr>
            <w:tcW w:w="550" w:type="pct"/>
            <w:shd w:val="clear" w:color="auto" w:fill="C1F0C7" w:themeFill="accent3" w:themeFillTint="33"/>
            <w:noWrap/>
          </w:tcPr>
          <w:p w14:paraId="79F4AB97" w14:textId="77777777" w:rsidR="000F72B9" w:rsidRPr="00322C8E" w:rsidRDefault="000F72B9" w:rsidP="00D8670B">
            <w:pPr>
              <w:spacing w:after="0" w:line="240" w:lineRule="auto"/>
              <w:rPr>
                <w:rFonts w:ascii="Times New Roman" w:hAnsi="Times New Roman" w:cs="Times New Roman"/>
                <w:noProof/>
                <w:sz w:val="18"/>
                <w:szCs w:val="18"/>
              </w:rPr>
            </w:pPr>
            <w:r w:rsidRPr="00322C8E">
              <w:rPr>
                <w:rFonts w:ascii="Times New Roman" w:hAnsi="Times New Roman" w:cs="Times New Roman"/>
                <w:noProof/>
                <w:sz w:val="18"/>
                <w:szCs w:val="18"/>
              </w:rPr>
              <w:t>Training courses given</w:t>
            </w:r>
          </w:p>
        </w:tc>
        <w:tc>
          <w:tcPr>
            <w:tcW w:w="505" w:type="pct"/>
            <w:shd w:val="clear" w:color="auto" w:fill="C1F0C7" w:themeFill="accent3" w:themeFillTint="33"/>
            <w:noWrap/>
          </w:tcPr>
          <w:p w14:paraId="3A67C873" w14:textId="77777777" w:rsidR="000F72B9" w:rsidRPr="00322C8E" w:rsidRDefault="000F72B9" w:rsidP="00322C8E">
            <w:pPr>
              <w:spacing w:after="0" w:line="240" w:lineRule="auto"/>
              <w:jc w:val="center"/>
              <w:rPr>
                <w:rFonts w:ascii="Times New Roman" w:hAnsi="Times New Roman" w:cs="Times New Roman"/>
                <w:noProof/>
                <w:sz w:val="18"/>
                <w:szCs w:val="18"/>
              </w:rPr>
            </w:pPr>
          </w:p>
        </w:tc>
        <w:tc>
          <w:tcPr>
            <w:tcW w:w="345" w:type="pct"/>
            <w:shd w:val="clear" w:color="auto" w:fill="C1F0C7" w:themeFill="accent3" w:themeFillTint="33"/>
            <w:noWrap/>
          </w:tcPr>
          <w:p w14:paraId="3A81C2B6" w14:textId="77777777" w:rsidR="000F72B9" w:rsidRPr="00322C8E" w:rsidRDefault="000F72B9" w:rsidP="00322C8E">
            <w:pPr>
              <w:spacing w:after="0" w:line="240" w:lineRule="auto"/>
              <w:jc w:val="center"/>
              <w:rPr>
                <w:rFonts w:ascii="Times New Roman" w:hAnsi="Times New Roman" w:cs="Times New Roman"/>
                <w:noProof/>
                <w:sz w:val="18"/>
                <w:szCs w:val="18"/>
              </w:rPr>
            </w:pPr>
          </w:p>
        </w:tc>
        <w:tc>
          <w:tcPr>
            <w:tcW w:w="250" w:type="pct"/>
            <w:shd w:val="clear" w:color="auto" w:fill="C1F0C7" w:themeFill="accent3" w:themeFillTint="33"/>
            <w:noWrap/>
          </w:tcPr>
          <w:p w14:paraId="1F179F47" w14:textId="77777777" w:rsidR="000F72B9" w:rsidRPr="00322C8E" w:rsidRDefault="000F72B9" w:rsidP="00322C8E">
            <w:pPr>
              <w:spacing w:after="0" w:line="240" w:lineRule="auto"/>
              <w:jc w:val="center"/>
              <w:rPr>
                <w:rFonts w:ascii="Times New Roman" w:hAnsi="Times New Roman" w:cs="Times New Roman"/>
                <w:noProof/>
                <w:sz w:val="18"/>
                <w:szCs w:val="18"/>
              </w:rPr>
            </w:pPr>
          </w:p>
        </w:tc>
        <w:tc>
          <w:tcPr>
            <w:tcW w:w="349" w:type="pct"/>
            <w:shd w:val="clear" w:color="auto" w:fill="C1F0C7" w:themeFill="accent3" w:themeFillTint="33"/>
            <w:noWrap/>
          </w:tcPr>
          <w:p w14:paraId="6846347E"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Q4</w:t>
            </w:r>
          </w:p>
        </w:tc>
        <w:tc>
          <w:tcPr>
            <w:tcW w:w="252" w:type="pct"/>
            <w:shd w:val="clear" w:color="auto" w:fill="C1F0C7" w:themeFill="accent3" w:themeFillTint="33"/>
            <w:noWrap/>
          </w:tcPr>
          <w:p w14:paraId="6858AD79" w14:textId="77777777" w:rsidR="000F72B9" w:rsidRPr="00322C8E" w:rsidRDefault="000F72B9" w:rsidP="00322C8E">
            <w:pPr>
              <w:spacing w:after="0" w:line="240" w:lineRule="auto"/>
              <w:jc w:val="center"/>
              <w:rPr>
                <w:rFonts w:ascii="Times New Roman" w:hAnsi="Times New Roman" w:cs="Times New Roman"/>
                <w:noProof/>
                <w:sz w:val="18"/>
                <w:szCs w:val="18"/>
              </w:rPr>
            </w:pPr>
            <w:r w:rsidRPr="00322C8E">
              <w:rPr>
                <w:rFonts w:ascii="Times New Roman" w:hAnsi="Times New Roman" w:cs="Times New Roman"/>
                <w:noProof/>
                <w:sz w:val="18"/>
                <w:szCs w:val="18"/>
              </w:rPr>
              <w:t>2025</w:t>
            </w:r>
          </w:p>
        </w:tc>
        <w:tc>
          <w:tcPr>
            <w:tcW w:w="1067" w:type="pct"/>
            <w:shd w:val="clear" w:color="auto" w:fill="C1F0C7" w:themeFill="accent3" w:themeFillTint="33"/>
            <w:noWrap/>
          </w:tcPr>
          <w:p w14:paraId="2D03E3C8" w14:textId="77777777" w:rsidR="000F72B9" w:rsidRPr="00322C8E" w:rsidRDefault="000F72B9" w:rsidP="00322C8E">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Training courses given on the information system of the services which may include, but it is not limited to HE1-Registration of Company, HE4-Change of official particulars and HE57-Transfer of shares</w:t>
            </w:r>
          </w:p>
          <w:p w14:paraId="09464DEB" w14:textId="77777777" w:rsidR="000F72B9" w:rsidRPr="00322C8E" w:rsidRDefault="000F72B9" w:rsidP="00322C8E">
            <w:pPr>
              <w:spacing w:after="0" w:line="240" w:lineRule="auto"/>
              <w:jc w:val="both"/>
              <w:rPr>
                <w:rFonts w:ascii="Times New Roman" w:hAnsi="Times New Roman" w:cs="Times New Roman"/>
                <w:noProof/>
                <w:sz w:val="18"/>
                <w:szCs w:val="18"/>
              </w:rPr>
            </w:pPr>
            <w:r w:rsidRPr="00322C8E">
              <w:rPr>
                <w:rFonts w:ascii="Times New Roman" w:hAnsi="Times New Roman" w:cs="Times New Roman"/>
                <w:noProof/>
                <w:sz w:val="18"/>
                <w:szCs w:val="18"/>
              </w:rPr>
              <w:t xml:space="preserve">of the Companies section of the Department of Registrar of Companies and Intellectual Property. </w:t>
            </w:r>
          </w:p>
        </w:tc>
      </w:tr>
    </w:tbl>
    <w:p w14:paraId="3D426C23" w14:textId="77777777" w:rsidR="000F72B9" w:rsidRPr="000F04FA" w:rsidRDefault="000F72B9" w:rsidP="00D8670B">
      <w:pPr>
        <w:rPr>
          <w:noProof/>
        </w:rPr>
      </w:pPr>
    </w:p>
    <w:p w14:paraId="22516237" w14:textId="77777777" w:rsidR="000F72B9" w:rsidRPr="000F04FA" w:rsidRDefault="000F72B9" w:rsidP="000F72B9">
      <w:pPr>
        <w:rPr>
          <w:noProof/>
        </w:rPr>
      </w:pPr>
    </w:p>
    <w:p w14:paraId="226EA1D9" w14:textId="77777777" w:rsidR="000F72B9" w:rsidRPr="000F04FA" w:rsidRDefault="000F72B9" w:rsidP="000F72B9">
      <w:pPr>
        <w:rPr>
          <w:noProof/>
        </w:rPr>
      </w:pPr>
    </w:p>
    <w:p w14:paraId="68FADCF9" w14:textId="77777777" w:rsidR="000F72B9" w:rsidRPr="000F04FA" w:rsidRDefault="000F72B9" w:rsidP="000F72B9">
      <w:pPr>
        <w:rPr>
          <w:noProof/>
        </w:rPr>
        <w:sectPr w:rsidR="000F72B9" w:rsidRPr="000F04FA" w:rsidSect="000F72B9">
          <w:headerReference w:type="default" r:id="rId64"/>
          <w:footerReference w:type="default" r:id="rId65"/>
          <w:pgSz w:w="16839" w:h="11907" w:orient="landscape"/>
          <w:pgMar w:top="1134" w:right="1134" w:bottom="1134" w:left="1134" w:header="567" w:footer="567" w:gutter="0"/>
          <w:cols w:space="720"/>
          <w:docGrid w:linePitch="360"/>
        </w:sectPr>
      </w:pPr>
    </w:p>
    <w:p w14:paraId="38688EBA" w14:textId="77777777" w:rsidR="000F72B9" w:rsidRPr="000F04FA" w:rsidRDefault="000F72B9" w:rsidP="00D8670B">
      <w:pPr>
        <w:spacing w:before="360" w:after="120"/>
        <w:jc w:val="both"/>
        <w:rPr>
          <w:noProof/>
        </w:rPr>
      </w:pPr>
      <w:r w:rsidRPr="000F04FA">
        <w:rPr>
          <w:rFonts w:ascii="Times New Roman" w:eastAsia="Times New Roman" w:hAnsi="Times New Roman" w:cs="Times New Roman"/>
          <w:b/>
          <w:bCs/>
          <w:smallCaps/>
          <w:noProof/>
        </w:rPr>
        <w:t>H. COMPONENT 3.4: Modernising public and local authorities, making justice more efficient and fighting corruption</w:t>
      </w:r>
    </w:p>
    <w:p w14:paraId="1E383F84" w14:textId="7E50154E"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This component of the Cypriot recovery and resilience plan addresses long-standing challenges in the functioning of public administration, at both the central and the local levels, the justice system, and the anti-corruption framework. The objectives of the component are: (i) to increase the effectiveness, efficiency and relevance of government processes, considering current challenges, needs, and expectations of citizens and businesses, (ii) to strengthen the administrative capacity and cooperation of the Ministry of Interior and local governments to ensure the effective implementation of the new local administration model, (iii) to improve the effectiveness, including quality and efficiency, of the justice system, through accelerating the administration of justice and reducing the backlog of cases, and (iv) to achieve greater coherence to the government’s efforts to fight corruption.</w:t>
      </w:r>
      <w:r w:rsidR="00064579">
        <w:rPr>
          <w:rFonts w:ascii="Times New Roman" w:eastAsia="Times New Roman" w:hAnsi="Times New Roman" w:cs="Times New Roman"/>
          <w:noProof/>
        </w:rPr>
        <w:t xml:space="preserve"> </w:t>
      </w:r>
    </w:p>
    <w:p w14:paraId="6EE98038" w14:textId="1133F3FE"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The reforms and investments included in the component contribute to addressing the Country-Specific Recommendations on improving efficiency in the public sector, in particular as regards the functioning of the public administration and of local governments (Country-Specific Recommendations 1 of 2019 and 4 of 2020), on promoting flexible working arrangements (Country-Specific Recommendation 2 of 2020),</w:t>
      </w:r>
      <w:r w:rsidR="00064579">
        <w:rPr>
          <w:rFonts w:ascii="Times New Roman" w:eastAsia="Times New Roman" w:hAnsi="Times New Roman" w:cs="Times New Roman"/>
          <w:noProof/>
        </w:rPr>
        <w:t xml:space="preserve"> </w:t>
      </w:r>
      <w:r w:rsidRPr="000F04FA">
        <w:rPr>
          <w:rFonts w:ascii="Times New Roman" w:eastAsia="Times New Roman" w:hAnsi="Times New Roman" w:cs="Times New Roman"/>
          <w:noProof/>
        </w:rPr>
        <w:t>on improving the efficiency and digitalisation of the judicial system (Country-Specific Recommendation 5 of 2019 and Country-Specific Recommendation 4 of 2020) and on anti-corruption reforms (Country-Specific Recommendation 5 of 2019).</w:t>
      </w:r>
    </w:p>
    <w:p w14:paraId="0EE8D94F"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sz w:val="22"/>
          <w:szCs w:val="22"/>
        </w:rPr>
        <w:t xml:space="preserve"> </w:t>
      </w:r>
    </w:p>
    <w:p w14:paraId="15E57402" w14:textId="52C10454" w:rsidR="000F72B9" w:rsidRPr="000F04FA" w:rsidRDefault="000F72B9" w:rsidP="00D8670B">
      <w:pPr>
        <w:spacing w:before="120" w:after="120"/>
        <w:jc w:val="both"/>
        <w:rPr>
          <w:noProof/>
        </w:rPr>
      </w:pPr>
      <w:r w:rsidRPr="000F04FA">
        <w:rPr>
          <w:rFonts w:ascii="Times New Roman" w:eastAsia="Times New Roman" w:hAnsi="Times New Roman" w:cs="Times New Roman"/>
          <w:b/>
          <w:bCs/>
          <w:noProof/>
          <w:u w:val="single"/>
        </w:rPr>
        <w:t>H.1.</w:t>
      </w:r>
      <w:r w:rsidR="00064579">
        <w:rPr>
          <w:rFonts w:ascii="Times New Roman" w:eastAsia="Times New Roman" w:hAnsi="Times New Roman" w:cs="Times New Roman"/>
          <w:b/>
          <w:bCs/>
          <w:noProof/>
          <w:u w:val="single"/>
        </w:rPr>
        <w:t xml:space="preserve"> </w:t>
      </w:r>
      <w:r w:rsidRPr="000F04FA">
        <w:rPr>
          <w:rFonts w:ascii="Times New Roman" w:eastAsia="Times New Roman" w:hAnsi="Times New Roman" w:cs="Times New Roman"/>
          <w:b/>
          <w:bCs/>
          <w:noProof/>
          <w:u w:val="single"/>
        </w:rPr>
        <w:t>Description of the reforms and investments for non-repayable financial support</w:t>
      </w:r>
    </w:p>
    <w:p w14:paraId="1EA02F12"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noProof/>
          <w:u w:val="single"/>
        </w:rPr>
        <w:t>Subcomponent 3.4.1: Modernising the Public Sector</w:t>
      </w:r>
    </w:p>
    <w:p w14:paraId="023A7DD0"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Reform 1 (C3.4R1): Support the functioning of public administration. </w:t>
      </w:r>
    </w:p>
    <w:p w14:paraId="18F957DA" w14:textId="17844418"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The objective of this reform is to support the human resource management within the</w:t>
      </w:r>
      <w:r w:rsidRPr="000F04FA">
        <w:rPr>
          <w:rFonts w:ascii="Times New Roman" w:eastAsia="Times New Roman" w:hAnsi="Times New Roman" w:cs="Times New Roman"/>
          <w:b/>
          <w:bCs/>
          <w:noProof/>
        </w:rPr>
        <w:t xml:space="preserve"> </w:t>
      </w:r>
      <w:r w:rsidRPr="000F04FA">
        <w:rPr>
          <w:rFonts w:ascii="Times New Roman" w:eastAsia="Times New Roman" w:hAnsi="Times New Roman" w:cs="Times New Roman"/>
          <w:noProof/>
        </w:rPr>
        <w:t>general public administration and the administrative capacity of the Cyprus Police. This measure consists in (i) the adoption of measures on human resource management of the public administration; and (ii) the reorganisation and modernisation of the Cyprus Police by designing and implementing a new model of policing and operations.</w:t>
      </w:r>
    </w:p>
    <w:p w14:paraId="30ABFE05"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 </w:t>
      </w:r>
    </w:p>
    <w:p w14:paraId="513CDCA8"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Reform 2 (C3.4R2): Regulate flexible working arrangements in the public sector </w:t>
      </w:r>
    </w:p>
    <w:p w14:paraId="26EA06E1"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this reform is to allow for the use of flexible working arrangements. </w:t>
      </w:r>
    </w:p>
    <w:p w14:paraId="7B16A426"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This measure consists in the entry into force of legal act(s) on flexible working arrangements in the public sector. </w:t>
      </w:r>
    </w:p>
    <w:p w14:paraId="2EA451C6"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i/>
          <w:iCs/>
          <w:noProof/>
        </w:rPr>
        <w:t xml:space="preserve"> </w:t>
      </w:r>
    </w:p>
    <w:p w14:paraId="70E1D817"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Reform 3 (C3.4R3): Introduce new framework for evaluation and selection process for filling public service vacancies and new regulations for the evaluation of employees’ performance</w:t>
      </w:r>
    </w:p>
    <w:p w14:paraId="232BEF48"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The objective of this reform is to support the functioning of the public service.</w:t>
      </w:r>
    </w:p>
    <w:p w14:paraId="6787599F"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This measure consists in the entry into force of legal act(s) on the recruitment, evaluation and promotion of civil servants.</w:t>
      </w:r>
    </w:p>
    <w:p w14:paraId="4E861901"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i/>
          <w:iCs/>
          <w:noProof/>
        </w:rPr>
        <w:t xml:space="preserve"> </w:t>
      </w:r>
    </w:p>
    <w:p w14:paraId="097A18F4"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Reform 4 (C3.4R4): Digitalisation of public procurement </w:t>
      </w:r>
    </w:p>
    <w:p w14:paraId="2C1BF719"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this reform is to introduce new procurement processes using digital tools. </w:t>
      </w:r>
    </w:p>
    <w:p w14:paraId="47E3453C" w14:textId="37774BC1"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This measure consists in an </w:t>
      </w:r>
      <w:r w:rsidRPr="000F04FA">
        <w:rPr>
          <w:rFonts w:ascii="Segoe UI" w:eastAsia="Segoe UI" w:hAnsi="Segoe UI" w:cs="Segoe UI"/>
          <w:noProof/>
          <w:color w:val="242424"/>
          <w:sz w:val="21"/>
          <w:szCs w:val="21"/>
        </w:rPr>
        <w:t xml:space="preserve">online and accessible </w:t>
      </w:r>
      <w:r w:rsidRPr="000F04FA">
        <w:rPr>
          <w:rFonts w:ascii="Times New Roman" w:eastAsia="Times New Roman" w:hAnsi="Times New Roman" w:cs="Times New Roman"/>
          <w:noProof/>
        </w:rPr>
        <w:t xml:space="preserve">e-procurement system. </w:t>
      </w:r>
    </w:p>
    <w:p w14:paraId="74E3EFC0"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i/>
          <w:iCs/>
          <w:noProof/>
        </w:rPr>
        <w:t xml:space="preserve"> </w:t>
      </w:r>
    </w:p>
    <w:p w14:paraId="67719A99"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Reform 5 (C3.4R5): Enhancement of the capacity of the Law Office </w:t>
      </w:r>
    </w:p>
    <w:p w14:paraId="0C44D78C"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The objective of the reform is to implement a digital transformation of the Law Office, aiming to increase its efficiency and effectiveness, as well as the productivity, quality of work and working conditions of the employees.</w:t>
      </w:r>
    </w:p>
    <w:p w14:paraId="480DC1EB"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The reform shall consist in digitalising the processes and procedures of the Law Office by introducing an IT system (eLaw System). During the implementation of the project, a business analysis shall assess needs for process re-engineering.</w:t>
      </w:r>
    </w:p>
    <w:p w14:paraId="52D526B7" w14:textId="1AF60F40" w:rsidR="000F72B9" w:rsidRPr="006D0F17" w:rsidRDefault="000F72B9" w:rsidP="00D8670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implementation of the reform shall be completed by 31</w:t>
      </w:r>
      <w:r w:rsidR="001766DA" w:rsidRPr="006D0F17">
        <w:rPr>
          <w:rFonts w:ascii="Times New Roman" w:eastAsia="Times New Roman" w:hAnsi="Times New Roman" w:cs="Times New Roman"/>
          <w:noProof/>
        </w:rPr>
        <w:t> </w:t>
      </w:r>
      <w:r w:rsidRPr="000F04FA">
        <w:rPr>
          <w:rFonts w:ascii="Times New Roman" w:eastAsia="Times New Roman" w:hAnsi="Times New Roman" w:cs="Times New Roman"/>
          <w:noProof/>
        </w:rPr>
        <w:t>December</w:t>
      </w:r>
      <w:r w:rsidR="001766DA" w:rsidRPr="006D0F17">
        <w:rPr>
          <w:rFonts w:ascii="Times New Roman" w:eastAsia="Times New Roman" w:hAnsi="Times New Roman" w:cs="Times New Roman"/>
          <w:noProof/>
        </w:rPr>
        <w:t> </w:t>
      </w:r>
      <w:r w:rsidRPr="000F04FA">
        <w:rPr>
          <w:rFonts w:ascii="Times New Roman" w:eastAsia="Times New Roman" w:hAnsi="Times New Roman" w:cs="Times New Roman"/>
          <w:noProof/>
        </w:rPr>
        <w:t xml:space="preserve">2023. </w:t>
      </w:r>
    </w:p>
    <w:p w14:paraId="563B2C38"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i/>
          <w:iCs/>
          <w:noProof/>
        </w:rPr>
        <w:t xml:space="preserve"> </w:t>
      </w:r>
    </w:p>
    <w:p w14:paraId="371C5635"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Investment 3 (C3.4I3): Economic Policy Modelling Hub </w:t>
      </w:r>
    </w:p>
    <w:p w14:paraId="5523FE61"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this investment is to increase the use of quantitative modelling techniques for policy impact assessment. </w:t>
      </w:r>
    </w:p>
    <w:p w14:paraId="60E2A1E2" w14:textId="23080C3C"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This measure consists in the approval by the Council of the Economics Research Centre of a report of the director of the Economics Research Centre on developed impact assessment models and tools.</w:t>
      </w:r>
    </w:p>
    <w:p w14:paraId="7169425A"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 </w:t>
      </w:r>
    </w:p>
    <w:p w14:paraId="6E235C12"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noProof/>
          <w:u w:val="single"/>
        </w:rPr>
        <w:t>Subcomponent 3.4.2: Local Administration and Spatial reform</w:t>
      </w:r>
    </w:p>
    <w:p w14:paraId="5D901599"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Reform 6 (C3.4R6): New legal framework for Local Authorities and support measures </w:t>
      </w:r>
    </w:p>
    <w:p w14:paraId="7B99808B"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this reform is to support the decision-making power, administrative autonomy, and efficiency of local authorities in Cyprus. </w:t>
      </w:r>
    </w:p>
    <w:p w14:paraId="4AE55F43" w14:textId="230FF0E2"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This measure consists in the entry into force of legal act(s) on the organisation of local authorities in Cyprus and training.</w:t>
      </w:r>
      <w:r w:rsidR="00064579">
        <w:rPr>
          <w:rFonts w:ascii="Times New Roman" w:eastAsia="Times New Roman" w:hAnsi="Times New Roman" w:cs="Times New Roman"/>
          <w:noProof/>
        </w:rPr>
        <w:t xml:space="preserve"> </w:t>
      </w:r>
    </w:p>
    <w:p w14:paraId="5C847676"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i/>
          <w:iCs/>
          <w:noProof/>
        </w:rPr>
        <w:t xml:space="preserve"> </w:t>
      </w:r>
    </w:p>
    <w:p w14:paraId="60C18700"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Reform 7 (C3.4R7): Urban land consolidation </w:t>
      </w:r>
    </w:p>
    <w:p w14:paraId="7B64E7AF"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The objective of this reform is to reduce the pressure for municipalities’ expansion and increase soil seal.</w:t>
      </w:r>
    </w:p>
    <w:p w14:paraId="691918DC" w14:textId="4D068243"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This measure consists in (i) for the entry into force of a law on urban land consolidation and (ii) the publication of pilot urban land consolidation plans online. </w:t>
      </w:r>
    </w:p>
    <w:p w14:paraId="02DBAC88" w14:textId="5FD24A54" w:rsidR="000F72B9" w:rsidRPr="000F04FA" w:rsidRDefault="000F72B9" w:rsidP="00D8670B">
      <w:pPr>
        <w:spacing w:before="120" w:after="120"/>
        <w:jc w:val="both"/>
        <w:rPr>
          <w:noProof/>
        </w:rPr>
      </w:pPr>
    </w:p>
    <w:p w14:paraId="40769381"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Investment 4 (C3.4I4): E-system for issuing building permits </w:t>
      </w:r>
    </w:p>
    <w:p w14:paraId="20059B40"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the investment is to increase the efficiency of building permit procedures. </w:t>
      </w:r>
    </w:p>
    <w:p w14:paraId="1221B980" w14:textId="0DC02500"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This measure consists in (i) expanding the e-application environment of the existing Hippodamos IT system for planning and permitting, to enable all planning authorities and building authorities (municipalities) to submit applications for planning and building permits from a common platform; (ii) additional services in the Hippodamos system. </w:t>
      </w:r>
    </w:p>
    <w:p w14:paraId="32D60F69"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 </w:t>
      </w:r>
    </w:p>
    <w:p w14:paraId="5919F38E" w14:textId="77777777" w:rsidR="000F72B9" w:rsidRPr="000F04FA" w:rsidRDefault="000F72B9" w:rsidP="00D8670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 xml:space="preserve">Investment 5 (C3.4I5): Smart cities </w:t>
      </w:r>
    </w:p>
    <w:p w14:paraId="53A16234"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The objective of this investment is to coordinate on-going smart cities initiatives.</w:t>
      </w:r>
    </w:p>
    <w:p w14:paraId="7326AE87" w14:textId="6CB3DBB2" w:rsidR="000F72B9" w:rsidRPr="000F04FA" w:rsidRDefault="000F72B9" w:rsidP="001766DA">
      <w:pPr>
        <w:spacing w:before="120" w:after="120"/>
        <w:jc w:val="both"/>
        <w:rPr>
          <w:noProof/>
        </w:rPr>
      </w:pPr>
      <w:r w:rsidRPr="000F04FA">
        <w:rPr>
          <w:rFonts w:ascii="Times New Roman" w:eastAsia="Times New Roman" w:hAnsi="Times New Roman" w:cs="Times New Roman"/>
          <w:noProof/>
        </w:rPr>
        <w:t xml:space="preserve">This measure consists of a smart cities platform and mobile applications. </w:t>
      </w:r>
    </w:p>
    <w:p w14:paraId="2E026D0D" w14:textId="2E3E02D5" w:rsidR="000F72B9" w:rsidRPr="000F04FA" w:rsidRDefault="000F72B9" w:rsidP="00D8670B">
      <w:pPr>
        <w:spacing w:line="257" w:lineRule="auto"/>
        <w:rPr>
          <w:noProof/>
        </w:rPr>
      </w:pPr>
    </w:p>
    <w:p w14:paraId="2E1E56E1" w14:textId="77777777" w:rsidR="000F72B9" w:rsidRPr="000F04FA" w:rsidRDefault="000F72B9" w:rsidP="00D8670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 xml:space="preserve">Investment 6a (C3.4I6a): Regeneration and Revitalisation of Nicosia Inner City </w:t>
      </w:r>
    </w:p>
    <w:p w14:paraId="5CF7B055"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this investment is to revitalise the Nicosia inner city. </w:t>
      </w:r>
    </w:p>
    <w:p w14:paraId="2534885E" w14:textId="1BFF7614"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This measure consists in renovating rooms in Nicosia.</w:t>
      </w:r>
    </w:p>
    <w:p w14:paraId="6B604FAB" w14:textId="4B002683" w:rsidR="000F72B9" w:rsidRPr="000F04FA" w:rsidRDefault="000F72B9" w:rsidP="00D8670B">
      <w:pPr>
        <w:spacing w:before="120" w:after="120"/>
        <w:jc w:val="both"/>
        <w:rPr>
          <w:noProof/>
        </w:rPr>
      </w:pPr>
    </w:p>
    <w:p w14:paraId="68DD44EF"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noProof/>
          <w:u w:val="single"/>
        </w:rPr>
        <w:t>Subcomponent 3.4.3: Efficient Justice System</w:t>
      </w:r>
    </w:p>
    <w:p w14:paraId="0BAA81BC"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Reform 8 (C3.4R8): Efficiency of Justice </w:t>
      </w:r>
    </w:p>
    <w:p w14:paraId="273FB4E8"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the reform is to reduce the high backlog of cases pending before the courts </w:t>
      </w:r>
    </w:p>
    <w:p w14:paraId="520BF72E"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This measure consists in the reduction of the backlog of cases and appeals. </w:t>
      </w:r>
    </w:p>
    <w:p w14:paraId="301683D1"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 </w:t>
      </w:r>
    </w:p>
    <w:p w14:paraId="6ACBB62D"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Reform 9 (C3.4R9): Digital transformation of courts</w:t>
      </w:r>
    </w:p>
    <w:p w14:paraId="2418C09B"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this reform is to digitalise the justice system. </w:t>
      </w:r>
    </w:p>
    <w:p w14:paraId="64A1AF48" w14:textId="217A5115"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This measure consists in the pilot stage of phase one of the i-justice system. </w:t>
      </w:r>
    </w:p>
    <w:p w14:paraId="29CE471B"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 </w:t>
      </w:r>
    </w:p>
    <w:p w14:paraId="698AAA80"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Investment 7 (C3.4I7): Training of judges</w:t>
      </w:r>
    </w:p>
    <w:p w14:paraId="07BBEC96"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this investment is to address the low level of training and lifelong learning for judges. </w:t>
      </w:r>
    </w:p>
    <w:p w14:paraId="4F6FE22D"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This measure consists in training of judges on the revised Civil Procedure Rules and other judicial skills.</w:t>
      </w:r>
    </w:p>
    <w:p w14:paraId="0D759068" w14:textId="77777777" w:rsidR="006D0F17" w:rsidRDefault="006D0F17" w:rsidP="00D8670B">
      <w:pPr>
        <w:spacing w:before="120" w:after="120"/>
        <w:jc w:val="both"/>
        <w:rPr>
          <w:noProof/>
        </w:rPr>
      </w:pPr>
    </w:p>
    <w:p w14:paraId="6FDC53F6" w14:textId="7790EA33"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Investment 8 (C3.4I8): Upgrading the infrastructure of courts</w:t>
      </w:r>
    </w:p>
    <w:p w14:paraId="728DF85A"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objective of the investment is to address inefficiencies of the justice system caused by inadequate court buildings, both in terms of quantity and quality. </w:t>
      </w:r>
    </w:p>
    <w:p w14:paraId="4B7D9BCA"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investment shall consist of the construction of an extension to the Famagusta District Court building. </w:t>
      </w:r>
    </w:p>
    <w:p w14:paraId="2CCE8168" w14:textId="4120617E" w:rsidR="000F72B9" w:rsidRPr="006D0F17" w:rsidRDefault="000F72B9" w:rsidP="00D8670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implementation of the investment shall be completed by 31</w:t>
      </w:r>
      <w:r w:rsidR="001766DA" w:rsidRPr="006D0F17">
        <w:rPr>
          <w:rFonts w:ascii="Times New Roman" w:eastAsia="Times New Roman" w:hAnsi="Times New Roman" w:cs="Times New Roman"/>
          <w:noProof/>
        </w:rPr>
        <w:t> </w:t>
      </w:r>
      <w:r w:rsidRPr="000F04FA">
        <w:rPr>
          <w:rFonts w:ascii="Times New Roman" w:eastAsia="Times New Roman" w:hAnsi="Times New Roman" w:cs="Times New Roman"/>
          <w:noProof/>
        </w:rPr>
        <w:t>December</w:t>
      </w:r>
      <w:r w:rsidR="001766DA" w:rsidRPr="006D0F17">
        <w:rPr>
          <w:rFonts w:ascii="Times New Roman" w:eastAsia="Times New Roman" w:hAnsi="Times New Roman" w:cs="Times New Roman"/>
          <w:noProof/>
        </w:rPr>
        <w:t> </w:t>
      </w:r>
      <w:r w:rsidRPr="000F04FA">
        <w:rPr>
          <w:rFonts w:ascii="Times New Roman" w:eastAsia="Times New Roman" w:hAnsi="Times New Roman" w:cs="Times New Roman"/>
          <w:noProof/>
        </w:rPr>
        <w:t>2021.</w:t>
      </w:r>
    </w:p>
    <w:p w14:paraId="09473146"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 </w:t>
      </w:r>
    </w:p>
    <w:p w14:paraId="0B3A10A4"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b/>
          <w:bCs/>
          <w:noProof/>
          <w:u w:val="single"/>
        </w:rPr>
        <w:t>Subcomponent 3.4.4: Fighting Corruption</w:t>
      </w:r>
    </w:p>
    <w:p w14:paraId="4D9D1E9F"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u w:val="single"/>
        </w:rPr>
        <w:t xml:space="preserve">Reform 10 (C3.4R10): Improving the legal and institutional framework for fighting corruption </w:t>
      </w:r>
    </w:p>
    <w:p w14:paraId="1FAC98B3"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The objective of the reform is to achieve greater coherence in the fight against corruption by implementing the national horizontal action plan against corruption.</w:t>
      </w:r>
    </w:p>
    <w:p w14:paraId="3B6AC3D3" w14:textId="77777777" w:rsidR="000F72B9" w:rsidRPr="000F04FA" w:rsidRDefault="000F72B9" w:rsidP="00D8670B">
      <w:pPr>
        <w:spacing w:before="120" w:after="120"/>
        <w:jc w:val="both"/>
        <w:rPr>
          <w:noProof/>
        </w:rPr>
      </w:pPr>
      <w:r w:rsidRPr="000F04FA">
        <w:rPr>
          <w:rFonts w:ascii="Times New Roman" w:eastAsia="Times New Roman" w:hAnsi="Times New Roman" w:cs="Times New Roman"/>
          <w:noProof/>
        </w:rPr>
        <w:t xml:space="preserve">The reform shall consist of: (i) legislation to protect whistle-blowers, to enhance transparency in public decision-making processes and to prevent conflict of interest, (ii) establishment and operation of an independent authority against corruption, which shall coordinate the efforts of all bodies engaged in the fight against and prevention of corruption and shall supervise the timely implementation of actions by the different competent services (iii) anti-corruption public awareness and trainings and (iv) reinforcement of the Internal Audit Units in all the Ministries and the Internal Audit Service. </w:t>
      </w:r>
    </w:p>
    <w:p w14:paraId="09E7435B" w14:textId="644EF1D3" w:rsidR="000F72B9" w:rsidRPr="006D0F17" w:rsidRDefault="000F72B9" w:rsidP="00D8670B">
      <w:pPr>
        <w:rPr>
          <w:rFonts w:ascii="Times New Roman" w:eastAsia="Times New Roman" w:hAnsi="Times New Roman" w:cs="Times New Roman"/>
          <w:noProof/>
        </w:rPr>
      </w:pPr>
      <w:r w:rsidRPr="000F04FA">
        <w:rPr>
          <w:rFonts w:ascii="Times New Roman" w:eastAsia="Times New Roman" w:hAnsi="Times New Roman" w:cs="Times New Roman"/>
          <w:noProof/>
        </w:rPr>
        <w:t>The implementation of the reform shall be completed by 30</w:t>
      </w:r>
      <w:r w:rsidR="001766DA" w:rsidRPr="006D0F17">
        <w:rPr>
          <w:rFonts w:ascii="Times New Roman" w:eastAsia="Times New Roman" w:hAnsi="Times New Roman" w:cs="Times New Roman"/>
          <w:noProof/>
        </w:rPr>
        <w:t> </w:t>
      </w:r>
      <w:r w:rsidRPr="000F04FA">
        <w:rPr>
          <w:rFonts w:ascii="Times New Roman" w:eastAsia="Times New Roman" w:hAnsi="Times New Roman" w:cs="Times New Roman"/>
          <w:noProof/>
        </w:rPr>
        <w:t>June</w:t>
      </w:r>
      <w:r w:rsidR="001766DA" w:rsidRPr="006D0F17">
        <w:rPr>
          <w:rFonts w:ascii="Times New Roman" w:eastAsia="Times New Roman" w:hAnsi="Times New Roman" w:cs="Times New Roman"/>
          <w:noProof/>
        </w:rPr>
        <w:t> </w:t>
      </w:r>
      <w:r w:rsidRPr="000F04FA">
        <w:rPr>
          <w:rFonts w:ascii="Times New Roman" w:eastAsia="Times New Roman" w:hAnsi="Times New Roman" w:cs="Times New Roman"/>
          <w:noProof/>
        </w:rPr>
        <w:t>2024.</w:t>
      </w:r>
    </w:p>
    <w:p w14:paraId="080FBB66" w14:textId="77777777" w:rsidR="000F72B9" w:rsidRPr="000F04FA" w:rsidRDefault="000F72B9" w:rsidP="00D8670B">
      <w:pPr>
        <w:rPr>
          <w:rFonts w:ascii="Times New Roman" w:eastAsia="Times New Roman" w:hAnsi="Times New Roman" w:cs="Times New Roman"/>
          <w:noProof/>
        </w:rPr>
        <w:sectPr w:rsidR="000F72B9" w:rsidRPr="000F04FA" w:rsidSect="000F72B9">
          <w:headerReference w:type="default" r:id="rId66"/>
          <w:footerReference w:type="default" r:id="rId67"/>
          <w:pgSz w:w="11906" w:h="16838"/>
          <w:pgMar w:top="1440" w:right="1440" w:bottom="1440" w:left="1440" w:header="708" w:footer="708" w:gutter="0"/>
          <w:cols w:space="708"/>
          <w:docGrid w:linePitch="360"/>
        </w:sectPr>
      </w:pPr>
    </w:p>
    <w:p w14:paraId="5E94FA84" w14:textId="77777777" w:rsidR="000F72B9" w:rsidRPr="000F04FA" w:rsidRDefault="000F72B9" w:rsidP="006D0F17">
      <w:pPr>
        <w:pageBreakBefore/>
        <w:spacing w:before="120" w:after="240" w:line="240" w:lineRule="auto"/>
        <w:jc w:val="center"/>
        <w:rPr>
          <w:rFonts w:ascii="Times New Roman" w:hAnsi="Times New Roman"/>
          <w:b/>
          <w:noProof/>
          <w:u w:val="single"/>
        </w:rPr>
      </w:pPr>
      <w:r w:rsidRPr="000F04FA">
        <w:rPr>
          <w:rFonts w:ascii="Times New Roman" w:hAnsi="Times New Roman"/>
          <w:b/>
          <w:noProof/>
          <w:u w:val="single"/>
        </w:rPr>
        <w:t xml:space="preserve">H.2.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463"/>
        <w:gridCol w:w="1134"/>
        <w:gridCol w:w="1276"/>
        <w:gridCol w:w="1559"/>
        <w:gridCol w:w="1417"/>
        <w:gridCol w:w="1276"/>
        <w:gridCol w:w="1276"/>
        <w:gridCol w:w="904"/>
        <w:gridCol w:w="678"/>
        <w:gridCol w:w="3044"/>
      </w:tblGrid>
      <w:tr w:rsidR="000F72B9" w:rsidRPr="001766DA" w14:paraId="47843F0E" w14:textId="77777777" w:rsidTr="00061F73">
        <w:trPr>
          <w:trHeight w:val="558"/>
          <w:tblHeader/>
          <w:jc w:val="center"/>
        </w:trPr>
        <w:tc>
          <w:tcPr>
            <w:tcW w:w="1084" w:type="dxa"/>
            <w:vMerge w:val="restart"/>
            <w:shd w:val="clear" w:color="auto" w:fill="BDD7EE"/>
            <w:vAlign w:val="center"/>
            <w:hideMark/>
          </w:tcPr>
          <w:p w14:paraId="145B7837" w14:textId="77777777"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Sequential Number</w:t>
            </w:r>
          </w:p>
        </w:tc>
        <w:tc>
          <w:tcPr>
            <w:tcW w:w="1463" w:type="dxa"/>
            <w:vMerge w:val="restart"/>
            <w:shd w:val="clear" w:color="auto" w:fill="BDD7EE"/>
            <w:vAlign w:val="center"/>
            <w:hideMark/>
          </w:tcPr>
          <w:p w14:paraId="141F9CCA" w14:textId="77777777"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1BCEBDD0" w14:textId="0C4C20E2"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Milestone/Target</w:t>
            </w:r>
          </w:p>
        </w:tc>
        <w:tc>
          <w:tcPr>
            <w:tcW w:w="1276" w:type="dxa"/>
            <w:vMerge w:val="restart"/>
            <w:shd w:val="clear" w:color="auto" w:fill="BDD7EE"/>
            <w:vAlign w:val="center"/>
            <w:hideMark/>
          </w:tcPr>
          <w:p w14:paraId="65549287" w14:textId="77777777"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Name</w:t>
            </w:r>
          </w:p>
        </w:tc>
        <w:tc>
          <w:tcPr>
            <w:tcW w:w="1559" w:type="dxa"/>
            <w:vMerge w:val="restart"/>
            <w:shd w:val="clear" w:color="auto" w:fill="BDD7EE"/>
            <w:vAlign w:val="center"/>
            <w:hideMark/>
          </w:tcPr>
          <w:p w14:paraId="78862732" w14:textId="41C28B5E"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Qualitative indicators</w:t>
            </w:r>
            <w:r w:rsidR="00064579" w:rsidRPr="001766DA">
              <w:rPr>
                <w:rFonts w:ascii="Times New Roman" w:hAnsi="Times New Roman" w:cs="Times New Roman"/>
                <w:b/>
                <w:noProof/>
                <w:sz w:val="18"/>
                <w:szCs w:val="18"/>
              </w:rPr>
              <w:t xml:space="preserve"> </w:t>
            </w:r>
            <w:r w:rsidRPr="001766DA">
              <w:rPr>
                <w:rFonts w:ascii="Times New Roman" w:hAnsi="Times New Roman" w:cs="Times New Roman"/>
                <w:noProof/>
                <w:sz w:val="18"/>
                <w:szCs w:val="18"/>
              </w:rPr>
              <w:br/>
            </w:r>
            <w:r w:rsidRPr="001766DA">
              <w:rPr>
                <w:rFonts w:ascii="Times New Roman" w:hAnsi="Times New Roman" w:cs="Times New Roman"/>
                <w:b/>
                <w:noProof/>
                <w:sz w:val="18"/>
                <w:szCs w:val="18"/>
              </w:rPr>
              <w:t>(for milestones)</w:t>
            </w:r>
          </w:p>
        </w:tc>
        <w:tc>
          <w:tcPr>
            <w:tcW w:w="3969" w:type="dxa"/>
            <w:gridSpan w:val="3"/>
            <w:shd w:val="clear" w:color="auto" w:fill="BDD7EE"/>
            <w:vAlign w:val="center"/>
            <w:hideMark/>
          </w:tcPr>
          <w:p w14:paraId="4D9AA76B" w14:textId="69B9FE41"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Quantitative indicators</w:t>
            </w:r>
            <w:r w:rsidR="00064579" w:rsidRPr="001766DA">
              <w:rPr>
                <w:rFonts w:ascii="Times New Roman" w:hAnsi="Times New Roman" w:cs="Times New Roman"/>
                <w:b/>
                <w:noProof/>
                <w:sz w:val="18"/>
                <w:szCs w:val="18"/>
              </w:rPr>
              <w:t xml:space="preserve"> </w:t>
            </w:r>
            <w:r w:rsidRPr="001766DA">
              <w:rPr>
                <w:rFonts w:ascii="Times New Roman" w:hAnsi="Times New Roman" w:cs="Times New Roman"/>
                <w:noProof/>
                <w:sz w:val="18"/>
                <w:szCs w:val="18"/>
              </w:rPr>
              <w:br/>
            </w:r>
            <w:r w:rsidRPr="001766DA">
              <w:rPr>
                <w:rFonts w:ascii="Times New Roman" w:hAnsi="Times New Roman" w:cs="Times New Roman"/>
                <w:b/>
                <w:noProof/>
                <w:sz w:val="18"/>
                <w:szCs w:val="18"/>
              </w:rPr>
              <w:t>(for targets)</w:t>
            </w:r>
          </w:p>
        </w:tc>
        <w:tc>
          <w:tcPr>
            <w:tcW w:w="1582" w:type="dxa"/>
            <w:gridSpan w:val="2"/>
            <w:shd w:val="clear" w:color="auto" w:fill="BDD7EE"/>
            <w:vAlign w:val="center"/>
            <w:hideMark/>
          </w:tcPr>
          <w:p w14:paraId="41159042" w14:textId="7838FE08"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Indicative timeline for completion</w:t>
            </w:r>
          </w:p>
        </w:tc>
        <w:tc>
          <w:tcPr>
            <w:tcW w:w="3044" w:type="dxa"/>
            <w:vMerge w:val="restart"/>
            <w:shd w:val="clear" w:color="auto" w:fill="BDD7EE"/>
            <w:vAlign w:val="center"/>
            <w:hideMark/>
          </w:tcPr>
          <w:p w14:paraId="734C0C64" w14:textId="77777777"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Description of each milestone and target</w:t>
            </w:r>
          </w:p>
        </w:tc>
      </w:tr>
      <w:tr w:rsidR="000F72B9" w:rsidRPr="001766DA" w14:paraId="71BD6059" w14:textId="77777777" w:rsidTr="00061F73">
        <w:trPr>
          <w:trHeight w:val="485"/>
          <w:tblHeader/>
          <w:jc w:val="center"/>
        </w:trPr>
        <w:tc>
          <w:tcPr>
            <w:tcW w:w="1084" w:type="dxa"/>
            <w:vMerge/>
            <w:vAlign w:val="center"/>
            <w:hideMark/>
          </w:tcPr>
          <w:p w14:paraId="3773D720" w14:textId="77777777" w:rsidR="000F72B9" w:rsidRPr="001766DA" w:rsidRDefault="000F72B9" w:rsidP="00061F73">
            <w:pPr>
              <w:spacing w:after="0" w:line="240" w:lineRule="auto"/>
              <w:rPr>
                <w:rFonts w:ascii="Times New Roman" w:hAnsi="Times New Roman" w:cs="Times New Roman"/>
                <w:b/>
                <w:noProof/>
                <w:sz w:val="18"/>
                <w:szCs w:val="18"/>
              </w:rPr>
            </w:pPr>
          </w:p>
        </w:tc>
        <w:tc>
          <w:tcPr>
            <w:tcW w:w="1463" w:type="dxa"/>
            <w:vMerge/>
            <w:vAlign w:val="center"/>
            <w:hideMark/>
          </w:tcPr>
          <w:p w14:paraId="7210B4B3" w14:textId="77777777" w:rsidR="000F72B9" w:rsidRPr="001766DA" w:rsidRDefault="000F72B9" w:rsidP="00061F73">
            <w:pPr>
              <w:spacing w:after="0" w:line="240" w:lineRule="auto"/>
              <w:rPr>
                <w:rFonts w:ascii="Times New Roman" w:hAnsi="Times New Roman" w:cs="Times New Roman"/>
                <w:b/>
                <w:noProof/>
                <w:sz w:val="18"/>
                <w:szCs w:val="18"/>
              </w:rPr>
            </w:pPr>
          </w:p>
        </w:tc>
        <w:tc>
          <w:tcPr>
            <w:tcW w:w="1134" w:type="dxa"/>
            <w:vMerge/>
            <w:vAlign w:val="center"/>
            <w:hideMark/>
          </w:tcPr>
          <w:p w14:paraId="05F11B36" w14:textId="77777777" w:rsidR="000F72B9" w:rsidRPr="001766DA" w:rsidRDefault="000F72B9" w:rsidP="00061F73">
            <w:pPr>
              <w:spacing w:after="0" w:line="240" w:lineRule="auto"/>
              <w:rPr>
                <w:rFonts w:ascii="Times New Roman" w:hAnsi="Times New Roman" w:cs="Times New Roman"/>
                <w:b/>
                <w:noProof/>
                <w:sz w:val="18"/>
                <w:szCs w:val="18"/>
              </w:rPr>
            </w:pPr>
          </w:p>
        </w:tc>
        <w:tc>
          <w:tcPr>
            <w:tcW w:w="1276" w:type="dxa"/>
            <w:vMerge/>
            <w:vAlign w:val="center"/>
            <w:hideMark/>
          </w:tcPr>
          <w:p w14:paraId="0DAD948D" w14:textId="77777777" w:rsidR="000F72B9" w:rsidRPr="001766DA" w:rsidRDefault="000F72B9" w:rsidP="00061F73">
            <w:pPr>
              <w:spacing w:after="0" w:line="240" w:lineRule="auto"/>
              <w:rPr>
                <w:rFonts w:ascii="Times New Roman" w:hAnsi="Times New Roman" w:cs="Times New Roman"/>
                <w:b/>
                <w:noProof/>
                <w:sz w:val="18"/>
                <w:szCs w:val="18"/>
              </w:rPr>
            </w:pPr>
          </w:p>
        </w:tc>
        <w:tc>
          <w:tcPr>
            <w:tcW w:w="1559" w:type="dxa"/>
            <w:vMerge/>
            <w:vAlign w:val="center"/>
            <w:hideMark/>
          </w:tcPr>
          <w:p w14:paraId="5728A5F6" w14:textId="77777777" w:rsidR="000F72B9" w:rsidRPr="001766DA" w:rsidRDefault="000F72B9" w:rsidP="00061F73">
            <w:pPr>
              <w:spacing w:after="0" w:line="240" w:lineRule="auto"/>
              <w:rPr>
                <w:rFonts w:ascii="Times New Roman" w:hAnsi="Times New Roman" w:cs="Times New Roman"/>
                <w:b/>
                <w:noProof/>
                <w:sz w:val="18"/>
                <w:szCs w:val="18"/>
              </w:rPr>
            </w:pPr>
          </w:p>
        </w:tc>
        <w:tc>
          <w:tcPr>
            <w:tcW w:w="1417" w:type="dxa"/>
            <w:tcBorders>
              <w:bottom w:val="single" w:sz="4" w:space="0" w:color="auto"/>
            </w:tcBorders>
            <w:shd w:val="clear" w:color="auto" w:fill="BDD7EE"/>
            <w:vAlign w:val="center"/>
            <w:hideMark/>
          </w:tcPr>
          <w:p w14:paraId="4D73A5CF" w14:textId="77777777"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Unit of measure</w:t>
            </w:r>
          </w:p>
        </w:tc>
        <w:tc>
          <w:tcPr>
            <w:tcW w:w="1276" w:type="dxa"/>
            <w:tcBorders>
              <w:bottom w:val="single" w:sz="4" w:space="0" w:color="auto"/>
            </w:tcBorders>
            <w:shd w:val="clear" w:color="auto" w:fill="BDD7EE"/>
            <w:vAlign w:val="center"/>
            <w:hideMark/>
          </w:tcPr>
          <w:p w14:paraId="68ACCF10" w14:textId="737035E0"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Baseline</w:t>
            </w:r>
          </w:p>
        </w:tc>
        <w:tc>
          <w:tcPr>
            <w:tcW w:w="1276" w:type="dxa"/>
            <w:tcBorders>
              <w:bottom w:val="single" w:sz="4" w:space="0" w:color="auto"/>
            </w:tcBorders>
            <w:shd w:val="clear" w:color="auto" w:fill="BDD7EE"/>
            <w:vAlign w:val="center"/>
            <w:hideMark/>
          </w:tcPr>
          <w:p w14:paraId="489082FC" w14:textId="32CFB761" w:rsidR="000F72B9" w:rsidRPr="001766DA" w:rsidRDefault="000F72B9" w:rsidP="00061F73">
            <w:pPr>
              <w:spacing w:after="0" w:line="240" w:lineRule="auto"/>
              <w:jc w:val="center"/>
              <w:rPr>
                <w:rFonts w:ascii="Times New Roman" w:hAnsi="Times New Roman" w:cs="Times New Roman"/>
                <w:b/>
                <w:noProof/>
                <w:sz w:val="18"/>
                <w:szCs w:val="18"/>
              </w:rPr>
            </w:pPr>
            <w:r w:rsidRPr="001766DA">
              <w:rPr>
                <w:rFonts w:ascii="Times New Roman" w:hAnsi="Times New Roman" w:cs="Times New Roman"/>
                <w:b/>
                <w:noProof/>
                <w:sz w:val="18"/>
                <w:szCs w:val="18"/>
              </w:rPr>
              <w:t>Goal</w:t>
            </w:r>
          </w:p>
        </w:tc>
        <w:tc>
          <w:tcPr>
            <w:tcW w:w="904" w:type="dxa"/>
            <w:tcBorders>
              <w:bottom w:val="single" w:sz="4" w:space="0" w:color="auto"/>
            </w:tcBorders>
            <w:shd w:val="clear" w:color="auto" w:fill="BDD7EE"/>
            <w:vAlign w:val="center"/>
            <w:hideMark/>
          </w:tcPr>
          <w:p w14:paraId="6AFDE625" w14:textId="77777777" w:rsidR="000F72B9" w:rsidRPr="001766DA" w:rsidRDefault="000F72B9" w:rsidP="00061F73">
            <w:pPr>
              <w:spacing w:after="0" w:line="240" w:lineRule="auto"/>
              <w:rPr>
                <w:rFonts w:ascii="Times New Roman" w:hAnsi="Times New Roman" w:cs="Times New Roman"/>
                <w:b/>
                <w:noProof/>
                <w:sz w:val="18"/>
                <w:szCs w:val="18"/>
              </w:rPr>
            </w:pPr>
            <w:r w:rsidRPr="001766DA">
              <w:rPr>
                <w:rFonts w:ascii="Times New Roman" w:hAnsi="Times New Roman" w:cs="Times New Roman"/>
                <w:b/>
                <w:noProof/>
                <w:sz w:val="18"/>
                <w:szCs w:val="18"/>
              </w:rPr>
              <w:t>Quarter</w:t>
            </w:r>
          </w:p>
        </w:tc>
        <w:tc>
          <w:tcPr>
            <w:tcW w:w="678" w:type="dxa"/>
            <w:tcBorders>
              <w:bottom w:val="single" w:sz="4" w:space="0" w:color="auto"/>
            </w:tcBorders>
            <w:shd w:val="clear" w:color="auto" w:fill="BDD7EE"/>
            <w:vAlign w:val="center"/>
            <w:hideMark/>
          </w:tcPr>
          <w:p w14:paraId="29730929" w14:textId="77777777" w:rsidR="000F72B9" w:rsidRPr="001766DA" w:rsidRDefault="000F72B9" w:rsidP="00061F73">
            <w:pPr>
              <w:spacing w:after="0" w:line="240" w:lineRule="auto"/>
              <w:rPr>
                <w:rFonts w:ascii="Times New Roman" w:hAnsi="Times New Roman" w:cs="Times New Roman"/>
                <w:b/>
                <w:noProof/>
                <w:sz w:val="18"/>
                <w:szCs w:val="18"/>
              </w:rPr>
            </w:pPr>
            <w:r w:rsidRPr="001766DA">
              <w:rPr>
                <w:rFonts w:ascii="Times New Roman" w:hAnsi="Times New Roman" w:cs="Times New Roman"/>
                <w:b/>
                <w:noProof/>
                <w:sz w:val="18"/>
                <w:szCs w:val="18"/>
              </w:rPr>
              <w:t>Year</w:t>
            </w:r>
          </w:p>
        </w:tc>
        <w:tc>
          <w:tcPr>
            <w:tcW w:w="3044" w:type="dxa"/>
            <w:vMerge/>
            <w:vAlign w:val="center"/>
            <w:hideMark/>
          </w:tcPr>
          <w:p w14:paraId="3D333D24" w14:textId="77777777" w:rsidR="000F72B9" w:rsidRPr="001766DA" w:rsidRDefault="000F72B9" w:rsidP="00061F73">
            <w:pPr>
              <w:spacing w:after="0" w:line="240" w:lineRule="auto"/>
              <w:jc w:val="both"/>
              <w:rPr>
                <w:rFonts w:ascii="Times New Roman" w:hAnsi="Times New Roman" w:cs="Times New Roman"/>
                <w:b/>
                <w:noProof/>
                <w:sz w:val="18"/>
                <w:szCs w:val="18"/>
              </w:rPr>
            </w:pPr>
          </w:p>
        </w:tc>
      </w:tr>
      <w:tr w:rsidR="005B736A" w:rsidRPr="001766DA" w14:paraId="581FCC7B" w14:textId="77777777" w:rsidTr="00061F73">
        <w:trPr>
          <w:trHeight w:val="309"/>
          <w:jc w:val="center"/>
        </w:trPr>
        <w:tc>
          <w:tcPr>
            <w:tcW w:w="1084" w:type="dxa"/>
            <w:shd w:val="clear" w:color="auto" w:fill="C1F0C7" w:themeFill="accent3" w:themeFillTint="33"/>
            <w:noWrap/>
          </w:tcPr>
          <w:p w14:paraId="0926211C"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155</w:t>
            </w:r>
          </w:p>
        </w:tc>
        <w:tc>
          <w:tcPr>
            <w:tcW w:w="1463" w:type="dxa"/>
            <w:shd w:val="clear" w:color="auto" w:fill="C1F0C7" w:themeFill="accent3" w:themeFillTint="33"/>
            <w:noWrap/>
          </w:tcPr>
          <w:p w14:paraId="16D0DC82"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C3.4R1</w:t>
            </w:r>
          </w:p>
          <w:p w14:paraId="65A8169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Enhance the administrative capacity and improve the functioning of public administration for better policy making and implementation</w:t>
            </w:r>
          </w:p>
        </w:tc>
        <w:tc>
          <w:tcPr>
            <w:tcW w:w="1134" w:type="dxa"/>
            <w:shd w:val="clear" w:color="auto" w:fill="C1F0C7" w:themeFill="accent3" w:themeFillTint="33"/>
            <w:noWrap/>
          </w:tcPr>
          <w:p w14:paraId="7C77242C"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6449261D" w14:textId="5D46755E"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Action Plan on the efficient management of human resource issues in the national public administration </w:t>
            </w:r>
          </w:p>
        </w:tc>
        <w:tc>
          <w:tcPr>
            <w:tcW w:w="1559" w:type="dxa"/>
            <w:shd w:val="clear" w:color="auto" w:fill="C1F0C7" w:themeFill="accent3" w:themeFillTint="33"/>
            <w:noWrap/>
          </w:tcPr>
          <w:p w14:paraId="6548021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Adoption of the Action Plan by the Council of Ministers </w:t>
            </w:r>
          </w:p>
        </w:tc>
        <w:tc>
          <w:tcPr>
            <w:tcW w:w="1417" w:type="dxa"/>
            <w:shd w:val="clear" w:color="auto" w:fill="C1F0C7" w:themeFill="accent3" w:themeFillTint="33"/>
            <w:noWrap/>
          </w:tcPr>
          <w:p w14:paraId="16856894" w14:textId="65BAD861"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1709B409" w14:textId="4C0C00C4"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6A4C6E92" w14:textId="03863EE4"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113AC4D0"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Q1</w:t>
            </w:r>
          </w:p>
        </w:tc>
        <w:tc>
          <w:tcPr>
            <w:tcW w:w="678" w:type="dxa"/>
            <w:shd w:val="clear" w:color="auto" w:fill="C1F0C7" w:themeFill="accent3" w:themeFillTint="33"/>
            <w:noWrap/>
          </w:tcPr>
          <w:p w14:paraId="169D170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2022</w:t>
            </w:r>
          </w:p>
        </w:tc>
        <w:tc>
          <w:tcPr>
            <w:tcW w:w="3044" w:type="dxa"/>
            <w:shd w:val="clear" w:color="auto" w:fill="C1F0C7" w:themeFill="accent3" w:themeFillTint="33"/>
            <w:noWrap/>
          </w:tcPr>
          <w:p w14:paraId="23889174"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The Council of Ministers has adopted an Action Plan that shall include:</w:t>
            </w:r>
          </w:p>
          <w:p w14:paraId="4940CDEE"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Guidelines, templates and implementation support by the Public Administration and Personnel Department (PAPD) to line ministries’ administration in relation to human resource management issues such as re-organisation and re-structuring, simplification of procedures and workforce planning.</w:t>
            </w:r>
          </w:p>
          <w:p w14:paraId="5629058B"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 Implementation of a revised organisational structure of PAPD </w:t>
            </w:r>
          </w:p>
          <w:p w14:paraId="7EC6766A"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Learning and Development Plan for PAPD staff.</w:t>
            </w:r>
          </w:p>
          <w:p w14:paraId="1EB9C74E"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Training Plan for line ministries’ administration</w:t>
            </w:r>
          </w:p>
        </w:tc>
      </w:tr>
      <w:tr w:rsidR="005B736A" w:rsidRPr="001766DA" w14:paraId="2A41C2F2" w14:textId="77777777" w:rsidTr="00061F73">
        <w:trPr>
          <w:trHeight w:val="309"/>
          <w:jc w:val="center"/>
        </w:trPr>
        <w:tc>
          <w:tcPr>
            <w:tcW w:w="1084" w:type="dxa"/>
            <w:shd w:val="clear" w:color="auto" w:fill="C1F0C7" w:themeFill="accent3" w:themeFillTint="33"/>
            <w:noWrap/>
          </w:tcPr>
          <w:p w14:paraId="56F4800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156</w:t>
            </w:r>
          </w:p>
        </w:tc>
        <w:tc>
          <w:tcPr>
            <w:tcW w:w="1463" w:type="dxa"/>
            <w:shd w:val="clear" w:color="auto" w:fill="C1F0C7" w:themeFill="accent3" w:themeFillTint="33"/>
            <w:noWrap/>
          </w:tcPr>
          <w:p w14:paraId="7CE02AE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C3.4R1</w:t>
            </w:r>
          </w:p>
          <w:p w14:paraId="3EDA35F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Enhance the administrative capacity and improve the functioning of public administration for better policy making and implementation</w:t>
            </w:r>
          </w:p>
        </w:tc>
        <w:tc>
          <w:tcPr>
            <w:tcW w:w="1134" w:type="dxa"/>
            <w:shd w:val="clear" w:color="auto" w:fill="C1F0C7" w:themeFill="accent3" w:themeFillTint="33"/>
            <w:noWrap/>
          </w:tcPr>
          <w:p w14:paraId="5454DCA2"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2FBB3205" w14:textId="0A46E832"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New human resources management framework for Cyprus Police </w:t>
            </w:r>
          </w:p>
        </w:tc>
        <w:tc>
          <w:tcPr>
            <w:tcW w:w="1559" w:type="dxa"/>
            <w:shd w:val="clear" w:color="auto" w:fill="C1F0C7" w:themeFill="accent3" w:themeFillTint="33"/>
            <w:noWrap/>
          </w:tcPr>
          <w:p w14:paraId="3B7AAD2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Adoption by the Chief of Police </w:t>
            </w:r>
          </w:p>
        </w:tc>
        <w:tc>
          <w:tcPr>
            <w:tcW w:w="1417" w:type="dxa"/>
            <w:shd w:val="clear" w:color="auto" w:fill="C1F0C7" w:themeFill="accent3" w:themeFillTint="33"/>
            <w:noWrap/>
          </w:tcPr>
          <w:p w14:paraId="6C527C80" w14:textId="50276294"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337F1C95" w14:textId="11FDB8FC"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2E785121" w14:textId="4DAE60A1"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58CD200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1F0C7" w:themeFill="accent3" w:themeFillTint="33"/>
            <w:noWrap/>
          </w:tcPr>
          <w:p w14:paraId="5052797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2023</w:t>
            </w:r>
          </w:p>
        </w:tc>
        <w:tc>
          <w:tcPr>
            <w:tcW w:w="3044" w:type="dxa"/>
            <w:shd w:val="clear" w:color="auto" w:fill="C1F0C7" w:themeFill="accent3" w:themeFillTint="33"/>
            <w:noWrap/>
          </w:tcPr>
          <w:p w14:paraId="070BC585"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The new human resources management framework for Cyprus Police shall cover following areas: </w:t>
            </w:r>
          </w:p>
          <w:p w14:paraId="69A5449F"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Analysis and creation of job descriptions</w:t>
            </w:r>
          </w:p>
          <w:p w14:paraId="044688A4"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Recruitment</w:t>
            </w:r>
          </w:p>
          <w:p w14:paraId="20F4BF3E"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Motivation</w:t>
            </w:r>
          </w:p>
          <w:p w14:paraId="685961D2"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Training and Development</w:t>
            </w:r>
          </w:p>
          <w:p w14:paraId="480AAD40"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Compensation and Benefits</w:t>
            </w:r>
          </w:p>
          <w:p w14:paraId="5CA542AB"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Labour and employee relations and communication</w:t>
            </w:r>
          </w:p>
          <w:p w14:paraId="4AFB92D5"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Management of retired members</w:t>
            </w:r>
          </w:p>
          <w:p w14:paraId="303CC0C2"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Safety and Health</w:t>
            </w:r>
          </w:p>
          <w:p w14:paraId="25BBA1FA"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Human resource management strategy</w:t>
            </w:r>
          </w:p>
        </w:tc>
      </w:tr>
      <w:tr w:rsidR="005B736A" w:rsidRPr="001766DA" w14:paraId="128C21F1" w14:textId="77777777" w:rsidTr="00061F73">
        <w:trPr>
          <w:trHeight w:val="309"/>
          <w:jc w:val="center"/>
        </w:trPr>
        <w:tc>
          <w:tcPr>
            <w:tcW w:w="1084" w:type="dxa"/>
            <w:shd w:val="clear" w:color="auto" w:fill="C6EFCE"/>
            <w:noWrap/>
          </w:tcPr>
          <w:p w14:paraId="37E09090"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157</w:t>
            </w:r>
          </w:p>
        </w:tc>
        <w:tc>
          <w:tcPr>
            <w:tcW w:w="1463" w:type="dxa"/>
            <w:shd w:val="clear" w:color="auto" w:fill="C6EFCE"/>
            <w:noWrap/>
          </w:tcPr>
          <w:p w14:paraId="3D16A53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C3.4R1</w:t>
            </w:r>
          </w:p>
          <w:p w14:paraId="4793E6E7" w14:textId="38EA3236"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Support the functioning of public </w:t>
            </w:r>
            <w:r w:rsidRPr="00EB23AC">
              <w:rPr>
                <w:rFonts w:ascii="Times New Roman" w:hAnsi="Times New Roman" w:cs="Times New Roman"/>
                <w:noProof/>
                <w:sz w:val="18"/>
                <w:szCs w:val="18"/>
              </w:rPr>
              <w:t>administration</w:t>
            </w:r>
          </w:p>
        </w:tc>
        <w:tc>
          <w:tcPr>
            <w:tcW w:w="1134" w:type="dxa"/>
            <w:shd w:val="clear" w:color="auto" w:fill="C6EFCE"/>
            <w:noWrap/>
          </w:tcPr>
          <w:p w14:paraId="100E16D8"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6EFCE"/>
            <w:noWrap/>
          </w:tcPr>
          <w:p w14:paraId="078F17AA"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Guidelines and manuals, legal act(s), and trainings on management of human resources in the public administration</w:t>
            </w:r>
          </w:p>
        </w:tc>
        <w:tc>
          <w:tcPr>
            <w:tcW w:w="1559" w:type="dxa"/>
            <w:shd w:val="clear" w:color="auto" w:fill="C6EFCE"/>
            <w:noWrap/>
          </w:tcPr>
          <w:p w14:paraId="2D815847" w14:textId="66B96768"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Guidelines and manuals publicly online.</w:t>
            </w:r>
            <w:r w:rsidR="00EB23AC">
              <w:rPr>
                <w:rFonts w:ascii="Times New Roman" w:hAnsi="Times New Roman" w:cs="Times New Roman"/>
                <w:noProof/>
                <w:sz w:val="18"/>
                <w:szCs w:val="18"/>
              </w:rPr>
              <w:t xml:space="preserve"> </w:t>
            </w:r>
            <w:r w:rsidRPr="001766DA">
              <w:rPr>
                <w:rFonts w:ascii="Times New Roman" w:eastAsia="Times New Roman" w:hAnsi="Times New Roman" w:cs="Times New Roman"/>
                <w:noProof/>
                <w:sz w:val="18"/>
                <w:szCs w:val="18"/>
              </w:rPr>
              <w:t>Provision in the legal act(s) indicating their entry into force.</w:t>
            </w:r>
            <w:r w:rsidR="00EB23AC">
              <w:rPr>
                <w:rFonts w:ascii="Times New Roman" w:hAnsi="Times New Roman" w:cs="Times New Roman"/>
                <w:noProof/>
                <w:sz w:val="18"/>
                <w:szCs w:val="18"/>
              </w:rPr>
              <w:t xml:space="preserve"> </w:t>
            </w:r>
            <w:r w:rsidRPr="001766DA">
              <w:rPr>
                <w:rFonts w:ascii="Times New Roman" w:eastAsia="Times New Roman" w:hAnsi="Times New Roman" w:cs="Times New Roman"/>
                <w:noProof/>
                <w:sz w:val="18"/>
                <w:szCs w:val="18"/>
              </w:rPr>
              <w:t>Trainings provided.</w:t>
            </w:r>
          </w:p>
        </w:tc>
        <w:tc>
          <w:tcPr>
            <w:tcW w:w="1417" w:type="dxa"/>
            <w:shd w:val="clear" w:color="auto" w:fill="C6EFCE"/>
            <w:noWrap/>
          </w:tcPr>
          <w:p w14:paraId="56245B68" w14:textId="35BDEC76"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6EFCE"/>
            <w:noWrap/>
          </w:tcPr>
          <w:p w14:paraId="4BD386C9" w14:textId="52253AE4"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6EFCE"/>
            <w:noWrap/>
          </w:tcPr>
          <w:p w14:paraId="0CE6BD57" w14:textId="7951165D"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6EFCE"/>
            <w:noWrap/>
          </w:tcPr>
          <w:p w14:paraId="0AFA70C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6EFCE"/>
            <w:noWrap/>
          </w:tcPr>
          <w:p w14:paraId="44C612C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2025</w:t>
            </w:r>
          </w:p>
        </w:tc>
        <w:tc>
          <w:tcPr>
            <w:tcW w:w="3044" w:type="dxa"/>
            <w:shd w:val="clear" w:color="auto" w:fill="C6EFCE"/>
            <w:noWrap/>
          </w:tcPr>
          <w:p w14:paraId="7DCC5AB9"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Guidelines and manuals on human resource management of public administration shall be publicly available online. </w:t>
            </w:r>
          </w:p>
          <w:p w14:paraId="23C16F02"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Legal act(s) on disciplinary matters in the public administration shall enter into force. </w:t>
            </w:r>
          </w:p>
          <w:p w14:paraId="4ECC66AF"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Trainings shall be provided to staff on human resource management of the public administration.</w:t>
            </w:r>
          </w:p>
        </w:tc>
      </w:tr>
      <w:tr w:rsidR="005B736A" w:rsidRPr="001766DA" w14:paraId="77FA0EEA" w14:textId="77777777" w:rsidTr="00061F73">
        <w:trPr>
          <w:trHeight w:val="309"/>
          <w:jc w:val="center"/>
        </w:trPr>
        <w:tc>
          <w:tcPr>
            <w:tcW w:w="1084" w:type="dxa"/>
            <w:shd w:val="clear" w:color="auto" w:fill="C1F0C7" w:themeFill="accent3" w:themeFillTint="33"/>
            <w:noWrap/>
          </w:tcPr>
          <w:p w14:paraId="24FED04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158</w:t>
            </w:r>
          </w:p>
        </w:tc>
        <w:tc>
          <w:tcPr>
            <w:tcW w:w="1463" w:type="dxa"/>
            <w:shd w:val="clear" w:color="auto" w:fill="C1F0C7" w:themeFill="accent3" w:themeFillTint="33"/>
            <w:noWrap/>
          </w:tcPr>
          <w:p w14:paraId="5E88F05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C3.4R2</w:t>
            </w:r>
          </w:p>
          <w:p w14:paraId="4678E41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Regulate flexible working arrangements in the public sector </w:t>
            </w:r>
          </w:p>
        </w:tc>
        <w:tc>
          <w:tcPr>
            <w:tcW w:w="1134" w:type="dxa"/>
            <w:shd w:val="clear" w:color="auto" w:fill="C1F0C7" w:themeFill="accent3" w:themeFillTint="33"/>
            <w:noWrap/>
          </w:tcPr>
          <w:p w14:paraId="26D31FD2"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0C78907C"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Decision on flexible working arrangements in the public sector</w:t>
            </w:r>
          </w:p>
        </w:tc>
        <w:tc>
          <w:tcPr>
            <w:tcW w:w="1559" w:type="dxa"/>
            <w:shd w:val="clear" w:color="auto" w:fill="C1F0C7" w:themeFill="accent3" w:themeFillTint="33"/>
            <w:noWrap/>
          </w:tcPr>
          <w:p w14:paraId="084BACA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Decision by the Council of Ministers </w:t>
            </w:r>
          </w:p>
        </w:tc>
        <w:tc>
          <w:tcPr>
            <w:tcW w:w="1417" w:type="dxa"/>
            <w:shd w:val="clear" w:color="auto" w:fill="C1F0C7" w:themeFill="accent3" w:themeFillTint="33"/>
            <w:noWrap/>
          </w:tcPr>
          <w:p w14:paraId="5A2C5B90" w14:textId="36D3F050"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72C180AC" w14:textId="77777777" w:rsidR="000F72B9" w:rsidRPr="001766DA" w:rsidRDefault="000F72B9" w:rsidP="00061F73">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04722CC4" w14:textId="77777777" w:rsidR="000F72B9" w:rsidRPr="001766DA" w:rsidRDefault="000F72B9" w:rsidP="00061F73">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2B2C0C6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Q1</w:t>
            </w:r>
          </w:p>
        </w:tc>
        <w:tc>
          <w:tcPr>
            <w:tcW w:w="678" w:type="dxa"/>
            <w:shd w:val="clear" w:color="auto" w:fill="C1F0C7" w:themeFill="accent3" w:themeFillTint="33"/>
            <w:noWrap/>
          </w:tcPr>
          <w:p w14:paraId="53E5BEC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2023</w:t>
            </w:r>
          </w:p>
        </w:tc>
        <w:tc>
          <w:tcPr>
            <w:tcW w:w="3044" w:type="dxa"/>
            <w:shd w:val="clear" w:color="auto" w:fill="C1F0C7" w:themeFill="accent3" w:themeFillTint="33"/>
            <w:noWrap/>
          </w:tcPr>
          <w:p w14:paraId="2FD420C6"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A study regarding flexible working arrangements in the public sector shall be conducted. The PAPD shall assess the study’s recommendations considering appropriate safeguards aiming at improving the effectiveness of the public service. Following the assessment of the study’s recommendations, a decision regarding their implementation shall be taken by the Council of Ministers. </w:t>
            </w:r>
          </w:p>
        </w:tc>
      </w:tr>
      <w:tr w:rsidR="005B736A" w:rsidRPr="001766DA" w14:paraId="7070F8B1" w14:textId="77777777" w:rsidTr="00061F73">
        <w:trPr>
          <w:trHeight w:val="309"/>
          <w:jc w:val="center"/>
        </w:trPr>
        <w:tc>
          <w:tcPr>
            <w:tcW w:w="1084" w:type="dxa"/>
            <w:tcBorders>
              <w:bottom w:val="single" w:sz="4" w:space="0" w:color="auto"/>
            </w:tcBorders>
            <w:shd w:val="clear" w:color="auto" w:fill="C1F0C7" w:themeFill="accent3" w:themeFillTint="33"/>
            <w:noWrap/>
          </w:tcPr>
          <w:p w14:paraId="4F1B0FAF" w14:textId="77777777" w:rsidR="000F72B9" w:rsidRPr="001766DA" w:rsidRDefault="000F72B9" w:rsidP="00061F73">
            <w:pPr>
              <w:spacing w:after="0" w:line="240" w:lineRule="auto"/>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159</w:t>
            </w:r>
          </w:p>
        </w:tc>
        <w:tc>
          <w:tcPr>
            <w:tcW w:w="1463" w:type="dxa"/>
            <w:tcBorders>
              <w:bottom w:val="single" w:sz="4" w:space="0" w:color="auto"/>
            </w:tcBorders>
            <w:shd w:val="clear" w:color="auto" w:fill="C1F0C7" w:themeFill="accent3" w:themeFillTint="33"/>
            <w:noWrap/>
          </w:tcPr>
          <w:p w14:paraId="5C357CF9" w14:textId="77777777" w:rsidR="000F72B9" w:rsidRPr="001766DA" w:rsidRDefault="000F72B9" w:rsidP="00061F73">
            <w:pPr>
              <w:spacing w:after="0" w:line="240" w:lineRule="auto"/>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C3.4R2</w:t>
            </w:r>
          </w:p>
          <w:p w14:paraId="0B08327A" w14:textId="77777777" w:rsidR="000F72B9" w:rsidRPr="001766DA" w:rsidRDefault="000F72B9" w:rsidP="00061F73">
            <w:pPr>
              <w:spacing w:after="0" w:line="240" w:lineRule="auto"/>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 xml:space="preserve">Regulate flexible working arrangements in the public sector </w:t>
            </w:r>
          </w:p>
        </w:tc>
        <w:tc>
          <w:tcPr>
            <w:tcW w:w="1134" w:type="dxa"/>
            <w:tcBorders>
              <w:bottom w:val="single" w:sz="4" w:space="0" w:color="auto"/>
            </w:tcBorders>
            <w:shd w:val="clear" w:color="auto" w:fill="C1F0C7" w:themeFill="accent3" w:themeFillTint="33"/>
            <w:noWrap/>
          </w:tcPr>
          <w:p w14:paraId="548539E0" w14:textId="77777777" w:rsidR="000F72B9" w:rsidRPr="001766DA" w:rsidRDefault="000F72B9" w:rsidP="00061F73">
            <w:pPr>
              <w:spacing w:after="0" w:line="240" w:lineRule="auto"/>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Milestone</w:t>
            </w:r>
          </w:p>
        </w:tc>
        <w:tc>
          <w:tcPr>
            <w:tcW w:w="1276" w:type="dxa"/>
            <w:tcBorders>
              <w:bottom w:val="single" w:sz="4" w:space="0" w:color="auto"/>
            </w:tcBorders>
            <w:shd w:val="clear" w:color="auto" w:fill="C1F0C7" w:themeFill="accent3" w:themeFillTint="33"/>
            <w:noWrap/>
          </w:tcPr>
          <w:p w14:paraId="160A3220" w14:textId="77777777" w:rsidR="000F72B9" w:rsidRPr="001766DA" w:rsidRDefault="000F72B9" w:rsidP="00061F73">
            <w:pPr>
              <w:spacing w:after="0" w:line="240" w:lineRule="auto"/>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Flexible working arrangements</w:t>
            </w:r>
          </w:p>
        </w:tc>
        <w:tc>
          <w:tcPr>
            <w:tcW w:w="1559" w:type="dxa"/>
            <w:tcBorders>
              <w:bottom w:val="single" w:sz="4" w:space="0" w:color="auto"/>
            </w:tcBorders>
            <w:shd w:val="clear" w:color="auto" w:fill="C1F0C7" w:themeFill="accent3" w:themeFillTint="33"/>
            <w:noWrap/>
          </w:tcPr>
          <w:p w14:paraId="2031B0BF" w14:textId="77777777" w:rsidR="000F72B9" w:rsidRPr="001766DA" w:rsidRDefault="000F72B9" w:rsidP="00061F73">
            <w:pPr>
              <w:spacing w:after="0" w:line="240" w:lineRule="auto"/>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Provision in the legal act(s) indicating their entry into force</w:t>
            </w:r>
          </w:p>
        </w:tc>
        <w:tc>
          <w:tcPr>
            <w:tcW w:w="1417" w:type="dxa"/>
            <w:tcBorders>
              <w:bottom w:val="single" w:sz="4" w:space="0" w:color="auto"/>
            </w:tcBorders>
            <w:shd w:val="clear" w:color="auto" w:fill="C1F0C7" w:themeFill="accent3" w:themeFillTint="33"/>
            <w:noWrap/>
          </w:tcPr>
          <w:p w14:paraId="2D564EED" w14:textId="7BB6F0B8" w:rsidR="000F72B9" w:rsidRPr="001766DA" w:rsidRDefault="000F72B9" w:rsidP="00061F73">
            <w:pPr>
              <w:spacing w:after="0" w:line="240" w:lineRule="auto"/>
              <w:jc w:val="center"/>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631EB522" w14:textId="343DC3DF" w:rsidR="000F72B9" w:rsidRPr="001766DA" w:rsidRDefault="000F72B9" w:rsidP="00061F73">
            <w:pPr>
              <w:spacing w:after="0" w:line="240" w:lineRule="auto"/>
              <w:jc w:val="center"/>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2C17CDCB" w14:textId="409013C2" w:rsidR="000F72B9" w:rsidRPr="001766DA" w:rsidRDefault="000F72B9" w:rsidP="00061F73">
            <w:pPr>
              <w:spacing w:after="0" w:line="240" w:lineRule="auto"/>
              <w:jc w:val="center"/>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w:t>
            </w:r>
          </w:p>
        </w:tc>
        <w:tc>
          <w:tcPr>
            <w:tcW w:w="904" w:type="dxa"/>
            <w:tcBorders>
              <w:bottom w:val="single" w:sz="4" w:space="0" w:color="auto"/>
            </w:tcBorders>
            <w:shd w:val="clear" w:color="auto" w:fill="C1F0C7" w:themeFill="accent3" w:themeFillTint="33"/>
            <w:noWrap/>
          </w:tcPr>
          <w:p w14:paraId="283EA290" w14:textId="77777777" w:rsidR="000F72B9" w:rsidRPr="001766DA" w:rsidRDefault="000F72B9" w:rsidP="00061F73">
            <w:pPr>
              <w:spacing w:after="0" w:line="240" w:lineRule="auto"/>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 xml:space="preserve">Q4 </w:t>
            </w:r>
          </w:p>
        </w:tc>
        <w:tc>
          <w:tcPr>
            <w:tcW w:w="678" w:type="dxa"/>
            <w:tcBorders>
              <w:bottom w:val="single" w:sz="4" w:space="0" w:color="auto"/>
            </w:tcBorders>
            <w:shd w:val="clear" w:color="auto" w:fill="C1F0C7" w:themeFill="accent3" w:themeFillTint="33"/>
            <w:noWrap/>
          </w:tcPr>
          <w:p w14:paraId="05EF4289" w14:textId="77777777" w:rsidR="000F72B9" w:rsidRPr="001766DA" w:rsidRDefault="000F72B9" w:rsidP="00061F73">
            <w:pPr>
              <w:spacing w:after="0" w:line="240" w:lineRule="auto"/>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2024</w:t>
            </w:r>
          </w:p>
        </w:tc>
        <w:tc>
          <w:tcPr>
            <w:tcW w:w="3044" w:type="dxa"/>
            <w:tcBorders>
              <w:bottom w:val="single" w:sz="4" w:space="0" w:color="auto"/>
            </w:tcBorders>
            <w:shd w:val="clear" w:color="auto" w:fill="C1F0C7" w:themeFill="accent3" w:themeFillTint="33"/>
            <w:noWrap/>
          </w:tcPr>
          <w:p w14:paraId="46D83B8A" w14:textId="77777777" w:rsidR="000F72B9" w:rsidRPr="001766DA" w:rsidRDefault="000F72B9" w:rsidP="00061F73">
            <w:pPr>
              <w:spacing w:after="0" w:line="240" w:lineRule="auto"/>
              <w:jc w:val="both"/>
              <w:rPr>
                <w:rFonts w:ascii="Times New Roman" w:eastAsia="Times New Roman" w:hAnsi="Times New Roman" w:cs="Times New Roman"/>
                <w:noProof/>
                <w:sz w:val="18"/>
                <w:szCs w:val="18"/>
              </w:rPr>
            </w:pPr>
            <w:r w:rsidRPr="001766DA">
              <w:rPr>
                <w:rFonts w:ascii="Times New Roman" w:eastAsia="Times New Roman" w:hAnsi="Times New Roman" w:cs="Times New Roman"/>
                <w:noProof/>
                <w:sz w:val="18"/>
                <w:szCs w:val="18"/>
              </w:rPr>
              <w:t>Entry into force of legal act(s) on flexible working arrangements in the public sector.</w:t>
            </w:r>
          </w:p>
        </w:tc>
      </w:tr>
      <w:tr w:rsidR="005B736A" w:rsidRPr="001766DA" w14:paraId="009BBC39" w14:textId="77777777" w:rsidTr="00061F73">
        <w:trPr>
          <w:trHeight w:val="309"/>
          <w:jc w:val="center"/>
        </w:trPr>
        <w:tc>
          <w:tcPr>
            <w:tcW w:w="1084" w:type="dxa"/>
            <w:shd w:val="clear" w:color="auto" w:fill="C1F0C7" w:themeFill="accent3" w:themeFillTint="33"/>
            <w:noWrap/>
          </w:tcPr>
          <w:p w14:paraId="39019D28"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160</w:t>
            </w:r>
          </w:p>
        </w:tc>
        <w:tc>
          <w:tcPr>
            <w:tcW w:w="1463" w:type="dxa"/>
            <w:shd w:val="clear" w:color="auto" w:fill="C1F0C7" w:themeFill="accent3" w:themeFillTint="33"/>
            <w:noWrap/>
          </w:tcPr>
          <w:p w14:paraId="0DF6CEF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C3.4R3</w:t>
            </w:r>
          </w:p>
          <w:p w14:paraId="506DAAF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Introduce new framework for evaluation and selection process for filling public service vacancies and new regulations for the evaluation of employees’ performance</w:t>
            </w:r>
          </w:p>
        </w:tc>
        <w:tc>
          <w:tcPr>
            <w:tcW w:w="1134" w:type="dxa"/>
            <w:shd w:val="clear" w:color="auto" w:fill="C1F0C7" w:themeFill="accent3" w:themeFillTint="33"/>
            <w:noWrap/>
          </w:tcPr>
          <w:p w14:paraId="1A45E25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0609C89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Entry into force of legislation for the evaluation and selection process for public service vacancies and regulations for employees’ performance evaluation. </w:t>
            </w:r>
          </w:p>
        </w:tc>
        <w:tc>
          <w:tcPr>
            <w:tcW w:w="1559" w:type="dxa"/>
            <w:shd w:val="clear" w:color="auto" w:fill="C1F0C7" w:themeFill="accent3" w:themeFillTint="33"/>
            <w:noWrap/>
          </w:tcPr>
          <w:p w14:paraId="4060917C" w14:textId="25425AAC"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Provision in the relevant law(s) and regulations indicating their respective entry into force</w:t>
            </w:r>
            <w:r w:rsidR="00064579" w:rsidRPr="001766DA">
              <w:rPr>
                <w:rFonts w:ascii="Times New Roman" w:hAnsi="Times New Roman" w:cs="Times New Roman"/>
                <w:noProof/>
                <w:sz w:val="18"/>
                <w:szCs w:val="18"/>
              </w:rPr>
              <w:t xml:space="preserve"> </w:t>
            </w:r>
          </w:p>
        </w:tc>
        <w:tc>
          <w:tcPr>
            <w:tcW w:w="1417" w:type="dxa"/>
            <w:shd w:val="clear" w:color="auto" w:fill="C1F0C7" w:themeFill="accent3" w:themeFillTint="33"/>
            <w:noWrap/>
          </w:tcPr>
          <w:p w14:paraId="53BA12F8" w14:textId="7252D9D5"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24769487" w14:textId="6F7BB0D8"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742CD01D" w14:textId="773C4108"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7638D6E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Q4 </w:t>
            </w:r>
          </w:p>
        </w:tc>
        <w:tc>
          <w:tcPr>
            <w:tcW w:w="678" w:type="dxa"/>
            <w:shd w:val="clear" w:color="auto" w:fill="C1F0C7" w:themeFill="accent3" w:themeFillTint="33"/>
            <w:noWrap/>
          </w:tcPr>
          <w:p w14:paraId="7D994B2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2021</w:t>
            </w:r>
          </w:p>
        </w:tc>
        <w:tc>
          <w:tcPr>
            <w:tcW w:w="3044" w:type="dxa"/>
            <w:shd w:val="clear" w:color="auto" w:fill="C1F0C7" w:themeFill="accent3" w:themeFillTint="33"/>
            <w:noWrap/>
          </w:tcPr>
          <w:p w14:paraId="7CE6403C"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The main elements shall be:</w:t>
            </w:r>
          </w:p>
          <w:p w14:paraId="283B28DF"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(i) entry into force of a law providing for the evaluation and selection of candidates to fill the public service promotion posts, including managerial posts, with new criteria and methods based on objective assessment and merit, and amendment of the Public Service Law where deemed necessary, and </w:t>
            </w:r>
            <w:r w:rsidRPr="001766DA">
              <w:rPr>
                <w:rFonts w:ascii="Times New Roman" w:hAnsi="Times New Roman" w:cs="Times New Roman"/>
                <w:noProof/>
                <w:sz w:val="18"/>
                <w:szCs w:val="18"/>
              </w:rPr>
              <w:br/>
              <w:t>(ii) entry into force of new regulations for implementing a new performance appraisal system for public employees, to be used for development and promotion purposes in order to make the performance appraisal procedure and the promotion mechanism more transparent, fair, skill-based and effective</w:t>
            </w:r>
          </w:p>
        </w:tc>
      </w:tr>
      <w:tr w:rsidR="005B736A" w:rsidRPr="001766DA" w14:paraId="18C57622" w14:textId="77777777" w:rsidTr="00061F73">
        <w:trPr>
          <w:trHeight w:val="309"/>
          <w:jc w:val="center"/>
        </w:trPr>
        <w:tc>
          <w:tcPr>
            <w:tcW w:w="1084" w:type="dxa"/>
            <w:shd w:val="clear" w:color="auto" w:fill="C1F0C7" w:themeFill="accent3" w:themeFillTint="33"/>
            <w:noWrap/>
          </w:tcPr>
          <w:p w14:paraId="7190759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162</w:t>
            </w:r>
          </w:p>
        </w:tc>
        <w:tc>
          <w:tcPr>
            <w:tcW w:w="1463" w:type="dxa"/>
            <w:shd w:val="clear" w:color="auto" w:fill="C1F0C7" w:themeFill="accent3" w:themeFillTint="33"/>
            <w:noWrap/>
          </w:tcPr>
          <w:p w14:paraId="4DFB8250"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C3.4R4</w:t>
            </w:r>
          </w:p>
          <w:p w14:paraId="44C30A7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Digitalisation of public procurement </w:t>
            </w:r>
          </w:p>
        </w:tc>
        <w:tc>
          <w:tcPr>
            <w:tcW w:w="1134" w:type="dxa"/>
            <w:shd w:val="clear" w:color="auto" w:fill="C1F0C7" w:themeFill="accent3" w:themeFillTint="33"/>
            <w:noWrap/>
          </w:tcPr>
          <w:p w14:paraId="09750AB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6A28CAA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E-procurement system </w:t>
            </w:r>
          </w:p>
        </w:tc>
        <w:tc>
          <w:tcPr>
            <w:tcW w:w="1559" w:type="dxa"/>
            <w:shd w:val="clear" w:color="auto" w:fill="C1F0C7" w:themeFill="accent3" w:themeFillTint="33"/>
            <w:noWrap/>
          </w:tcPr>
          <w:p w14:paraId="39F316A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E-procurement system accessible</w:t>
            </w:r>
          </w:p>
        </w:tc>
        <w:tc>
          <w:tcPr>
            <w:tcW w:w="1417" w:type="dxa"/>
            <w:shd w:val="clear" w:color="auto" w:fill="C1F0C7" w:themeFill="accent3" w:themeFillTint="33"/>
            <w:noWrap/>
          </w:tcPr>
          <w:p w14:paraId="3DB9B28E" w14:textId="5D97C5C4"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1803C4E9" w14:textId="228AE5C5"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63A5D185" w14:textId="459D69D1"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6B63C1F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1F0C7" w:themeFill="accent3" w:themeFillTint="33"/>
            <w:noWrap/>
          </w:tcPr>
          <w:p w14:paraId="6D151B1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2025</w:t>
            </w:r>
          </w:p>
        </w:tc>
        <w:tc>
          <w:tcPr>
            <w:tcW w:w="3044" w:type="dxa"/>
            <w:shd w:val="clear" w:color="auto" w:fill="C1F0C7" w:themeFill="accent3" w:themeFillTint="33"/>
            <w:noWrap/>
          </w:tcPr>
          <w:p w14:paraId="5DBD0CA8"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The e-procurement system shall be online and accessible, with the following functionalities:</w:t>
            </w:r>
          </w:p>
          <w:p w14:paraId="389B7800"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 statistical reporting </w:t>
            </w:r>
          </w:p>
          <w:p w14:paraId="3F577237" w14:textId="62741066"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 e-shopping through a digital catalogue. </w:t>
            </w:r>
          </w:p>
        </w:tc>
      </w:tr>
      <w:tr w:rsidR="005B736A" w:rsidRPr="001766DA" w14:paraId="2CD3AA50" w14:textId="77777777" w:rsidTr="00061F73">
        <w:trPr>
          <w:trHeight w:val="309"/>
          <w:jc w:val="center"/>
        </w:trPr>
        <w:tc>
          <w:tcPr>
            <w:tcW w:w="1084" w:type="dxa"/>
            <w:tcBorders>
              <w:bottom w:val="single" w:sz="4" w:space="0" w:color="auto"/>
            </w:tcBorders>
            <w:shd w:val="clear" w:color="auto" w:fill="C1F0C7" w:themeFill="accent3" w:themeFillTint="33"/>
            <w:noWrap/>
          </w:tcPr>
          <w:p w14:paraId="6A51BB22"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163</w:t>
            </w:r>
          </w:p>
        </w:tc>
        <w:tc>
          <w:tcPr>
            <w:tcW w:w="1463" w:type="dxa"/>
            <w:tcBorders>
              <w:bottom w:val="single" w:sz="4" w:space="0" w:color="auto"/>
            </w:tcBorders>
            <w:shd w:val="clear" w:color="auto" w:fill="C1F0C7" w:themeFill="accent3" w:themeFillTint="33"/>
            <w:noWrap/>
          </w:tcPr>
          <w:p w14:paraId="5C84FDD0"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C3.4R5</w:t>
            </w:r>
          </w:p>
          <w:p w14:paraId="7509F51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Enhancement of the capacity of the Law Office </w:t>
            </w:r>
          </w:p>
        </w:tc>
        <w:tc>
          <w:tcPr>
            <w:tcW w:w="1134" w:type="dxa"/>
            <w:tcBorders>
              <w:bottom w:val="single" w:sz="4" w:space="0" w:color="auto"/>
            </w:tcBorders>
            <w:shd w:val="clear" w:color="auto" w:fill="C1F0C7" w:themeFill="accent3" w:themeFillTint="33"/>
            <w:noWrap/>
          </w:tcPr>
          <w:p w14:paraId="1A0B8B9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tcBorders>
              <w:bottom w:val="single" w:sz="4" w:space="0" w:color="auto"/>
            </w:tcBorders>
            <w:shd w:val="clear" w:color="auto" w:fill="C1F0C7" w:themeFill="accent3" w:themeFillTint="33"/>
            <w:noWrap/>
          </w:tcPr>
          <w:p w14:paraId="47F6971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New IT system for the Law Office</w:t>
            </w:r>
          </w:p>
        </w:tc>
        <w:tc>
          <w:tcPr>
            <w:tcW w:w="1559" w:type="dxa"/>
            <w:tcBorders>
              <w:bottom w:val="single" w:sz="4" w:space="0" w:color="auto"/>
            </w:tcBorders>
            <w:shd w:val="clear" w:color="auto" w:fill="C1F0C7" w:themeFill="accent3" w:themeFillTint="33"/>
            <w:noWrap/>
          </w:tcPr>
          <w:p w14:paraId="5A0F1D8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Entry into service of the new IT system</w:t>
            </w:r>
          </w:p>
        </w:tc>
        <w:tc>
          <w:tcPr>
            <w:tcW w:w="1417" w:type="dxa"/>
            <w:tcBorders>
              <w:bottom w:val="single" w:sz="4" w:space="0" w:color="auto"/>
            </w:tcBorders>
            <w:shd w:val="clear" w:color="auto" w:fill="C1F0C7" w:themeFill="accent3" w:themeFillTint="33"/>
            <w:noWrap/>
          </w:tcPr>
          <w:p w14:paraId="10ECAB86" w14:textId="42F15A0E"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627CE13C" w14:textId="4018B0D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6BD9A56B" w14:textId="0E44F536"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tcBorders>
              <w:bottom w:val="single" w:sz="4" w:space="0" w:color="auto"/>
            </w:tcBorders>
            <w:shd w:val="clear" w:color="auto" w:fill="C1F0C7" w:themeFill="accent3" w:themeFillTint="33"/>
            <w:noWrap/>
          </w:tcPr>
          <w:p w14:paraId="17ABE5EC"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tcBorders>
              <w:bottom w:val="single" w:sz="4" w:space="0" w:color="auto"/>
            </w:tcBorders>
            <w:shd w:val="clear" w:color="auto" w:fill="C1F0C7" w:themeFill="accent3" w:themeFillTint="33"/>
            <w:noWrap/>
          </w:tcPr>
          <w:p w14:paraId="38A03F8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2023</w:t>
            </w:r>
          </w:p>
        </w:tc>
        <w:tc>
          <w:tcPr>
            <w:tcW w:w="3044" w:type="dxa"/>
            <w:tcBorders>
              <w:bottom w:val="single" w:sz="4" w:space="0" w:color="auto"/>
            </w:tcBorders>
            <w:shd w:val="clear" w:color="auto" w:fill="C1F0C7" w:themeFill="accent3" w:themeFillTint="33"/>
            <w:noWrap/>
          </w:tcPr>
          <w:p w14:paraId="76B167F1" w14:textId="1B20CC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The e- Law system is made operational for the Law Office and used. It includes the following functionalities:</w:t>
            </w:r>
          </w:p>
          <w:p w14:paraId="0EED8336"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 creation of electronic case files and folders, </w:t>
            </w:r>
          </w:p>
          <w:p w14:paraId="48CF6F6E"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 case management and monitoring, </w:t>
            </w:r>
          </w:p>
          <w:p w14:paraId="58F2AD5F"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 internal communication and work flows, </w:t>
            </w:r>
          </w:p>
          <w:p w14:paraId="70F1EA41"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 tracking of cases, financial management and payments, </w:t>
            </w:r>
          </w:p>
          <w:p w14:paraId="0BB4AA2A"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digitalisation of paper files. Training of users has been concluded.</w:t>
            </w:r>
          </w:p>
          <w:p w14:paraId="2CF0CC20"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The paper files of the Law Office are digitalised.</w:t>
            </w:r>
          </w:p>
        </w:tc>
      </w:tr>
      <w:tr w:rsidR="005B736A" w:rsidRPr="001766DA" w14:paraId="5D57B996" w14:textId="77777777" w:rsidTr="00061F73">
        <w:trPr>
          <w:trHeight w:val="309"/>
          <w:jc w:val="center"/>
        </w:trPr>
        <w:tc>
          <w:tcPr>
            <w:tcW w:w="1084" w:type="dxa"/>
            <w:shd w:val="clear" w:color="auto" w:fill="C1F0C7" w:themeFill="accent3" w:themeFillTint="33"/>
            <w:noWrap/>
          </w:tcPr>
          <w:p w14:paraId="4F398BD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167</w:t>
            </w:r>
          </w:p>
        </w:tc>
        <w:tc>
          <w:tcPr>
            <w:tcW w:w="1463" w:type="dxa"/>
            <w:shd w:val="clear" w:color="auto" w:fill="C1F0C7" w:themeFill="accent3" w:themeFillTint="33"/>
            <w:noWrap/>
          </w:tcPr>
          <w:p w14:paraId="6DB77E1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C3.4I3</w:t>
            </w:r>
          </w:p>
          <w:p w14:paraId="336D2C4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Economic Policy Modelling Hub </w:t>
            </w:r>
          </w:p>
        </w:tc>
        <w:tc>
          <w:tcPr>
            <w:tcW w:w="1134" w:type="dxa"/>
            <w:shd w:val="clear" w:color="auto" w:fill="C1F0C7" w:themeFill="accent3" w:themeFillTint="33"/>
            <w:noWrap/>
          </w:tcPr>
          <w:p w14:paraId="7E482CE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31EF91F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Setting up a Modelling Hub for Economic Policy Analysis</w:t>
            </w:r>
          </w:p>
        </w:tc>
        <w:tc>
          <w:tcPr>
            <w:tcW w:w="1559" w:type="dxa"/>
            <w:shd w:val="clear" w:color="auto" w:fill="C1F0C7" w:themeFill="accent3" w:themeFillTint="33"/>
            <w:noWrap/>
          </w:tcPr>
          <w:p w14:paraId="4EBF172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Entry into service of the Hub</w:t>
            </w:r>
          </w:p>
          <w:p w14:paraId="13E91BE0" w14:textId="77777777" w:rsidR="000F72B9" w:rsidRPr="001766DA" w:rsidRDefault="000F72B9" w:rsidP="00061F73">
            <w:pPr>
              <w:spacing w:after="0" w:line="240" w:lineRule="auto"/>
              <w:rPr>
                <w:rFonts w:ascii="Times New Roman" w:hAnsi="Times New Roman" w:cs="Times New Roman"/>
                <w:noProof/>
                <w:sz w:val="18"/>
                <w:szCs w:val="18"/>
              </w:rPr>
            </w:pPr>
          </w:p>
        </w:tc>
        <w:tc>
          <w:tcPr>
            <w:tcW w:w="1417" w:type="dxa"/>
            <w:shd w:val="clear" w:color="auto" w:fill="C1F0C7" w:themeFill="accent3" w:themeFillTint="33"/>
            <w:noWrap/>
          </w:tcPr>
          <w:p w14:paraId="70DF23E2" w14:textId="067FC893"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3B708831" w14:textId="6F3E6C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672599A3" w14:textId="48D412DB"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2883FA40"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1F0C7" w:themeFill="accent3" w:themeFillTint="33"/>
            <w:noWrap/>
          </w:tcPr>
          <w:p w14:paraId="6A2442A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2023</w:t>
            </w:r>
          </w:p>
        </w:tc>
        <w:tc>
          <w:tcPr>
            <w:tcW w:w="3044" w:type="dxa"/>
            <w:shd w:val="clear" w:color="auto" w:fill="C1F0C7" w:themeFill="accent3" w:themeFillTint="33"/>
            <w:noWrap/>
          </w:tcPr>
          <w:p w14:paraId="0C1D5BCF"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Operationalisation and equipment of the Hub including appointment of the team of scientific staff. The team shall consist of experts on macroeconometric models, econometricians, data analytics experts and economists. </w:t>
            </w:r>
          </w:p>
        </w:tc>
      </w:tr>
      <w:tr w:rsidR="005B736A" w:rsidRPr="001766DA" w14:paraId="1D9CC281" w14:textId="77777777" w:rsidTr="00061F73">
        <w:trPr>
          <w:trHeight w:val="309"/>
          <w:jc w:val="center"/>
        </w:trPr>
        <w:tc>
          <w:tcPr>
            <w:tcW w:w="1084" w:type="dxa"/>
            <w:shd w:val="clear" w:color="auto" w:fill="C1F0C7" w:themeFill="accent3" w:themeFillTint="33"/>
            <w:noWrap/>
          </w:tcPr>
          <w:p w14:paraId="0977A1D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168</w:t>
            </w:r>
          </w:p>
        </w:tc>
        <w:tc>
          <w:tcPr>
            <w:tcW w:w="1463" w:type="dxa"/>
            <w:shd w:val="clear" w:color="auto" w:fill="C1F0C7" w:themeFill="accent3" w:themeFillTint="33"/>
            <w:noWrap/>
          </w:tcPr>
          <w:p w14:paraId="4D88494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C3.4I3</w:t>
            </w:r>
          </w:p>
          <w:p w14:paraId="006F63D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Economic Policy Modelling Hub </w:t>
            </w:r>
          </w:p>
        </w:tc>
        <w:tc>
          <w:tcPr>
            <w:tcW w:w="1134" w:type="dxa"/>
            <w:shd w:val="clear" w:color="auto" w:fill="C1F0C7" w:themeFill="accent3" w:themeFillTint="33"/>
            <w:noWrap/>
          </w:tcPr>
          <w:p w14:paraId="4C56C491" w14:textId="19A5F944"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37BFB9C2" w14:textId="0E738B3A"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Report of the director of the Economics Research Centre</w:t>
            </w:r>
          </w:p>
        </w:tc>
        <w:tc>
          <w:tcPr>
            <w:tcW w:w="1559" w:type="dxa"/>
            <w:shd w:val="clear" w:color="auto" w:fill="C1F0C7" w:themeFill="accent3" w:themeFillTint="33"/>
            <w:noWrap/>
          </w:tcPr>
          <w:p w14:paraId="51460691" w14:textId="01B0F4A2"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Report of the director of the Economics Research Centre approved</w:t>
            </w:r>
            <w:r w:rsidR="00064579" w:rsidRPr="001766DA">
              <w:rPr>
                <w:rFonts w:ascii="Times New Roman" w:hAnsi="Times New Roman" w:cs="Times New Roman"/>
                <w:noProof/>
                <w:sz w:val="18"/>
                <w:szCs w:val="18"/>
              </w:rPr>
              <w:t xml:space="preserve"> </w:t>
            </w:r>
            <w:r w:rsidRPr="001766DA">
              <w:rPr>
                <w:rFonts w:ascii="Times New Roman" w:hAnsi="Times New Roman" w:cs="Times New Roman"/>
                <w:noProof/>
                <w:sz w:val="18"/>
                <w:szCs w:val="18"/>
              </w:rPr>
              <w:t>by the members of the Economics Research Centre Council</w:t>
            </w:r>
          </w:p>
        </w:tc>
        <w:tc>
          <w:tcPr>
            <w:tcW w:w="1417" w:type="dxa"/>
            <w:shd w:val="clear" w:color="auto" w:fill="C1F0C7" w:themeFill="accent3" w:themeFillTint="33"/>
            <w:noWrap/>
          </w:tcPr>
          <w:p w14:paraId="0676C045" w14:textId="39A8A7F4" w:rsidR="000F72B9" w:rsidRPr="001766DA" w:rsidRDefault="000F72B9" w:rsidP="00061F73">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4BAD782" w14:textId="164007B2" w:rsidR="000F72B9" w:rsidRPr="001766DA" w:rsidRDefault="000F72B9" w:rsidP="00061F73">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5EEA51CB" w14:textId="3173F927" w:rsidR="000F72B9" w:rsidRPr="001766DA" w:rsidRDefault="000F72B9" w:rsidP="00061F73">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5E50C218"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1F0C7" w:themeFill="accent3" w:themeFillTint="33"/>
            <w:noWrap/>
          </w:tcPr>
          <w:p w14:paraId="5B32FB6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2025</w:t>
            </w:r>
          </w:p>
        </w:tc>
        <w:tc>
          <w:tcPr>
            <w:tcW w:w="3044" w:type="dxa"/>
            <w:shd w:val="clear" w:color="auto" w:fill="C1F0C7" w:themeFill="accent3" w:themeFillTint="33"/>
            <w:noWrap/>
          </w:tcPr>
          <w:p w14:paraId="4DE32204" w14:textId="78EE0ECE"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Approval of a report of the director of the Economics Research Centre by the members of the Economics Research Centre Council.</w:t>
            </w:r>
          </w:p>
        </w:tc>
      </w:tr>
      <w:tr w:rsidR="005B736A" w:rsidRPr="001766DA" w14:paraId="672A8960" w14:textId="77777777" w:rsidTr="00061F73">
        <w:trPr>
          <w:trHeight w:val="309"/>
          <w:jc w:val="center"/>
        </w:trPr>
        <w:tc>
          <w:tcPr>
            <w:tcW w:w="1084" w:type="dxa"/>
            <w:shd w:val="clear" w:color="auto" w:fill="C1F0C7" w:themeFill="accent3" w:themeFillTint="33"/>
            <w:noWrap/>
          </w:tcPr>
          <w:p w14:paraId="21DE9A8B"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169</w:t>
            </w:r>
          </w:p>
        </w:tc>
        <w:tc>
          <w:tcPr>
            <w:tcW w:w="1463" w:type="dxa"/>
            <w:shd w:val="clear" w:color="auto" w:fill="C1F0C7" w:themeFill="accent3" w:themeFillTint="33"/>
            <w:noWrap/>
          </w:tcPr>
          <w:p w14:paraId="73DB8B8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C3.4R6</w:t>
            </w:r>
          </w:p>
          <w:p w14:paraId="4883B8D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New legal framework for Local Authorities and support measures </w:t>
            </w:r>
          </w:p>
        </w:tc>
        <w:tc>
          <w:tcPr>
            <w:tcW w:w="1134" w:type="dxa"/>
            <w:shd w:val="clear" w:color="auto" w:fill="C1F0C7" w:themeFill="accent3" w:themeFillTint="33"/>
            <w:noWrap/>
          </w:tcPr>
          <w:p w14:paraId="0057F0CC"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48BD74E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New legal framework on local authorities</w:t>
            </w:r>
          </w:p>
        </w:tc>
        <w:tc>
          <w:tcPr>
            <w:tcW w:w="1559" w:type="dxa"/>
            <w:shd w:val="clear" w:color="auto" w:fill="C1F0C7" w:themeFill="accent3" w:themeFillTint="33"/>
            <w:noWrap/>
          </w:tcPr>
          <w:p w14:paraId="273AEE5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Provision in the law indicating the entry into force of legal act(s)</w:t>
            </w:r>
          </w:p>
        </w:tc>
        <w:tc>
          <w:tcPr>
            <w:tcW w:w="1417" w:type="dxa"/>
            <w:shd w:val="clear" w:color="auto" w:fill="C1F0C7" w:themeFill="accent3" w:themeFillTint="33"/>
            <w:noWrap/>
          </w:tcPr>
          <w:p w14:paraId="1AD5F305" w14:textId="0AE43EB1"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1CD8CCE0" w14:textId="7145CBB0" w:rsidR="000F72B9" w:rsidRPr="001766DA" w:rsidRDefault="000F72B9" w:rsidP="00061F73">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443880D8" w14:textId="1DA41268"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46B3C5A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Q2</w:t>
            </w:r>
          </w:p>
        </w:tc>
        <w:tc>
          <w:tcPr>
            <w:tcW w:w="678" w:type="dxa"/>
            <w:shd w:val="clear" w:color="auto" w:fill="C1F0C7" w:themeFill="accent3" w:themeFillTint="33"/>
            <w:noWrap/>
          </w:tcPr>
          <w:p w14:paraId="79B2295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2024</w:t>
            </w:r>
          </w:p>
        </w:tc>
        <w:tc>
          <w:tcPr>
            <w:tcW w:w="3044" w:type="dxa"/>
            <w:shd w:val="clear" w:color="auto" w:fill="C1F0C7" w:themeFill="accent3" w:themeFillTint="33"/>
            <w:noWrap/>
          </w:tcPr>
          <w:p w14:paraId="42E93670"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Entry into force of legal act(s) entailing:</w:t>
            </w:r>
          </w:p>
          <w:p w14:paraId="07DA5150"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 Reduction in the number of municipalities </w:t>
            </w:r>
          </w:p>
          <w:p w14:paraId="5D6E2FBF" w14:textId="77777777" w:rsidR="000F72B9" w:rsidRPr="001766DA" w:rsidRDefault="000F72B9" w:rsidP="00061F73">
            <w:pPr>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Establishment of community clusters </w:t>
            </w:r>
            <w:r w:rsidRPr="001766DA">
              <w:rPr>
                <w:rFonts w:ascii="Times New Roman" w:hAnsi="Times New Roman" w:cs="Times New Roman"/>
                <w:noProof/>
                <w:sz w:val="18"/>
                <w:szCs w:val="18"/>
              </w:rPr>
              <w:br/>
              <w:t xml:space="preserve">- New framework for financing of municipalities </w:t>
            </w:r>
          </w:p>
        </w:tc>
      </w:tr>
      <w:tr w:rsidR="005B736A" w:rsidRPr="001766DA" w14:paraId="2E9510BF" w14:textId="77777777" w:rsidTr="00061F73">
        <w:trPr>
          <w:trHeight w:val="309"/>
          <w:jc w:val="center"/>
        </w:trPr>
        <w:tc>
          <w:tcPr>
            <w:tcW w:w="1084" w:type="dxa"/>
            <w:shd w:val="clear" w:color="auto" w:fill="C1F0C7" w:themeFill="accent3" w:themeFillTint="33"/>
            <w:noWrap/>
          </w:tcPr>
          <w:p w14:paraId="65E523A8"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170</w:t>
            </w:r>
          </w:p>
        </w:tc>
        <w:tc>
          <w:tcPr>
            <w:tcW w:w="1463" w:type="dxa"/>
            <w:shd w:val="clear" w:color="auto" w:fill="C1F0C7" w:themeFill="accent3" w:themeFillTint="33"/>
            <w:noWrap/>
          </w:tcPr>
          <w:p w14:paraId="2295C092"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C3.4R6</w:t>
            </w:r>
          </w:p>
          <w:p w14:paraId="6609610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New legal framework for Local Authorities and support measures </w:t>
            </w:r>
          </w:p>
        </w:tc>
        <w:tc>
          <w:tcPr>
            <w:tcW w:w="1134" w:type="dxa"/>
            <w:shd w:val="clear" w:color="auto" w:fill="C1F0C7" w:themeFill="accent3" w:themeFillTint="33"/>
            <w:noWrap/>
          </w:tcPr>
          <w:p w14:paraId="10DC2808"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68F8704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Trainings </w:t>
            </w:r>
          </w:p>
        </w:tc>
        <w:tc>
          <w:tcPr>
            <w:tcW w:w="1559" w:type="dxa"/>
            <w:shd w:val="clear" w:color="auto" w:fill="C1F0C7" w:themeFill="accent3" w:themeFillTint="33"/>
            <w:noWrap/>
          </w:tcPr>
          <w:p w14:paraId="1DF7540B"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Trainings have taken place for local authorities</w:t>
            </w:r>
          </w:p>
        </w:tc>
        <w:tc>
          <w:tcPr>
            <w:tcW w:w="1417" w:type="dxa"/>
            <w:shd w:val="clear" w:color="auto" w:fill="C1F0C7" w:themeFill="accent3" w:themeFillTint="33"/>
            <w:noWrap/>
          </w:tcPr>
          <w:p w14:paraId="345FE916" w14:textId="77777777" w:rsidR="000F72B9" w:rsidRPr="001766DA" w:rsidRDefault="000F72B9" w:rsidP="00061F73">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5E7DC895" w14:textId="77777777" w:rsidR="000F72B9" w:rsidRPr="001766DA" w:rsidRDefault="000F72B9" w:rsidP="00061F73">
            <w:pPr>
              <w:spacing w:after="0" w:line="240" w:lineRule="auto"/>
              <w:jc w:val="center"/>
              <w:rPr>
                <w:rFonts w:ascii="Times New Roman" w:hAnsi="Times New Roman" w:cs="Times New Roman"/>
                <w:noProof/>
                <w:sz w:val="18"/>
                <w:szCs w:val="18"/>
              </w:rPr>
            </w:pPr>
          </w:p>
        </w:tc>
        <w:tc>
          <w:tcPr>
            <w:tcW w:w="1276" w:type="dxa"/>
            <w:shd w:val="clear" w:color="auto" w:fill="C1F0C7" w:themeFill="accent3" w:themeFillTint="33"/>
            <w:noWrap/>
          </w:tcPr>
          <w:p w14:paraId="1A84E2EF" w14:textId="77777777" w:rsidR="000F72B9" w:rsidRPr="001766DA" w:rsidRDefault="000F72B9" w:rsidP="00061F73">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7702A66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1F0C7" w:themeFill="accent3" w:themeFillTint="33"/>
            <w:noWrap/>
          </w:tcPr>
          <w:p w14:paraId="3BB633A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2024</w:t>
            </w:r>
          </w:p>
        </w:tc>
        <w:tc>
          <w:tcPr>
            <w:tcW w:w="3044" w:type="dxa"/>
            <w:shd w:val="clear" w:color="auto" w:fill="C1F0C7" w:themeFill="accent3" w:themeFillTint="33"/>
            <w:noWrap/>
          </w:tcPr>
          <w:p w14:paraId="57E95CAC"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Trainings have taken place for local authorities. </w:t>
            </w:r>
          </w:p>
        </w:tc>
      </w:tr>
      <w:tr w:rsidR="005B736A" w:rsidRPr="001766DA" w14:paraId="23794E8C" w14:textId="77777777" w:rsidTr="00061F73">
        <w:trPr>
          <w:trHeight w:val="309"/>
          <w:jc w:val="center"/>
        </w:trPr>
        <w:tc>
          <w:tcPr>
            <w:tcW w:w="1084" w:type="dxa"/>
            <w:shd w:val="clear" w:color="auto" w:fill="C1F0C7" w:themeFill="accent3" w:themeFillTint="33"/>
            <w:noWrap/>
          </w:tcPr>
          <w:p w14:paraId="27B03632"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171</w:t>
            </w:r>
          </w:p>
        </w:tc>
        <w:tc>
          <w:tcPr>
            <w:tcW w:w="1463" w:type="dxa"/>
            <w:shd w:val="clear" w:color="auto" w:fill="C1F0C7" w:themeFill="accent3" w:themeFillTint="33"/>
            <w:noWrap/>
          </w:tcPr>
          <w:p w14:paraId="2E1BE898"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C3.4R7</w:t>
            </w:r>
          </w:p>
          <w:p w14:paraId="7FB6CD2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Urban land consolidation </w:t>
            </w:r>
          </w:p>
        </w:tc>
        <w:tc>
          <w:tcPr>
            <w:tcW w:w="1134" w:type="dxa"/>
            <w:shd w:val="clear" w:color="auto" w:fill="C1F0C7" w:themeFill="accent3" w:themeFillTint="33"/>
            <w:noWrap/>
          </w:tcPr>
          <w:p w14:paraId="22EA663B"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1560BD7A"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Entry into force of a law on urban land consolidation </w:t>
            </w:r>
          </w:p>
        </w:tc>
        <w:tc>
          <w:tcPr>
            <w:tcW w:w="1559" w:type="dxa"/>
            <w:shd w:val="clear" w:color="auto" w:fill="C1F0C7" w:themeFill="accent3" w:themeFillTint="33"/>
            <w:noWrap/>
          </w:tcPr>
          <w:p w14:paraId="3B51B53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Provision in the law indicating the entry into force of the law</w:t>
            </w:r>
          </w:p>
        </w:tc>
        <w:tc>
          <w:tcPr>
            <w:tcW w:w="1417" w:type="dxa"/>
            <w:shd w:val="clear" w:color="auto" w:fill="C1F0C7" w:themeFill="accent3" w:themeFillTint="33"/>
            <w:noWrap/>
          </w:tcPr>
          <w:p w14:paraId="48A17B75" w14:textId="3A62CFD0"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760A2319" w14:textId="7BCB2298"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7DF16FFD" w14:textId="3AFB1EB9" w:rsidR="000F72B9" w:rsidRPr="001766DA" w:rsidRDefault="000F72B9" w:rsidP="00061F73">
            <w:pPr>
              <w:spacing w:after="0" w:line="240" w:lineRule="auto"/>
              <w:jc w:val="center"/>
              <w:rPr>
                <w:rFonts w:ascii="Times New Roman" w:hAnsi="Times New Roman" w:cs="Times New Roman"/>
                <w:noProof/>
                <w:sz w:val="18"/>
                <w:szCs w:val="18"/>
              </w:rPr>
            </w:pPr>
          </w:p>
        </w:tc>
        <w:tc>
          <w:tcPr>
            <w:tcW w:w="904" w:type="dxa"/>
            <w:shd w:val="clear" w:color="auto" w:fill="C1F0C7" w:themeFill="accent3" w:themeFillTint="33"/>
            <w:noWrap/>
          </w:tcPr>
          <w:p w14:paraId="32622B2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Q2</w:t>
            </w:r>
          </w:p>
        </w:tc>
        <w:tc>
          <w:tcPr>
            <w:tcW w:w="678" w:type="dxa"/>
            <w:shd w:val="clear" w:color="auto" w:fill="C1F0C7" w:themeFill="accent3" w:themeFillTint="33"/>
            <w:noWrap/>
          </w:tcPr>
          <w:p w14:paraId="7B1D725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2024</w:t>
            </w:r>
          </w:p>
        </w:tc>
        <w:tc>
          <w:tcPr>
            <w:tcW w:w="3044" w:type="dxa"/>
            <w:shd w:val="clear" w:color="auto" w:fill="C1F0C7" w:themeFill="accent3" w:themeFillTint="33"/>
            <w:noWrap/>
          </w:tcPr>
          <w:p w14:paraId="33B78BC2"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Entry into force of the law on urban land consolidation. </w:t>
            </w:r>
          </w:p>
        </w:tc>
      </w:tr>
      <w:tr w:rsidR="005B736A" w:rsidRPr="001766DA" w14:paraId="221B6992" w14:textId="77777777" w:rsidTr="00061F73">
        <w:trPr>
          <w:trHeight w:val="309"/>
          <w:jc w:val="center"/>
        </w:trPr>
        <w:tc>
          <w:tcPr>
            <w:tcW w:w="1084" w:type="dxa"/>
            <w:shd w:val="clear" w:color="auto" w:fill="C1F0C7" w:themeFill="accent3" w:themeFillTint="33"/>
            <w:noWrap/>
          </w:tcPr>
          <w:p w14:paraId="7FC705C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172</w:t>
            </w:r>
          </w:p>
        </w:tc>
        <w:tc>
          <w:tcPr>
            <w:tcW w:w="1463" w:type="dxa"/>
            <w:shd w:val="clear" w:color="auto" w:fill="C1F0C7" w:themeFill="accent3" w:themeFillTint="33"/>
            <w:noWrap/>
          </w:tcPr>
          <w:p w14:paraId="1134C67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C3.4R7</w:t>
            </w:r>
          </w:p>
          <w:p w14:paraId="30AE4E6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Urban land consolidation </w:t>
            </w:r>
          </w:p>
        </w:tc>
        <w:tc>
          <w:tcPr>
            <w:tcW w:w="1134" w:type="dxa"/>
            <w:shd w:val="clear" w:color="auto" w:fill="C1F0C7" w:themeFill="accent3" w:themeFillTint="33"/>
            <w:noWrap/>
          </w:tcPr>
          <w:p w14:paraId="2A02550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Target</w:t>
            </w:r>
          </w:p>
        </w:tc>
        <w:tc>
          <w:tcPr>
            <w:tcW w:w="1276" w:type="dxa"/>
            <w:shd w:val="clear" w:color="auto" w:fill="C1F0C7" w:themeFill="accent3" w:themeFillTint="33"/>
            <w:noWrap/>
          </w:tcPr>
          <w:p w14:paraId="3683D8D0"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Number of plans for urban land consolidation </w:t>
            </w:r>
          </w:p>
        </w:tc>
        <w:tc>
          <w:tcPr>
            <w:tcW w:w="1559" w:type="dxa"/>
            <w:shd w:val="clear" w:color="auto" w:fill="C1F0C7" w:themeFill="accent3" w:themeFillTint="33"/>
            <w:noWrap/>
          </w:tcPr>
          <w:p w14:paraId="7B21680B"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 </w:t>
            </w:r>
          </w:p>
        </w:tc>
        <w:tc>
          <w:tcPr>
            <w:tcW w:w="1417" w:type="dxa"/>
            <w:shd w:val="clear" w:color="auto" w:fill="C1F0C7" w:themeFill="accent3" w:themeFillTint="33"/>
            <w:noWrap/>
          </w:tcPr>
          <w:p w14:paraId="4BA16EF3"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Number</w:t>
            </w:r>
          </w:p>
        </w:tc>
        <w:tc>
          <w:tcPr>
            <w:tcW w:w="1276" w:type="dxa"/>
            <w:shd w:val="clear" w:color="auto" w:fill="C1F0C7" w:themeFill="accent3" w:themeFillTint="33"/>
            <w:noWrap/>
          </w:tcPr>
          <w:p w14:paraId="0B2A2AFC"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0</w:t>
            </w:r>
          </w:p>
        </w:tc>
        <w:tc>
          <w:tcPr>
            <w:tcW w:w="1276" w:type="dxa"/>
            <w:shd w:val="clear" w:color="auto" w:fill="C1F0C7" w:themeFill="accent3" w:themeFillTint="33"/>
            <w:noWrap/>
          </w:tcPr>
          <w:p w14:paraId="6BBFBCB1"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10</w:t>
            </w:r>
          </w:p>
        </w:tc>
        <w:tc>
          <w:tcPr>
            <w:tcW w:w="904" w:type="dxa"/>
            <w:shd w:val="clear" w:color="auto" w:fill="C1F0C7" w:themeFill="accent3" w:themeFillTint="33"/>
            <w:noWrap/>
          </w:tcPr>
          <w:p w14:paraId="35B6C68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1F0C7" w:themeFill="accent3" w:themeFillTint="33"/>
            <w:noWrap/>
          </w:tcPr>
          <w:p w14:paraId="3FEA854D" w14:textId="5FBADC76"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2025</w:t>
            </w:r>
          </w:p>
        </w:tc>
        <w:tc>
          <w:tcPr>
            <w:tcW w:w="3044" w:type="dxa"/>
            <w:shd w:val="clear" w:color="auto" w:fill="C1F0C7" w:themeFill="accent3" w:themeFillTint="33"/>
            <w:noWrap/>
          </w:tcPr>
          <w:p w14:paraId="2308C287" w14:textId="374C8896"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Pilot plans for urban land consolidation have been published</w:t>
            </w:r>
            <w:r w:rsidR="001766DA">
              <w:rPr>
                <w:rFonts w:ascii="Times New Roman" w:hAnsi="Times New Roman" w:cs="Times New Roman"/>
                <w:noProof/>
                <w:sz w:val="18"/>
                <w:szCs w:val="18"/>
              </w:rPr>
              <w:t xml:space="preserve"> </w:t>
            </w:r>
            <w:r w:rsidRPr="001766DA">
              <w:rPr>
                <w:rFonts w:ascii="Times New Roman" w:hAnsi="Times New Roman" w:cs="Times New Roman"/>
                <w:noProof/>
                <w:sz w:val="18"/>
                <w:szCs w:val="18"/>
              </w:rPr>
              <w:t xml:space="preserve">online  </w:t>
            </w:r>
          </w:p>
        </w:tc>
      </w:tr>
      <w:tr w:rsidR="005B736A" w:rsidRPr="001766DA" w14:paraId="0C320DB9" w14:textId="77777777" w:rsidTr="00061F73">
        <w:trPr>
          <w:trHeight w:val="309"/>
          <w:jc w:val="center"/>
        </w:trPr>
        <w:tc>
          <w:tcPr>
            <w:tcW w:w="1084" w:type="dxa"/>
            <w:shd w:val="clear" w:color="auto" w:fill="C1F0C7" w:themeFill="accent3" w:themeFillTint="33"/>
            <w:noWrap/>
          </w:tcPr>
          <w:p w14:paraId="10ADC62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173</w:t>
            </w:r>
          </w:p>
        </w:tc>
        <w:tc>
          <w:tcPr>
            <w:tcW w:w="1463" w:type="dxa"/>
            <w:shd w:val="clear" w:color="auto" w:fill="C1F0C7" w:themeFill="accent3" w:themeFillTint="33"/>
            <w:noWrap/>
          </w:tcPr>
          <w:p w14:paraId="759898C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C3.4I4</w:t>
            </w:r>
          </w:p>
          <w:p w14:paraId="7A29910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Enhancing e-system for issuing building permits </w:t>
            </w:r>
          </w:p>
        </w:tc>
        <w:tc>
          <w:tcPr>
            <w:tcW w:w="1134" w:type="dxa"/>
            <w:shd w:val="clear" w:color="auto" w:fill="C1F0C7" w:themeFill="accent3" w:themeFillTint="33"/>
            <w:noWrap/>
          </w:tcPr>
          <w:p w14:paraId="27ADED9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5680CCA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Enhancement of the e-application environment of the Hippodamos System</w:t>
            </w:r>
          </w:p>
        </w:tc>
        <w:tc>
          <w:tcPr>
            <w:tcW w:w="1559" w:type="dxa"/>
            <w:shd w:val="clear" w:color="auto" w:fill="C1F0C7" w:themeFill="accent3" w:themeFillTint="33"/>
            <w:noWrap/>
          </w:tcPr>
          <w:p w14:paraId="2637830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Applications being received through the enhanced e-application environment </w:t>
            </w:r>
          </w:p>
        </w:tc>
        <w:tc>
          <w:tcPr>
            <w:tcW w:w="1417" w:type="dxa"/>
            <w:shd w:val="clear" w:color="auto" w:fill="C1F0C7" w:themeFill="accent3" w:themeFillTint="33"/>
            <w:noWrap/>
          </w:tcPr>
          <w:p w14:paraId="3AAB4A89" w14:textId="4ED682A3"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5857482E" w14:textId="165E827B"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2778E175" w14:textId="42C0654D"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636E09B0"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1F0C7" w:themeFill="accent3" w:themeFillTint="33"/>
            <w:noWrap/>
          </w:tcPr>
          <w:p w14:paraId="0F768A0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2022 </w:t>
            </w:r>
          </w:p>
        </w:tc>
        <w:tc>
          <w:tcPr>
            <w:tcW w:w="3044" w:type="dxa"/>
            <w:shd w:val="clear" w:color="auto" w:fill="C1F0C7" w:themeFill="accent3" w:themeFillTint="33"/>
            <w:noWrap/>
          </w:tcPr>
          <w:p w14:paraId="51999691"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Completion of the enhancement of the e-application environment of the existing Hippodamos system to enable the submission of applications for planning and building permits for all planning authorities and building authorities (municipalities) from a common platform.</w:t>
            </w:r>
          </w:p>
        </w:tc>
      </w:tr>
      <w:tr w:rsidR="005B736A" w:rsidRPr="001766DA" w14:paraId="40BAE97A" w14:textId="77777777" w:rsidTr="00061F73">
        <w:trPr>
          <w:trHeight w:val="309"/>
          <w:jc w:val="center"/>
        </w:trPr>
        <w:tc>
          <w:tcPr>
            <w:tcW w:w="1084" w:type="dxa"/>
            <w:shd w:val="clear" w:color="auto" w:fill="C1F0C7" w:themeFill="accent3" w:themeFillTint="33"/>
            <w:noWrap/>
          </w:tcPr>
          <w:p w14:paraId="77452BE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174</w:t>
            </w:r>
          </w:p>
        </w:tc>
        <w:tc>
          <w:tcPr>
            <w:tcW w:w="1463" w:type="dxa"/>
            <w:shd w:val="clear" w:color="auto" w:fill="C1F0C7" w:themeFill="accent3" w:themeFillTint="33"/>
            <w:noWrap/>
          </w:tcPr>
          <w:p w14:paraId="33B2118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C3.4I4</w:t>
            </w:r>
          </w:p>
          <w:p w14:paraId="5156AB4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E-system for issuing building permits </w:t>
            </w:r>
          </w:p>
        </w:tc>
        <w:tc>
          <w:tcPr>
            <w:tcW w:w="1134" w:type="dxa"/>
            <w:shd w:val="clear" w:color="auto" w:fill="C1F0C7" w:themeFill="accent3" w:themeFillTint="33"/>
            <w:noWrap/>
          </w:tcPr>
          <w:p w14:paraId="04F590B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5BBDB91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Planning and control tool, project management tool, software and hardware of Hippodamos </w:t>
            </w:r>
          </w:p>
        </w:tc>
        <w:tc>
          <w:tcPr>
            <w:tcW w:w="1559" w:type="dxa"/>
            <w:shd w:val="clear" w:color="auto" w:fill="C1F0C7" w:themeFill="accent3" w:themeFillTint="33"/>
            <w:noWrap/>
          </w:tcPr>
          <w:p w14:paraId="18725D75" w14:textId="23CB4552"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Services of the Hippodamos System</w:t>
            </w:r>
          </w:p>
        </w:tc>
        <w:tc>
          <w:tcPr>
            <w:tcW w:w="1417" w:type="dxa"/>
            <w:shd w:val="clear" w:color="auto" w:fill="C1F0C7" w:themeFill="accent3" w:themeFillTint="33"/>
            <w:noWrap/>
          </w:tcPr>
          <w:p w14:paraId="76780A85" w14:textId="69FB12C9"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76389948" w14:textId="600CA4B9"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745D60DB" w14:textId="60184923"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3D599B9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shd w:val="clear" w:color="auto" w:fill="C1F0C7" w:themeFill="accent3" w:themeFillTint="33"/>
            <w:noWrap/>
          </w:tcPr>
          <w:p w14:paraId="31B27DD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2024</w:t>
            </w:r>
          </w:p>
        </w:tc>
        <w:tc>
          <w:tcPr>
            <w:tcW w:w="3044" w:type="dxa"/>
            <w:shd w:val="clear" w:color="auto" w:fill="C1F0C7" w:themeFill="accent3" w:themeFillTint="33"/>
            <w:noWrap/>
          </w:tcPr>
          <w:p w14:paraId="27938637" w14:textId="17AB34C2"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The Hippodamos System shall include</w:t>
            </w:r>
            <w:r w:rsidR="001766DA">
              <w:rPr>
                <w:rFonts w:ascii="Times New Roman" w:hAnsi="Times New Roman" w:cs="Times New Roman"/>
                <w:noProof/>
                <w:sz w:val="18"/>
                <w:szCs w:val="18"/>
              </w:rPr>
              <w:t xml:space="preserve"> </w:t>
            </w:r>
            <w:r w:rsidRPr="001766DA">
              <w:rPr>
                <w:rFonts w:ascii="Times New Roman" w:hAnsi="Times New Roman" w:cs="Times New Roman"/>
                <w:noProof/>
                <w:sz w:val="18"/>
                <w:szCs w:val="18"/>
              </w:rPr>
              <w:t>services which may include but are not limited to the following:</w:t>
            </w:r>
            <w:r w:rsidR="00064579" w:rsidRPr="001766DA">
              <w:rPr>
                <w:rFonts w:ascii="Times New Roman" w:hAnsi="Times New Roman" w:cs="Times New Roman"/>
                <w:noProof/>
                <w:sz w:val="18"/>
                <w:szCs w:val="18"/>
              </w:rPr>
              <w:t xml:space="preserve"> </w:t>
            </w:r>
          </w:p>
          <w:p w14:paraId="6190BA47" w14:textId="55F1A279" w:rsidR="000F72B9" w:rsidRPr="001766DA" w:rsidRDefault="000F72B9" w:rsidP="00061F73">
            <w:pPr>
              <w:pStyle w:val="ListParagraph"/>
              <w:numPr>
                <w:ilvl w:val="0"/>
                <w:numId w:val="4"/>
              </w:numPr>
              <w:spacing w:after="0" w:line="240" w:lineRule="auto"/>
              <w:jc w:val="both"/>
              <w:rPr>
                <w:rFonts w:ascii="Times New Roman" w:hAnsi="Times New Roman" w:cs="Times New Roman"/>
                <w:noProof/>
                <w:sz w:val="18"/>
                <w:szCs w:val="18"/>
                <w:lang w:val="en-US"/>
              </w:rPr>
            </w:pPr>
            <w:r w:rsidRPr="001766DA">
              <w:rPr>
                <w:rFonts w:ascii="Times New Roman" w:hAnsi="Times New Roman" w:cs="Times New Roman"/>
                <w:noProof/>
                <w:sz w:val="18"/>
                <w:szCs w:val="18"/>
                <w:lang w:val="en-US"/>
              </w:rPr>
              <w:t>Electronic signature of documents</w:t>
            </w:r>
          </w:p>
          <w:p w14:paraId="08472EE1" w14:textId="77777777" w:rsidR="000F72B9" w:rsidRPr="001766DA" w:rsidRDefault="000F72B9" w:rsidP="00061F73">
            <w:pPr>
              <w:pStyle w:val="ListParagraph"/>
              <w:numPr>
                <w:ilvl w:val="0"/>
                <w:numId w:val="4"/>
              </w:numPr>
              <w:spacing w:after="0" w:line="240" w:lineRule="auto"/>
              <w:jc w:val="both"/>
              <w:rPr>
                <w:rFonts w:ascii="Times New Roman" w:hAnsi="Times New Roman" w:cs="Times New Roman"/>
                <w:noProof/>
                <w:sz w:val="18"/>
                <w:szCs w:val="18"/>
                <w:lang w:val="en-US"/>
              </w:rPr>
            </w:pPr>
            <w:r w:rsidRPr="001766DA">
              <w:rPr>
                <w:rFonts w:ascii="Times New Roman" w:hAnsi="Times New Roman" w:cs="Times New Roman"/>
                <w:noProof/>
                <w:sz w:val="18"/>
                <w:szCs w:val="18"/>
                <w:lang w:val="en-US"/>
              </w:rPr>
              <w:t>Electronic Consultation.</w:t>
            </w:r>
          </w:p>
          <w:p w14:paraId="2DDE3599"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Acceptance certificate(s) have been issued for the delivery of hardware consisting of at least two servers as specified in the contract.</w:t>
            </w:r>
          </w:p>
        </w:tc>
      </w:tr>
      <w:tr w:rsidR="005B736A" w:rsidRPr="001766DA" w14:paraId="14B2FFC2" w14:textId="77777777" w:rsidTr="00061F73">
        <w:trPr>
          <w:trHeight w:val="309"/>
          <w:jc w:val="center"/>
        </w:trPr>
        <w:tc>
          <w:tcPr>
            <w:tcW w:w="1084" w:type="dxa"/>
            <w:shd w:val="clear" w:color="auto" w:fill="C1F0C7" w:themeFill="accent3" w:themeFillTint="33"/>
            <w:noWrap/>
          </w:tcPr>
          <w:p w14:paraId="5D9BBE5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176</w:t>
            </w:r>
          </w:p>
        </w:tc>
        <w:tc>
          <w:tcPr>
            <w:tcW w:w="1463" w:type="dxa"/>
            <w:shd w:val="clear" w:color="auto" w:fill="C1F0C7" w:themeFill="accent3" w:themeFillTint="33"/>
            <w:noWrap/>
          </w:tcPr>
          <w:p w14:paraId="3AE110D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C3.4I5</w:t>
            </w:r>
          </w:p>
          <w:p w14:paraId="674F61F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Smart cities </w:t>
            </w:r>
          </w:p>
        </w:tc>
        <w:tc>
          <w:tcPr>
            <w:tcW w:w="1134" w:type="dxa"/>
            <w:shd w:val="clear" w:color="auto" w:fill="C1F0C7" w:themeFill="accent3" w:themeFillTint="33"/>
            <w:noWrap/>
          </w:tcPr>
          <w:p w14:paraId="6B6E2F7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Target</w:t>
            </w:r>
          </w:p>
        </w:tc>
        <w:tc>
          <w:tcPr>
            <w:tcW w:w="1276" w:type="dxa"/>
            <w:shd w:val="clear" w:color="auto" w:fill="C1F0C7" w:themeFill="accent3" w:themeFillTint="33"/>
            <w:noWrap/>
          </w:tcPr>
          <w:p w14:paraId="3DFC8454" w14:textId="77777777" w:rsidR="00EB23AC"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Mobile applications and smart sensors/</w:t>
            </w:r>
          </w:p>
          <w:p w14:paraId="7D2020A0" w14:textId="1DA0D448"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solutions </w:t>
            </w:r>
          </w:p>
        </w:tc>
        <w:tc>
          <w:tcPr>
            <w:tcW w:w="1559" w:type="dxa"/>
            <w:shd w:val="clear" w:color="auto" w:fill="C1F0C7" w:themeFill="accent3" w:themeFillTint="33"/>
            <w:noWrap/>
          </w:tcPr>
          <w:p w14:paraId="54909B1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 </w:t>
            </w:r>
          </w:p>
        </w:tc>
        <w:tc>
          <w:tcPr>
            <w:tcW w:w="1417" w:type="dxa"/>
            <w:shd w:val="clear" w:color="auto" w:fill="C1F0C7" w:themeFill="accent3" w:themeFillTint="33"/>
            <w:noWrap/>
          </w:tcPr>
          <w:p w14:paraId="4A9A18F8" w14:textId="77777777"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Mobile Applications Number</w:t>
            </w:r>
          </w:p>
          <w:p w14:paraId="14BCBF9B" w14:textId="77777777" w:rsidR="000F72B9" w:rsidRPr="006D0F17" w:rsidRDefault="000F72B9" w:rsidP="00061F73">
            <w:pPr>
              <w:spacing w:after="0" w:line="240" w:lineRule="auto"/>
              <w:jc w:val="both"/>
              <w:rPr>
                <w:rFonts w:ascii="Times New Roman" w:hAnsi="Times New Roman" w:cs="Times New Roman"/>
                <w:noProof/>
                <w:sz w:val="18"/>
                <w:szCs w:val="18"/>
              </w:rPr>
            </w:pPr>
          </w:p>
          <w:p w14:paraId="508FD322" w14:textId="77777777" w:rsidR="00EB23AC"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Smart sensors</w:t>
            </w:r>
            <w:r w:rsidR="00C060F8" w:rsidRPr="006D0F17">
              <w:rPr>
                <w:rFonts w:ascii="Times New Roman" w:hAnsi="Times New Roman" w:cs="Times New Roman"/>
                <w:noProof/>
                <w:sz w:val="18"/>
                <w:szCs w:val="18"/>
              </w:rPr>
              <w:t>/</w:t>
            </w:r>
          </w:p>
          <w:p w14:paraId="77809B3D" w14:textId="14AD553A" w:rsidR="00EB23AC" w:rsidRDefault="00EB23AC" w:rsidP="00061F73">
            <w:pPr>
              <w:spacing w:after="0" w:line="240" w:lineRule="auto"/>
              <w:jc w:val="both"/>
              <w:rPr>
                <w:rFonts w:ascii="Times New Roman" w:hAnsi="Times New Roman" w:cs="Times New Roman"/>
                <w:noProof/>
                <w:sz w:val="18"/>
                <w:szCs w:val="18"/>
              </w:rPr>
            </w:pPr>
            <w:r>
              <w:rPr>
                <w:rFonts w:ascii="Times New Roman" w:hAnsi="Times New Roman" w:cs="Times New Roman"/>
                <w:noProof/>
                <w:sz w:val="18"/>
                <w:szCs w:val="18"/>
              </w:rPr>
              <w:t>S</w:t>
            </w:r>
            <w:r w:rsidR="00C060F8" w:rsidRPr="006D0F17">
              <w:rPr>
                <w:rFonts w:ascii="Times New Roman" w:hAnsi="Times New Roman" w:cs="Times New Roman"/>
                <w:noProof/>
                <w:sz w:val="18"/>
                <w:szCs w:val="18"/>
              </w:rPr>
              <w:t>olutions</w:t>
            </w:r>
            <w:r w:rsidR="000F72B9" w:rsidRPr="006D0F17">
              <w:rPr>
                <w:rFonts w:ascii="Times New Roman" w:hAnsi="Times New Roman" w:cs="Times New Roman"/>
                <w:noProof/>
                <w:sz w:val="18"/>
                <w:szCs w:val="18"/>
              </w:rPr>
              <w:t xml:space="preserve"> delivered</w:t>
            </w:r>
            <w:r w:rsidR="00CA19B0" w:rsidRPr="006D0F17">
              <w:rPr>
                <w:rFonts w:ascii="Times New Roman" w:hAnsi="Times New Roman" w:cs="Times New Roman"/>
                <w:noProof/>
                <w:sz w:val="18"/>
                <w:szCs w:val="18"/>
              </w:rPr>
              <w:t>/</w:t>
            </w:r>
          </w:p>
          <w:p w14:paraId="280F6B29" w14:textId="38A39B11" w:rsidR="000F72B9" w:rsidRPr="006D0F17" w:rsidRDefault="00CA19B0"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installed</w:t>
            </w:r>
            <w:r w:rsidR="000F72B9" w:rsidRPr="006D0F17">
              <w:rPr>
                <w:rFonts w:ascii="Times New Roman" w:hAnsi="Times New Roman" w:cs="Times New Roman"/>
                <w:noProof/>
                <w:sz w:val="18"/>
                <w:szCs w:val="18"/>
              </w:rPr>
              <w:t>: Number</w:t>
            </w:r>
          </w:p>
          <w:p w14:paraId="728ED32A" w14:textId="77777777" w:rsidR="000F72B9" w:rsidRPr="006D0F17" w:rsidRDefault="000F72B9" w:rsidP="00061F73">
            <w:pPr>
              <w:spacing w:after="0" w:line="240" w:lineRule="auto"/>
              <w:jc w:val="both"/>
              <w:rPr>
                <w:rFonts w:ascii="Times New Roman" w:hAnsi="Times New Roman" w:cs="Times New Roman"/>
                <w:noProof/>
                <w:sz w:val="18"/>
                <w:szCs w:val="18"/>
              </w:rPr>
            </w:pPr>
          </w:p>
          <w:p w14:paraId="22E456C7" w14:textId="77777777" w:rsidR="00EB23AC"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Smart sensors</w:t>
            </w:r>
            <w:r w:rsidR="00CA19B0" w:rsidRPr="006D0F17">
              <w:rPr>
                <w:rFonts w:ascii="Times New Roman" w:hAnsi="Times New Roman" w:cs="Times New Roman"/>
                <w:noProof/>
                <w:sz w:val="18"/>
                <w:szCs w:val="18"/>
              </w:rPr>
              <w:t>/</w:t>
            </w:r>
          </w:p>
          <w:p w14:paraId="6C47F934" w14:textId="1BD0589E" w:rsidR="000F72B9" w:rsidRPr="006D0F17" w:rsidRDefault="00CA19B0"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solutions</w:t>
            </w:r>
            <w:r w:rsidR="001766DA" w:rsidRPr="006D0F17">
              <w:rPr>
                <w:rFonts w:ascii="Times New Roman" w:hAnsi="Times New Roman" w:cs="Times New Roman"/>
                <w:noProof/>
                <w:sz w:val="18"/>
                <w:szCs w:val="18"/>
              </w:rPr>
              <w:t xml:space="preserve"> </w:t>
            </w:r>
            <w:r w:rsidR="000F72B9" w:rsidRPr="006D0F17">
              <w:rPr>
                <w:rFonts w:ascii="Times New Roman" w:hAnsi="Times New Roman" w:cs="Times New Roman"/>
                <w:noProof/>
                <w:sz w:val="18"/>
                <w:szCs w:val="18"/>
              </w:rPr>
              <w:t>connected: Number</w:t>
            </w:r>
          </w:p>
        </w:tc>
        <w:tc>
          <w:tcPr>
            <w:tcW w:w="1276" w:type="dxa"/>
            <w:shd w:val="clear" w:color="auto" w:fill="C1F0C7" w:themeFill="accent3" w:themeFillTint="33"/>
            <w:noWrap/>
          </w:tcPr>
          <w:p w14:paraId="20301EFA" w14:textId="77777777"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Mobile Applications: 0</w:t>
            </w:r>
          </w:p>
          <w:p w14:paraId="712123A0" w14:textId="77777777" w:rsidR="000F72B9" w:rsidRPr="006D0F17" w:rsidRDefault="000F72B9" w:rsidP="00061F73">
            <w:pPr>
              <w:spacing w:after="0" w:line="240" w:lineRule="auto"/>
              <w:jc w:val="both"/>
              <w:rPr>
                <w:rFonts w:ascii="Times New Roman" w:hAnsi="Times New Roman" w:cs="Times New Roman"/>
                <w:noProof/>
                <w:sz w:val="18"/>
                <w:szCs w:val="18"/>
              </w:rPr>
            </w:pPr>
          </w:p>
          <w:p w14:paraId="4BC004E9" w14:textId="77777777" w:rsid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Smart sensors/</w:t>
            </w:r>
          </w:p>
          <w:p w14:paraId="2BA86697" w14:textId="791836B8" w:rsidR="006D0F17" w:rsidRDefault="00EB23AC" w:rsidP="00061F73">
            <w:pPr>
              <w:spacing w:after="0" w:line="240" w:lineRule="auto"/>
              <w:jc w:val="both"/>
              <w:rPr>
                <w:rFonts w:ascii="Times New Roman" w:hAnsi="Times New Roman" w:cs="Times New Roman"/>
                <w:noProof/>
                <w:sz w:val="18"/>
                <w:szCs w:val="18"/>
              </w:rPr>
            </w:pPr>
            <w:r>
              <w:rPr>
                <w:rFonts w:ascii="Times New Roman" w:hAnsi="Times New Roman" w:cs="Times New Roman"/>
                <w:noProof/>
                <w:sz w:val="18"/>
                <w:szCs w:val="18"/>
              </w:rPr>
              <w:t>S</w:t>
            </w:r>
            <w:r w:rsidR="000F72B9" w:rsidRPr="006D0F17">
              <w:rPr>
                <w:rFonts w:ascii="Times New Roman" w:hAnsi="Times New Roman" w:cs="Times New Roman"/>
                <w:noProof/>
                <w:sz w:val="18"/>
                <w:szCs w:val="18"/>
              </w:rPr>
              <w:t>olutions</w:t>
            </w:r>
            <w:r w:rsidR="006D0F17">
              <w:rPr>
                <w:rFonts w:ascii="Times New Roman" w:hAnsi="Times New Roman" w:cs="Times New Roman"/>
                <w:noProof/>
                <w:sz w:val="18"/>
                <w:szCs w:val="18"/>
              </w:rPr>
              <w:t xml:space="preserve"> </w:t>
            </w:r>
            <w:r w:rsidR="000F72B9" w:rsidRPr="006D0F17">
              <w:rPr>
                <w:rFonts w:ascii="Times New Roman" w:hAnsi="Times New Roman" w:cs="Times New Roman"/>
                <w:noProof/>
                <w:sz w:val="18"/>
                <w:szCs w:val="18"/>
              </w:rPr>
              <w:t>delivered</w:t>
            </w:r>
            <w:r w:rsidR="000341E7" w:rsidRPr="006D0F17">
              <w:rPr>
                <w:rFonts w:ascii="Times New Roman" w:hAnsi="Times New Roman" w:cs="Times New Roman"/>
                <w:noProof/>
                <w:sz w:val="18"/>
                <w:szCs w:val="18"/>
              </w:rPr>
              <w:t>/</w:t>
            </w:r>
          </w:p>
          <w:p w14:paraId="1F60A3EB" w14:textId="17301BD5" w:rsidR="000F72B9" w:rsidRPr="006D0F17" w:rsidRDefault="000341E7"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installed</w:t>
            </w:r>
            <w:r w:rsidR="000F72B9" w:rsidRPr="006D0F17">
              <w:rPr>
                <w:rFonts w:ascii="Times New Roman" w:hAnsi="Times New Roman" w:cs="Times New Roman"/>
                <w:noProof/>
                <w:sz w:val="18"/>
                <w:szCs w:val="18"/>
              </w:rPr>
              <w:t>: 0</w:t>
            </w:r>
          </w:p>
          <w:p w14:paraId="70281FCF" w14:textId="77777777" w:rsidR="00EB23AC" w:rsidRPr="006D0F17" w:rsidRDefault="00EB23AC" w:rsidP="00061F73">
            <w:pPr>
              <w:spacing w:after="0" w:line="240" w:lineRule="auto"/>
              <w:jc w:val="both"/>
              <w:rPr>
                <w:rFonts w:ascii="Times New Roman" w:hAnsi="Times New Roman" w:cs="Times New Roman"/>
                <w:noProof/>
                <w:sz w:val="18"/>
                <w:szCs w:val="18"/>
              </w:rPr>
            </w:pPr>
          </w:p>
          <w:p w14:paraId="0E9D0A15" w14:textId="77777777" w:rsidR="005B736A" w:rsidRDefault="005B736A" w:rsidP="00061F73">
            <w:pPr>
              <w:spacing w:after="0" w:line="240" w:lineRule="auto"/>
              <w:jc w:val="both"/>
              <w:rPr>
                <w:rFonts w:ascii="Times New Roman" w:hAnsi="Times New Roman" w:cs="Times New Roman"/>
                <w:noProof/>
                <w:sz w:val="18"/>
                <w:szCs w:val="18"/>
              </w:rPr>
            </w:pPr>
          </w:p>
          <w:p w14:paraId="6AE45D6D" w14:textId="1D883D1C" w:rsid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Smart sensors/</w:t>
            </w:r>
          </w:p>
          <w:p w14:paraId="321AC166" w14:textId="767468C6"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solutions connected:0</w:t>
            </w:r>
          </w:p>
        </w:tc>
        <w:tc>
          <w:tcPr>
            <w:tcW w:w="1276" w:type="dxa"/>
            <w:shd w:val="clear" w:color="auto" w:fill="C1F0C7" w:themeFill="accent3" w:themeFillTint="33"/>
            <w:noWrap/>
          </w:tcPr>
          <w:p w14:paraId="477A3DF2" w14:textId="77777777"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Mobile Applications:3</w:t>
            </w:r>
          </w:p>
          <w:p w14:paraId="37A7493A" w14:textId="77777777" w:rsidR="000F72B9" w:rsidRPr="006D0F17" w:rsidRDefault="000F72B9" w:rsidP="00061F73">
            <w:pPr>
              <w:spacing w:after="0" w:line="240" w:lineRule="auto"/>
              <w:jc w:val="both"/>
              <w:rPr>
                <w:rFonts w:ascii="Times New Roman" w:hAnsi="Times New Roman" w:cs="Times New Roman"/>
                <w:noProof/>
                <w:sz w:val="18"/>
                <w:szCs w:val="18"/>
              </w:rPr>
            </w:pPr>
          </w:p>
          <w:p w14:paraId="665A86F5" w14:textId="77777777" w:rsidR="00EB23AC" w:rsidRDefault="00EB23AC" w:rsidP="00061F73">
            <w:pPr>
              <w:spacing w:after="0" w:line="240" w:lineRule="auto"/>
              <w:jc w:val="both"/>
              <w:rPr>
                <w:rFonts w:ascii="Times New Roman" w:hAnsi="Times New Roman" w:cs="Times New Roman"/>
                <w:noProof/>
                <w:sz w:val="18"/>
                <w:szCs w:val="18"/>
              </w:rPr>
            </w:pPr>
          </w:p>
          <w:p w14:paraId="27B10785" w14:textId="4861ADEF"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Smart sensors/</w:t>
            </w:r>
          </w:p>
          <w:p w14:paraId="5D982843" w14:textId="77777777" w:rsidR="00600EF8"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Solutions</w:t>
            </w:r>
            <w:r w:rsidR="00064579" w:rsidRPr="006D0F17">
              <w:rPr>
                <w:rFonts w:ascii="Times New Roman" w:hAnsi="Times New Roman" w:cs="Times New Roman"/>
                <w:noProof/>
                <w:sz w:val="18"/>
                <w:szCs w:val="18"/>
              </w:rPr>
              <w:t xml:space="preserve"> </w:t>
            </w:r>
            <w:r w:rsidRPr="006D0F17">
              <w:rPr>
                <w:rFonts w:ascii="Times New Roman" w:hAnsi="Times New Roman" w:cs="Times New Roman"/>
                <w:noProof/>
                <w:sz w:val="18"/>
                <w:szCs w:val="18"/>
              </w:rPr>
              <w:t>delivered</w:t>
            </w:r>
            <w:r w:rsidR="002A5382" w:rsidRPr="006D0F17">
              <w:rPr>
                <w:rFonts w:ascii="Times New Roman" w:hAnsi="Times New Roman" w:cs="Times New Roman"/>
                <w:noProof/>
                <w:sz w:val="18"/>
                <w:szCs w:val="18"/>
              </w:rPr>
              <w:t>/</w:t>
            </w:r>
          </w:p>
          <w:p w14:paraId="4D7A3DCD" w14:textId="314D862E" w:rsidR="000F72B9" w:rsidRPr="006D0F17" w:rsidRDefault="002A5382"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installed</w:t>
            </w:r>
            <w:r w:rsidR="000F72B9" w:rsidRPr="006D0F17">
              <w:rPr>
                <w:rFonts w:ascii="Times New Roman" w:hAnsi="Times New Roman" w:cs="Times New Roman"/>
                <w:noProof/>
                <w:sz w:val="18"/>
                <w:szCs w:val="18"/>
              </w:rPr>
              <w:t xml:space="preserve">: </w:t>
            </w:r>
          </w:p>
          <w:p w14:paraId="65A1BC0F" w14:textId="40879A56"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52</w:t>
            </w:r>
            <w:r w:rsidR="001766DA" w:rsidRPr="006D0F17">
              <w:rPr>
                <w:rFonts w:ascii="Times New Roman" w:hAnsi="Times New Roman" w:cs="Times New Roman"/>
                <w:noProof/>
                <w:sz w:val="18"/>
                <w:szCs w:val="18"/>
              </w:rPr>
              <w:t> </w:t>
            </w:r>
            <w:r w:rsidRPr="006D0F17">
              <w:rPr>
                <w:rFonts w:ascii="Times New Roman" w:hAnsi="Times New Roman" w:cs="Times New Roman"/>
                <w:noProof/>
                <w:sz w:val="18"/>
                <w:szCs w:val="18"/>
              </w:rPr>
              <w:t>700</w:t>
            </w:r>
          </w:p>
          <w:p w14:paraId="5270B1CC" w14:textId="191C817E" w:rsidR="00EB23AC" w:rsidRDefault="00EB23AC" w:rsidP="00061F73">
            <w:pPr>
              <w:spacing w:after="0" w:line="240" w:lineRule="auto"/>
              <w:jc w:val="both"/>
              <w:rPr>
                <w:rFonts w:ascii="Times New Roman" w:hAnsi="Times New Roman" w:cs="Times New Roman"/>
                <w:noProof/>
                <w:sz w:val="18"/>
                <w:szCs w:val="18"/>
              </w:rPr>
            </w:pPr>
          </w:p>
          <w:p w14:paraId="08B87C72" w14:textId="39176B00"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Smart sensors/</w:t>
            </w:r>
          </w:p>
          <w:p w14:paraId="288AD198" w14:textId="05FA8326"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solutions connected:</w:t>
            </w:r>
          </w:p>
          <w:p w14:paraId="70978630" w14:textId="7156F92C" w:rsidR="000F72B9" w:rsidRPr="006D0F17" w:rsidRDefault="000F72B9" w:rsidP="00061F73">
            <w:pPr>
              <w:spacing w:after="0" w:line="240" w:lineRule="auto"/>
              <w:jc w:val="both"/>
              <w:rPr>
                <w:rFonts w:ascii="Times New Roman" w:hAnsi="Times New Roman" w:cs="Times New Roman"/>
                <w:noProof/>
                <w:sz w:val="18"/>
                <w:szCs w:val="18"/>
              </w:rPr>
            </w:pPr>
            <w:r w:rsidRPr="006D0F17">
              <w:rPr>
                <w:rFonts w:ascii="Times New Roman" w:hAnsi="Times New Roman" w:cs="Times New Roman"/>
                <w:noProof/>
                <w:sz w:val="18"/>
                <w:szCs w:val="18"/>
              </w:rPr>
              <w:t>45</w:t>
            </w:r>
            <w:r w:rsidR="001766DA" w:rsidRPr="006D0F17">
              <w:rPr>
                <w:rFonts w:ascii="Times New Roman" w:hAnsi="Times New Roman" w:cs="Times New Roman"/>
                <w:noProof/>
                <w:sz w:val="18"/>
                <w:szCs w:val="18"/>
              </w:rPr>
              <w:t> </w:t>
            </w:r>
            <w:r w:rsidRPr="006D0F17">
              <w:rPr>
                <w:rFonts w:ascii="Times New Roman" w:hAnsi="Times New Roman" w:cs="Times New Roman"/>
                <w:noProof/>
                <w:sz w:val="18"/>
                <w:szCs w:val="18"/>
              </w:rPr>
              <w:t>000</w:t>
            </w:r>
          </w:p>
        </w:tc>
        <w:tc>
          <w:tcPr>
            <w:tcW w:w="904" w:type="dxa"/>
            <w:shd w:val="clear" w:color="auto" w:fill="C1F0C7" w:themeFill="accent3" w:themeFillTint="33"/>
            <w:noWrap/>
          </w:tcPr>
          <w:p w14:paraId="0003D4B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Q2</w:t>
            </w:r>
          </w:p>
        </w:tc>
        <w:tc>
          <w:tcPr>
            <w:tcW w:w="678" w:type="dxa"/>
            <w:shd w:val="clear" w:color="auto" w:fill="C1F0C7" w:themeFill="accent3" w:themeFillTint="33"/>
            <w:noWrap/>
          </w:tcPr>
          <w:p w14:paraId="2E03BB3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2026</w:t>
            </w:r>
          </w:p>
        </w:tc>
        <w:tc>
          <w:tcPr>
            <w:tcW w:w="3044" w:type="dxa"/>
            <w:shd w:val="clear" w:color="auto" w:fill="C1F0C7" w:themeFill="accent3" w:themeFillTint="33"/>
            <w:noWrap/>
          </w:tcPr>
          <w:p w14:paraId="6031B479" w14:textId="1E13A4B6"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Acceptance certificates for the three mobile applications (one application for the citizens for parking, one for parking enforcement officers, and one for waste collectors). The applications</w:t>
            </w:r>
            <w:r w:rsidR="00064579" w:rsidRPr="001766DA">
              <w:rPr>
                <w:rFonts w:ascii="Times New Roman" w:hAnsi="Times New Roman" w:cs="Times New Roman"/>
                <w:noProof/>
                <w:sz w:val="18"/>
                <w:szCs w:val="18"/>
              </w:rPr>
              <w:t xml:space="preserve"> </w:t>
            </w:r>
            <w:r w:rsidRPr="001766DA">
              <w:rPr>
                <w:rFonts w:ascii="Times New Roman" w:hAnsi="Times New Roman" w:cs="Times New Roman"/>
                <w:noProof/>
                <w:sz w:val="18"/>
                <w:szCs w:val="18"/>
              </w:rPr>
              <w:t>shall be</w:t>
            </w:r>
            <w:r w:rsidR="00064579" w:rsidRPr="001766DA">
              <w:rPr>
                <w:rFonts w:ascii="Times New Roman" w:hAnsi="Times New Roman" w:cs="Times New Roman"/>
                <w:noProof/>
                <w:sz w:val="18"/>
                <w:szCs w:val="18"/>
              </w:rPr>
              <w:t xml:space="preserve"> </w:t>
            </w:r>
            <w:r w:rsidRPr="001766DA">
              <w:rPr>
                <w:rStyle w:val="cf01"/>
                <w:rFonts w:ascii="Times New Roman" w:hAnsi="Times New Roman" w:cs="Times New Roman"/>
                <w:noProof/>
              </w:rPr>
              <w:t>downloadable as production ready application files from a website.</w:t>
            </w:r>
            <w:r w:rsidR="00064579" w:rsidRPr="001766DA">
              <w:rPr>
                <w:rStyle w:val="cf01"/>
                <w:rFonts w:ascii="Times New Roman" w:hAnsi="Times New Roman" w:cs="Times New Roman"/>
                <w:noProof/>
              </w:rPr>
              <w:t xml:space="preserve"> </w:t>
            </w:r>
          </w:p>
          <w:p w14:paraId="6DE573E9" w14:textId="66943F3F"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52</w:t>
            </w:r>
            <w:r w:rsidR="001766DA" w:rsidRPr="001766DA">
              <w:rPr>
                <w:rFonts w:ascii="Times New Roman" w:hAnsi="Times New Roman" w:cs="Times New Roman"/>
                <w:noProof/>
                <w:sz w:val="18"/>
                <w:szCs w:val="18"/>
              </w:rPr>
              <w:t> </w:t>
            </w:r>
            <w:r w:rsidRPr="001766DA">
              <w:rPr>
                <w:rFonts w:ascii="Times New Roman" w:hAnsi="Times New Roman" w:cs="Times New Roman"/>
                <w:noProof/>
                <w:sz w:val="18"/>
                <w:szCs w:val="18"/>
              </w:rPr>
              <w:t>700 smart sensors</w:t>
            </w:r>
            <w:r w:rsidR="00234668" w:rsidRPr="001766DA">
              <w:rPr>
                <w:rFonts w:ascii="Times New Roman" w:hAnsi="Times New Roman" w:cs="Times New Roman"/>
                <w:noProof/>
                <w:sz w:val="18"/>
                <w:szCs w:val="18"/>
              </w:rPr>
              <w:t xml:space="preserve"> or </w:t>
            </w:r>
            <w:r w:rsidRPr="001766DA">
              <w:rPr>
                <w:rFonts w:ascii="Times New Roman" w:hAnsi="Times New Roman" w:cs="Times New Roman"/>
                <w:noProof/>
                <w:sz w:val="18"/>
                <w:szCs w:val="18"/>
              </w:rPr>
              <w:t>solutions are delivered</w:t>
            </w:r>
            <w:r w:rsidR="00234668" w:rsidRPr="001766DA">
              <w:rPr>
                <w:rFonts w:ascii="Times New Roman" w:hAnsi="Times New Roman" w:cs="Times New Roman"/>
                <w:noProof/>
                <w:sz w:val="18"/>
                <w:szCs w:val="18"/>
              </w:rPr>
              <w:t xml:space="preserve"> or </w:t>
            </w:r>
            <w:r w:rsidR="007048B8" w:rsidRPr="001766DA">
              <w:rPr>
                <w:rFonts w:ascii="Times New Roman" w:hAnsi="Times New Roman" w:cs="Times New Roman"/>
                <w:noProof/>
                <w:sz w:val="18"/>
                <w:szCs w:val="18"/>
              </w:rPr>
              <w:t>installed</w:t>
            </w:r>
            <w:r w:rsidRPr="001766DA">
              <w:rPr>
                <w:rFonts w:ascii="Times New Roman" w:hAnsi="Times New Roman" w:cs="Times New Roman"/>
                <w:noProof/>
                <w:sz w:val="18"/>
                <w:szCs w:val="18"/>
              </w:rPr>
              <w:t xml:space="preserve"> to municipalities or the Deputy Ministry of Research Innovation and Digital Policy. 45 000 of these smart sensors or solutions shall be connected to the smart cities’ platform.</w:t>
            </w:r>
          </w:p>
          <w:p w14:paraId="169CB406" w14:textId="77777777" w:rsidR="000F72B9" w:rsidRPr="001766DA" w:rsidRDefault="000F72B9" w:rsidP="00061F73">
            <w:pPr>
              <w:spacing w:after="0" w:line="240" w:lineRule="auto"/>
              <w:jc w:val="both"/>
              <w:rPr>
                <w:rFonts w:ascii="Times New Roman" w:hAnsi="Times New Roman" w:cs="Times New Roman"/>
                <w:noProof/>
                <w:sz w:val="18"/>
                <w:szCs w:val="18"/>
              </w:rPr>
            </w:pPr>
          </w:p>
        </w:tc>
      </w:tr>
      <w:tr w:rsidR="005B736A" w:rsidRPr="001766DA" w14:paraId="33113275" w14:textId="77777777" w:rsidTr="00061F73">
        <w:trPr>
          <w:trHeight w:val="309"/>
          <w:jc w:val="center"/>
        </w:trPr>
        <w:tc>
          <w:tcPr>
            <w:tcW w:w="1084" w:type="dxa"/>
            <w:shd w:val="clear" w:color="auto" w:fill="C1F0C7" w:themeFill="accent3" w:themeFillTint="33"/>
            <w:noWrap/>
          </w:tcPr>
          <w:p w14:paraId="320A641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178</w:t>
            </w:r>
          </w:p>
        </w:tc>
        <w:tc>
          <w:tcPr>
            <w:tcW w:w="1463" w:type="dxa"/>
            <w:shd w:val="clear" w:color="auto" w:fill="C1F0C7" w:themeFill="accent3" w:themeFillTint="33"/>
            <w:noWrap/>
          </w:tcPr>
          <w:p w14:paraId="53AE52B8"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C3.4I6a</w:t>
            </w:r>
          </w:p>
          <w:p w14:paraId="61A8358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Regeneration and Revitalisation of Nicosia Inner City </w:t>
            </w:r>
          </w:p>
        </w:tc>
        <w:tc>
          <w:tcPr>
            <w:tcW w:w="1134" w:type="dxa"/>
            <w:shd w:val="clear" w:color="auto" w:fill="C1F0C7" w:themeFill="accent3" w:themeFillTint="33"/>
            <w:noWrap/>
          </w:tcPr>
          <w:p w14:paraId="0D1B8B30"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Target</w:t>
            </w:r>
          </w:p>
        </w:tc>
        <w:tc>
          <w:tcPr>
            <w:tcW w:w="1276" w:type="dxa"/>
            <w:shd w:val="clear" w:color="auto" w:fill="C1F0C7" w:themeFill="accent3" w:themeFillTint="33"/>
            <w:noWrap/>
          </w:tcPr>
          <w:p w14:paraId="74B77AEA" w14:textId="0DDE4188"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Renovation of</w:t>
            </w:r>
            <w:r w:rsidR="00064579" w:rsidRPr="001766DA">
              <w:rPr>
                <w:rFonts w:ascii="Times New Roman" w:hAnsi="Times New Roman" w:cs="Times New Roman"/>
                <w:noProof/>
                <w:sz w:val="18"/>
                <w:szCs w:val="18"/>
              </w:rPr>
              <w:t xml:space="preserve"> </w:t>
            </w:r>
            <w:r w:rsidRPr="001766DA">
              <w:rPr>
                <w:rFonts w:ascii="Times New Roman" w:hAnsi="Times New Roman" w:cs="Times New Roman"/>
                <w:noProof/>
                <w:sz w:val="18"/>
                <w:szCs w:val="18"/>
              </w:rPr>
              <w:t>rooms in Nicosia. </w:t>
            </w:r>
          </w:p>
        </w:tc>
        <w:tc>
          <w:tcPr>
            <w:tcW w:w="1559" w:type="dxa"/>
            <w:shd w:val="clear" w:color="auto" w:fill="C1F0C7" w:themeFill="accent3" w:themeFillTint="33"/>
            <w:noWrap/>
          </w:tcPr>
          <w:p w14:paraId="3DF351FA"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 </w:t>
            </w:r>
          </w:p>
        </w:tc>
        <w:tc>
          <w:tcPr>
            <w:tcW w:w="1417" w:type="dxa"/>
            <w:shd w:val="clear" w:color="auto" w:fill="C1F0C7" w:themeFill="accent3" w:themeFillTint="33"/>
            <w:noWrap/>
          </w:tcPr>
          <w:p w14:paraId="3A9CBE1C"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Number</w:t>
            </w:r>
          </w:p>
        </w:tc>
        <w:tc>
          <w:tcPr>
            <w:tcW w:w="1276" w:type="dxa"/>
            <w:shd w:val="clear" w:color="auto" w:fill="C1F0C7" w:themeFill="accent3" w:themeFillTint="33"/>
            <w:noWrap/>
          </w:tcPr>
          <w:p w14:paraId="2A360D4B"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0</w:t>
            </w:r>
          </w:p>
        </w:tc>
        <w:tc>
          <w:tcPr>
            <w:tcW w:w="1276" w:type="dxa"/>
            <w:shd w:val="clear" w:color="auto" w:fill="C1F0C7" w:themeFill="accent3" w:themeFillTint="33"/>
            <w:noWrap/>
          </w:tcPr>
          <w:p w14:paraId="76A8B6E8" w14:textId="4C85FED5"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286</w:t>
            </w:r>
          </w:p>
        </w:tc>
        <w:tc>
          <w:tcPr>
            <w:tcW w:w="904" w:type="dxa"/>
            <w:shd w:val="clear" w:color="auto" w:fill="C1F0C7" w:themeFill="accent3" w:themeFillTint="33"/>
            <w:noWrap/>
          </w:tcPr>
          <w:p w14:paraId="417DD91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Q2</w:t>
            </w:r>
          </w:p>
        </w:tc>
        <w:tc>
          <w:tcPr>
            <w:tcW w:w="678" w:type="dxa"/>
            <w:shd w:val="clear" w:color="auto" w:fill="C1F0C7" w:themeFill="accent3" w:themeFillTint="33"/>
            <w:noWrap/>
          </w:tcPr>
          <w:p w14:paraId="13FF310A"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2026</w:t>
            </w:r>
          </w:p>
        </w:tc>
        <w:tc>
          <w:tcPr>
            <w:tcW w:w="3044" w:type="dxa"/>
            <w:shd w:val="clear" w:color="auto" w:fill="C1F0C7" w:themeFill="accent3" w:themeFillTint="33"/>
            <w:noWrap/>
          </w:tcPr>
          <w:p w14:paraId="4008F7A4" w14:textId="25735C72"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Taking-over </w:t>
            </w:r>
            <w:r w:rsidRPr="001766DA" w:rsidDel="77DB6524">
              <w:rPr>
                <w:rFonts w:ascii="Times New Roman" w:hAnsi="Times New Roman" w:cs="Times New Roman"/>
                <w:noProof/>
                <w:sz w:val="18"/>
                <w:szCs w:val="18"/>
              </w:rPr>
              <w:t>reports</w:t>
            </w:r>
            <w:r w:rsidRPr="001766DA">
              <w:rPr>
                <w:rFonts w:ascii="Times New Roman" w:hAnsi="Times New Roman" w:cs="Times New Roman"/>
                <w:noProof/>
                <w:sz w:val="18"/>
                <w:szCs w:val="18"/>
              </w:rPr>
              <w:t xml:space="preserve"> issued by the Supervising Engineer or Architect for the private sector incentives scheme / taking-over certificates issued by the Supervising Engineer of the contracting Authority (Nicosia Municipality), certifying that renovation works have been carried out for at least 286 rooms in Nicosia.</w:t>
            </w:r>
          </w:p>
        </w:tc>
      </w:tr>
      <w:tr w:rsidR="005B736A" w:rsidRPr="001766DA" w14:paraId="05288115" w14:textId="77777777" w:rsidTr="00061F73">
        <w:trPr>
          <w:trHeight w:val="309"/>
          <w:jc w:val="center"/>
        </w:trPr>
        <w:tc>
          <w:tcPr>
            <w:tcW w:w="1084" w:type="dxa"/>
            <w:shd w:val="clear" w:color="auto" w:fill="C1F0C7" w:themeFill="accent3" w:themeFillTint="33"/>
            <w:noWrap/>
            <w:hideMark/>
          </w:tcPr>
          <w:p w14:paraId="35C9913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180</w:t>
            </w:r>
          </w:p>
        </w:tc>
        <w:tc>
          <w:tcPr>
            <w:tcW w:w="1463" w:type="dxa"/>
            <w:shd w:val="clear" w:color="auto" w:fill="C1F0C7" w:themeFill="accent3" w:themeFillTint="33"/>
            <w:noWrap/>
            <w:hideMark/>
          </w:tcPr>
          <w:p w14:paraId="10D4B53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C3.4R8</w:t>
            </w:r>
          </w:p>
          <w:p w14:paraId="4B3998DC"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Efficiency of Justice</w:t>
            </w:r>
          </w:p>
        </w:tc>
        <w:tc>
          <w:tcPr>
            <w:tcW w:w="1134" w:type="dxa"/>
            <w:shd w:val="clear" w:color="auto" w:fill="C1F0C7" w:themeFill="accent3" w:themeFillTint="33"/>
            <w:noWrap/>
            <w:hideMark/>
          </w:tcPr>
          <w:p w14:paraId="7BAA167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hideMark/>
          </w:tcPr>
          <w:p w14:paraId="472DF98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Entry into force of new Rules of Civil Procedure</w:t>
            </w:r>
          </w:p>
        </w:tc>
        <w:tc>
          <w:tcPr>
            <w:tcW w:w="1559" w:type="dxa"/>
            <w:shd w:val="clear" w:color="auto" w:fill="C1F0C7" w:themeFill="accent3" w:themeFillTint="33"/>
            <w:noWrap/>
            <w:hideMark/>
          </w:tcPr>
          <w:p w14:paraId="64531879" w14:textId="77777777" w:rsidR="005B736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Provision in new Rules of Civil Procedure (published in the Official Gazette) indicating the entry into force of the Rules of procedures (1</w:t>
            </w:r>
            <w:r w:rsidR="00EB23AC">
              <w:rPr>
                <w:rFonts w:ascii="Times New Roman" w:hAnsi="Times New Roman" w:cs="Times New Roman"/>
                <w:noProof/>
                <w:sz w:val="18"/>
                <w:szCs w:val="18"/>
              </w:rPr>
              <w:t> </w:t>
            </w:r>
            <w:r w:rsidRPr="001766DA">
              <w:rPr>
                <w:rFonts w:ascii="Times New Roman" w:hAnsi="Times New Roman" w:cs="Times New Roman"/>
                <w:noProof/>
                <w:sz w:val="18"/>
                <w:szCs w:val="18"/>
              </w:rPr>
              <w:t>September</w:t>
            </w:r>
          </w:p>
          <w:p w14:paraId="49CA7F64" w14:textId="28085FE2"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2023)</w:t>
            </w:r>
            <w:r w:rsidR="00064579" w:rsidRPr="001766DA">
              <w:rPr>
                <w:rFonts w:ascii="Times New Roman" w:hAnsi="Times New Roman" w:cs="Times New Roman"/>
                <w:noProof/>
                <w:sz w:val="18"/>
                <w:szCs w:val="18"/>
              </w:rPr>
              <w:t xml:space="preserve"> </w:t>
            </w:r>
          </w:p>
        </w:tc>
        <w:tc>
          <w:tcPr>
            <w:tcW w:w="1417" w:type="dxa"/>
            <w:shd w:val="clear" w:color="auto" w:fill="C1F0C7" w:themeFill="accent3" w:themeFillTint="33"/>
            <w:noWrap/>
            <w:hideMark/>
          </w:tcPr>
          <w:p w14:paraId="788606E0"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hideMark/>
          </w:tcPr>
          <w:p w14:paraId="48C2C0A0"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hideMark/>
          </w:tcPr>
          <w:p w14:paraId="7264A0B3"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hideMark/>
          </w:tcPr>
          <w:p w14:paraId="1975E66B"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Q3</w:t>
            </w:r>
          </w:p>
        </w:tc>
        <w:tc>
          <w:tcPr>
            <w:tcW w:w="678" w:type="dxa"/>
            <w:shd w:val="clear" w:color="auto" w:fill="C1F0C7" w:themeFill="accent3" w:themeFillTint="33"/>
            <w:noWrap/>
            <w:hideMark/>
          </w:tcPr>
          <w:p w14:paraId="5B156638"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2023</w:t>
            </w:r>
          </w:p>
        </w:tc>
        <w:tc>
          <w:tcPr>
            <w:tcW w:w="3044" w:type="dxa"/>
            <w:shd w:val="clear" w:color="auto" w:fill="C1F0C7" w:themeFill="accent3" w:themeFillTint="33"/>
            <w:noWrap/>
            <w:hideMark/>
          </w:tcPr>
          <w:p w14:paraId="5EFF59E5"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Entry into force of the new Rules of Civil Procedure for the new cases submitted to the court as from 1 September 2023. The new Rules of Civil Procedure shall modernise the hearing of cases in order to deliver a less costly, more accessible, and timelier service to parties. </w:t>
            </w:r>
          </w:p>
        </w:tc>
      </w:tr>
      <w:tr w:rsidR="005B736A" w:rsidRPr="001766DA" w14:paraId="6B786182" w14:textId="77777777" w:rsidTr="00061F73">
        <w:trPr>
          <w:trHeight w:val="309"/>
          <w:jc w:val="center"/>
        </w:trPr>
        <w:tc>
          <w:tcPr>
            <w:tcW w:w="1084" w:type="dxa"/>
            <w:shd w:val="clear" w:color="auto" w:fill="C1F0C7" w:themeFill="accent3" w:themeFillTint="33"/>
            <w:noWrap/>
            <w:hideMark/>
          </w:tcPr>
          <w:p w14:paraId="7DECC2C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181</w:t>
            </w:r>
          </w:p>
        </w:tc>
        <w:tc>
          <w:tcPr>
            <w:tcW w:w="1463" w:type="dxa"/>
            <w:shd w:val="clear" w:color="auto" w:fill="C1F0C7" w:themeFill="accent3" w:themeFillTint="33"/>
            <w:noWrap/>
            <w:hideMark/>
          </w:tcPr>
          <w:p w14:paraId="7EF8C59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C3.4R8</w:t>
            </w:r>
          </w:p>
          <w:p w14:paraId="28C25EAC"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Efficiency of Justice</w:t>
            </w:r>
          </w:p>
        </w:tc>
        <w:tc>
          <w:tcPr>
            <w:tcW w:w="1134" w:type="dxa"/>
            <w:shd w:val="clear" w:color="auto" w:fill="C1F0C7" w:themeFill="accent3" w:themeFillTint="33"/>
            <w:noWrap/>
            <w:hideMark/>
          </w:tcPr>
          <w:p w14:paraId="43B6B45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Target</w:t>
            </w:r>
          </w:p>
        </w:tc>
        <w:tc>
          <w:tcPr>
            <w:tcW w:w="1276" w:type="dxa"/>
            <w:shd w:val="clear" w:color="auto" w:fill="C1F0C7" w:themeFill="accent3" w:themeFillTint="33"/>
            <w:noWrap/>
            <w:hideMark/>
          </w:tcPr>
          <w:p w14:paraId="53314ED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Reducing the backlog of cases and appeals</w:t>
            </w:r>
          </w:p>
        </w:tc>
        <w:tc>
          <w:tcPr>
            <w:tcW w:w="1559" w:type="dxa"/>
            <w:shd w:val="clear" w:color="auto" w:fill="C1F0C7" w:themeFill="accent3" w:themeFillTint="33"/>
            <w:noWrap/>
            <w:hideMark/>
          </w:tcPr>
          <w:p w14:paraId="25AB454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417" w:type="dxa"/>
            <w:shd w:val="clear" w:color="auto" w:fill="C1F0C7" w:themeFill="accent3" w:themeFillTint="33"/>
            <w:noWrap/>
            <w:hideMark/>
          </w:tcPr>
          <w:p w14:paraId="368DC28F"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 (Percentage)</w:t>
            </w:r>
          </w:p>
        </w:tc>
        <w:tc>
          <w:tcPr>
            <w:tcW w:w="1276" w:type="dxa"/>
            <w:shd w:val="clear" w:color="auto" w:fill="C1F0C7" w:themeFill="accent3" w:themeFillTint="33"/>
            <w:noWrap/>
            <w:hideMark/>
          </w:tcPr>
          <w:p w14:paraId="776DB4E6"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0</w:t>
            </w:r>
          </w:p>
        </w:tc>
        <w:tc>
          <w:tcPr>
            <w:tcW w:w="1276" w:type="dxa"/>
            <w:shd w:val="clear" w:color="auto" w:fill="C1F0C7" w:themeFill="accent3" w:themeFillTint="33"/>
            <w:noWrap/>
            <w:hideMark/>
          </w:tcPr>
          <w:p w14:paraId="46C1CA4C"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40</w:t>
            </w:r>
          </w:p>
        </w:tc>
        <w:tc>
          <w:tcPr>
            <w:tcW w:w="904" w:type="dxa"/>
            <w:shd w:val="clear" w:color="auto" w:fill="C1F0C7" w:themeFill="accent3" w:themeFillTint="33"/>
            <w:noWrap/>
            <w:hideMark/>
          </w:tcPr>
          <w:p w14:paraId="137AB16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Q2</w:t>
            </w:r>
          </w:p>
        </w:tc>
        <w:tc>
          <w:tcPr>
            <w:tcW w:w="678" w:type="dxa"/>
            <w:shd w:val="clear" w:color="auto" w:fill="C1F0C7" w:themeFill="accent3" w:themeFillTint="33"/>
            <w:noWrap/>
            <w:hideMark/>
          </w:tcPr>
          <w:p w14:paraId="64F5B16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2024</w:t>
            </w:r>
          </w:p>
        </w:tc>
        <w:tc>
          <w:tcPr>
            <w:tcW w:w="3044" w:type="dxa"/>
            <w:shd w:val="clear" w:color="auto" w:fill="C1F0C7" w:themeFill="accent3" w:themeFillTint="33"/>
            <w:noWrap/>
            <w:hideMark/>
          </w:tcPr>
          <w:p w14:paraId="40A3EAED"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Reduction of the backlog of cases and appeals pending for over two years before the District Courts and the Supreme Court by 40% from the 31 December 2020 level </w:t>
            </w:r>
            <w:r w:rsidRPr="001766DA">
              <w:rPr>
                <w:rFonts w:ascii="Times New Roman" w:eastAsia="Times New Roman" w:hAnsi="Times New Roman" w:cs="Times New Roman"/>
                <w:noProof/>
                <w:sz w:val="18"/>
                <w:szCs w:val="18"/>
              </w:rPr>
              <w:t>of 16 740 pending civil cases and 2 139 pending civil and administrative appeals</w:t>
            </w:r>
            <w:r w:rsidRPr="001766DA">
              <w:rPr>
                <w:rFonts w:ascii="Times New Roman" w:hAnsi="Times New Roman" w:cs="Times New Roman"/>
                <w:noProof/>
                <w:sz w:val="18"/>
                <w:szCs w:val="18"/>
              </w:rPr>
              <w:t xml:space="preserve">, as verified by an Annual Progress Report of the Action Plan to reduce backlog. </w:t>
            </w:r>
          </w:p>
        </w:tc>
      </w:tr>
      <w:tr w:rsidR="005B736A" w:rsidRPr="001766DA" w14:paraId="5E6C9538" w14:textId="77777777" w:rsidTr="00061F73">
        <w:trPr>
          <w:trHeight w:val="309"/>
          <w:jc w:val="center"/>
        </w:trPr>
        <w:tc>
          <w:tcPr>
            <w:tcW w:w="1084" w:type="dxa"/>
            <w:shd w:val="clear" w:color="auto" w:fill="C1F0C7" w:themeFill="accent3" w:themeFillTint="33"/>
            <w:noWrap/>
            <w:hideMark/>
          </w:tcPr>
          <w:p w14:paraId="0441A92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 183</w:t>
            </w:r>
          </w:p>
        </w:tc>
        <w:tc>
          <w:tcPr>
            <w:tcW w:w="1463" w:type="dxa"/>
            <w:shd w:val="clear" w:color="auto" w:fill="C1F0C7" w:themeFill="accent3" w:themeFillTint="33"/>
            <w:noWrap/>
            <w:hideMark/>
          </w:tcPr>
          <w:p w14:paraId="6602C01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C3.4R9</w:t>
            </w:r>
          </w:p>
          <w:p w14:paraId="12900F6B"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Digital transformation of courts</w:t>
            </w:r>
          </w:p>
        </w:tc>
        <w:tc>
          <w:tcPr>
            <w:tcW w:w="1134" w:type="dxa"/>
            <w:shd w:val="clear" w:color="auto" w:fill="C1F0C7" w:themeFill="accent3" w:themeFillTint="33"/>
            <w:noWrap/>
            <w:hideMark/>
          </w:tcPr>
          <w:p w14:paraId="3BAC464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hideMark/>
          </w:tcPr>
          <w:p w14:paraId="5B10D36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i-justice system</w:t>
            </w:r>
          </w:p>
        </w:tc>
        <w:tc>
          <w:tcPr>
            <w:tcW w:w="1559" w:type="dxa"/>
            <w:shd w:val="clear" w:color="auto" w:fill="C1F0C7" w:themeFill="accent3" w:themeFillTint="33"/>
            <w:noWrap/>
            <w:hideMark/>
          </w:tcPr>
          <w:p w14:paraId="2F8C014C" w14:textId="6A7FB953"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Temporary</w:t>
            </w:r>
            <w:r w:rsidR="00064579" w:rsidRPr="001766DA">
              <w:rPr>
                <w:rFonts w:ascii="Times New Roman" w:hAnsi="Times New Roman" w:cs="Times New Roman"/>
                <w:noProof/>
                <w:sz w:val="18"/>
                <w:szCs w:val="18"/>
              </w:rPr>
              <w:t xml:space="preserve"> </w:t>
            </w:r>
            <w:r w:rsidRPr="001766DA">
              <w:rPr>
                <w:rFonts w:ascii="Times New Roman" w:eastAsia="Times New Roman" w:hAnsi="Times New Roman" w:cs="Times New Roman"/>
                <w:noProof/>
                <w:color w:val="000000" w:themeColor="text1"/>
                <w:sz w:val="18"/>
                <w:szCs w:val="18"/>
              </w:rPr>
              <w:t>acceptance certificate</w:t>
            </w:r>
            <w:r w:rsidRPr="001766DA">
              <w:rPr>
                <w:rFonts w:ascii="Times New Roman" w:hAnsi="Times New Roman" w:cs="Times New Roman"/>
                <w:noProof/>
                <w:sz w:val="18"/>
                <w:szCs w:val="18"/>
              </w:rPr>
              <w:t xml:space="preserve"> and Phase One (Pilot Stage) of the i-justice system accessible through the court’s website</w:t>
            </w:r>
          </w:p>
        </w:tc>
        <w:tc>
          <w:tcPr>
            <w:tcW w:w="1417" w:type="dxa"/>
            <w:shd w:val="clear" w:color="auto" w:fill="C1F0C7" w:themeFill="accent3" w:themeFillTint="33"/>
            <w:noWrap/>
            <w:hideMark/>
          </w:tcPr>
          <w:p w14:paraId="291A8E63" w14:textId="1EBAAE31"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hideMark/>
          </w:tcPr>
          <w:p w14:paraId="7AD53444" w14:textId="7AB9458B"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hideMark/>
          </w:tcPr>
          <w:p w14:paraId="60431FC5" w14:textId="30ADEB18"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hideMark/>
          </w:tcPr>
          <w:p w14:paraId="0A26A73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Q2</w:t>
            </w:r>
          </w:p>
        </w:tc>
        <w:tc>
          <w:tcPr>
            <w:tcW w:w="678" w:type="dxa"/>
            <w:shd w:val="clear" w:color="auto" w:fill="C1F0C7" w:themeFill="accent3" w:themeFillTint="33"/>
            <w:noWrap/>
            <w:hideMark/>
          </w:tcPr>
          <w:p w14:paraId="07E9392E"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2026</w:t>
            </w:r>
          </w:p>
        </w:tc>
        <w:tc>
          <w:tcPr>
            <w:tcW w:w="3044" w:type="dxa"/>
            <w:shd w:val="clear" w:color="auto" w:fill="C1F0C7" w:themeFill="accent3" w:themeFillTint="33"/>
            <w:noWrap/>
            <w:hideMark/>
          </w:tcPr>
          <w:p w14:paraId="19435189" w14:textId="2ED3FB59" w:rsidR="000F72B9" w:rsidRPr="001766DA" w:rsidRDefault="000F72B9" w:rsidP="00061F73">
            <w:pPr>
              <w:spacing w:after="0" w:line="240" w:lineRule="auto"/>
              <w:jc w:val="both"/>
              <w:rPr>
                <w:rFonts w:ascii="Times New Roman" w:hAnsi="Times New Roman" w:cs="Times New Roman"/>
                <w:noProof/>
                <w:color w:val="000000" w:themeColor="text1"/>
                <w:sz w:val="18"/>
                <w:szCs w:val="18"/>
              </w:rPr>
            </w:pPr>
            <w:r w:rsidRPr="001766DA">
              <w:rPr>
                <w:rFonts w:ascii="Times New Roman" w:eastAsia="Times New Roman" w:hAnsi="Times New Roman" w:cs="Times New Roman"/>
                <w:noProof/>
                <w:color w:val="000000" w:themeColor="text1"/>
                <w:sz w:val="18"/>
                <w:szCs w:val="18"/>
              </w:rPr>
              <w:t xml:space="preserve">Issuance of the temporary acceptance certificate of Phase One of i-Justice System and commencement of Pilot Stage of Phase One of i-Justice System, which is accessible through the court’s website. It shall </w:t>
            </w:r>
            <w:r w:rsidRPr="001766DA">
              <w:rPr>
                <w:rFonts w:ascii="Times New Roman" w:hAnsi="Times New Roman" w:cs="Times New Roman"/>
                <w:noProof/>
                <w:color w:val="000000" w:themeColor="text1"/>
                <w:sz w:val="18"/>
                <w:szCs w:val="18"/>
              </w:rPr>
              <w:t xml:space="preserve">introduce functionalities, for example: digital case filing and payment, case categorisation, case searching, document production and management, tracking and monitoring system(s) for cases, managing allocations of cases to hearing, execution and management of judgements, case closing and evidence management. </w:t>
            </w:r>
          </w:p>
          <w:p w14:paraId="469BB49C" w14:textId="77777777" w:rsidR="000F72B9" w:rsidRPr="001766DA" w:rsidRDefault="000F72B9" w:rsidP="00061F73">
            <w:pPr>
              <w:spacing w:after="0" w:line="240" w:lineRule="auto"/>
              <w:jc w:val="both"/>
              <w:rPr>
                <w:rFonts w:ascii="Times New Roman" w:hAnsi="Times New Roman" w:cs="Times New Roman"/>
                <w:noProof/>
                <w:sz w:val="18"/>
                <w:szCs w:val="18"/>
              </w:rPr>
            </w:pPr>
          </w:p>
        </w:tc>
      </w:tr>
      <w:tr w:rsidR="005B736A" w:rsidRPr="001766DA" w14:paraId="17F6B721" w14:textId="77777777" w:rsidTr="00061F73">
        <w:trPr>
          <w:trHeight w:val="309"/>
          <w:jc w:val="center"/>
        </w:trPr>
        <w:tc>
          <w:tcPr>
            <w:tcW w:w="1084" w:type="dxa"/>
            <w:tcBorders>
              <w:bottom w:val="single" w:sz="4" w:space="0" w:color="auto"/>
            </w:tcBorders>
            <w:shd w:val="clear" w:color="auto" w:fill="C1F0C7" w:themeFill="accent3" w:themeFillTint="33"/>
            <w:noWrap/>
          </w:tcPr>
          <w:p w14:paraId="06A5694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185</w:t>
            </w:r>
          </w:p>
        </w:tc>
        <w:tc>
          <w:tcPr>
            <w:tcW w:w="1463" w:type="dxa"/>
            <w:tcBorders>
              <w:bottom w:val="single" w:sz="4" w:space="0" w:color="auto"/>
            </w:tcBorders>
            <w:shd w:val="clear" w:color="auto" w:fill="C1F0C7" w:themeFill="accent3" w:themeFillTint="33"/>
            <w:noWrap/>
          </w:tcPr>
          <w:p w14:paraId="12C56E4A"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C3.4I7</w:t>
            </w:r>
          </w:p>
          <w:p w14:paraId="3B24D304"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Training of judges</w:t>
            </w:r>
          </w:p>
        </w:tc>
        <w:tc>
          <w:tcPr>
            <w:tcW w:w="1134" w:type="dxa"/>
            <w:tcBorders>
              <w:bottom w:val="single" w:sz="4" w:space="0" w:color="auto"/>
            </w:tcBorders>
            <w:shd w:val="clear" w:color="auto" w:fill="C1F0C7" w:themeFill="accent3" w:themeFillTint="33"/>
            <w:noWrap/>
          </w:tcPr>
          <w:p w14:paraId="0EC01AE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tcBorders>
              <w:bottom w:val="single" w:sz="4" w:space="0" w:color="auto"/>
            </w:tcBorders>
            <w:shd w:val="clear" w:color="auto" w:fill="C1F0C7" w:themeFill="accent3" w:themeFillTint="33"/>
            <w:noWrap/>
          </w:tcPr>
          <w:p w14:paraId="7AD47FE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Training of judges </w:t>
            </w:r>
          </w:p>
        </w:tc>
        <w:tc>
          <w:tcPr>
            <w:tcW w:w="1559" w:type="dxa"/>
            <w:tcBorders>
              <w:bottom w:val="single" w:sz="4" w:space="0" w:color="auto"/>
            </w:tcBorders>
            <w:shd w:val="clear" w:color="auto" w:fill="C1F0C7" w:themeFill="accent3" w:themeFillTint="33"/>
            <w:noWrap/>
          </w:tcPr>
          <w:p w14:paraId="453ADFE3"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Trainings organised</w:t>
            </w:r>
          </w:p>
        </w:tc>
        <w:tc>
          <w:tcPr>
            <w:tcW w:w="1417" w:type="dxa"/>
            <w:tcBorders>
              <w:bottom w:val="single" w:sz="4" w:space="0" w:color="auto"/>
            </w:tcBorders>
            <w:shd w:val="clear" w:color="auto" w:fill="C1F0C7" w:themeFill="accent3" w:themeFillTint="33"/>
            <w:noWrap/>
          </w:tcPr>
          <w:p w14:paraId="7EABD8C2" w14:textId="77777777" w:rsidR="000F72B9" w:rsidRPr="001766DA" w:rsidRDefault="000F72B9" w:rsidP="00061F73">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21A78DC1" w14:textId="77777777" w:rsidR="000F72B9" w:rsidRPr="001766DA" w:rsidRDefault="000F72B9" w:rsidP="00061F73">
            <w:pPr>
              <w:spacing w:after="0" w:line="240" w:lineRule="auto"/>
              <w:jc w:val="center"/>
              <w:rPr>
                <w:rFonts w:ascii="Times New Roman" w:hAnsi="Times New Roman" w:cs="Times New Roman"/>
                <w:noProof/>
                <w:sz w:val="18"/>
                <w:szCs w:val="18"/>
              </w:rPr>
            </w:pPr>
          </w:p>
        </w:tc>
        <w:tc>
          <w:tcPr>
            <w:tcW w:w="1276" w:type="dxa"/>
            <w:tcBorders>
              <w:bottom w:val="single" w:sz="4" w:space="0" w:color="auto"/>
            </w:tcBorders>
            <w:shd w:val="clear" w:color="auto" w:fill="C1F0C7" w:themeFill="accent3" w:themeFillTint="33"/>
            <w:noWrap/>
          </w:tcPr>
          <w:p w14:paraId="33F5E195" w14:textId="77777777" w:rsidR="000F72B9" w:rsidRPr="001766DA" w:rsidRDefault="000F72B9" w:rsidP="00061F73">
            <w:pPr>
              <w:spacing w:after="0" w:line="240" w:lineRule="auto"/>
              <w:jc w:val="center"/>
              <w:rPr>
                <w:rFonts w:ascii="Times New Roman" w:hAnsi="Times New Roman" w:cs="Times New Roman"/>
                <w:noProof/>
                <w:sz w:val="18"/>
                <w:szCs w:val="18"/>
              </w:rPr>
            </w:pPr>
          </w:p>
        </w:tc>
        <w:tc>
          <w:tcPr>
            <w:tcW w:w="904" w:type="dxa"/>
            <w:tcBorders>
              <w:bottom w:val="single" w:sz="4" w:space="0" w:color="auto"/>
            </w:tcBorders>
            <w:shd w:val="clear" w:color="auto" w:fill="C1F0C7" w:themeFill="accent3" w:themeFillTint="33"/>
            <w:noWrap/>
          </w:tcPr>
          <w:p w14:paraId="7ADBDB01"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Q4</w:t>
            </w:r>
          </w:p>
        </w:tc>
        <w:tc>
          <w:tcPr>
            <w:tcW w:w="678" w:type="dxa"/>
            <w:tcBorders>
              <w:bottom w:val="single" w:sz="4" w:space="0" w:color="auto"/>
            </w:tcBorders>
            <w:shd w:val="clear" w:color="auto" w:fill="C1F0C7" w:themeFill="accent3" w:themeFillTint="33"/>
            <w:noWrap/>
          </w:tcPr>
          <w:p w14:paraId="5F6DB94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2025</w:t>
            </w:r>
          </w:p>
        </w:tc>
        <w:tc>
          <w:tcPr>
            <w:tcW w:w="3044" w:type="dxa"/>
            <w:tcBorders>
              <w:bottom w:val="single" w:sz="4" w:space="0" w:color="auto"/>
            </w:tcBorders>
            <w:shd w:val="clear" w:color="auto" w:fill="C1F0C7" w:themeFill="accent3" w:themeFillTint="33"/>
            <w:noWrap/>
          </w:tcPr>
          <w:p w14:paraId="0F6B06F6"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Trainings for judges shall be organised on the revised Civil Procedure Rules and other judicial skills.</w:t>
            </w:r>
          </w:p>
        </w:tc>
      </w:tr>
      <w:tr w:rsidR="005B736A" w:rsidRPr="001766DA" w14:paraId="72BB7D5D" w14:textId="77777777" w:rsidTr="00061F73">
        <w:trPr>
          <w:trHeight w:val="309"/>
          <w:jc w:val="center"/>
        </w:trPr>
        <w:tc>
          <w:tcPr>
            <w:tcW w:w="1084" w:type="dxa"/>
            <w:shd w:val="clear" w:color="auto" w:fill="C1F0C7" w:themeFill="accent3" w:themeFillTint="33"/>
            <w:noWrap/>
          </w:tcPr>
          <w:p w14:paraId="6EDC237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186</w:t>
            </w:r>
          </w:p>
        </w:tc>
        <w:tc>
          <w:tcPr>
            <w:tcW w:w="1463" w:type="dxa"/>
            <w:shd w:val="clear" w:color="auto" w:fill="C1F0C7" w:themeFill="accent3" w:themeFillTint="33"/>
            <w:noWrap/>
          </w:tcPr>
          <w:p w14:paraId="0E4941BC"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C3.4I8</w:t>
            </w:r>
          </w:p>
          <w:p w14:paraId="2B6B711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Upgrading the infrastructure of courts</w:t>
            </w:r>
          </w:p>
        </w:tc>
        <w:tc>
          <w:tcPr>
            <w:tcW w:w="1134" w:type="dxa"/>
            <w:shd w:val="clear" w:color="auto" w:fill="C1F0C7" w:themeFill="accent3" w:themeFillTint="33"/>
            <w:noWrap/>
          </w:tcPr>
          <w:p w14:paraId="53DE1DC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0B292B65"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Extension of the Famagusta District Court</w:t>
            </w:r>
          </w:p>
        </w:tc>
        <w:tc>
          <w:tcPr>
            <w:tcW w:w="1559" w:type="dxa"/>
            <w:shd w:val="clear" w:color="auto" w:fill="C1F0C7" w:themeFill="accent3" w:themeFillTint="33"/>
            <w:noWrap/>
          </w:tcPr>
          <w:p w14:paraId="45727BD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Project management team certifies the completion of the construction. </w:t>
            </w:r>
          </w:p>
        </w:tc>
        <w:tc>
          <w:tcPr>
            <w:tcW w:w="1417" w:type="dxa"/>
            <w:shd w:val="clear" w:color="auto" w:fill="C1F0C7" w:themeFill="accent3" w:themeFillTint="33"/>
            <w:noWrap/>
          </w:tcPr>
          <w:p w14:paraId="540598C8"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75C31AE7"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58EBFF7C"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70B523B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Q4 </w:t>
            </w:r>
          </w:p>
        </w:tc>
        <w:tc>
          <w:tcPr>
            <w:tcW w:w="678" w:type="dxa"/>
            <w:shd w:val="clear" w:color="auto" w:fill="C1F0C7" w:themeFill="accent3" w:themeFillTint="33"/>
            <w:noWrap/>
          </w:tcPr>
          <w:p w14:paraId="7028245B"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2021</w:t>
            </w:r>
          </w:p>
        </w:tc>
        <w:tc>
          <w:tcPr>
            <w:tcW w:w="3044" w:type="dxa"/>
            <w:shd w:val="clear" w:color="auto" w:fill="C1F0C7" w:themeFill="accent3" w:themeFillTint="33"/>
            <w:noWrap/>
          </w:tcPr>
          <w:p w14:paraId="4F07A115"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 xml:space="preserve">Completion of construction of the extension to the Famagusta District Court building to support the operation of new courtrooms to try in addition to criminal also civil cases. </w:t>
            </w:r>
          </w:p>
        </w:tc>
      </w:tr>
      <w:tr w:rsidR="005B736A" w:rsidRPr="001766DA" w14:paraId="492BA4B3" w14:textId="77777777" w:rsidTr="00061F73">
        <w:trPr>
          <w:trHeight w:val="309"/>
          <w:jc w:val="center"/>
        </w:trPr>
        <w:tc>
          <w:tcPr>
            <w:tcW w:w="1084" w:type="dxa"/>
            <w:shd w:val="clear" w:color="auto" w:fill="C1F0C7" w:themeFill="accent3" w:themeFillTint="33"/>
            <w:noWrap/>
          </w:tcPr>
          <w:p w14:paraId="1DC557B7"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187</w:t>
            </w:r>
          </w:p>
        </w:tc>
        <w:tc>
          <w:tcPr>
            <w:tcW w:w="1463" w:type="dxa"/>
            <w:shd w:val="clear" w:color="auto" w:fill="C1F0C7" w:themeFill="accent3" w:themeFillTint="33"/>
            <w:noWrap/>
          </w:tcPr>
          <w:p w14:paraId="36C2D5EE"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C3.4R10</w:t>
            </w:r>
          </w:p>
          <w:p w14:paraId="6B95EC1E"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Improving the legal and institutional framework for fighting corruption</w:t>
            </w:r>
          </w:p>
        </w:tc>
        <w:tc>
          <w:tcPr>
            <w:tcW w:w="1134" w:type="dxa"/>
            <w:shd w:val="clear" w:color="auto" w:fill="C1F0C7" w:themeFill="accent3" w:themeFillTint="33"/>
            <w:noWrap/>
          </w:tcPr>
          <w:p w14:paraId="719020E0"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Milestone</w:t>
            </w:r>
          </w:p>
        </w:tc>
        <w:tc>
          <w:tcPr>
            <w:tcW w:w="1276" w:type="dxa"/>
            <w:shd w:val="clear" w:color="auto" w:fill="C1F0C7" w:themeFill="accent3" w:themeFillTint="33"/>
            <w:noWrap/>
          </w:tcPr>
          <w:p w14:paraId="414A1375"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 xml:space="preserve">Entry into force of the law establishing the Independent Authority against Corruption </w:t>
            </w:r>
          </w:p>
        </w:tc>
        <w:tc>
          <w:tcPr>
            <w:tcW w:w="1559" w:type="dxa"/>
            <w:shd w:val="clear" w:color="auto" w:fill="C1F0C7" w:themeFill="accent3" w:themeFillTint="33"/>
            <w:noWrap/>
          </w:tcPr>
          <w:p w14:paraId="51D94080"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 xml:space="preserve">Provision of the law indicating the entry into force of the law and start of operation of the Independent Authority against Corruption with key management positions filled and staff recruited. </w:t>
            </w:r>
          </w:p>
        </w:tc>
        <w:tc>
          <w:tcPr>
            <w:tcW w:w="1417" w:type="dxa"/>
            <w:shd w:val="clear" w:color="auto" w:fill="C1F0C7" w:themeFill="accent3" w:themeFillTint="33"/>
            <w:noWrap/>
          </w:tcPr>
          <w:p w14:paraId="168C55E7"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sidDel="00702392">
              <w:rPr>
                <w:rFonts w:ascii="Times New Roman" w:hAnsi="Times New Roman" w:cs="Times New Roman"/>
                <w:noProof/>
                <w:sz w:val="18"/>
                <w:szCs w:val="18"/>
              </w:rPr>
              <w:t>-</w:t>
            </w:r>
          </w:p>
        </w:tc>
        <w:tc>
          <w:tcPr>
            <w:tcW w:w="1276" w:type="dxa"/>
            <w:shd w:val="clear" w:color="auto" w:fill="C1F0C7" w:themeFill="accent3" w:themeFillTint="33"/>
            <w:noWrap/>
          </w:tcPr>
          <w:p w14:paraId="20C84BDF"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sidDel="00702392">
              <w:rPr>
                <w:rFonts w:ascii="Times New Roman" w:hAnsi="Times New Roman" w:cs="Times New Roman"/>
                <w:noProof/>
                <w:sz w:val="18"/>
                <w:szCs w:val="18"/>
              </w:rPr>
              <w:t>-</w:t>
            </w:r>
          </w:p>
        </w:tc>
        <w:tc>
          <w:tcPr>
            <w:tcW w:w="1276" w:type="dxa"/>
            <w:shd w:val="clear" w:color="auto" w:fill="C1F0C7" w:themeFill="accent3" w:themeFillTint="33"/>
            <w:noWrap/>
          </w:tcPr>
          <w:p w14:paraId="3F137265"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sidDel="00702392">
              <w:rPr>
                <w:rFonts w:ascii="Times New Roman" w:hAnsi="Times New Roman" w:cs="Times New Roman"/>
                <w:noProof/>
                <w:sz w:val="18"/>
                <w:szCs w:val="18"/>
              </w:rPr>
              <w:t>-</w:t>
            </w:r>
          </w:p>
        </w:tc>
        <w:tc>
          <w:tcPr>
            <w:tcW w:w="904" w:type="dxa"/>
            <w:shd w:val="clear" w:color="auto" w:fill="C1F0C7" w:themeFill="accent3" w:themeFillTint="33"/>
            <w:noWrap/>
          </w:tcPr>
          <w:p w14:paraId="681851FF"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 xml:space="preserve">Q1 </w:t>
            </w:r>
          </w:p>
        </w:tc>
        <w:tc>
          <w:tcPr>
            <w:tcW w:w="678" w:type="dxa"/>
            <w:shd w:val="clear" w:color="auto" w:fill="C1F0C7" w:themeFill="accent3" w:themeFillTint="33"/>
            <w:noWrap/>
          </w:tcPr>
          <w:p w14:paraId="080EA484"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2022</w:t>
            </w:r>
          </w:p>
        </w:tc>
        <w:tc>
          <w:tcPr>
            <w:tcW w:w="3044" w:type="dxa"/>
            <w:shd w:val="clear" w:color="auto" w:fill="C1F0C7" w:themeFill="accent3" w:themeFillTint="33"/>
            <w:noWrap/>
          </w:tcPr>
          <w:p w14:paraId="34CA1F9D"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sidDel="00702392">
              <w:rPr>
                <w:rFonts w:ascii="Times New Roman" w:hAnsi="Times New Roman" w:cs="Times New Roman"/>
                <w:noProof/>
                <w:sz w:val="18"/>
                <w:szCs w:val="18"/>
              </w:rPr>
              <w:t xml:space="preserve">The Independent Authority against Corruption has been established on the basis of the entry into force of the corresponding law and is operational. The Authority shall coordinate the efforts of all bodies engaged in the fight against and prevention of corruption and shall supervise the timely implementation of actions by the different competent services. </w:t>
            </w:r>
          </w:p>
        </w:tc>
      </w:tr>
      <w:tr w:rsidR="005B736A" w:rsidRPr="001766DA" w14:paraId="759AE0A3" w14:textId="77777777" w:rsidTr="00061F73">
        <w:trPr>
          <w:trHeight w:val="309"/>
          <w:jc w:val="center"/>
        </w:trPr>
        <w:tc>
          <w:tcPr>
            <w:tcW w:w="1084" w:type="dxa"/>
            <w:tcBorders>
              <w:bottom w:val="single" w:sz="4" w:space="0" w:color="auto"/>
            </w:tcBorders>
            <w:shd w:val="clear" w:color="auto" w:fill="C1F0C7" w:themeFill="accent3" w:themeFillTint="33"/>
            <w:noWrap/>
          </w:tcPr>
          <w:p w14:paraId="2A5A38A0"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188</w:t>
            </w:r>
          </w:p>
        </w:tc>
        <w:tc>
          <w:tcPr>
            <w:tcW w:w="1463" w:type="dxa"/>
            <w:tcBorders>
              <w:bottom w:val="single" w:sz="4" w:space="0" w:color="auto"/>
            </w:tcBorders>
            <w:shd w:val="clear" w:color="auto" w:fill="C1F0C7" w:themeFill="accent3" w:themeFillTint="33"/>
            <w:noWrap/>
          </w:tcPr>
          <w:p w14:paraId="623B248B"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C3.4R10</w:t>
            </w:r>
          </w:p>
          <w:p w14:paraId="11F5E135"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Improving the legal and institutional framework for fighting corruption</w:t>
            </w:r>
          </w:p>
        </w:tc>
        <w:tc>
          <w:tcPr>
            <w:tcW w:w="1134" w:type="dxa"/>
            <w:tcBorders>
              <w:bottom w:val="single" w:sz="4" w:space="0" w:color="auto"/>
            </w:tcBorders>
            <w:shd w:val="clear" w:color="auto" w:fill="C1F0C7" w:themeFill="accent3" w:themeFillTint="33"/>
            <w:noWrap/>
          </w:tcPr>
          <w:p w14:paraId="20CD79A2"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Milestone</w:t>
            </w:r>
          </w:p>
        </w:tc>
        <w:tc>
          <w:tcPr>
            <w:tcW w:w="1276" w:type="dxa"/>
            <w:tcBorders>
              <w:bottom w:val="single" w:sz="4" w:space="0" w:color="auto"/>
            </w:tcBorders>
            <w:shd w:val="clear" w:color="auto" w:fill="C1F0C7" w:themeFill="accent3" w:themeFillTint="33"/>
            <w:noWrap/>
          </w:tcPr>
          <w:p w14:paraId="05C00B5B"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Entry into force of the law on Transparency in Decision-Making and Related Matters</w:t>
            </w:r>
          </w:p>
        </w:tc>
        <w:tc>
          <w:tcPr>
            <w:tcW w:w="1559" w:type="dxa"/>
            <w:tcBorders>
              <w:bottom w:val="single" w:sz="4" w:space="0" w:color="auto"/>
            </w:tcBorders>
            <w:shd w:val="clear" w:color="auto" w:fill="C1F0C7" w:themeFill="accent3" w:themeFillTint="33"/>
            <w:noWrap/>
          </w:tcPr>
          <w:p w14:paraId="33804AD2"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Provision of the law indicating the entry into force of the law</w:t>
            </w:r>
          </w:p>
        </w:tc>
        <w:tc>
          <w:tcPr>
            <w:tcW w:w="1417" w:type="dxa"/>
            <w:tcBorders>
              <w:bottom w:val="single" w:sz="4" w:space="0" w:color="auto"/>
            </w:tcBorders>
            <w:shd w:val="clear" w:color="auto" w:fill="C1F0C7" w:themeFill="accent3" w:themeFillTint="33"/>
            <w:noWrap/>
          </w:tcPr>
          <w:p w14:paraId="5BC32CEF"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sidDel="00702392">
              <w:rPr>
                <w:rFonts w:ascii="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699FB413"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sidDel="00702392">
              <w:rPr>
                <w:rFonts w:ascii="Times New Roman" w:hAnsi="Times New Roman" w:cs="Times New Roman"/>
                <w:noProof/>
                <w:sz w:val="18"/>
                <w:szCs w:val="18"/>
              </w:rPr>
              <w:t>-</w:t>
            </w:r>
          </w:p>
        </w:tc>
        <w:tc>
          <w:tcPr>
            <w:tcW w:w="1276" w:type="dxa"/>
            <w:tcBorders>
              <w:bottom w:val="single" w:sz="4" w:space="0" w:color="auto"/>
            </w:tcBorders>
            <w:shd w:val="clear" w:color="auto" w:fill="C1F0C7" w:themeFill="accent3" w:themeFillTint="33"/>
            <w:noWrap/>
          </w:tcPr>
          <w:p w14:paraId="2ECC2248"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sidDel="00702392">
              <w:rPr>
                <w:rFonts w:ascii="Times New Roman" w:hAnsi="Times New Roman" w:cs="Times New Roman"/>
                <w:noProof/>
                <w:sz w:val="18"/>
                <w:szCs w:val="18"/>
              </w:rPr>
              <w:t>-</w:t>
            </w:r>
          </w:p>
        </w:tc>
        <w:tc>
          <w:tcPr>
            <w:tcW w:w="904" w:type="dxa"/>
            <w:tcBorders>
              <w:bottom w:val="single" w:sz="4" w:space="0" w:color="auto"/>
            </w:tcBorders>
            <w:shd w:val="clear" w:color="auto" w:fill="C1F0C7" w:themeFill="accent3" w:themeFillTint="33"/>
            <w:noWrap/>
          </w:tcPr>
          <w:p w14:paraId="684BF4C7"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 xml:space="preserve">Q4 </w:t>
            </w:r>
          </w:p>
        </w:tc>
        <w:tc>
          <w:tcPr>
            <w:tcW w:w="678" w:type="dxa"/>
            <w:tcBorders>
              <w:bottom w:val="single" w:sz="4" w:space="0" w:color="auto"/>
            </w:tcBorders>
            <w:shd w:val="clear" w:color="auto" w:fill="C1F0C7" w:themeFill="accent3" w:themeFillTint="33"/>
            <w:noWrap/>
          </w:tcPr>
          <w:p w14:paraId="44FA6137" w14:textId="77777777" w:rsidR="000F72B9" w:rsidRPr="001766DA" w:rsidRDefault="000F72B9" w:rsidP="00061F73">
            <w:pPr>
              <w:spacing w:after="0" w:line="240" w:lineRule="auto"/>
              <w:rPr>
                <w:rFonts w:ascii="Times New Roman" w:hAnsi="Times New Roman" w:cs="Times New Roman"/>
                <w:noProof/>
                <w:sz w:val="18"/>
                <w:szCs w:val="18"/>
              </w:rPr>
            </w:pPr>
            <w:r w:rsidRPr="001766DA" w:rsidDel="00702392">
              <w:rPr>
                <w:rFonts w:ascii="Times New Roman" w:hAnsi="Times New Roman" w:cs="Times New Roman"/>
                <w:noProof/>
                <w:sz w:val="18"/>
                <w:szCs w:val="18"/>
              </w:rPr>
              <w:t>2021</w:t>
            </w:r>
          </w:p>
        </w:tc>
        <w:tc>
          <w:tcPr>
            <w:tcW w:w="3044" w:type="dxa"/>
            <w:tcBorders>
              <w:bottom w:val="single" w:sz="4" w:space="0" w:color="auto"/>
            </w:tcBorders>
            <w:shd w:val="clear" w:color="auto" w:fill="C1F0C7" w:themeFill="accent3" w:themeFillTint="33"/>
            <w:noWrap/>
          </w:tcPr>
          <w:p w14:paraId="54705C89"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sidDel="00702392">
              <w:rPr>
                <w:rFonts w:ascii="Times New Roman" w:hAnsi="Times New Roman" w:cs="Times New Roman"/>
                <w:noProof/>
                <w:sz w:val="18"/>
                <w:szCs w:val="18"/>
              </w:rPr>
              <w:t>Entry into force of the law on Transparency in Decision-Making and Related Matters, including provisions to prevent conflict of interest. The law shall create the obligation to publicise contacts made between persons interested in being involved in public decision-making procedures and officials or members of the State service or of the wider public sector or with employees for the benefit of officials who, by their very position, have competence or possibility of initiating such procedures or formulating their content or contributing or determining the final outcome of such procedures. Information on such a contact, as well as its content and purposes, shall be officially recorded and be publicly available.</w:t>
            </w:r>
          </w:p>
        </w:tc>
      </w:tr>
      <w:tr w:rsidR="005B736A" w:rsidRPr="001766DA" w14:paraId="12574C43" w14:textId="77777777" w:rsidTr="00061F73">
        <w:trPr>
          <w:trHeight w:val="309"/>
          <w:jc w:val="center"/>
        </w:trPr>
        <w:tc>
          <w:tcPr>
            <w:tcW w:w="1084" w:type="dxa"/>
            <w:shd w:val="clear" w:color="auto" w:fill="C1F0C7" w:themeFill="accent3" w:themeFillTint="33"/>
            <w:noWrap/>
          </w:tcPr>
          <w:p w14:paraId="51A8CA7F"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189</w:t>
            </w:r>
          </w:p>
        </w:tc>
        <w:tc>
          <w:tcPr>
            <w:tcW w:w="1463" w:type="dxa"/>
            <w:shd w:val="clear" w:color="auto" w:fill="C1F0C7" w:themeFill="accent3" w:themeFillTint="33"/>
            <w:noWrap/>
          </w:tcPr>
          <w:p w14:paraId="536D3896"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C3.4R10</w:t>
            </w:r>
          </w:p>
          <w:p w14:paraId="2020B32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Improving the legal and institutional framework for fighting corruption</w:t>
            </w:r>
          </w:p>
        </w:tc>
        <w:tc>
          <w:tcPr>
            <w:tcW w:w="1134" w:type="dxa"/>
            <w:shd w:val="clear" w:color="auto" w:fill="C1F0C7" w:themeFill="accent3" w:themeFillTint="33"/>
            <w:noWrap/>
          </w:tcPr>
          <w:p w14:paraId="21859EC9"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Milestone</w:t>
            </w:r>
          </w:p>
        </w:tc>
        <w:tc>
          <w:tcPr>
            <w:tcW w:w="1276" w:type="dxa"/>
            <w:shd w:val="clear" w:color="auto" w:fill="C1F0C7" w:themeFill="accent3" w:themeFillTint="33"/>
            <w:noWrap/>
          </w:tcPr>
          <w:p w14:paraId="1E2940AA"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Entry into force of the law to protect whistle-blowers</w:t>
            </w:r>
          </w:p>
        </w:tc>
        <w:tc>
          <w:tcPr>
            <w:tcW w:w="1559" w:type="dxa"/>
            <w:shd w:val="clear" w:color="auto" w:fill="C1F0C7" w:themeFill="accent3" w:themeFillTint="33"/>
            <w:noWrap/>
          </w:tcPr>
          <w:p w14:paraId="2FA283B7"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Provision of the law indicating the entry into force of the law</w:t>
            </w:r>
          </w:p>
        </w:tc>
        <w:tc>
          <w:tcPr>
            <w:tcW w:w="1417" w:type="dxa"/>
            <w:shd w:val="clear" w:color="auto" w:fill="C1F0C7" w:themeFill="accent3" w:themeFillTint="33"/>
            <w:noWrap/>
          </w:tcPr>
          <w:p w14:paraId="08A3C1AD"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0D49B430"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1276" w:type="dxa"/>
            <w:shd w:val="clear" w:color="auto" w:fill="C1F0C7" w:themeFill="accent3" w:themeFillTint="33"/>
            <w:noWrap/>
          </w:tcPr>
          <w:p w14:paraId="5F923A9A" w14:textId="77777777" w:rsidR="000F72B9" w:rsidRPr="001766DA" w:rsidRDefault="000F72B9" w:rsidP="00061F73">
            <w:pPr>
              <w:spacing w:after="0" w:line="240" w:lineRule="auto"/>
              <w:jc w:val="center"/>
              <w:rPr>
                <w:rFonts w:ascii="Times New Roman" w:hAnsi="Times New Roman" w:cs="Times New Roman"/>
                <w:noProof/>
                <w:sz w:val="18"/>
                <w:szCs w:val="18"/>
              </w:rPr>
            </w:pPr>
            <w:r w:rsidRPr="001766DA">
              <w:rPr>
                <w:rFonts w:ascii="Times New Roman" w:hAnsi="Times New Roman" w:cs="Times New Roman"/>
                <w:noProof/>
                <w:sz w:val="18"/>
                <w:szCs w:val="18"/>
              </w:rPr>
              <w:t>-</w:t>
            </w:r>
          </w:p>
        </w:tc>
        <w:tc>
          <w:tcPr>
            <w:tcW w:w="904" w:type="dxa"/>
            <w:shd w:val="clear" w:color="auto" w:fill="C1F0C7" w:themeFill="accent3" w:themeFillTint="33"/>
            <w:noWrap/>
          </w:tcPr>
          <w:p w14:paraId="07DF0362"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 xml:space="preserve">Q4 </w:t>
            </w:r>
          </w:p>
        </w:tc>
        <w:tc>
          <w:tcPr>
            <w:tcW w:w="678" w:type="dxa"/>
            <w:shd w:val="clear" w:color="auto" w:fill="C1F0C7" w:themeFill="accent3" w:themeFillTint="33"/>
            <w:noWrap/>
          </w:tcPr>
          <w:p w14:paraId="11918D7D" w14:textId="77777777" w:rsidR="000F72B9" w:rsidRPr="001766DA" w:rsidRDefault="000F72B9" w:rsidP="00061F73">
            <w:pPr>
              <w:spacing w:after="0" w:line="240" w:lineRule="auto"/>
              <w:rPr>
                <w:rFonts w:ascii="Times New Roman" w:hAnsi="Times New Roman" w:cs="Times New Roman"/>
                <w:noProof/>
                <w:sz w:val="18"/>
                <w:szCs w:val="18"/>
              </w:rPr>
            </w:pPr>
            <w:r w:rsidRPr="001766DA">
              <w:rPr>
                <w:rFonts w:ascii="Times New Roman" w:hAnsi="Times New Roman" w:cs="Times New Roman"/>
                <w:noProof/>
                <w:sz w:val="18"/>
                <w:szCs w:val="18"/>
              </w:rPr>
              <w:t>2021</w:t>
            </w:r>
          </w:p>
        </w:tc>
        <w:tc>
          <w:tcPr>
            <w:tcW w:w="3044" w:type="dxa"/>
            <w:shd w:val="clear" w:color="auto" w:fill="C1F0C7" w:themeFill="accent3" w:themeFillTint="33"/>
            <w:noWrap/>
          </w:tcPr>
          <w:p w14:paraId="17EDA172" w14:textId="77777777" w:rsidR="000F72B9" w:rsidRPr="001766DA" w:rsidRDefault="000F72B9" w:rsidP="00061F73">
            <w:pPr>
              <w:spacing w:after="0" w:line="240" w:lineRule="auto"/>
              <w:jc w:val="both"/>
              <w:rPr>
                <w:rFonts w:ascii="Times New Roman" w:hAnsi="Times New Roman" w:cs="Times New Roman"/>
                <w:noProof/>
                <w:sz w:val="18"/>
                <w:szCs w:val="18"/>
              </w:rPr>
            </w:pPr>
            <w:r w:rsidRPr="001766DA">
              <w:rPr>
                <w:rFonts w:ascii="Times New Roman" w:hAnsi="Times New Roman" w:cs="Times New Roman"/>
                <w:noProof/>
                <w:sz w:val="18"/>
                <w:szCs w:val="18"/>
              </w:rPr>
              <w:t>Entry into force of a law to protect whistle-blowers reporting fraud and corruption from internal sanctions. The law shall include supplementary provisions on the protection of persons reporting acts of corruption both in the public and the private sectors (whistle-blowers, persons not involved in the acts), further to the protection already provided for in the Protection of Witnesses Law 95(I)/2001. The law shall also provide measures of leniency for those who are involved in acts of corruption but voluntarily report to the police and/or offer cooperation with the authorities resulting in the full investigation and prosecution of the case.</w:t>
            </w:r>
          </w:p>
        </w:tc>
      </w:tr>
    </w:tbl>
    <w:p w14:paraId="3A156282" w14:textId="77777777" w:rsidR="000F72B9" w:rsidRPr="000F04FA" w:rsidRDefault="000F72B9" w:rsidP="00D8670B">
      <w:pPr>
        <w:rPr>
          <w:rFonts w:ascii="Times New Roman" w:eastAsia="Times New Roman" w:hAnsi="Times New Roman" w:cs="Times New Roman"/>
          <w:noProof/>
        </w:rPr>
      </w:pPr>
    </w:p>
    <w:p w14:paraId="68D4DF86" w14:textId="77777777" w:rsidR="00B3049F" w:rsidRPr="000F04FA" w:rsidRDefault="00B3049F" w:rsidP="7DCC22BF">
      <w:pPr>
        <w:rPr>
          <w:noProof/>
        </w:rPr>
        <w:sectPr w:rsidR="00B3049F" w:rsidRPr="000F04FA" w:rsidSect="000F72B9">
          <w:headerReference w:type="default" r:id="rId68"/>
          <w:footerReference w:type="default" r:id="rId69"/>
          <w:pgSz w:w="15840" w:h="12240" w:orient="landscape"/>
          <w:pgMar w:top="1134" w:right="1134" w:bottom="1134" w:left="1134" w:header="720" w:footer="720" w:gutter="0"/>
          <w:cols w:space="720"/>
          <w:docGrid w:linePitch="360"/>
        </w:sectPr>
      </w:pPr>
    </w:p>
    <w:p w14:paraId="39262E98" w14:textId="77777777" w:rsidR="00B3049F" w:rsidRPr="000F04FA" w:rsidRDefault="00B3049F" w:rsidP="00D8670B">
      <w:pPr>
        <w:spacing w:before="360" w:after="120"/>
        <w:jc w:val="both"/>
        <w:rPr>
          <w:noProof/>
        </w:rPr>
      </w:pPr>
      <w:r w:rsidRPr="000F04FA">
        <w:rPr>
          <w:rFonts w:ascii="Times New Roman" w:eastAsia="Times New Roman" w:hAnsi="Times New Roman" w:cs="Times New Roman"/>
          <w:b/>
          <w:bCs/>
          <w:smallCaps/>
          <w:noProof/>
        </w:rPr>
        <w:t xml:space="preserve">I. </w:t>
      </w:r>
      <w:r w:rsidRPr="000F04FA">
        <w:rPr>
          <w:rFonts w:ascii="Times New Roman" w:eastAsia="Times New Roman" w:hAnsi="Times New Roman" w:cs="Times New Roman"/>
          <w:b/>
          <w:bCs/>
          <w:smallCaps/>
          <w:noProof/>
          <w:sz w:val="22"/>
          <w:szCs w:val="22"/>
        </w:rPr>
        <w:t>COMPONENT 3.5:</w:t>
      </w:r>
      <w:r w:rsidRPr="000F04FA">
        <w:rPr>
          <w:rFonts w:ascii="Times New Roman" w:eastAsia="Times New Roman" w:hAnsi="Times New Roman" w:cs="Times New Roman"/>
          <w:b/>
          <w:bCs/>
          <w:smallCaps/>
          <w:noProof/>
        </w:rPr>
        <w:t xml:space="preserve"> Safeguarding Fiscal and Financial Stability</w:t>
      </w:r>
    </w:p>
    <w:p w14:paraId="08D65676"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This component of the Cypriot recovery and resilience plan addresses the challenges of fiscal and financial vulnerabilities, including macroeconomic imbalances related thereto. The aim is to safeguard financial stability by reducing legacy risks in the banking sector, putting in place measures against high private indebtedness, and for the supervision in the non-bank sector. To ensure fiscal stability, Cyprus aims at combating tax evasion, tax avoidance and aggressive tax planning; and providing policy makers with comprehensive data in order to design a fair tax system. The envisaged measures are expected to make revenue collection more efficient and Cyprus’ tax system fairer, reducing the spill-over effects from aggressive tax planning. </w:t>
      </w:r>
    </w:p>
    <w:p w14:paraId="21BFAD28"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The component supports addressing the Country-Specific Recommendations on financial stability and private indebtedness (Country-Specific Recommendations 2 and 5 of 2019), and on addressing features of the tax system that facilitate aggressive tax planning by individuals and multinationals (Country-Specific Recommendation 4 of 2020 and Country-Specific Recommendation 1 of 2019). </w:t>
      </w:r>
    </w:p>
    <w:p w14:paraId="5162AB86"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b/>
          <w:bCs/>
          <w:noProof/>
        </w:rPr>
        <w:t xml:space="preserve"> </w:t>
      </w:r>
    </w:p>
    <w:p w14:paraId="30B1AFFE" w14:textId="3F8C4E3B" w:rsidR="00B3049F" w:rsidRPr="000F04FA" w:rsidRDefault="00B3049F" w:rsidP="00D8670B">
      <w:pPr>
        <w:spacing w:before="120" w:after="120"/>
        <w:jc w:val="both"/>
        <w:rPr>
          <w:noProof/>
        </w:rPr>
      </w:pPr>
      <w:r w:rsidRPr="000F04FA">
        <w:rPr>
          <w:rFonts w:ascii="Times New Roman" w:eastAsia="Times New Roman" w:hAnsi="Times New Roman" w:cs="Times New Roman"/>
          <w:b/>
          <w:bCs/>
          <w:noProof/>
          <w:u w:val="single"/>
        </w:rPr>
        <w:t xml:space="preserve">I.1. </w:t>
      </w:r>
      <w:r w:rsidRPr="000F04FA">
        <w:rPr>
          <w:noProof/>
        </w:rPr>
        <w:tab/>
      </w:r>
      <w:r w:rsidRPr="000F04FA">
        <w:rPr>
          <w:rFonts w:ascii="Times New Roman" w:eastAsia="Times New Roman" w:hAnsi="Times New Roman" w:cs="Times New Roman"/>
          <w:b/>
          <w:bCs/>
          <w:noProof/>
          <w:u w:val="single"/>
        </w:rPr>
        <w:t>Description of the reforms and investments for non-repayable financial support</w:t>
      </w:r>
    </w:p>
    <w:p w14:paraId="2BB97AA4"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b/>
          <w:bCs/>
          <w:noProof/>
          <w:u w:val="single"/>
        </w:rPr>
        <w:t>Safeguarding financial stability</w:t>
      </w:r>
    </w:p>
    <w:p w14:paraId="05A2B77B" w14:textId="77777777" w:rsidR="00B3049F" w:rsidRPr="000F04FA" w:rsidRDefault="00B3049F" w:rsidP="00D8670B">
      <w:pPr>
        <w:spacing w:after="200" w:line="276" w:lineRule="auto"/>
        <w:rPr>
          <w:noProof/>
        </w:rPr>
      </w:pPr>
      <w:r w:rsidRPr="000F04FA">
        <w:rPr>
          <w:rFonts w:ascii="Times New Roman" w:eastAsia="Times New Roman" w:hAnsi="Times New Roman" w:cs="Times New Roman"/>
          <w:noProof/>
          <w:u w:val="single"/>
        </w:rPr>
        <w:t>Reform 11 (C3.5R11): Legal framework for a National Sanctions Implementation Unit</w:t>
      </w:r>
    </w:p>
    <w:p w14:paraId="4E658B40" w14:textId="77777777" w:rsidR="00B3049F" w:rsidRPr="000F04FA" w:rsidRDefault="00B3049F" w:rsidP="005D2C5D">
      <w:pPr>
        <w:spacing w:before="120" w:after="120" w:line="278" w:lineRule="auto"/>
        <w:rPr>
          <w:noProof/>
        </w:rPr>
      </w:pPr>
      <w:r w:rsidRPr="000F04FA">
        <w:rPr>
          <w:rFonts w:ascii="Times New Roman" w:eastAsia="Times New Roman" w:hAnsi="Times New Roman" w:cs="Times New Roman"/>
          <w:noProof/>
        </w:rPr>
        <w:t xml:space="preserve">The objective of this reform is to reinforce oversight in the banking and non-banking financial sectors. </w:t>
      </w:r>
    </w:p>
    <w:p w14:paraId="289BFE7A" w14:textId="77777777" w:rsidR="00B3049F" w:rsidRPr="000F04FA" w:rsidRDefault="00B3049F" w:rsidP="005D2C5D">
      <w:pPr>
        <w:spacing w:before="120" w:after="120" w:line="278" w:lineRule="auto"/>
        <w:rPr>
          <w:noProof/>
        </w:rPr>
      </w:pPr>
      <w:r w:rsidRPr="000F04FA">
        <w:rPr>
          <w:rFonts w:ascii="Times New Roman" w:eastAsia="Times New Roman" w:hAnsi="Times New Roman" w:cs="Times New Roman"/>
          <w:noProof/>
        </w:rPr>
        <w:t xml:space="preserve">The reform consists of the entry into force of legal act(s) on establishing the legal framework for a National Sanctions Implementation Unit. </w:t>
      </w:r>
    </w:p>
    <w:p w14:paraId="037E5B33"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b/>
          <w:bCs/>
          <w:i/>
          <w:iCs/>
          <w:noProof/>
        </w:rPr>
        <w:t xml:space="preserve"> </w:t>
      </w:r>
    </w:p>
    <w:p w14:paraId="217D74F1"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 xml:space="preserve">Reform 2 (C3.5R2): Framework and Action Plan for addressing non-performing loans </w:t>
      </w:r>
    </w:p>
    <w:p w14:paraId="64FC0AFB"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The objective of the measure is to address financial risks related to legacy non-performing loans in the banking sector by continuing efforts to improve the asset quality of banks and strengthening the working environment for servicing of loans.</w:t>
      </w:r>
    </w:p>
    <w:p w14:paraId="343E1953"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The reform shall consist in (i) implementing an action plan to address the remaining stock of legacy non-performing loans and (ii) adopting a package of three amending laws regarding credit acquiring companies and servicers (placing of loan servicers under regulation and supervision by the Central Bank; granting access for loan servicers and credit acquiring companies to the Land Registry; and aligning notification requirements in case of purchase of a loan by a credit acquiring company). A progress report on the action plan shall be prepared by 30 June 2023 and approved by the Council of Ministers, tracking the reduction of non-performing loans in the banking sector towards the indicative reference values of 6% gross and 3% net non-performing loans ratio and proposing policy measures where appropriate.</w:t>
      </w:r>
    </w:p>
    <w:p w14:paraId="4D5E4C55" w14:textId="21E29447" w:rsidR="00B3049F" w:rsidRPr="00600EF8" w:rsidRDefault="00B3049F" w:rsidP="00D8670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implementation of the reform shall be completed by 30</w:t>
      </w:r>
      <w:r w:rsidR="005D2C5D" w:rsidRPr="00600EF8">
        <w:rPr>
          <w:rFonts w:ascii="Times New Roman" w:eastAsia="Times New Roman" w:hAnsi="Times New Roman" w:cs="Times New Roman"/>
          <w:noProof/>
        </w:rPr>
        <w:t> </w:t>
      </w:r>
      <w:r w:rsidRPr="000F04FA">
        <w:rPr>
          <w:rFonts w:ascii="Times New Roman" w:eastAsia="Times New Roman" w:hAnsi="Times New Roman" w:cs="Times New Roman"/>
          <w:noProof/>
        </w:rPr>
        <w:t>June</w:t>
      </w:r>
      <w:r w:rsidR="005D2C5D" w:rsidRPr="00600EF8">
        <w:rPr>
          <w:rFonts w:ascii="Times New Roman" w:eastAsia="Times New Roman" w:hAnsi="Times New Roman" w:cs="Times New Roman"/>
          <w:noProof/>
        </w:rPr>
        <w:t> </w:t>
      </w:r>
      <w:r w:rsidRPr="000F04FA">
        <w:rPr>
          <w:rFonts w:ascii="Times New Roman" w:eastAsia="Times New Roman" w:hAnsi="Times New Roman" w:cs="Times New Roman"/>
          <w:noProof/>
        </w:rPr>
        <w:t xml:space="preserve">2023. </w:t>
      </w:r>
    </w:p>
    <w:p w14:paraId="35A34826"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 </w:t>
      </w:r>
    </w:p>
    <w:p w14:paraId="5413A987"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 xml:space="preserve">Reform 3 (C3.5R3): Strategy for addressing inadequacies of the property transaction system (title deeds) </w:t>
      </w:r>
    </w:p>
    <w:p w14:paraId="115B8413" w14:textId="77777777" w:rsidR="00B3049F" w:rsidRPr="005D2C5D" w:rsidRDefault="00B3049F" w:rsidP="005D2C5D">
      <w:pPr>
        <w:spacing w:before="120" w:after="120" w:line="278" w:lineRule="auto"/>
        <w:jc w:val="both"/>
        <w:rPr>
          <w:rFonts w:ascii="Times New Roman" w:hAnsi="Times New Roman" w:cs="Times New Roman"/>
          <w:noProof/>
        </w:rPr>
      </w:pPr>
      <w:r w:rsidRPr="005D2C5D">
        <w:rPr>
          <w:rFonts w:ascii="Times New Roman" w:eastAsia="Times New Roman" w:hAnsi="Times New Roman" w:cs="Times New Roman"/>
          <w:noProof/>
        </w:rPr>
        <w:t xml:space="preserve">The objective of the reform is to address inefficiencies in the system of issuing and transferring title deeds, which results in property rights not being defined, complicates foreclosure procedures and hinders the liquidation of collateral. </w:t>
      </w:r>
    </w:p>
    <w:p w14:paraId="7EE6932E" w14:textId="77777777" w:rsidR="00B3049F" w:rsidRPr="005D2C5D" w:rsidRDefault="00B3049F" w:rsidP="005D2C5D">
      <w:pPr>
        <w:spacing w:before="120" w:after="120" w:line="278" w:lineRule="auto"/>
        <w:jc w:val="both"/>
        <w:rPr>
          <w:rFonts w:ascii="Times New Roman" w:hAnsi="Times New Roman" w:cs="Times New Roman"/>
          <w:noProof/>
        </w:rPr>
      </w:pPr>
      <w:r w:rsidRPr="005D2C5D">
        <w:rPr>
          <w:rFonts w:ascii="Times New Roman" w:eastAsia="Times New Roman" w:hAnsi="Times New Roman" w:cs="Times New Roman"/>
          <w:noProof/>
        </w:rPr>
        <w:t>The reform shall consist in: (i) examination of pending cases for the issuance of title deeds or rejection of the cases, (ii) extension of the new planning and building permit policy, currently up to two residential units, to four residential units in a plot, which shall reduce the time needed to issue building and spatial permits, (iii) review of the Streets and Buildings Law to introduce the right incentives for the supervising engineer to further discourage irregularities that would result in title deeds not being issued, (iv) amendment of the Sale of Property (Specific Performance) Law, which shall ensure in advance that the transfer of immovable property is executed as soon as the buyer fulfils his/her contractual obligations.</w:t>
      </w:r>
    </w:p>
    <w:p w14:paraId="6EA95A72" w14:textId="2F78E030" w:rsidR="00B3049F" w:rsidRPr="005D2C5D" w:rsidRDefault="00B3049F" w:rsidP="005D2C5D">
      <w:pPr>
        <w:spacing w:before="120" w:after="120" w:line="278" w:lineRule="auto"/>
        <w:jc w:val="both"/>
        <w:rPr>
          <w:rFonts w:ascii="Times New Roman" w:hAnsi="Times New Roman" w:cs="Times New Roman"/>
          <w:noProof/>
        </w:rPr>
      </w:pPr>
      <w:r w:rsidRPr="005D2C5D">
        <w:rPr>
          <w:rFonts w:ascii="Times New Roman" w:eastAsia="Times New Roman" w:hAnsi="Times New Roman" w:cs="Times New Roman"/>
          <w:noProof/>
        </w:rPr>
        <w:t>The implementation of the reform shall be completed by 31</w:t>
      </w:r>
      <w:r w:rsidR="005D2C5D" w:rsidRPr="005D2C5D">
        <w:rPr>
          <w:rFonts w:ascii="Times New Roman" w:hAnsi="Times New Roman" w:cs="Times New Roman"/>
          <w:noProof/>
        </w:rPr>
        <w:t> </w:t>
      </w:r>
      <w:r w:rsidRPr="005D2C5D">
        <w:rPr>
          <w:rFonts w:ascii="Times New Roman" w:eastAsia="Times New Roman" w:hAnsi="Times New Roman" w:cs="Times New Roman"/>
          <w:noProof/>
        </w:rPr>
        <w:t>December</w:t>
      </w:r>
      <w:r w:rsidR="005D2C5D" w:rsidRPr="005D2C5D">
        <w:rPr>
          <w:rFonts w:ascii="Times New Roman" w:hAnsi="Times New Roman" w:cs="Times New Roman"/>
          <w:noProof/>
        </w:rPr>
        <w:t> </w:t>
      </w:r>
      <w:r w:rsidRPr="005D2C5D">
        <w:rPr>
          <w:rFonts w:ascii="Times New Roman" w:eastAsia="Times New Roman" w:hAnsi="Times New Roman" w:cs="Times New Roman"/>
          <w:noProof/>
        </w:rPr>
        <w:t xml:space="preserve">2023. </w:t>
      </w:r>
    </w:p>
    <w:p w14:paraId="71FFC8AA"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 </w:t>
      </w:r>
    </w:p>
    <w:p w14:paraId="7CC20855" w14:textId="77777777" w:rsidR="00B3049F" w:rsidRPr="000F04FA" w:rsidRDefault="00B3049F" w:rsidP="00D8670B">
      <w:pPr>
        <w:spacing w:before="120" w:after="120"/>
        <w:jc w:val="both"/>
        <w:rPr>
          <w:rFonts w:ascii="Times New Roman" w:eastAsia="Times New Roman" w:hAnsi="Times New Roman" w:cs="Times New Roman"/>
          <w:noProof/>
          <w:u w:val="single"/>
        </w:rPr>
      </w:pPr>
      <w:r w:rsidRPr="000F04FA">
        <w:rPr>
          <w:rFonts w:ascii="Times New Roman" w:eastAsia="Times New Roman" w:hAnsi="Times New Roman" w:cs="Times New Roman"/>
          <w:noProof/>
          <w:u w:val="single"/>
        </w:rPr>
        <w:t>Reform 4 (C3.5R4): Digital system for the exchange of data and the provision of credit scoring services</w:t>
      </w:r>
    </w:p>
    <w:p w14:paraId="3AC69858"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The objective of this reform is to fight high private indebtedness. </w:t>
      </w:r>
    </w:p>
    <w:p w14:paraId="6FCF3E5C" w14:textId="7B9AB61D"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This measure consists in</w:t>
      </w:r>
      <w:r w:rsidR="00DB4A66" w:rsidRPr="000F04FA">
        <w:rPr>
          <w:rFonts w:ascii="Times New Roman" w:eastAsia="Times New Roman" w:hAnsi="Times New Roman" w:cs="Times New Roman"/>
          <w:noProof/>
        </w:rPr>
        <w:t xml:space="preserve"> (i)</w:t>
      </w:r>
      <w:r w:rsidR="006B4540" w:rsidRPr="000F04FA">
        <w:rPr>
          <w:rFonts w:ascii="Times New Roman" w:eastAsia="Times New Roman" w:hAnsi="Times New Roman" w:cs="Times New Roman"/>
          <w:noProof/>
        </w:rPr>
        <w:t xml:space="preserve"> the entry into force of legal act(s) on the ARTEMIS data exchange </w:t>
      </w:r>
      <w:r w:rsidR="00CD51BF" w:rsidRPr="000F04FA">
        <w:rPr>
          <w:rFonts w:ascii="Times New Roman" w:eastAsia="Times New Roman" w:hAnsi="Times New Roman" w:cs="Times New Roman"/>
          <w:noProof/>
        </w:rPr>
        <w:t>mechanism and (ii) the ARTEMIS data exchange mechanism in User Acceptance Testing phase</w:t>
      </w:r>
      <w:r w:rsidRPr="000F04FA">
        <w:rPr>
          <w:rFonts w:ascii="Times New Roman" w:eastAsia="Times New Roman" w:hAnsi="Times New Roman" w:cs="Times New Roman"/>
          <w:noProof/>
        </w:rPr>
        <w:t>.</w:t>
      </w:r>
    </w:p>
    <w:p w14:paraId="7C9839D1"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 </w:t>
      </w:r>
    </w:p>
    <w:p w14:paraId="76EF046D" w14:textId="7ED61843"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Reform 5 (C3.5R5):</w:t>
      </w:r>
      <w:r w:rsidR="00064579">
        <w:rPr>
          <w:rFonts w:ascii="Times New Roman" w:eastAsia="Times New Roman" w:hAnsi="Times New Roman" w:cs="Times New Roman"/>
          <w:noProof/>
          <w:u w:val="single"/>
        </w:rPr>
        <w:t xml:space="preserve"> </w:t>
      </w:r>
      <w:r w:rsidRPr="000F04FA">
        <w:rPr>
          <w:rFonts w:ascii="Times New Roman" w:eastAsia="Times New Roman" w:hAnsi="Times New Roman" w:cs="Times New Roman"/>
          <w:noProof/>
          <w:u w:val="single"/>
        </w:rPr>
        <w:t xml:space="preserve">Framework for Management of Private Debt </w:t>
      </w:r>
    </w:p>
    <w:p w14:paraId="4A89D364"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The objective of this reform is to prevent and manage the stock of private debt. </w:t>
      </w:r>
    </w:p>
    <w:p w14:paraId="247F7EAB" w14:textId="6D00B27A"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The measure consists of (a) an Action Plan on liabilities monitoring (LMR) and (b) the entry into force of legal act(s) for the management of private debt.</w:t>
      </w:r>
      <w:r w:rsidR="00064579">
        <w:rPr>
          <w:rFonts w:ascii="Times New Roman" w:eastAsia="Times New Roman" w:hAnsi="Times New Roman" w:cs="Times New Roman"/>
          <w:noProof/>
        </w:rPr>
        <w:t xml:space="preserve"> </w:t>
      </w:r>
    </w:p>
    <w:p w14:paraId="4A2B29B5"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 </w:t>
      </w:r>
    </w:p>
    <w:p w14:paraId="74EBD872"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 xml:space="preserve">Reform 6 (C3.5R6): Reinforcing the insolvency framework </w:t>
      </w:r>
    </w:p>
    <w:p w14:paraId="16DB8980"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The objective of this reform is to reinforce the insolvency framework, and the functioning of the Department of Insolvency.</w:t>
      </w:r>
    </w:p>
    <w:p w14:paraId="7F369F2E"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This measure consists in (i) adopting the legal and institutional framework for insolvency and (ii) accessible digital systems of the Department of Insolvency. </w:t>
      </w:r>
    </w:p>
    <w:p w14:paraId="6D85A3F1"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b/>
          <w:bCs/>
          <w:i/>
          <w:iCs/>
          <w:noProof/>
        </w:rPr>
        <w:t xml:space="preserve"> </w:t>
      </w:r>
    </w:p>
    <w:p w14:paraId="3AEF34AF"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 xml:space="preserve">Reform 7 (C3.5R7): Strategy for Combating Financial Illiteracy </w:t>
      </w:r>
    </w:p>
    <w:p w14:paraId="05C4F937"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The objective of the measure is to promote financial literacy. It aims at enhancing financial education within the general population, improve financial decision making, correct wrong attitudes and biases, support more informed and financially responsible citizens and ultimately, help improve debt repayment discipline.</w:t>
      </w:r>
    </w:p>
    <w:p w14:paraId="70996C13"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The reform shall consist in preparing a strategy for combating financial illiteracy by: (i) identifying the issues of financial illiteracy (ii) reviewing the international literature on the topic, and (iii) providing an action plan for implementation. </w:t>
      </w:r>
    </w:p>
    <w:p w14:paraId="48D3FE7A" w14:textId="3D6803C8" w:rsidR="00B3049F" w:rsidRPr="005D2C5D" w:rsidRDefault="00B3049F" w:rsidP="00D8670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implementation of the reform shall be completed by 31</w:t>
      </w:r>
      <w:r w:rsidR="005D2C5D" w:rsidRPr="005D2C5D">
        <w:rPr>
          <w:rFonts w:ascii="Times New Roman" w:eastAsia="Times New Roman" w:hAnsi="Times New Roman" w:cs="Times New Roman"/>
          <w:noProof/>
        </w:rPr>
        <w:t> </w:t>
      </w:r>
      <w:r w:rsidRPr="000F04FA">
        <w:rPr>
          <w:rFonts w:ascii="Times New Roman" w:eastAsia="Times New Roman" w:hAnsi="Times New Roman" w:cs="Times New Roman"/>
          <w:noProof/>
        </w:rPr>
        <w:t>December</w:t>
      </w:r>
      <w:r w:rsidR="005D2C5D" w:rsidRPr="005D2C5D">
        <w:rPr>
          <w:rFonts w:ascii="Times New Roman" w:eastAsia="Times New Roman" w:hAnsi="Times New Roman" w:cs="Times New Roman"/>
          <w:noProof/>
        </w:rPr>
        <w:t> </w:t>
      </w:r>
      <w:r w:rsidRPr="000F04FA">
        <w:rPr>
          <w:rFonts w:ascii="Times New Roman" w:eastAsia="Times New Roman" w:hAnsi="Times New Roman" w:cs="Times New Roman"/>
          <w:noProof/>
        </w:rPr>
        <w:t>2023.</w:t>
      </w:r>
    </w:p>
    <w:p w14:paraId="07D6659E"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 </w:t>
      </w:r>
    </w:p>
    <w:p w14:paraId="470502F7"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 xml:space="preserve">Reform 8 (C3.5R8): Enhancing supervision of Insurance and Pension Funds </w:t>
      </w:r>
    </w:p>
    <w:p w14:paraId="264F89C9"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The objective of this reform is to enhance the supervision of the insurance and pension funds.</w:t>
      </w:r>
    </w:p>
    <w:p w14:paraId="5465A582" w14:textId="7949687F"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This measure consists in (i) the employment of additional permanent employees of the supervisory authorities, (ii) preparing and implementing tools and actions in line with the regulatory frameworks. </w:t>
      </w:r>
    </w:p>
    <w:p w14:paraId="5A8B3CA0"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b/>
          <w:bCs/>
          <w:i/>
          <w:iCs/>
          <w:noProof/>
        </w:rPr>
        <w:t xml:space="preserve"> </w:t>
      </w:r>
    </w:p>
    <w:p w14:paraId="2AA19C25"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Investment 1 (C3.5I1): Enhancement of the Supervisory Function of Cyprus Securities and Exchange Commission</w:t>
      </w:r>
    </w:p>
    <w:p w14:paraId="14EFFF00"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The objective of the measure is to enhance the supervisory capacity of Cyprus Securities and Exchange Commission (CySec) through digitalisation – allowing for better supervision of transactions. </w:t>
      </w:r>
    </w:p>
    <w:p w14:paraId="56166862"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The investment shall consist in developing an advanced digital system, based on cloud architecture, covering the supervision needs of European Market Infrastructure Regulation (EMIR)and the Securities Financing Transactions Regulation (SFTR). The new system shall support the following features: (i) connect to the European Securities and Markets Authority (ESMA) hub; load and pre-process transaction data, (ii) aggregate and perform queries on data to generate regulatory insights (iii) generate on-schedule and ad-hoc reports.</w:t>
      </w:r>
    </w:p>
    <w:p w14:paraId="34AF5916" w14:textId="7C26C983" w:rsidR="00B3049F" w:rsidRPr="005D2C5D" w:rsidRDefault="00B3049F" w:rsidP="00D8670B">
      <w:pPr>
        <w:spacing w:before="120" w:after="120"/>
        <w:jc w:val="both"/>
        <w:rPr>
          <w:rFonts w:ascii="Times New Roman" w:eastAsia="Times New Roman" w:hAnsi="Times New Roman" w:cs="Times New Roman"/>
          <w:noProof/>
        </w:rPr>
      </w:pPr>
      <w:r w:rsidRPr="000F04FA">
        <w:rPr>
          <w:rFonts w:ascii="Times New Roman" w:eastAsia="Times New Roman" w:hAnsi="Times New Roman" w:cs="Times New Roman"/>
          <w:noProof/>
        </w:rPr>
        <w:t>The implementation of the investment shall be completed by 31</w:t>
      </w:r>
      <w:r w:rsidR="005D2C5D" w:rsidRPr="005D2C5D">
        <w:rPr>
          <w:rFonts w:ascii="Times New Roman" w:eastAsia="Times New Roman" w:hAnsi="Times New Roman" w:cs="Times New Roman"/>
          <w:noProof/>
        </w:rPr>
        <w:t> </w:t>
      </w:r>
      <w:r w:rsidRPr="000F04FA">
        <w:rPr>
          <w:rFonts w:ascii="Times New Roman" w:eastAsia="Times New Roman" w:hAnsi="Times New Roman" w:cs="Times New Roman"/>
          <w:noProof/>
        </w:rPr>
        <w:t>December</w:t>
      </w:r>
      <w:r w:rsidR="005D2C5D" w:rsidRPr="005D2C5D">
        <w:rPr>
          <w:rFonts w:ascii="Times New Roman" w:eastAsia="Times New Roman" w:hAnsi="Times New Roman" w:cs="Times New Roman"/>
          <w:noProof/>
        </w:rPr>
        <w:t> </w:t>
      </w:r>
      <w:r w:rsidRPr="000F04FA">
        <w:rPr>
          <w:rFonts w:ascii="Times New Roman" w:eastAsia="Times New Roman" w:hAnsi="Times New Roman" w:cs="Times New Roman"/>
          <w:noProof/>
        </w:rPr>
        <w:t>2023.</w:t>
      </w:r>
    </w:p>
    <w:p w14:paraId="45F96088"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 </w:t>
      </w:r>
    </w:p>
    <w:p w14:paraId="0AF91C73"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b/>
          <w:bCs/>
          <w:noProof/>
          <w:u w:val="single"/>
        </w:rPr>
        <w:t>Safeguarding fiscal stability</w:t>
      </w:r>
    </w:p>
    <w:p w14:paraId="11C50F7E"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Reform 9 (C3.5R9): Digitalising tax collection</w:t>
      </w:r>
    </w:p>
    <w:p w14:paraId="4FF01297" w14:textId="77777777" w:rsidR="00B3049F" w:rsidRPr="000F04FA" w:rsidRDefault="00B3049F" w:rsidP="005D2C5D">
      <w:pPr>
        <w:spacing w:before="120" w:after="120" w:line="278" w:lineRule="auto"/>
        <w:jc w:val="both"/>
        <w:rPr>
          <w:noProof/>
        </w:rPr>
      </w:pPr>
      <w:r w:rsidRPr="000F04FA">
        <w:rPr>
          <w:rFonts w:ascii="Times New Roman" w:eastAsia="Times New Roman" w:hAnsi="Times New Roman" w:cs="Times New Roman"/>
          <w:noProof/>
        </w:rPr>
        <w:t xml:space="preserve">The objective of this reform is to make tax collection more efficient. </w:t>
      </w:r>
    </w:p>
    <w:p w14:paraId="4805FF13" w14:textId="77777777" w:rsidR="00B3049F" w:rsidRPr="000F04FA" w:rsidRDefault="00B3049F" w:rsidP="005D2C5D">
      <w:pPr>
        <w:spacing w:before="120" w:after="120" w:line="278" w:lineRule="auto"/>
        <w:jc w:val="both"/>
        <w:rPr>
          <w:noProof/>
        </w:rPr>
      </w:pPr>
      <w:r w:rsidRPr="000F04FA">
        <w:rPr>
          <w:rFonts w:ascii="Times New Roman" w:eastAsia="Times New Roman" w:hAnsi="Times New Roman" w:cs="Times New Roman"/>
          <w:noProof/>
        </w:rPr>
        <w:t>This measure consists in an IT system as a single point for taxpayer services.</w:t>
      </w:r>
    </w:p>
    <w:p w14:paraId="29175C09"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 </w:t>
      </w:r>
    </w:p>
    <w:p w14:paraId="0032A0D6"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Reform 10 (C3.5R10): Addressing Aggressive Tax Planning</w:t>
      </w:r>
    </w:p>
    <w:p w14:paraId="3150E3DF"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The objective of this reform is to combat tax evasion and aggressive tax planning by Multinational Enterprises. </w:t>
      </w:r>
    </w:p>
    <w:p w14:paraId="0742A959"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This measure consists in the entry into force of legal act(s) to address aggressive tax planning. </w:t>
      </w:r>
    </w:p>
    <w:p w14:paraId="23677A33"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 </w:t>
      </w:r>
    </w:p>
    <w:p w14:paraId="53C7B936"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u w:val="single"/>
        </w:rPr>
        <w:t>Investment 2 (C3.5I2): Modernisation of Customs and Electronic Payment System</w:t>
      </w:r>
    </w:p>
    <w:p w14:paraId="30193FC9" w14:textId="77777777" w:rsidR="00B3049F" w:rsidRPr="000F04FA" w:rsidRDefault="00B3049F" w:rsidP="00D8670B">
      <w:pPr>
        <w:spacing w:before="120" w:after="120"/>
        <w:jc w:val="both"/>
        <w:rPr>
          <w:noProof/>
        </w:rPr>
      </w:pPr>
      <w:r w:rsidRPr="000F04FA">
        <w:rPr>
          <w:rFonts w:ascii="Times New Roman" w:eastAsia="Times New Roman" w:hAnsi="Times New Roman" w:cs="Times New Roman"/>
          <w:noProof/>
        </w:rPr>
        <w:t xml:space="preserve">The objective of this investment is to simplify customs formalities and reduce the administrative cost for stakeholders. </w:t>
      </w:r>
    </w:p>
    <w:p w14:paraId="53B0BC76" w14:textId="54D4545C" w:rsidR="00B3049F" w:rsidRPr="000F04FA" w:rsidRDefault="00B3049F" w:rsidP="00D8670B">
      <w:pPr>
        <w:spacing w:before="120" w:after="120"/>
        <w:jc w:val="both"/>
        <w:rPr>
          <w:noProof/>
        </w:rPr>
      </w:pPr>
      <w:r w:rsidRPr="000F04FA">
        <w:rPr>
          <w:rFonts w:ascii="Times New Roman" w:eastAsia="Times New Roman" w:hAnsi="Times New Roman" w:cs="Times New Roman"/>
          <w:noProof/>
        </w:rPr>
        <w:t>This measure consists in information systems</w:t>
      </w:r>
      <w:r w:rsidR="00E543B8">
        <w:rPr>
          <w:rFonts w:ascii="Times New Roman" w:eastAsia="Times New Roman" w:hAnsi="Times New Roman" w:cs="Times New Roman"/>
          <w:noProof/>
        </w:rPr>
        <w:t xml:space="preserve"> or functionalities</w:t>
      </w:r>
      <w:r w:rsidR="4419CE9E" w:rsidRPr="000F04FA">
        <w:rPr>
          <w:rFonts w:ascii="Times New Roman" w:eastAsia="Times New Roman" w:hAnsi="Times New Roman" w:cs="Times New Roman"/>
          <w:noProof/>
        </w:rPr>
        <w:t>,</w:t>
      </w:r>
      <w:r w:rsidR="0091524C" w:rsidRPr="000F04FA">
        <w:rPr>
          <w:rFonts w:ascii="Times New Roman" w:eastAsia="Times New Roman" w:hAnsi="Times New Roman" w:cs="Times New Roman"/>
          <w:noProof/>
        </w:rPr>
        <w:t xml:space="preserve"> </w:t>
      </w:r>
      <w:r w:rsidRPr="000F04FA">
        <w:rPr>
          <w:rFonts w:ascii="Times New Roman" w:eastAsia="Times New Roman" w:hAnsi="Times New Roman" w:cs="Times New Roman"/>
          <w:noProof/>
        </w:rPr>
        <w:t xml:space="preserve">for which acceptance certificates have been issued. </w:t>
      </w:r>
    </w:p>
    <w:p w14:paraId="3E3AEEC8" w14:textId="77777777" w:rsidR="00B3049F" w:rsidRPr="000F04FA" w:rsidRDefault="00B3049F">
      <w:pPr>
        <w:rPr>
          <w:noProof/>
        </w:rPr>
      </w:pPr>
    </w:p>
    <w:p w14:paraId="75E7486B" w14:textId="77777777" w:rsidR="00B3049F" w:rsidRPr="000F04FA" w:rsidRDefault="00B3049F">
      <w:pPr>
        <w:rPr>
          <w:noProof/>
        </w:rPr>
        <w:sectPr w:rsidR="00B3049F" w:rsidRPr="000F04FA" w:rsidSect="00B3049F">
          <w:headerReference w:type="even" r:id="rId70"/>
          <w:headerReference w:type="default" r:id="rId71"/>
          <w:footerReference w:type="even" r:id="rId72"/>
          <w:footerReference w:type="default" r:id="rId73"/>
          <w:headerReference w:type="first" r:id="rId74"/>
          <w:footerReference w:type="first" r:id="rId75"/>
          <w:pgSz w:w="12240" w:h="15840"/>
          <w:pgMar w:top="1134" w:right="1134" w:bottom="1134" w:left="1134" w:header="720" w:footer="720" w:gutter="0"/>
          <w:cols w:space="720"/>
          <w:docGrid w:linePitch="360"/>
        </w:sectPr>
      </w:pPr>
    </w:p>
    <w:p w14:paraId="44D221F0" w14:textId="77777777" w:rsidR="00B3049F" w:rsidRPr="000F04FA" w:rsidRDefault="00B3049F" w:rsidP="00D8670B">
      <w:pPr>
        <w:spacing w:before="120" w:after="240" w:line="240" w:lineRule="auto"/>
        <w:jc w:val="both"/>
        <w:rPr>
          <w:rFonts w:ascii="Times New Roman" w:hAnsi="Times New Roman"/>
          <w:b/>
          <w:noProof/>
          <w:u w:val="single"/>
        </w:rPr>
      </w:pPr>
      <w:r w:rsidRPr="000F04FA">
        <w:rPr>
          <w:rFonts w:ascii="Times New Roman" w:hAnsi="Times New Roman"/>
          <w:b/>
          <w:noProof/>
          <w:u w:val="single"/>
        </w:rPr>
        <w:t xml:space="preserve">I.2.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653"/>
        <w:gridCol w:w="1063"/>
        <w:gridCol w:w="1463"/>
        <w:gridCol w:w="1320"/>
        <w:gridCol w:w="1451"/>
        <w:gridCol w:w="1088"/>
        <w:gridCol w:w="1048"/>
        <w:gridCol w:w="986"/>
        <w:gridCol w:w="984"/>
        <w:gridCol w:w="3260"/>
      </w:tblGrid>
      <w:tr w:rsidR="00B3049F" w:rsidRPr="005D2C5D" w14:paraId="77546FE7" w14:textId="77777777" w:rsidTr="005D2C5D">
        <w:trPr>
          <w:trHeight w:val="606"/>
          <w:tblHeader/>
          <w:jc w:val="center"/>
        </w:trPr>
        <w:tc>
          <w:tcPr>
            <w:tcW w:w="1135" w:type="dxa"/>
            <w:vMerge w:val="restart"/>
            <w:shd w:val="clear" w:color="auto" w:fill="BDD7EE"/>
            <w:vAlign w:val="center"/>
            <w:hideMark/>
          </w:tcPr>
          <w:p w14:paraId="4C6CD1C6" w14:textId="77777777" w:rsidR="00B3049F" w:rsidRPr="005D2C5D" w:rsidRDefault="00B3049F">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Sequential Number</w:t>
            </w:r>
          </w:p>
        </w:tc>
        <w:tc>
          <w:tcPr>
            <w:tcW w:w="1653" w:type="dxa"/>
            <w:vMerge w:val="restart"/>
            <w:shd w:val="clear" w:color="auto" w:fill="BDD7EE"/>
            <w:vAlign w:val="center"/>
            <w:hideMark/>
          </w:tcPr>
          <w:p w14:paraId="05B86DC1" w14:textId="77777777" w:rsidR="00B3049F" w:rsidRPr="005D2C5D" w:rsidRDefault="00B3049F">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Related Measure (Reform or Investment)</w:t>
            </w:r>
          </w:p>
        </w:tc>
        <w:tc>
          <w:tcPr>
            <w:tcW w:w="1063" w:type="dxa"/>
            <w:vMerge w:val="restart"/>
            <w:shd w:val="clear" w:color="auto" w:fill="BDD7EE"/>
            <w:vAlign w:val="center"/>
            <w:hideMark/>
          </w:tcPr>
          <w:p w14:paraId="0F5729E8" w14:textId="15FA7B65" w:rsidR="00B3049F" w:rsidRPr="005D2C5D" w:rsidRDefault="00B3049F">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Milestone/Target</w:t>
            </w:r>
          </w:p>
        </w:tc>
        <w:tc>
          <w:tcPr>
            <w:tcW w:w="1463" w:type="dxa"/>
            <w:vMerge w:val="restart"/>
            <w:shd w:val="clear" w:color="auto" w:fill="BDD7EE"/>
            <w:vAlign w:val="center"/>
            <w:hideMark/>
          </w:tcPr>
          <w:p w14:paraId="1DEF63E1" w14:textId="77777777" w:rsidR="00B3049F" w:rsidRPr="005D2C5D" w:rsidRDefault="00B3049F">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Name</w:t>
            </w:r>
          </w:p>
        </w:tc>
        <w:tc>
          <w:tcPr>
            <w:tcW w:w="1320" w:type="dxa"/>
            <w:vMerge w:val="restart"/>
            <w:shd w:val="clear" w:color="auto" w:fill="BDD7EE"/>
            <w:vAlign w:val="center"/>
            <w:hideMark/>
          </w:tcPr>
          <w:p w14:paraId="03D763DE" w14:textId="0054D9BE" w:rsidR="00B3049F" w:rsidRPr="005D2C5D" w:rsidRDefault="00B3049F">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Qualitative indicators</w:t>
            </w:r>
            <w:r w:rsidR="00064579" w:rsidRPr="005D2C5D">
              <w:rPr>
                <w:rFonts w:ascii="Times New Roman" w:hAnsi="Times New Roman" w:cs="Times New Roman"/>
                <w:b/>
                <w:noProof/>
                <w:sz w:val="18"/>
                <w:szCs w:val="18"/>
              </w:rPr>
              <w:t xml:space="preserve"> </w:t>
            </w:r>
            <w:r w:rsidRPr="005D2C5D">
              <w:rPr>
                <w:rFonts w:ascii="Times New Roman" w:hAnsi="Times New Roman" w:cs="Times New Roman"/>
                <w:noProof/>
                <w:sz w:val="18"/>
                <w:szCs w:val="18"/>
              </w:rPr>
              <w:br/>
            </w:r>
            <w:r w:rsidRPr="005D2C5D">
              <w:rPr>
                <w:rFonts w:ascii="Times New Roman" w:hAnsi="Times New Roman" w:cs="Times New Roman"/>
                <w:b/>
                <w:noProof/>
                <w:sz w:val="18"/>
                <w:szCs w:val="18"/>
              </w:rPr>
              <w:t>(for milestones)</w:t>
            </w:r>
          </w:p>
        </w:tc>
        <w:tc>
          <w:tcPr>
            <w:tcW w:w="3587" w:type="dxa"/>
            <w:gridSpan w:val="3"/>
            <w:shd w:val="clear" w:color="auto" w:fill="BDD7EE"/>
            <w:vAlign w:val="center"/>
            <w:hideMark/>
          </w:tcPr>
          <w:p w14:paraId="791EE6CE" w14:textId="62E38382" w:rsidR="00B3049F" w:rsidRPr="005D2C5D" w:rsidRDefault="00B3049F" w:rsidP="005D2C5D">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Quantitative indicators</w:t>
            </w:r>
            <w:r w:rsidR="00064579" w:rsidRPr="005D2C5D">
              <w:rPr>
                <w:rFonts w:ascii="Times New Roman" w:hAnsi="Times New Roman" w:cs="Times New Roman"/>
                <w:b/>
                <w:noProof/>
                <w:sz w:val="18"/>
                <w:szCs w:val="18"/>
              </w:rPr>
              <w:t xml:space="preserve"> </w:t>
            </w:r>
            <w:r w:rsidRPr="005D2C5D">
              <w:rPr>
                <w:rFonts w:ascii="Times New Roman" w:hAnsi="Times New Roman" w:cs="Times New Roman"/>
                <w:noProof/>
                <w:sz w:val="18"/>
                <w:szCs w:val="18"/>
              </w:rPr>
              <w:br/>
            </w:r>
            <w:r w:rsidRPr="005D2C5D">
              <w:rPr>
                <w:rFonts w:ascii="Times New Roman" w:hAnsi="Times New Roman" w:cs="Times New Roman"/>
                <w:b/>
                <w:noProof/>
                <w:sz w:val="18"/>
                <w:szCs w:val="18"/>
              </w:rPr>
              <w:t>(for targets)</w:t>
            </w:r>
          </w:p>
        </w:tc>
        <w:tc>
          <w:tcPr>
            <w:tcW w:w="1970" w:type="dxa"/>
            <w:gridSpan w:val="2"/>
            <w:shd w:val="clear" w:color="auto" w:fill="BDD7EE"/>
            <w:vAlign w:val="center"/>
          </w:tcPr>
          <w:p w14:paraId="31895EA7" w14:textId="77777777" w:rsidR="00B3049F" w:rsidRPr="005D2C5D" w:rsidRDefault="00B3049F" w:rsidP="005D2C5D">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Indicative timeline for completion</w:t>
            </w:r>
          </w:p>
        </w:tc>
        <w:tc>
          <w:tcPr>
            <w:tcW w:w="3260" w:type="dxa"/>
            <w:vMerge w:val="restart"/>
            <w:shd w:val="clear" w:color="auto" w:fill="BDD7EE"/>
            <w:vAlign w:val="center"/>
          </w:tcPr>
          <w:p w14:paraId="7E010335" w14:textId="77777777" w:rsidR="00B3049F" w:rsidRPr="005D2C5D" w:rsidRDefault="00B3049F" w:rsidP="005D2C5D">
            <w:pPr>
              <w:spacing w:after="0" w:line="240" w:lineRule="auto"/>
              <w:jc w:val="both"/>
              <w:rPr>
                <w:rFonts w:ascii="Times New Roman" w:hAnsi="Times New Roman" w:cs="Times New Roman"/>
                <w:b/>
                <w:noProof/>
                <w:sz w:val="18"/>
                <w:szCs w:val="18"/>
              </w:rPr>
            </w:pPr>
          </w:p>
          <w:p w14:paraId="07E50098" w14:textId="66D617C3" w:rsidR="005D2C5D" w:rsidRPr="005D2C5D" w:rsidRDefault="00B3049F" w:rsidP="005D2C5D">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Description of each milestone and target</w:t>
            </w:r>
          </w:p>
        </w:tc>
      </w:tr>
      <w:tr w:rsidR="00B3049F" w:rsidRPr="005D2C5D" w14:paraId="0D0437EF" w14:textId="77777777" w:rsidTr="005D2C5D">
        <w:trPr>
          <w:trHeight w:val="391"/>
          <w:tblHeader/>
          <w:jc w:val="center"/>
        </w:trPr>
        <w:tc>
          <w:tcPr>
            <w:tcW w:w="1135" w:type="dxa"/>
            <w:vMerge/>
            <w:hideMark/>
          </w:tcPr>
          <w:p w14:paraId="7D55E2F5" w14:textId="77777777" w:rsidR="00B3049F" w:rsidRPr="005D2C5D" w:rsidRDefault="00B3049F">
            <w:pPr>
              <w:spacing w:after="0" w:line="240" w:lineRule="auto"/>
              <w:rPr>
                <w:rFonts w:ascii="Times New Roman" w:hAnsi="Times New Roman" w:cs="Times New Roman"/>
                <w:b/>
                <w:noProof/>
                <w:sz w:val="18"/>
                <w:szCs w:val="18"/>
              </w:rPr>
            </w:pPr>
          </w:p>
        </w:tc>
        <w:tc>
          <w:tcPr>
            <w:tcW w:w="1653" w:type="dxa"/>
            <w:vMerge/>
            <w:hideMark/>
          </w:tcPr>
          <w:p w14:paraId="62F0BC86" w14:textId="77777777" w:rsidR="00B3049F" w:rsidRPr="005D2C5D" w:rsidRDefault="00B3049F">
            <w:pPr>
              <w:spacing w:after="0" w:line="240" w:lineRule="auto"/>
              <w:rPr>
                <w:rFonts w:ascii="Times New Roman" w:hAnsi="Times New Roman" w:cs="Times New Roman"/>
                <w:b/>
                <w:noProof/>
                <w:sz w:val="18"/>
                <w:szCs w:val="18"/>
              </w:rPr>
            </w:pPr>
          </w:p>
        </w:tc>
        <w:tc>
          <w:tcPr>
            <w:tcW w:w="1063" w:type="dxa"/>
            <w:vMerge/>
            <w:hideMark/>
          </w:tcPr>
          <w:p w14:paraId="487D53B2" w14:textId="77777777" w:rsidR="00B3049F" w:rsidRPr="005D2C5D" w:rsidRDefault="00B3049F">
            <w:pPr>
              <w:spacing w:after="0" w:line="240" w:lineRule="auto"/>
              <w:rPr>
                <w:rFonts w:ascii="Times New Roman" w:hAnsi="Times New Roman" w:cs="Times New Roman"/>
                <w:b/>
                <w:noProof/>
                <w:sz w:val="18"/>
                <w:szCs w:val="18"/>
              </w:rPr>
            </w:pPr>
          </w:p>
        </w:tc>
        <w:tc>
          <w:tcPr>
            <w:tcW w:w="1463" w:type="dxa"/>
            <w:vMerge/>
            <w:hideMark/>
          </w:tcPr>
          <w:p w14:paraId="0B00A68A" w14:textId="77777777" w:rsidR="00B3049F" w:rsidRPr="005D2C5D" w:rsidRDefault="00B3049F">
            <w:pPr>
              <w:spacing w:after="0" w:line="240" w:lineRule="auto"/>
              <w:rPr>
                <w:rFonts w:ascii="Times New Roman" w:hAnsi="Times New Roman" w:cs="Times New Roman"/>
                <w:b/>
                <w:noProof/>
                <w:sz w:val="18"/>
                <w:szCs w:val="18"/>
              </w:rPr>
            </w:pPr>
          </w:p>
        </w:tc>
        <w:tc>
          <w:tcPr>
            <w:tcW w:w="1320" w:type="dxa"/>
            <w:vMerge/>
            <w:hideMark/>
          </w:tcPr>
          <w:p w14:paraId="3301AB90" w14:textId="77777777" w:rsidR="00B3049F" w:rsidRPr="005D2C5D" w:rsidRDefault="00B3049F">
            <w:pPr>
              <w:spacing w:after="0" w:line="240" w:lineRule="auto"/>
              <w:rPr>
                <w:rFonts w:ascii="Times New Roman" w:hAnsi="Times New Roman" w:cs="Times New Roman"/>
                <w:b/>
                <w:noProof/>
                <w:sz w:val="18"/>
                <w:szCs w:val="18"/>
              </w:rPr>
            </w:pPr>
          </w:p>
        </w:tc>
        <w:tc>
          <w:tcPr>
            <w:tcW w:w="1451" w:type="dxa"/>
            <w:shd w:val="clear" w:color="auto" w:fill="BDD7EE"/>
            <w:vAlign w:val="center"/>
            <w:hideMark/>
          </w:tcPr>
          <w:p w14:paraId="621F8C53" w14:textId="77777777" w:rsidR="00B3049F" w:rsidRPr="005D2C5D" w:rsidRDefault="00B3049F" w:rsidP="005D2C5D">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Unit of measure</w:t>
            </w:r>
          </w:p>
        </w:tc>
        <w:tc>
          <w:tcPr>
            <w:tcW w:w="1088" w:type="dxa"/>
            <w:shd w:val="clear" w:color="auto" w:fill="BDD7EE"/>
            <w:vAlign w:val="center"/>
            <w:hideMark/>
          </w:tcPr>
          <w:p w14:paraId="6F574443" w14:textId="77777777" w:rsidR="00B3049F" w:rsidRPr="005D2C5D" w:rsidRDefault="00B3049F" w:rsidP="005D2C5D">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Baseline</w:t>
            </w:r>
          </w:p>
        </w:tc>
        <w:tc>
          <w:tcPr>
            <w:tcW w:w="1048" w:type="dxa"/>
            <w:shd w:val="clear" w:color="auto" w:fill="BDD7EE"/>
            <w:vAlign w:val="center"/>
            <w:hideMark/>
          </w:tcPr>
          <w:p w14:paraId="01E29EB4" w14:textId="77777777" w:rsidR="00B3049F" w:rsidRPr="005D2C5D" w:rsidRDefault="00B3049F" w:rsidP="005D2C5D">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Goal</w:t>
            </w:r>
          </w:p>
        </w:tc>
        <w:tc>
          <w:tcPr>
            <w:tcW w:w="986" w:type="dxa"/>
            <w:shd w:val="clear" w:color="auto" w:fill="BDD7EE"/>
            <w:vAlign w:val="center"/>
          </w:tcPr>
          <w:p w14:paraId="6DEF0347" w14:textId="77777777" w:rsidR="00B3049F" w:rsidRPr="005D2C5D" w:rsidRDefault="00B3049F" w:rsidP="005D2C5D">
            <w:pPr>
              <w:spacing w:after="0" w:line="240" w:lineRule="auto"/>
              <w:ind w:left="-10"/>
              <w:jc w:val="center"/>
              <w:rPr>
                <w:rFonts w:ascii="Times New Roman" w:hAnsi="Times New Roman" w:cs="Times New Roman"/>
                <w:b/>
                <w:noProof/>
                <w:sz w:val="18"/>
                <w:szCs w:val="18"/>
              </w:rPr>
            </w:pPr>
            <w:r w:rsidRPr="005D2C5D">
              <w:rPr>
                <w:rFonts w:ascii="Times New Roman" w:hAnsi="Times New Roman" w:cs="Times New Roman"/>
                <w:b/>
                <w:noProof/>
                <w:sz w:val="18"/>
                <w:szCs w:val="18"/>
              </w:rPr>
              <w:t>Quarter</w:t>
            </w:r>
          </w:p>
        </w:tc>
        <w:tc>
          <w:tcPr>
            <w:tcW w:w="984" w:type="dxa"/>
            <w:shd w:val="clear" w:color="auto" w:fill="BDD7EE"/>
            <w:vAlign w:val="center"/>
            <w:hideMark/>
          </w:tcPr>
          <w:p w14:paraId="055DBB3A" w14:textId="77777777" w:rsidR="00B3049F" w:rsidRPr="005D2C5D" w:rsidRDefault="00B3049F" w:rsidP="005D2C5D">
            <w:pPr>
              <w:spacing w:after="0" w:line="240" w:lineRule="auto"/>
              <w:jc w:val="center"/>
              <w:rPr>
                <w:rFonts w:ascii="Times New Roman" w:hAnsi="Times New Roman" w:cs="Times New Roman"/>
                <w:b/>
                <w:noProof/>
                <w:sz w:val="18"/>
                <w:szCs w:val="18"/>
              </w:rPr>
            </w:pPr>
            <w:r w:rsidRPr="005D2C5D">
              <w:rPr>
                <w:rFonts w:ascii="Times New Roman" w:hAnsi="Times New Roman" w:cs="Times New Roman"/>
                <w:b/>
                <w:noProof/>
                <w:sz w:val="18"/>
                <w:szCs w:val="18"/>
              </w:rPr>
              <w:t>Year</w:t>
            </w:r>
          </w:p>
        </w:tc>
        <w:tc>
          <w:tcPr>
            <w:tcW w:w="3260" w:type="dxa"/>
            <w:vMerge/>
          </w:tcPr>
          <w:p w14:paraId="77E450FF" w14:textId="77777777" w:rsidR="00B3049F" w:rsidRPr="005D2C5D" w:rsidRDefault="00B3049F" w:rsidP="005D2C5D">
            <w:pPr>
              <w:spacing w:after="0" w:line="240" w:lineRule="auto"/>
              <w:jc w:val="both"/>
              <w:rPr>
                <w:rFonts w:ascii="Times New Roman" w:hAnsi="Times New Roman" w:cs="Times New Roman"/>
                <w:b/>
                <w:noProof/>
                <w:sz w:val="18"/>
                <w:szCs w:val="18"/>
              </w:rPr>
            </w:pPr>
          </w:p>
        </w:tc>
      </w:tr>
      <w:tr w:rsidR="00B3049F" w:rsidRPr="005D2C5D" w14:paraId="79A05AF6" w14:textId="77777777" w:rsidTr="005D2C5D">
        <w:trPr>
          <w:trHeight w:val="300"/>
          <w:jc w:val="center"/>
        </w:trPr>
        <w:tc>
          <w:tcPr>
            <w:tcW w:w="1135" w:type="dxa"/>
            <w:shd w:val="clear" w:color="auto" w:fill="C6EFCE"/>
            <w:noWrap/>
          </w:tcPr>
          <w:p w14:paraId="75E27183" w14:textId="77777777" w:rsidR="00B3049F" w:rsidRPr="005D2C5D" w:rsidRDefault="00B3049F" w:rsidP="00D8670B">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191a</w:t>
            </w:r>
          </w:p>
        </w:tc>
        <w:tc>
          <w:tcPr>
            <w:tcW w:w="1653" w:type="dxa"/>
            <w:shd w:val="clear" w:color="auto" w:fill="C6EFCE"/>
            <w:noWrap/>
          </w:tcPr>
          <w:p w14:paraId="0B299672"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C3.5R11</w:t>
            </w:r>
          </w:p>
          <w:p w14:paraId="557D3D99" w14:textId="1F5FD056" w:rsidR="00B3049F" w:rsidRPr="005D2C5D" w:rsidRDefault="00B3049F">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Legal framework for a National Sanctions Implementation Unit</w:t>
            </w:r>
            <w:r w:rsidR="00064579" w:rsidRPr="005D2C5D">
              <w:rPr>
                <w:rFonts w:ascii="Times New Roman" w:hAnsi="Times New Roman" w:cs="Times New Roman"/>
                <w:noProof/>
                <w:sz w:val="18"/>
                <w:szCs w:val="18"/>
              </w:rPr>
              <w:t xml:space="preserve"> </w:t>
            </w:r>
          </w:p>
        </w:tc>
        <w:tc>
          <w:tcPr>
            <w:tcW w:w="1063" w:type="dxa"/>
            <w:shd w:val="clear" w:color="auto" w:fill="C6EFCE"/>
            <w:noWrap/>
          </w:tcPr>
          <w:p w14:paraId="40B0FA89" w14:textId="77777777" w:rsidR="00B3049F" w:rsidRPr="005D2C5D" w:rsidRDefault="00B3049F">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6EFCE"/>
            <w:noWrap/>
          </w:tcPr>
          <w:p w14:paraId="60883F72" w14:textId="516AB105" w:rsidR="00B3049F" w:rsidRPr="005D2C5D" w:rsidRDefault="00B3049F">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Legal framework for a National Sanctions Implementation Unit</w:t>
            </w:r>
            <w:r w:rsidR="00064579" w:rsidRPr="005D2C5D">
              <w:rPr>
                <w:rFonts w:ascii="Times New Roman" w:hAnsi="Times New Roman" w:cs="Times New Roman"/>
                <w:noProof/>
                <w:sz w:val="18"/>
                <w:szCs w:val="18"/>
              </w:rPr>
              <w:t xml:space="preserve"> </w:t>
            </w:r>
          </w:p>
        </w:tc>
        <w:tc>
          <w:tcPr>
            <w:tcW w:w="1320" w:type="dxa"/>
            <w:shd w:val="clear" w:color="auto" w:fill="C6EFCE"/>
            <w:noWrap/>
          </w:tcPr>
          <w:p w14:paraId="4BB89915" w14:textId="0A9B66B8" w:rsidR="00B3049F" w:rsidRPr="005D2C5D" w:rsidRDefault="00B3049F" w:rsidP="005B736A">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w:t>
            </w:r>
            <w:r w:rsidRPr="005D2C5D">
              <w:rPr>
                <w:rFonts w:ascii="Times New Roman" w:eastAsia="Calibri" w:hAnsi="Times New Roman" w:cs="Times New Roman"/>
                <w:noProof/>
                <w:sz w:val="18"/>
                <w:szCs w:val="18"/>
              </w:rPr>
              <w:t>of the</w:t>
            </w:r>
            <w:r w:rsidR="00064579" w:rsidRPr="005D2C5D">
              <w:rPr>
                <w:rFonts w:ascii="Times New Roman" w:eastAsia="Calibri" w:hAnsi="Times New Roman" w:cs="Times New Roman"/>
                <w:noProof/>
                <w:sz w:val="18"/>
                <w:szCs w:val="18"/>
              </w:rPr>
              <w:t xml:space="preserve"> </w:t>
            </w:r>
            <w:r w:rsidRPr="005D2C5D">
              <w:rPr>
                <w:rFonts w:ascii="Times New Roman" w:eastAsia="Calibri" w:hAnsi="Times New Roman" w:cs="Times New Roman"/>
                <w:noProof/>
                <w:sz w:val="18"/>
                <w:szCs w:val="18"/>
              </w:rPr>
              <w:t>legal act(s)</w:t>
            </w:r>
          </w:p>
        </w:tc>
        <w:tc>
          <w:tcPr>
            <w:tcW w:w="1451" w:type="dxa"/>
            <w:shd w:val="clear" w:color="auto" w:fill="C6EFCE"/>
            <w:noWrap/>
          </w:tcPr>
          <w:p w14:paraId="03D59DB0" w14:textId="77777777" w:rsidR="00B3049F" w:rsidRPr="005D2C5D" w:rsidRDefault="00B3049F" w:rsidP="005D2C5D">
            <w:pPr>
              <w:spacing w:line="240" w:lineRule="auto"/>
              <w:jc w:val="center"/>
              <w:rPr>
                <w:rFonts w:ascii="Times New Roman" w:hAnsi="Times New Roman" w:cs="Times New Roman"/>
                <w:noProof/>
                <w:sz w:val="18"/>
                <w:szCs w:val="18"/>
              </w:rPr>
            </w:pPr>
          </w:p>
        </w:tc>
        <w:tc>
          <w:tcPr>
            <w:tcW w:w="1088" w:type="dxa"/>
            <w:shd w:val="clear" w:color="auto" w:fill="C6EFCE"/>
            <w:noWrap/>
          </w:tcPr>
          <w:p w14:paraId="350F215C" w14:textId="77777777" w:rsidR="00B3049F" w:rsidRPr="005D2C5D" w:rsidRDefault="00B3049F" w:rsidP="005D2C5D">
            <w:pPr>
              <w:spacing w:line="240" w:lineRule="auto"/>
              <w:jc w:val="center"/>
              <w:rPr>
                <w:rFonts w:ascii="Times New Roman" w:hAnsi="Times New Roman" w:cs="Times New Roman"/>
                <w:noProof/>
                <w:sz w:val="18"/>
                <w:szCs w:val="18"/>
              </w:rPr>
            </w:pPr>
          </w:p>
        </w:tc>
        <w:tc>
          <w:tcPr>
            <w:tcW w:w="1048" w:type="dxa"/>
            <w:shd w:val="clear" w:color="auto" w:fill="C6EFCE"/>
            <w:noWrap/>
          </w:tcPr>
          <w:p w14:paraId="207F97A5" w14:textId="77777777" w:rsidR="00B3049F" w:rsidRPr="005D2C5D" w:rsidRDefault="00B3049F" w:rsidP="005D2C5D">
            <w:pPr>
              <w:spacing w:line="240" w:lineRule="auto"/>
              <w:jc w:val="center"/>
              <w:rPr>
                <w:rFonts w:ascii="Times New Roman" w:hAnsi="Times New Roman" w:cs="Times New Roman"/>
                <w:noProof/>
                <w:sz w:val="18"/>
                <w:szCs w:val="18"/>
              </w:rPr>
            </w:pPr>
          </w:p>
        </w:tc>
        <w:tc>
          <w:tcPr>
            <w:tcW w:w="986" w:type="dxa"/>
            <w:shd w:val="clear" w:color="auto" w:fill="C6EFCE"/>
          </w:tcPr>
          <w:p w14:paraId="59E96AE2" w14:textId="77777777" w:rsidR="00B3049F" w:rsidRPr="005D2C5D" w:rsidRDefault="00B3049F" w:rsidP="005D2C5D">
            <w:pPr>
              <w:spacing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6EFCE"/>
            <w:noWrap/>
          </w:tcPr>
          <w:p w14:paraId="6AB6470D" w14:textId="77777777" w:rsidR="00B3049F" w:rsidRPr="005D2C5D" w:rsidRDefault="00B3049F" w:rsidP="005D2C5D">
            <w:pPr>
              <w:spacing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2025</w:t>
            </w:r>
          </w:p>
        </w:tc>
        <w:tc>
          <w:tcPr>
            <w:tcW w:w="3260" w:type="dxa"/>
            <w:shd w:val="clear" w:color="auto" w:fill="C6EFCE"/>
          </w:tcPr>
          <w:p w14:paraId="6DD0AD97" w14:textId="77777777" w:rsidR="00B3049F" w:rsidRPr="005D2C5D" w:rsidRDefault="00B3049F" w:rsidP="005D2C5D">
            <w:pPr>
              <w:spacing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Entry into force of legal act(s) establishing the legal framework for a National Sanctions Implementation Unit.</w:t>
            </w:r>
          </w:p>
        </w:tc>
      </w:tr>
      <w:tr w:rsidR="00B3049F" w:rsidRPr="005D2C5D" w14:paraId="3B9F1202" w14:textId="77777777" w:rsidTr="005D2C5D">
        <w:trPr>
          <w:trHeight w:val="309"/>
          <w:jc w:val="center"/>
        </w:trPr>
        <w:tc>
          <w:tcPr>
            <w:tcW w:w="1135" w:type="dxa"/>
            <w:shd w:val="clear" w:color="auto" w:fill="C1F0C7" w:themeFill="accent3" w:themeFillTint="33"/>
            <w:noWrap/>
          </w:tcPr>
          <w:p w14:paraId="17CE78C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192</w:t>
            </w:r>
          </w:p>
        </w:tc>
        <w:tc>
          <w:tcPr>
            <w:tcW w:w="1653" w:type="dxa"/>
            <w:shd w:val="clear" w:color="auto" w:fill="C1F0C7" w:themeFill="accent3" w:themeFillTint="33"/>
            <w:noWrap/>
          </w:tcPr>
          <w:p w14:paraId="66FCCD19"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C3.5R2 Framework and Action Plan for addressing NPLs</w:t>
            </w:r>
          </w:p>
        </w:tc>
        <w:tc>
          <w:tcPr>
            <w:tcW w:w="1063" w:type="dxa"/>
            <w:shd w:val="clear" w:color="auto" w:fill="C1F0C7" w:themeFill="accent3" w:themeFillTint="33"/>
            <w:noWrap/>
          </w:tcPr>
          <w:p w14:paraId="0B55319F"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5E5D45B3"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Entry into force of the package of amending laws regarding credit acquiring companies (CAC) and credit servicers to improve the working environment for non-performing loans management</w:t>
            </w:r>
          </w:p>
        </w:tc>
        <w:tc>
          <w:tcPr>
            <w:tcW w:w="1320" w:type="dxa"/>
            <w:shd w:val="clear" w:color="auto" w:fill="C1F0C7" w:themeFill="accent3" w:themeFillTint="33"/>
            <w:noWrap/>
          </w:tcPr>
          <w:p w14:paraId="3B47D2EC"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Provision in the law indicating the entry into force of the respective laws</w:t>
            </w:r>
          </w:p>
        </w:tc>
        <w:tc>
          <w:tcPr>
            <w:tcW w:w="1451" w:type="dxa"/>
            <w:shd w:val="clear" w:color="auto" w:fill="C1F0C7" w:themeFill="accent3" w:themeFillTint="33"/>
            <w:noWrap/>
          </w:tcPr>
          <w:p w14:paraId="4D737AF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6241C17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0FA769E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249709A1"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5159343D"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2021</w:t>
            </w:r>
          </w:p>
        </w:tc>
        <w:tc>
          <w:tcPr>
            <w:tcW w:w="3260" w:type="dxa"/>
            <w:shd w:val="clear" w:color="auto" w:fill="C1F0C7" w:themeFill="accent3" w:themeFillTint="33"/>
          </w:tcPr>
          <w:p w14:paraId="6635DE53" w14:textId="6920A788"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Entry into force of the following three laws:</w:t>
            </w:r>
            <w:r w:rsidR="00064579" w:rsidRPr="005D2C5D">
              <w:rPr>
                <w:rFonts w:ascii="Times New Roman" w:hAnsi="Times New Roman" w:cs="Times New Roman"/>
                <w:noProof/>
                <w:sz w:val="18"/>
                <w:szCs w:val="18"/>
              </w:rPr>
              <w:t xml:space="preserve"> </w:t>
            </w:r>
            <w:r w:rsidRPr="005D2C5D">
              <w:rPr>
                <w:rFonts w:ascii="Times New Roman" w:hAnsi="Times New Roman" w:cs="Times New Roman"/>
                <w:noProof/>
                <w:sz w:val="18"/>
                <w:szCs w:val="18"/>
              </w:rPr>
              <w:br/>
              <w:t xml:space="preserve">(a) The Credit Facilities Purchase and Related Matters (Amending) Law of 2021, which shall put non-performing loan servicers under regulation and supervision by the Central Bank; </w:t>
            </w:r>
            <w:r w:rsidRPr="005D2C5D">
              <w:rPr>
                <w:rFonts w:ascii="Times New Roman" w:hAnsi="Times New Roman" w:cs="Times New Roman"/>
                <w:noProof/>
                <w:sz w:val="18"/>
                <w:szCs w:val="18"/>
              </w:rPr>
              <w:br/>
              <w:t>(b) The Immovable Property (Transfer, Registration and Valuation) (Amending) Law of 2021, which shall give access for non-performing loan servicers and credit acquiring companies to the Land Registry</w:t>
            </w:r>
            <w:r w:rsidR="00064579" w:rsidRPr="005D2C5D">
              <w:rPr>
                <w:rFonts w:ascii="Times New Roman" w:hAnsi="Times New Roman" w:cs="Times New Roman"/>
                <w:noProof/>
                <w:sz w:val="18"/>
                <w:szCs w:val="18"/>
              </w:rPr>
              <w:t xml:space="preserve"> </w:t>
            </w:r>
            <w:r w:rsidRPr="005D2C5D">
              <w:rPr>
                <w:rFonts w:ascii="Times New Roman" w:hAnsi="Times New Roman" w:cs="Times New Roman"/>
                <w:noProof/>
                <w:sz w:val="18"/>
                <w:szCs w:val="18"/>
              </w:rPr>
              <w:br/>
              <w:t>(c) Evidence (Amending) Law 2020, which shall align notification requirements in case of purchase of a loan by a credit acquiring company.</w:t>
            </w:r>
          </w:p>
        </w:tc>
      </w:tr>
      <w:tr w:rsidR="00B3049F" w:rsidRPr="005D2C5D" w14:paraId="111A1839" w14:textId="77777777" w:rsidTr="005D2C5D">
        <w:trPr>
          <w:trHeight w:val="309"/>
          <w:jc w:val="center"/>
        </w:trPr>
        <w:tc>
          <w:tcPr>
            <w:tcW w:w="1135" w:type="dxa"/>
            <w:shd w:val="clear" w:color="auto" w:fill="C1F0C7" w:themeFill="accent3" w:themeFillTint="33"/>
            <w:noWrap/>
          </w:tcPr>
          <w:p w14:paraId="6082BA3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193</w:t>
            </w:r>
          </w:p>
        </w:tc>
        <w:tc>
          <w:tcPr>
            <w:tcW w:w="1653" w:type="dxa"/>
            <w:shd w:val="clear" w:color="auto" w:fill="C1F0C7" w:themeFill="accent3" w:themeFillTint="33"/>
            <w:noWrap/>
          </w:tcPr>
          <w:p w14:paraId="122F4BA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C3.5R3 </w:t>
            </w:r>
          </w:p>
          <w:p w14:paraId="3B76979E"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Strategy for addressing inadequacies of the property transaction system (title deeds)</w:t>
            </w:r>
          </w:p>
        </w:tc>
        <w:tc>
          <w:tcPr>
            <w:tcW w:w="1063" w:type="dxa"/>
            <w:shd w:val="clear" w:color="auto" w:fill="C1F0C7" w:themeFill="accent3" w:themeFillTint="33"/>
            <w:noWrap/>
          </w:tcPr>
          <w:p w14:paraId="4FA36097"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Target</w:t>
            </w:r>
          </w:p>
        </w:tc>
        <w:tc>
          <w:tcPr>
            <w:tcW w:w="1463" w:type="dxa"/>
            <w:shd w:val="clear" w:color="auto" w:fill="C1F0C7" w:themeFill="accent3" w:themeFillTint="33"/>
            <w:noWrap/>
          </w:tcPr>
          <w:p w14:paraId="49BD52AD"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Reduction of backlog of cases for issuance of title deed either by issuing title deeds or by rejecting the case</w:t>
            </w:r>
          </w:p>
        </w:tc>
        <w:tc>
          <w:tcPr>
            <w:tcW w:w="1320" w:type="dxa"/>
            <w:shd w:val="clear" w:color="auto" w:fill="C1F0C7" w:themeFill="accent3" w:themeFillTint="33"/>
            <w:noWrap/>
          </w:tcPr>
          <w:p w14:paraId="7F199E2C"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451" w:type="dxa"/>
            <w:shd w:val="clear" w:color="auto" w:fill="C1F0C7" w:themeFill="accent3" w:themeFillTint="33"/>
            <w:noWrap/>
          </w:tcPr>
          <w:p w14:paraId="14D5EA55"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 (Percentage)</w:t>
            </w:r>
          </w:p>
        </w:tc>
        <w:tc>
          <w:tcPr>
            <w:tcW w:w="1088" w:type="dxa"/>
            <w:shd w:val="clear" w:color="auto" w:fill="C1F0C7" w:themeFill="accent3" w:themeFillTint="33"/>
            <w:noWrap/>
          </w:tcPr>
          <w:p w14:paraId="6D8B8B87"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0</w:t>
            </w:r>
          </w:p>
        </w:tc>
        <w:tc>
          <w:tcPr>
            <w:tcW w:w="1048" w:type="dxa"/>
            <w:shd w:val="clear" w:color="auto" w:fill="C1F0C7" w:themeFill="accent3" w:themeFillTint="33"/>
            <w:noWrap/>
          </w:tcPr>
          <w:p w14:paraId="1D74B34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80</w:t>
            </w:r>
          </w:p>
        </w:tc>
        <w:tc>
          <w:tcPr>
            <w:tcW w:w="986" w:type="dxa"/>
            <w:shd w:val="clear" w:color="auto" w:fill="C1F0C7" w:themeFill="accent3" w:themeFillTint="33"/>
          </w:tcPr>
          <w:p w14:paraId="210E80BD"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Q2</w:t>
            </w:r>
          </w:p>
        </w:tc>
        <w:tc>
          <w:tcPr>
            <w:tcW w:w="984" w:type="dxa"/>
            <w:shd w:val="clear" w:color="auto" w:fill="C1F0C7" w:themeFill="accent3" w:themeFillTint="33"/>
            <w:noWrap/>
          </w:tcPr>
          <w:p w14:paraId="446D9340"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2023</w:t>
            </w:r>
          </w:p>
        </w:tc>
        <w:tc>
          <w:tcPr>
            <w:tcW w:w="3260" w:type="dxa"/>
            <w:shd w:val="clear" w:color="auto" w:fill="C1F0C7" w:themeFill="accent3" w:themeFillTint="33"/>
          </w:tcPr>
          <w:p w14:paraId="3AB6C7C1" w14:textId="2D06BEBE"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Reduction of backlog of pending cases for issuance of title deeds either by issuing title deeds (the legal document constituting the evidence of a right to the ownership of a property) or by rejecting the case. Title deeds for 1 050 developments are pending for </w:t>
            </w:r>
            <w:r w:rsidR="005D2C5D" w:rsidRPr="005D2C5D">
              <w:rPr>
                <w:rFonts w:ascii="Times New Roman" w:hAnsi="Times New Roman" w:cs="Times New Roman"/>
                <w:noProof/>
                <w:sz w:val="18"/>
                <w:szCs w:val="18"/>
              </w:rPr>
              <w:t>assessment</w:t>
            </w:r>
            <w:r w:rsidRPr="005D2C5D">
              <w:rPr>
                <w:rFonts w:ascii="Times New Roman" w:hAnsi="Times New Roman" w:cs="Times New Roman"/>
                <w:noProof/>
                <w:sz w:val="18"/>
                <w:szCs w:val="18"/>
              </w:rPr>
              <w:t>, corresponding to 20 000 title deeds. Of this total of 20 000 pending title deeds, 80% shall be resolved resulting either to the issuance of title deeds or to a rejection of the case.</w:t>
            </w:r>
          </w:p>
        </w:tc>
      </w:tr>
      <w:tr w:rsidR="00B3049F" w:rsidRPr="005D2C5D" w14:paraId="23117737" w14:textId="77777777" w:rsidTr="005D2C5D">
        <w:trPr>
          <w:trHeight w:val="309"/>
          <w:jc w:val="center"/>
        </w:trPr>
        <w:tc>
          <w:tcPr>
            <w:tcW w:w="1135" w:type="dxa"/>
            <w:shd w:val="clear" w:color="auto" w:fill="C1F0C7" w:themeFill="accent3" w:themeFillTint="33"/>
            <w:noWrap/>
          </w:tcPr>
          <w:p w14:paraId="312005C5"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194</w:t>
            </w:r>
          </w:p>
        </w:tc>
        <w:tc>
          <w:tcPr>
            <w:tcW w:w="1653" w:type="dxa"/>
            <w:shd w:val="clear" w:color="auto" w:fill="C1F0C7" w:themeFill="accent3" w:themeFillTint="33"/>
            <w:noWrap/>
          </w:tcPr>
          <w:p w14:paraId="348A1FD9"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C3.5R3</w:t>
            </w:r>
          </w:p>
          <w:p w14:paraId="31F49409"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Strategy for addressing inadequacies of the property transaction system (title deeds)</w:t>
            </w:r>
          </w:p>
        </w:tc>
        <w:tc>
          <w:tcPr>
            <w:tcW w:w="1063" w:type="dxa"/>
            <w:shd w:val="clear" w:color="auto" w:fill="C1F0C7" w:themeFill="accent3" w:themeFillTint="33"/>
            <w:noWrap/>
          </w:tcPr>
          <w:p w14:paraId="0EDFECB2"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3F8830D2"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Extension of the New Planning and Building Permit Policy </w:t>
            </w:r>
          </w:p>
        </w:tc>
        <w:tc>
          <w:tcPr>
            <w:tcW w:w="1320" w:type="dxa"/>
            <w:shd w:val="clear" w:color="auto" w:fill="C1F0C7" w:themeFill="accent3" w:themeFillTint="33"/>
            <w:noWrap/>
          </w:tcPr>
          <w:p w14:paraId="66C5BF0E"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Decree issued by the Minister of Interior</w:t>
            </w:r>
          </w:p>
        </w:tc>
        <w:tc>
          <w:tcPr>
            <w:tcW w:w="1451" w:type="dxa"/>
            <w:shd w:val="clear" w:color="auto" w:fill="C1F0C7" w:themeFill="accent3" w:themeFillTint="33"/>
            <w:noWrap/>
          </w:tcPr>
          <w:p w14:paraId="4B3F62F6"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59C4604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5DADF5EE"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75C0948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780E3263"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2022</w:t>
            </w:r>
          </w:p>
        </w:tc>
        <w:tc>
          <w:tcPr>
            <w:tcW w:w="3260" w:type="dxa"/>
            <w:shd w:val="clear" w:color="auto" w:fill="C1F0C7" w:themeFill="accent3" w:themeFillTint="33"/>
          </w:tcPr>
          <w:p w14:paraId="53B00736"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Extension of the New Planning and Building Permit Policy for up to four residential units in residential plots. The Policy provides the possibility to submit applications electronically and introduces fixed deadlines to grant planning and building permits (ten to twenty days). </w:t>
            </w:r>
          </w:p>
        </w:tc>
      </w:tr>
      <w:tr w:rsidR="00B3049F" w:rsidRPr="005D2C5D" w14:paraId="72723064" w14:textId="77777777" w:rsidTr="005D2C5D">
        <w:trPr>
          <w:trHeight w:val="309"/>
          <w:jc w:val="center"/>
        </w:trPr>
        <w:tc>
          <w:tcPr>
            <w:tcW w:w="1135" w:type="dxa"/>
            <w:shd w:val="clear" w:color="auto" w:fill="C1F0C7" w:themeFill="accent3" w:themeFillTint="33"/>
            <w:noWrap/>
          </w:tcPr>
          <w:p w14:paraId="70172F3A"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195</w:t>
            </w:r>
          </w:p>
        </w:tc>
        <w:tc>
          <w:tcPr>
            <w:tcW w:w="1653" w:type="dxa"/>
            <w:shd w:val="clear" w:color="auto" w:fill="C1F0C7" w:themeFill="accent3" w:themeFillTint="33"/>
            <w:noWrap/>
          </w:tcPr>
          <w:p w14:paraId="447BB16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C3.5R3 </w:t>
            </w:r>
          </w:p>
          <w:p w14:paraId="585123C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Strategy for addressing inadequacies of the property transaction system (title deeds)</w:t>
            </w:r>
          </w:p>
        </w:tc>
        <w:tc>
          <w:tcPr>
            <w:tcW w:w="1063" w:type="dxa"/>
            <w:shd w:val="clear" w:color="auto" w:fill="C1F0C7" w:themeFill="accent3" w:themeFillTint="33"/>
            <w:noWrap/>
          </w:tcPr>
          <w:p w14:paraId="3BD5F942"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1AC837C3"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the amendment of the Sale of Property (Specific Performance) Law </w:t>
            </w:r>
          </w:p>
        </w:tc>
        <w:tc>
          <w:tcPr>
            <w:tcW w:w="1320" w:type="dxa"/>
            <w:shd w:val="clear" w:color="auto" w:fill="C1F0C7" w:themeFill="accent3" w:themeFillTint="33"/>
            <w:noWrap/>
          </w:tcPr>
          <w:p w14:paraId="0E100511"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Provision in the law indicating the entry into force of the amended Sale of Property (Specific Performance) Law</w:t>
            </w:r>
          </w:p>
        </w:tc>
        <w:tc>
          <w:tcPr>
            <w:tcW w:w="1451" w:type="dxa"/>
            <w:shd w:val="clear" w:color="auto" w:fill="C1F0C7" w:themeFill="accent3" w:themeFillTint="33"/>
            <w:noWrap/>
          </w:tcPr>
          <w:p w14:paraId="179F0CC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4BB92F10"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1A4F68AF"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736FBC51"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209858DA"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2022</w:t>
            </w:r>
          </w:p>
        </w:tc>
        <w:tc>
          <w:tcPr>
            <w:tcW w:w="3260" w:type="dxa"/>
            <w:shd w:val="clear" w:color="auto" w:fill="C1F0C7" w:themeFill="accent3" w:themeFillTint="33"/>
          </w:tcPr>
          <w:p w14:paraId="0F956C8E"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Entry into force of the amended Sale of Property (Specific Performance) Law to safeguard the buyers interests in advance. The amendment shall allow for transfer of Title Deeds, under full safety and legal certainty, while minimizing operational costs and delays through checks at a preliminary stage to identify specific obstacles to the transfer before the payment of the purchase price. The aim is to create a mechanism to safeguard the interests of the buyers of immovable property and ensure in advance that the transfer of immovable property shall be executed as soon as the buyer fulfils his/her contractual obligations.</w:t>
            </w:r>
          </w:p>
        </w:tc>
      </w:tr>
      <w:tr w:rsidR="00B3049F" w:rsidRPr="005D2C5D" w14:paraId="5BE18AE7" w14:textId="77777777" w:rsidTr="005D2C5D">
        <w:trPr>
          <w:trHeight w:val="309"/>
          <w:jc w:val="center"/>
        </w:trPr>
        <w:tc>
          <w:tcPr>
            <w:tcW w:w="1135" w:type="dxa"/>
            <w:shd w:val="clear" w:color="auto" w:fill="C1F0C7" w:themeFill="accent3" w:themeFillTint="33"/>
            <w:noWrap/>
          </w:tcPr>
          <w:p w14:paraId="21B75DFF"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196</w:t>
            </w:r>
          </w:p>
        </w:tc>
        <w:tc>
          <w:tcPr>
            <w:tcW w:w="1653" w:type="dxa"/>
            <w:shd w:val="clear" w:color="auto" w:fill="C1F0C7" w:themeFill="accent3" w:themeFillTint="33"/>
            <w:noWrap/>
          </w:tcPr>
          <w:p w14:paraId="129DC83F"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C3.5R3 </w:t>
            </w:r>
          </w:p>
          <w:p w14:paraId="4A17CCBD"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Strategy for addressing inadequacies of the property transaction system (title deeds)</w:t>
            </w:r>
          </w:p>
        </w:tc>
        <w:tc>
          <w:tcPr>
            <w:tcW w:w="1063" w:type="dxa"/>
            <w:shd w:val="clear" w:color="auto" w:fill="C1F0C7" w:themeFill="accent3" w:themeFillTint="33"/>
            <w:noWrap/>
          </w:tcPr>
          <w:p w14:paraId="0E163CD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0627BC5A"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Review of the Streets and Building Law </w:t>
            </w:r>
          </w:p>
        </w:tc>
        <w:tc>
          <w:tcPr>
            <w:tcW w:w="1320" w:type="dxa"/>
            <w:shd w:val="clear" w:color="auto" w:fill="C1F0C7" w:themeFill="accent3" w:themeFillTint="33"/>
            <w:noWrap/>
          </w:tcPr>
          <w:p w14:paraId="3D71726E"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Provision in the law indicating the entry into force of the amended Streets and Building Law</w:t>
            </w:r>
          </w:p>
        </w:tc>
        <w:tc>
          <w:tcPr>
            <w:tcW w:w="1451" w:type="dxa"/>
            <w:shd w:val="clear" w:color="auto" w:fill="C1F0C7" w:themeFill="accent3" w:themeFillTint="33"/>
            <w:noWrap/>
          </w:tcPr>
          <w:p w14:paraId="443FC67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5DADC1A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6DEA4E19"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50C304A6"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64963FFA"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2023</w:t>
            </w:r>
          </w:p>
        </w:tc>
        <w:tc>
          <w:tcPr>
            <w:tcW w:w="3260" w:type="dxa"/>
            <w:shd w:val="clear" w:color="auto" w:fill="C1F0C7" w:themeFill="accent3" w:themeFillTint="33"/>
          </w:tcPr>
          <w:p w14:paraId="73213455"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Entry into force of the Streets and Building Law which shall introduce the right incentives for the supervising engineer to (i) oversee the project development in accordance with the permit issued, to further discourage irregularities that would result in title deeds not being issued and (ii) submit to the competent authority a certificate confirming the completion of work in line with the permit issued.</w:t>
            </w:r>
          </w:p>
        </w:tc>
      </w:tr>
      <w:tr w:rsidR="00B3049F" w:rsidRPr="005D2C5D" w14:paraId="467E7433" w14:textId="77777777" w:rsidTr="005D2C5D">
        <w:trPr>
          <w:trHeight w:val="309"/>
          <w:jc w:val="center"/>
        </w:trPr>
        <w:tc>
          <w:tcPr>
            <w:tcW w:w="1135" w:type="dxa"/>
            <w:shd w:val="clear" w:color="auto" w:fill="C1F0C7" w:themeFill="accent3" w:themeFillTint="33"/>
            <w:noWrap/>
          </w:tcPr>
          <w:p w14:paraId="769A9AA7"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197</w:t>
            </w:r>
          </w:p>
        </w:tc>
        <w:tc>
          <w:tcPr>
            <w:tcW w:w="1653" w:type="dxa"/>
            <w:shd w:val="clear" w:color="auto" w:fill="C1F0C7" w:themeFill="accent3" w:themeFillTint="33"/>
            <w:noWrap/>
          </w:tcPr>
          <w:p w14:paraId="242BF799"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C3.5R4 </w:t>
            </w:r>
          </w:p>
          <w:p w14:paraId="45C67708"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New legal framework and system of exchange of data and credit bureau</w:t>
            </w:r>
          </w:p>
        </w:tc>
        <w:tc>
          <w:tcPr>
            <w:tcW w:w="1063" w:type="dxa"/>
            <w:shd w:val="clear" w:color="auto" w:fill="C1F0C7" w:themeFill="accent3" w:themeFillTint="33"/>
            <w:noWrap/>
          </w:tcPr>
          <w:p w14:paraId="69D14E9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1DBFD04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Entry into force of the framework and system of exchange of data legislation</w:t>
            </w:r>
          </w:p>
        </w:tc>
        <w:tc>
          <w:tcPr>
            <w:tcW w:w="1320" w:type="dxa"/>
            <w:shd w:val="clear" w:color="auto" w:fill="C1F0C7" w:themeFill="accent3" w:themeFillTint="33"/>
            <w:noWrap/>
          </w:tcPr>
          <w:p w14:paraId="62A688E3"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Provision in the legislation indicating the entry into force of the legislation</w:t>
            </w:r>
          </w:p>
        </w:tc>
        <w:tc>
          <w:tcPr>
            <w:tcW w:w="1451" w:type="dxa"/>
            <w:shd w:val="clear" w:color="auto" w:fill="C1F0C7" w:themeFill="accent3" w:themeFillTint="33"/>
            <w:noWrap/>
          </w:tcPr>
          <w:p w14:paraId="29DE5CC9"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529A4936"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03F76D5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462987F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Q1</w:t>
            </w:r>
          </w:p>
        </w:tc>
        <w:tc>
          <w:tcPr>
            <w:tcW w:w="984" w:type="dxa"/>
            <w:shd w:val="clear" w:color="auto" w:fill="C1F0C7" w:themeFill="accent3" w:themeFillTint="33"/>
            <w:noWrap/>
          </w:tcPr>
          <w:p w14:paraId="4251791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2023</w:t>
            </w:r>
          </w:p>
        </w:tc>
        <w:tc>
          <w:tcPr>
            <w:tcW w:w="3260" w:type="dxa"/>
            <w:shd w:val="clear" w:color="auto" w:fill="C1F0C7" w:themeFill="accent3" w:themeFillTint="33"/>
          </w:tcPr>
          <w:p w14:paraId="4A9EBB26"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Entry into force of the legislation on the framework and system of exchange of data by ARTEMIS credit bureau, which shall eliminate impediments in the current framework so as to allow it to provide credit scoring services. The main elements of the amendment shall be to broaden the supervisory role of the Central Bank of Cyprus, to maintain a duty to collect data for credit facilities by credit institutions and other creditors, to provide Insolvency Department data, and to define the terms and conditions of access to data and its protection.</w:t>
            </w:r>
          </w:p>
        </w:tc>
      </w:tr>
      <w:tr w:rsidR="00B3049F" w:rsidRPr="005D2C5D" w14:paraId="5037D1BD" w14:textId="77777777" w:rsidTr="00600EF8">
        <w:trPr>
          <w:trHeight w:val="309"/>
          <w:jc w:val="center"/>
        </w:trPr>
        <w:tc>
          <w:tcPr>
            <w:tcW w:w="1135" w:type="dxa"/>
            <w:shd w:val="clear" w:color="auto" w:fill="C1F0C7" w:themeFill="accent3" w:themeFillTint="33"/>
            <w:noWrap/>
          </w:tcPr>
          <w:p w14:paraId="7C3CA8BB" w14:textId="77777777"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198</w:t>
            </w:r>
          </w:p>
        </w:tc>
        <w:tc>
          <w:tcPr>
            <w:tcW w:w="1653" w:type="dxa"/>
            <w:shd w:val="clear" w:color="auto" w:fill="C1F0C7" w:themeFill="accent3" w:themeFillTint="33"/>
            <w:noWrap/>
          </w:tcPr>
          <w:p w14:paraId="3E2216D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C3.5R4 </w:t>
            </w:r>
          </w:p>
          <w:p w14:paraId="3CD2977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Digital system for the exchange of data and the provision of credit scoring services</w:t>
            </w:r>
          </w:p>
        </w:tc>
        <w:tc>
          <w:tcPr>
            <w:tcW w:w="1063" w:type="dxa"/>
            <w:shd w:val="clear" w:color="auto" w:fill="C1F0C7" w:themeFill="accent3" w:themeFillTint="33"/>
            <w:noWrap/>
          </w:tcPr>
          <w:p w14:paraId="7609588A"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5F969BB2" w14:textId="0085AB5B"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 Entry into force of legal act(s) on the ARTEMIS data exchange mechanism and ARTEMIS data exchange mechanism providing credit scoring services in User Acceptance Testing phase</w:t>
            </w:r>
          </w:p>
        </w:tc>
        <w:tc>
          <w:tcPr>
            <w:tcW w:w="1320" w:type="dxa"/>
            <w:shd w:val="clear" w:color="auto" w:fill="C1F0C7" w:themeFill="accent3" w:themeFillTint="33"/>
            <w:noWrap/>
          </w:tcPr>
          <w:p w14:paraId="2FDFD55B" w14:textId="230B7191" w:rsidR="00B3049F" w:rsidRPr="005D2C5D" w:rsidRDefault="00B3049F" w:rsidP="00D8670B">
            <w:pPr>
              <w:spacing w:after="0" w:line="240" w:lineRule="auto"/>
              <w:rPr>
                <w:rFonts w:ascii="Times New Roman" w:eastAsia="Calibri" w:hAnsi="Times New Roman" w:cs="Times New Roman"/>
                <w:noProof/>
                <w:color w:val="FF0000"/>
                <w:sz w:val="18"/>
                <w:szCs w:val="18"/>
              </w:rPr>
            </w:pPr>
            <w:r w:rsidRPr="005D2C5D">
              <w:rPr>
                <w:rFonts w:ascii="Times New Roman" w:hAnsi="Times New Roman" w:cs="Times New Roman"/>
                <w:noProof/>
                <w:sz w:val="18"/>
                <w:szCs w:val="18"/>
              </w:rPr>
              <w:t>Entry into force of legal act(s); digital system in User Acceptance Testing phase</w:t>
            </w:r>
          </w:p>
        </w:tc>
        <w:tc>
          <w:tcPr>
            <w:tcW w:w="1451" w:type="dxa"/>
            <w:shd w:val="clear" w:color="auto" w:fill="C1F0C7" w:themeFill="accent3" w:themeFillTint="33"/>
            <w:noWrap/>
          </w:tcPr>
          <w:p w14:paraId="3908C7C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20E59861"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23138EB7"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4056D547"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5E40D39E"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2024</w:t>
            </w:r>
          </w:p>
        </w:tc>
        <w:tc>
          <w:tcPr>
            <w:tcW w:w="3260" w:type="dxa"/>
            <w:shd w:val="clear" w:color="auto" w:fill="C1F0C7" w:themeFill="accent3" w:themeFillTint="33"/>
          </w:tcPr>
          <w:p w14:paraId="78033188" w14:textId="36FB6DE6" w:rsidR="00B3049F" w:rsidRPr="00BE5C85" w:rsidRDefault="00B3049F" w:rsidP="005D2C5D">
            <w:pPr>
              <w:spacing w:after="0" w:line="240" w:lineRule="auto"/>
              <w:jc w:val="both"/>
              <w:rPr>
                <w:rFonts w:ascii="Times New Roman" w:eastAsia="Calibri" w:hAnsi="Times New Roman" w:cs="Times New Roman"/>
                <w:noProof/>
                <w:sz w:val="18"/>
                <w:szCs w:val="18"/>
              </w:rPr>
            </w:pPr>
            <w:r w:rsidRPr="00BE5C85">
              <w:rPr>
                <w:rFonts w:ascii="Times New Roman" w:eastAsia="Calibri" w:hAnsi="Times New Roman" w:cs="Times New Roman"/>
                <w:noProof/>
                <w:sz w:val="18"/>
                <w:szCs w:val="18"/>
              </w:rPr>
              <w:t xml:space="preserve">Entry into force of legal act(s), which shall: </w:t>
            </w:r>
          </w:p>
          <w:p w14:paraId="2D902625" w14:textId="3903E8FC" w:rsidR="00B3049F" w:rsidRPr="00BE5C85" w:rsidRDefault="00B3049F" w:rsidP="00547ADA">
            <w:pPr>
              <w:pStyle w:val="ListParagraph"/>
              <w:numPr>
                <w:ilvl w:val="0"/>
                <w:numId w:val="37"/>
              </w:numPr>
              <w:spacing w:after="0" w:line="240" w:lineRule="auto"/>
              <w:jc w:val="both"/>
              <w:rPr>
                <w:rFonts w:ascii="Times New Roman" w:eastAsia="Calibri" w:hAnsi="Times New Roman" w:cs="Times New Roman"/>
                <w:noProof/>
                <w:sz w:val="18"/>
                <w:szCs w:val="18"/>
                <w:lang w:val="en-US"/>
              </w:rPr>
            </w:pPr>
            <w:r w:rsidRPr="00BE5C85">
              <w:rPr>
                <w:rFonts w:ascii="Times New Roman" w:eastAsia="Calibri" w:hAnsi="Times New Roman" w:cs="Times New Roman"/>
                <w:noProof/>
                <w:sz w:val="18"/>
                <w:szCs w:val="18"/>
                <w:lang w:val="en-US"/>
              </w:rPr>
              <w:t>Include credit scoring services</w:t>
            </w:r>
          </w:p>
          <w:p w14:paraId="0E14171C" w14:textId="77777777" w:rsidR="00B3049F" w:rsidRPr="00BE5C85" w:rsidRDefault="00B3049F" w:rsidP="00547ADA">
            <w:pPr>
              <w:pStyle w:val="ListParagraph"/>
              <w:numPr>
                <w:ilvl w:val="0"/>
                <w:numId w:val="37"/>
              </w:numPr>
              <w:spacing w:after="0" w:line="240" w:lineRule="auto"/>
              <w:jc w:val="both"/>
              <w:rPr>
                <w:rFonts w:ascii="Times New Roman" w:eastAsia="Calibri" w:hAnsi="Times New Roman" w:cs="Times New Roman"/>
                <w:noProof/>
                <w:sz w:val="18"/>
                <w:szCs w:val="18"/>
                <w:lang w:val="en-US"/>
              </w:rPr>
            </w:pPr>
            <w:r w:rsidRPr="00BE5C85">
              <w:rPr>
                <w:rFonts w:ascii="Times New Roman" w:eastAsia="Calibri" w:hAnsi="Times New Roman" w:cs="Times New Roman"/>
                <w:noProof/>
                <w:sz w:val="18"/>
                <w:szCs w:val="18"/>
                <w:lang w:val="en-US"/>
              </w:rPr>
              <w:t>Specify the data to be submitted and the procedure for submitting data to the ARTEMIS data exchange mechanism</w:t>
            </w:r>
          </w:p>
          <w:p w14:paraId="33C75375" w14:textId="77777777" w:rsidR="00B3049F" w:rsidRPr="00BE5C85" w:rsidRDefault="00B3049F" w:rsidP="00547ADA">
            <w:pPr>
              <w:pStyle w:val="ListParagraph"/>
              <w:numPr>
                <w:ilvl w:val="0"/>
                <w:numId w:val="37"/>
              </w:numPr>
              <w:spacing w:after="0" w:line="240" w:lineRule="auto"/>
              <w:jc w:val="both"/>
              <w:rPr>
                <w:rFonts w:ascii="Times New Roman" w:eastAsia="Calibri" w:hAnsi="Times New Roman" w:cs="Times New Roman"/>
                <w:noProof/>
                <w:sz w:val="18"/>
                <w:szCs w:val="18"/>
                <w:lang w:val="en-US"/>
              </w:rPr>
            </w:pPr>
            <w:r w:rsidRPr="00BE5C85">
              <w:rPr>
                <w:rFonts w:ascii="Times New Roman" w:eastAsia="Calibri" w:hAnsi="Times New Roman" w:cs="Times New Roman"/>
                <w:noProof/>
                <w:sz w:val="18"/>
                <w:szCs w:val="18"/>
                <w:lang w:val="en-US"/>
              </w:rPr>
              <w:t>Mandate the production of credit scoring.</w:t>
            </w:r>
          </w:p>
          <w:p w14:paraId="00D97185" w14:textId="77777777" w:rsidR="00B3049F" w:rsidRPr="00BE5C85" w:rsidRDefault="00B3049F" w:rsidP="005D2C5D">
            <w:pPr>
              <w:spacing w:after="0" w:line="240" w:lineRule="auto"/>
              <w:jc w:val="both"/>
              <w:rPr>
                <w:rFonts w:ascii="Times New Roman" w:eastAsia="Calibri" w:hAnsi="Times New Roman" w:cs="Times New Roman"/>
                <w:noProof/>
                <w:sz w:val="18"/>
                <w:szCs w:val="18"/>
              </w:rPr>
            </w:pPr>
            <w:r w:rsidRPr="00BE5C85">
              <w:rPr>
                <w:rFonts w:ascii="Times New Roman" w:eastAsia="Calibri" w:hAnsi="Times New Roman" w:cs="Times New Roman"/>
                <w:noProof/>
                <w:sz w:val="18"/>
                <w:szCs w:val="18"/>
              </w:rPr>
              <w:t>Furthermore, the ARTEMIS data exchange mechanism in User Acceptance Testing (UAT) phase shall demonstrate the capacity to provide credit scoring services.</w:t>
            </w:r>
          </w:p>
          <w:p w14:paraId="30E4AFC4" w14:textId="77777777" w:rsidR="00B3049F" w:rsidRPr="00BE5C85" w:rsidRDefault="00B3049F" w:rsidP="005D2C5D">
            <w:pPr>
              <w:spacing w:after="0" w:line="240" w:lineRule="auto"/>
              <w:jc w:val="both"/>
              <w:rPr>
                <w:rFonts w:ascii="Times New Roman" w:hAnsi="Times New Roman" w:cs="Times New Roman"/>
                <w:noProof/>
                <w:sz w:val="18"/>
                <w:szCs w:val="18"/>
              </w:rPr>
            </w:pPr>
          </w:p>
        </w:tc>
      </w:tr>
      <w:tr w:rsidR="00B3049F" w:rsidRPr="005D2C5D" w14:paraId="22BD3858" w14:textId="77777777" w:rsidTr="005D2C5D">
        <w:trPr>
          <w:trHeight w:val="309"/>
          <w:jc w:val="center"/>
        </w:trPr>
        <w:tc>
          <w:tcPr>
            <w:tcW w:w="1135" w:type="dxa"/>
            <w:shd w:val="clear" w:color="auto" w:fill="C1F0C7" w:themeFill="accent3" w:themeFillTint="33"/>
            <w:noWrap/>
          </w:tcPr>
          <w:p w14:paraId="08761558"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199</w:t>
            </w:r>
          </w:p>
        </w:tc>
        <w:tc>
          <w:tcPr>
            <w:tcW w:w="1653" w:type="dxa"/>
            <w:shd w:val="clear" w:color="auto" w:fill="C1F0C7" w:themeFill="accent3" w:themeFillTint="33"/>
            <w:noWrap/>
          </w:tcPr>
          <w:p w14:paraId="351D8C5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C3.5R5 </w:t>
            </w:r>
          </w:p>
          <w:p w14:paraId="499CAD82"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Action plan for the development of a liability monitoring register</w:t>
            </w:r>
          </w:p>
        </w:tc>
        <w:tc>
          <w:tcPr>
            <w:tcW w:w="1063" w:type="dxa"/>
            <w:shd w:val="clear" w:color="auto" w:fill="C1F0C7" w:themeFill="accent3" w:themeFillTint="33"/>
            <w:noWrap/>
          </w:tcPr>
          <w:p w14:paraId="1AB922E7"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4B7CC71E"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Action Plan for the development of a liability monitoring register </w:t>
            </w:r>
          </w:p>
        </w:tc>
        <w:tc>
          <w:tcPr>
            <w:tcW w:w="1320" w:type="dxa"/>
            <w:shd w:val="clear" w:color="auto" w:fill="C1F0C7" w:themeFill="accent3" w:themeFillTint="33"/>
            <w:noWrap/>
          </w:tcPr>
          <w:p w14:paraId="0CEFA38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Approval of the Action Plan by the Council of Ministers</w:t>
            </w:r>
          </w:p>
        </w:tc>
        <w:tc>
          <w:tcPr>
            <w:tcW w:w="1451" w:type="dxa"/>
            <w:shd w:val="clear" w:color="auto" w:fill="C1F0C7" w:themeFill="accent3" w:themeFillTint="33"/>
            <w:noWrap/>
          </w:tcPr>
          <w:p w14:paraId="6060BBB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7A0E679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15A925B0"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151780F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41BB6E21"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2022</w:t>
            </w:r>
          </w:p>
        </w:tc>
        <w:tc>
          <w:tcPr>
            <w:tcW w:w="3260" w:type="dxa"/>
            <w:shd w:val="clear" w:color="auto" w:fill="C1F0C7" w:themeFill="accent3" w:themeFillTint="33"/>
          </w:tcPr>
          <w:p w14:paraId="4E7CBF21"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The Action Plan shall put forward the necessary steps for introducing the liability monitor register that shall: </w:t>
            </w:r>
            <w:r w:rsidRPr="005D2C5D">
              <w:rPr>
                <w:rFonts w:ascii="Times New Roman" w:hAnsi="Times New Roman" w:cs="Times New Roman"/>
                <w:noProof/>
                <w:sz w:val="18"/>
                <w:szCs w:val="18"/>
              </w:rPr>
              <w:br/>
              <w:t xml:space="preserve">- utilise an electronic database, collecting data on liabilities from various public and private creditors, such as the credit registry under reform C3.5R4. </w:t>
            </w:r>
            <w:r w:rsidRPr="005D2C5D">
              <w:rPr>
                <w:rFonts w:ascii="Times New Roman" w:hAnsi="Times New Roman" w:cs="Times New Roman"/>
                <w:noProof/>
                <w:sz w:val="18"/>
                <w:szCs w:val="18"/>
              </w:rPr>
              <w:br/>
              <w:t>- enable the design and implementation of targeted policies for preventing and managing private indebtedness.</w:t>
            </w:r>
          </w:p>
        </w:tc>
      </w:tr>
      <w:tr w:rsidR="00B3049F" w:rsidRPr="005D2C5D" w14:paraId="0E2FDB79" w14:textId="77777777" w:rsidTr="005D2C5D">
        <w:trPr>
          <w:trHeight w:val="309"/>
          <w:jc w:val="center"/>
        </w:trPr>
        <w:tc>
          <w:tcPr>
            <w:tcW w:w="1135" w:type="dxa"/>
            <w:shd w:val="clear" w:color="auto" w:fill="C1F0C7" w:themeFill="accent3" w:themeFillTint="33"/>
            <w:noWrap/>
          </w:tcPr>
          <w:p w14:paraId="50275C43" w14:textId="77777777" w:rsidR="00B3049F" w:rsidRPr="005D2C5D" w:rsidRDefault="00B3049F" w:rsidP="00D8670B">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200</w:t>
            </w:r>
          </w:p>
        </w:tc>
        <w:tc>
          <w:tcPr>
            <w:tcW w:w="1653" w:type="dxa"/>
            <w:shd w:val="clear" w:color="auto" w:fill="C1F0C7" w:themeFill="accent3" w:themeFillTint="33"/>
            <w:noWrap/>
          </w:tcPr>
          <w:p w14:paraId="110B5D72" w14:textId="326AABDB"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C3.5R5</w:t>
            </w:r>
            <w:r w:rsidR="00064579" w:rsidRPr="005D2C5D">
              <w:rPr>
                <w:rFonts w:ascii="Times New Roman" w:hAnsi="Times New Roman" w:cs="Times New Roman"/>
                <w:noProof/>
                <w:sz w:val="18"/>
                <w:szCs w:val="18"/>
              </w:rPr>
              <w:t xml:space="preserve"> </w:t>
            </w:r>
          </w:p>
          <w:p w14:paraId="7C0C8F7D" w14:textId="77777777" w:rsidR="00B3049F" w:rsidRPr="005D2C5D" w:rsidRDefault="00B3049F">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Framework for Management of Private Debt</w:t>
            </w:r>
          </w:p>
        </w:tc>
        <w:tc>
          <w:tcPr>
            <w:tcW w:w="1063" w:type="dxa"/>
            <w:shd w:val="clear" w:color="auto" w:fill="C1F0C7" w:themeFill="accent3" w:themeFillTint="33"/>
            <w:noWrap/>
          </w:tcPr>
          <w:p w14:paraId="08E9ADA4" w14:textId="77777777" w:rsidR="00B3049F" w:rsidRPr="005D2C5D" w:rsidRDefault="00B3049F">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07B7308B" w14:textId="2A629BC4" w:rsidR="00B3049F" w:rsidRPr="005D2C5D" w:rsidRDefault="00B3049F">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Entry into force of legal act(s) for the management of private debt.</w:t>
            </w:r>
            <w:r w:rsidR="00064579" w:rsidRPr="005D2C5D">
              <w:rPr>
                <w:rFonts w:ascii="Times New Roman" w:hAnsi="Times New Roman" w:cs="Times New Roman"/>
                <w:noProof/>
                <w:sz w:val="18"/>
                <w:szCs w:val="18"/>
              </w:rPr>
              <w:t xml:space="preserve"> </w:t>
            </w:r>
          </w:p>
        </w:tc>
        <w:tc>
          <w:tcPr>
            <w:tcW w:w="1320" w:type="dxa"/>
            <w:shd w:val="clear" w:color="auto" w:fill="C1F0C7" w:themeFill="accent3" w:themeFillTint="33"/>
            <w:noWrap/>
          </w:tcPr>
          <w:p w14:paraId="19CDEE4F" w14:textId="77777777" w:rsidR="00B3049F" w:rsidRPr="005D2C5D" w:rsidRDefault="00B3049F">
            <w:pPr>
              <w:spacing w:line="240" w:lineRule="auto"/>
              <w:rPr>
                <w:rFonts w:ascii="Times New Roman" w:hAnsi="Times New Roman" w:cs="Times New Roman"/>
                <w:noProof/>
                <w:sz w:val="18"/>
                <w:szCs w:val="18"/>
              </w:rPr>
            </w:pPr>
            <w:r w:rsidRPr="005D2C5D">
              <w:rPr>
                <w:rFonts w:ascii="Times New Roman" w:hAnsi="Times New Roman" w:cs="Times New Roman"/>
                <w:noProof/>
                <w:sz w:val="18"/>
                <w:szCs w:val="18"/>
              </w:rPr>
              <w:t>Entry into force of the legal act(s)</w:t>
            </w:r>
          </w:p>
        </w:tc>
        <w:tc>
          <w:tcPr>
            <w:tcW w:w="1451" w:type="dxa"/>
            <w:shd w:val="clear" w:color="auto" w:fill="C1F0C7" w:themeFill="accent3" w:themeFillTint="33"/>
            <w:noWrap/>
          </w:tcPr>
          <w:p w14:paraId="0C3C0DD1" w14:textId="77777777" w:rsidR="00B3049F" w:rsidRPr="005D2C5D" w:rsidRDefault="00B3049F" w:rsidP="005D2C5D">
            <w:pPr>
              <w:spacing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76EAB87B" w14:textId="77777777" w:rsidR="00B3049F" w:rsidRPr="005D2C5D" w:rsidRDefault="00B3049F" w:rsidP="005D2C5D">
            <w:pPr>
              <w:spacing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25B4314F" w14:textId="77777777" w:rsidR="00B3049F" w:rsidRPr="005D2C5D" w:rsidRDefault="00B3049F" w:rsidP="005D2C5D">
            <w:pPr>
              <w:spacing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0CD46976" w14:textId="77777777" w:rsidR="00B3049F" w:rsidRPr="005D2C5D" w:rsidRDefault="00B3049F" w:rsidP="005D2C5D">
            <w:pPr>
              <w:spacing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4BDE8B77" w14:textId="77777777" w:rsidR="00B3049F" w:rsidRPr="005D2C5D" w:rsidRDefault="00B3049F" w:rsidP="005D2C5D">
            <w:pPr>
              <w:spacing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2024</w:t>
            </w:r>
          </w:p>
        </w:tc>
        <w:tc>
          <w:tcPr>
            <w:tcW w:w="3260" w:type="dxa"/>
            <w:shd w:val="clear" w:color="auto" w:fill="C1F0C7" w:themeFill="accent3" w:themeFillTint="33"/>
          </w:tcPr>
          <w:p w14:paraId="154188F5" w14:textId="19C352BC" w:rsidR="00B3049F" w:rsidRPr="005D2C5D" w:rsidRDefault="00B3049F" w:rsidP="005B736A">
            <w:pPr>
              <w:spacing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legal act(s) for the </w:t>
            </w:r>
            <w:r w:rsidR="00BE5C85" w:rsidRPr="005D2C5D">
              <w:rPr>
                <w:rFonts w:ascii="Times New Roman" w:hAnsi="Times New Roman" w:cs="Times New Roman"/>
                <w:noProof/>
                <w:sz w:val="18"/>
                <w:szCs w:val="18"/>
              </w:rPr>
              <w:t>management</w:t>
            </w:r>
            <w:r w:rsidRPr="005D2C5D">
              <w:rPr>
                <w:rFonts w:ascii="Times New Roman" w:hAnsi="Times New Roman" w:cs="Times New Roman"/>
                <w:noProof/>
                <w:sz w:val="18"/>
                <w:szCs w:val="18"/>
              </w:rPr>
              <w:t xml:space="preserve"> of private debt.</w:t>
            </w:r>
          </w:p>
        </w:tc>
      </w:tr>
      <w:tr w:rsidR="00B3049F" w:rsidRPr="005D2C5D" w14:paraId="011C5E43" w14:textId="77777777" w:rsidTr="005D2C5D">
        <w:trPr>
          <w:trHeight w:val="309"/>
          <w:jc w:val="center"/>
        </w:trPr>
        <w:tc>
          <w:tcPr>
            <w:tcW w:w="1135" w:type="dxa"/>
            <w:shd w:val="clear" w:color="auto" w:fill="C1F0C7" w:themeFill="accent3" w:themeFillTint="33"/>
            <w:noWrap/>
          </w:tcPr>
          <w:p w14:paraId="5D037AD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201</w:t>
            </w:r>
          </w:p>
        </w:tc>
        <w:tc>
          <w:tcPr>
            <w:tcW w:w="1653" w:type="dxa"/>
            <w:shd w:val="clear" w:color="auto" w:fill="C1F0C7" w:themeFill="accent3" w:themeFillTint="33"/>
            <w:noWrap/>
          </w:tcPr>
          <w:p w14:paraId="698C4153"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C3.5R6 Reinforcing and strengthening the insolvency framework</w:t>
            </w:r>
          </w:p>
        </w:tc>
        <w:tc>
          <w:tcPr>
            <w:tcW w:w="1063" w:type="dxa"/>
            <w:shd w:val="clear" w:color="auto" w:fill="C1F0C7" w:themeFill="accent3" w:themeFillTint="33"/>
            <w:noWrap/>
          </w:tcPr>
          <w:p w14:paraId="44B3085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2353966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Full implementation and full operation of the legal and institutional framework for insolvency </w:t>
            </w:r>
          </w:p>
        </w:tc>
        <w:tc>
          <w:tcPr>
            <w:tcW w:w="1320" w:type="dxa"/>
            <w:shd w:val="clear" w:color="auto" w:fill="C1F0C7" w:themeFill="accent3" w:themeFillTint="33"/>
            <w:noWrap/>
          </w:tcPr>
          <w:p w14:paraId="58BD81A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Appointment of staff confirmed by the Official Gazette. Council of Ministers’ approval of the Progress Report </w:t>
            </w:r>
          </w:p>
        </w:tc>
        <w:tc>
          <w:tcPr>
            <w:tcW w:w="1451" w:type="dxa"/>
            <w:shd w:val="clear" w:color="auto" w:fill="C1F0C7" w:themeFill="accent3" w:themeFillTint="33"/>
            <w:noWrap/>
          </w:tcPr>
          <w:p w14:paraId="792398CA"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65A9754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3104A385"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1A01FBC9"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59251906"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2022</w:t>
            </w:r>
          </w:p>
        </w:tc>
        <w:tc>
          <w:tcPr>
            <w:tcW w:w="3260" w:type="dxa"/>
            <w:shd w:val="clear" w:color="auto" w:fill="C1F0C7" w:themeFill="accent3" w:themeFillTint="33"/>
          </w:tcPr>
          <w:p w14:paraId="7F3DCE32" w14:textId="77777777" w:rsidR="00B3049F" w:rsidRPr="005D2C5D" w:rsidRDefault="00B3049F" w:rsidP="005D2C5D">
            <w:pPr>
              <w:autoSpaceDE w:val="0"/>
              <w:autoSpaceDN w:val="0"/>
              <w:adjustRightInd w:val="0"/>
              <w:spacing w:after="0" w:line="240" w:lineRule="auto"/>
              <w:jc w:val="both"/>
              <w:rPr>
                <w:rFonts w:ascii="Times New Roman" w:hAnsi="Times New Roman" w:cs="Times New Roman"/>
                <w:noProof/>
                <w:color w:val="000000"/>
                <w:sz w:val="18"/>
                <w:szCs w:val="18"/>
              </w:rPr>
            </w:pPr>
            <w:r w:rsidRPr="005D2C5D">
              <w:rPr>
                <w:rFonts w:ascii="Times New Roman" w:hAnsi="Times New Roman" w:cs="Times New Roman"/>
                <w:noProof/>
                <w:sz w:val="18"/>
                <w:szCs w:val="18"/>
              </w:rPr>
              <w:t xml:space="preserve">Full implementation and full operation of the legal and institutional framework on insolvency through: (a) appointment of staff for all levels of the organisational </w:t>
            </w:r>
            <w:r w:rsidRPr="00BE5C85">
              <w:rPr>
                <w:rFonts w:ascii="Times New Roman" w:hAnsi="Times New Roman" w:cs="Times New Roman"/>
                <w:noProof/>
                <w:sz w:val="18"/>
                <w:szCs w:val="18"/>
              </w:rPr>
              <w:t xml:space="preserve">structure of the Department of Insolvency, </w:t>
            </w:r>
            <w:r w:rsidRPr="00BE5C85">
              <w:rPr>
                <w:rFonts w:ascii="Times New Roman" w:hAnsi="Times New Roman" w:cs="Times New Roman"/>
                <w:noProof/>
                <w:color w:val="000000" w:themeColor="text1"/>
                <w:sz w:val="18"/>
                <w:szCs w:val="18"/>
              </w:rPr>
              <w:t>and delivery of trainings for the personnel, (b) establishment of a communication plan for promoting insolvency proceedings, (c) approval of a customer service line, (d) establishment of a framework for continuous professional development for insolvency Practitioners.</w:t>
            </w:r>
            <w:r w:rsidRPr="005D2C5D">
              <w:rPr>
                <w:rFonts w:ascii="Times New Roman" w:hAnsi="Times New Roman" w:cs="Times New Roman"/>
                <w:noProof/>
                <w:color w:val="000000" w:themeColor="text1"/>
                <w:sz w:val="18"/>
                <w:szCs w:val="18"/>
              </w:rPr>
              <w:t xml:space="preserve"> </w:t>
            </w:r>
          </w:p>
        </w:tc>
      </w:tr>
      <w:tr w:rsidR="00B3049F" w:rsidRPr="005D2C5D" w14:paraId="42D24A39" w14:textId="77777777" w:rsidTr="005D2C5D">
        <w:trPr>
          <w:trHeight w:val="309"/>
          <w:jc w:val="center"/>
        </w:trPr>
        <w:tc>
          <w:tcPr>
            <w:tcW w:w="1135" w:type="dxa"/>
            <w:shd w:val="clear" w:color="auto" w:fill="C1F0C7" w:themeFill="accent3" w:themeFillTint="33"/>
            <w:noWrap/>
          </w:tcPr>
          <w:p w14:paraId="3858DAD3" w14:textId="77777777"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202</w:t>
            </w:r>
          </w:p>
        </w:tc>
        <w:tc>
          <w:tcPr>
            <w:tcW w:w="1653" w:type="dxa"/>
            <w:shd w:val="clear" w:color="auto" w:fill="C1F0C7" w:themeFill="accent3" w:themeFillTint="33"/>
            <w:noWrap/>
          </w:tcPr>
          <w:p w14:paraId="43CFAA1E"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C3.5R6 </w:t>
            </w:r>
            <w:r w:rsidRPr="005D2C5D" w:rsidDel="006D0823">
              <w:rPr>
                <w:rFonts w:ascii="Times New Roman" w:hAnsi="Times New Roman" w:cs="Times New Roman"/>
                <w:noProof/>
                <w:sz w:val="18"/>
                <w:szCs w:val="18"/>
              </w:rPr>
              <w:t xml:space="preserve">Reinforcing </w:t>
            </w:r>
            <w:r w:rsidRPr="005D2C5D">
              <w:rPr>
                <w:rFonts w:ascii="Times New Roman" w:hAnsi="Times New Roman" w:cs="Times New Roman"/>
                <w:noProof/>
                <w:sz w:val="18"/>
                <w:szCs w:val="18"/>
              </w:rPr>
              <w:t>the insolvency framework</w:t>
            </w:r>
          </w:p>
        </w:tc>
        <w:tc>
          <w:tcPr>
            <w:tcW w:w="1063" w:type="dxa"/>
            <w:shd w:val="clear" w:color="auto" w:fill="C1F0C7" w:themeFill="accent3" w:themeFillTint="33"/>
            <w:noWrap/>
          </w:tcPr>
          <w:p w14:paraId="10BE218F"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691A2A9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Digital systems of the Department of Insolvency accessible </w:t>
            </w:r>
          </w:p>
        </w:tc>
        <w:tc>
          <w:tcPr>
            <w:tcW w:w="1320" w:type="dxa"/>
            <w:shd w:val="clear" w:color="auto" w:fill="C1F0C7" w:themeFill="accent3" w:themeFillTint="33"/>
            <w:noWrap/>
          </w:tcPr>
          <w:p w14:paraId="2BDFB852"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Digital system accessible </w:t>
            </w:r>
          </w:p>
        </w:tc>
        <w:tc>
          <w:tcPr>
            <w:tcW w:w="1451" w:type="dxa"/>
            <w:shd w:val="clear" w:color="auto" w:fill="C1F0C7" w:themeFill="accent3" w:themeFillTint="33"/>
            <w:noWrap/>
          </w:tcPr>
          <w:p w14:paraId="40AEEBBE"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1196BC95"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5ECD4A76"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04AE82C3"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Q2</w:t>
            </w:r>
          </w:p>
        </w:tc>
        <w:tc>
          <w:tcPr>
            <w:tcW w:w="984" w:type="dxa"/>
            <w:shd w:val="clear" w:color="auto" w:fill="C1F0C7" w:themeFill="accent3" w:themeFillTint="33"/>
            <w:noWrap/>
          </w:tcPr>
          <w:p w14:paraId="35DB29EA"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2025</w:t>
            </w:r>
          </w:p>
        </w:tc>
        <w:tc>
          <w:tcPr>
            <w:tcW w:w="3260" w:type="dxa"/>
            <w:shd w:val="clear" w:color="auto" w:fill="C1F0C7" w:themeFill="accent3" w:themeFillTint="33"/>
          </w:tcPr>
          <w:p w14:paraId="33E3BCE4"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The digital systems of the Department of Insolvency shall be accessible.</w:t>
            </w:r>
          </w:p>
        </w:tc>
      </w:tr>
      <w:tr w:rsidR="00B3049F" w:rsidRPr="005D2C5D" w14:paraId="12BFB485" w14:textId="77777777" w:rsidTr="005D2C5D">
        <w:trPr>
          <w:trHeight w:val="309"/>
          <w:jc w:val="center"/>
        </w:trPr>
        <w:tc>
          <w:tcPr>
            <w:tcW w:w="1135" w:type="dxa"/>
            <w:shd w:val="clear" w:color="auto" w:fill="C1F0C7" w:themeFill="accent3" w:themeFillTint="33"/>
            <w:noWrap/>
          </w:tcPr>
          <w:p w14:paraId="18764CE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203</w:t>
            </w:r>
          </w:p>
        </w:tc>
        <w:tc>
          <w:tcPr>
            <w:tcW w:w="1653" w:type="dxa"/>
            <w:shd w:val="clear" w:color="auto" w:fill="C1F0C7" w:themeFill="accent3" w:themeFillTint="33"/>
            <w:noWrap/>
          </w:tcPr>
          <w:p w14:paraId="0D718F8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C3.5R7 </w:t>
            </w:r>
          </w:p>
          <w:p w14:paraId="589C758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Strategy for Combating Financial Illiteracy</w:t>
            </w:r>
          </w:p>
        </w:tc>
        <w:tc>
          <w:tcPr>
            <w:tcW w:w="1063" w:type="dxa"/>
            <w:shd w:val="clear" w:color="auto" w:fill="C1F0C7" w:themeFill="accent3" w:themeFillTint="33"/>
            <w:noWrap/>
          </w:tcPr>
          <w:p w14:paraId="05549D93"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1A2DBD5D"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Strategy for Combating Financial Illiteracy</w:t>
            </w:r>
          </w:p>
        </w:tc>
        <w:tc>
          <w:tcPr>
            <w:tcW w:w="1320" w:type="dxa"/>
            <w:shd w:val="clear" w:color="auto" w:fill="C1F0C7" w:themeFill="accent3" w:themeFillTint="33"/>
            <w:noWrap/>
          </w:tcPr>
          <w:p w14:paraId="67C64BA9"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Approval of the Strategy for Combating Financial Illiteracy by the Council of Ministers</w:t>
            </w:r>
          </w:p>
        </w:tc>
        <w:tc>
          <w:tcPr>
            <w:tcW w:w="1451" w:type="dxa"/>
            <w:shd w:val="clear" w:color="auto" w:fill="C1F0C7" w:themeFill="accent3" w:themeFillTint="33"/>
            <w:noWrap/>
          </w:tcPr>
          <w:p w14:paraId="3D51790C"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799D955A"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2D778F4A"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5EC0CB7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2549ABC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2023</w:t>
            </w:r>
          </w:p>
        </w:tc>
        <w:tc>
          <w:tcPr>
            <w:tcW w:w="3260" w:type="dxa"/>
            <w:shd w:val="clear" w:color="auto" w:fill="C1F0C7" w:themeFill="accent3" w:themeFillTint="33"/>
          </w:tcPr>
          <w:p w14:paraId="164FE98E"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The Strategy for Combating Financial Illiteracy shall outline its goal and objectives, specify the channels for promoting financial literacy, and include specific actions for implementation. The reform shall also include completion of initiatives promoting financial literacy. </w:t>
            </w:r>
          </w:p>
        </w:tc>
      </w:tr>
      <w:tr w:rsidR="00B3049F" w:rsidRPr="005D2C5D" w14:paraId="226021D2" w14:textId="77777777" w:rsidTr="00600EF8">
        <w:trPr>
          <w:trHeight w:val="309"/>
          <w:jc w:val="center"/>
        </w:trPr>
        <w:tc>
          <w:tcPr>
            <w:tcW w:w="1135" w:type="dxa"/>
            <w:shd w:val="clear" w:color="auto" w:fill="C1F0C7" w:themeFill="accent3" w:themeFillTint="33"/>
            <w:noWrap/>
          </w:tcPr>
          <w:p w14:paraId="5F7D142D"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204</w:t>
            </w:r>
          </w:p>
        </w:tc>
        <w:tc>
          <w:tcPr>
            <w:tcW w:w="1653" w:type="dxa"/>
            <w:shd w:val="clear" w:color="auto" w:fill="C1F0C7" w:themeFill="accent3" w:themeFillTint="33"/>
            <w:noWrap/>
          </w:tcPr>
          <w:p w14:paraId="5C7BF59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C3.5R8 Enhancing supervision of Insurance and Pension Funds</w:t>
            </w:r>
          </w:p>
        </w:tc>
        <w:tc>
          <w:tcPr>
            <w:tcW w:w="1063" w:type="dxa"/>
            <w:shd w:val="clear" w:color="auto" w:fill="C1F0C7" w:themeFill="accent3" w:themeFillTint="33"/>
            <w:noWrap/>
          </w:tcPr>
          <w:p w14:paraId="1A896345"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Target</w:t>
            </w:r>
          </w:p>
        </w:tc>
        <w:tc>
          <w:tcPr>
            <w:tcW w:w="1463" w:type="dxa"/>
            <w:shd w:val="clear" w:color="auto" w:fill="C1F0C7" w:themeFill="accent3" w:themeFillTint="33"/>
            <w:noWrap/>
          </w:tcPr>
          <w:p w14:paraId="23B2178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Employment of additional permanent employees of the Registrar of Occupational Retirement Benefits Fund (RORBF) and the Insurance Companies Control Service (ICCS) </w:t>
            </w:r>
          </w:p>
        </w:tc>
        <w:tc>
          <w:tcPr>
            <w:tcW w:w="1320" w:type="dxa"/>
            <w:shd w:val="clear" w:color="auto" w:fill="C1F0C7" w:themeFill="accent3" w:themeFillTint="33"/>
            <w:noWrap/>
          </w:tcPr>
          <w:p w14:paraId="023C3D48"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451" w:type="dxa"/>
            <w:shd w:val="clear" w:color="auto" w:fill="C1F0C7" w:themeFill="accent3" w:themeFillTint="33"/>
            <w:noWrap/>
          </w:tcPr>
          <w:p w14:paraId="5C0793F9"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Number</w:t>
            </w:r>
          </w:p>
        </w:tc>
        <w:tc>
          <w:tcPr>
            <w:tcW w:w="1088" w:type="dxa"/>
            <w:shd w:val="clear" w:color="auto" w:fill="C1F0C7" w:themeFill="accent3" w:themeFillTint="33"/>
            <w:noWrap/>
          </w:tcPr>
          <w:p w14:paraId="29C4A6B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0</w:t>
            </w:r>
          </w:p>
        </w:tc>
        <w:tc>
          <w:tcPr>
            <w:tcW w:w="1048" w:type="dxa"/>
            <w:shd w:val="clear" w:color="auto" w:fill="C1F0C7" w:themeFill="accent3" w:themeFillTint="33"/>
            <w:noWrap/>
          </w:tcPr>
          <w:p w14:paraId="783D144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16</w:t>
            </w:r>
          </w:p>
        </w:tc>
        <w:tc>
          <w:tcPr>
            <w:tcW w:w="986" w:type="dxa"/>
            <w:shd w:val="clear" w:color="auto" w:fill="C1F0C7" w:themeFill="accent3" w:themeFillTint="33"/>
          </w:tcPr>
          <w:p w14:paraId="5A40829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Q2</w:t>
            </w:r>
          </w:p>
        </w:tc>
        <w:tc>
          <w:tcPr>
            <w:tcW w:w="984" w:type="dxa"/>
            <w:shd w:val="clear" w:color="auto" w:fill="C1F0C7" w:themeFill="accent3" w:themeFillTint="33"/>
            <w:noWrap/>
          </w:tcPr>
          <w:p w14:paraId="77DE08A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2026</w:t>
            </w:r>
          </w:p>
        </w:tc>
        <w:tc>
          <w:tcPr>
            <w:tcW w:w="3260" w:type="dxa"/>
            <w:shd w:val="clear" w:color="auto" w:fill="C1F0C7" w:themeFill="accent3" w:themeFillTint="33"/>
          </w:tcPr>
          <w:p w14:paraId="1BFF0B45" w14:textId="181130AE"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Employment (placing or seconding or </w:t>
            </w:r>
            <w:r w:rsidR="00BE5C85" w:rsidRPr="005D2C5D">
              <w:rPr>
                <w:rFonts w:ascii="Times New Roman" w:hAnsi="Times New Roman" w:cs="Times New Roman"/>
                <w:noProof/>
                <w:sz w:val="18"/>
                <w:szCs w:val="18"/>
              </w:rPr>
              <w:t>transferring</w:t>
            </w:r>
            <w:r w:rsidRPr="005D2C5D">
              <w:rPr>
                <w:rFonts w:ascii="Times New Roman" w:hAnsi="Times New Roman" w:cs="Times New Roman"/>
                <w:noProof/>
                <w:sz w:val="18"/>
                <w:szCs w:val="18"/>
              </w:rPr>
              <w:t xml:space="preserve">) of thirteen additional permanent employees for the Registrar of Occupational Retirement Benefit Funds (RORBF) and three additional permanent employees for the Insurance Companies Control Service (ICCS). </w:t>
            </w:r>
          </w:p>
        </w:tc>
      </w:tr>
      <w:tr w:rsidR="00B3049F" w:rsidRPr="005D2C5D" w14:paraId="79FDA26C" w14:textId="77777777" w:rsidTr="005D2C5D">
        <w:trPr>
          <w:trHeight w:val="309"/>
          <w:jc w:val="center"/>
        </w:trPr>
        <w:tc>
          <w:tcPr>
            <w:tcW w:w="1135" w:type="dxa"/>
            <w:shd w:val="clear" w:color="auto" w:fill="C1F0C7" w:themeFill="accent3" w:themeFillTint="33"/>
            <w:noWrap/>
          </w:tcPr>
          <w:p w14:paraId="5CFE414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205</w:t>
            </w:r>
          </w:p>
        </w:tc>
        <w:tc>
          <w:tcPr>
            <w:tcW w:w="1653" w:type="dxa"/>
            <w:shd w:val="clear" w:color="auto" w:fill="C1F0C7" w:themeFill="accent3" w:themeFillTint="33"/>
            <w:noWrap/>
          </w:tcPr>
          <w:p w14:paraId="211AAE9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C3.5R8 Enhancing supervision of Insurance and Pension Funds</w:t>
            </w:r>
          </w:p>
        </w:tc>
        <w:tc>
          <w:tcPr>
            <w:tcW w:w="1063" w:type="dxa"/>
            <w:shd w:val="clear" w:color="auto" w:fill="C1F0C7" w:themeFill="accent3" w:themeFillTint="33"/>
            <w:noWrap/>
          </w:tcPr>
          <w:p w14:paraId="17A8850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370399BC"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Supervisory tools including data collection and analysis tool</w:t>
            </w:r>
          </w:p>
        </w:tc>
        <w:tc>
          <w:tcPr>
            <w:tcW w:w="1320" w:type="dxa"/>
            <w:shd w:val="clear" w:color="auto" w:fill="C1F0C7" w:themeFill="accent3" w:themeFillTint="33"/>
            <w:noWrap/>
          </w:tcPr>
          <w:p w14:paraId="202D8C61"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Support tools for enhancing the supervision of pension funds and insurance companies </w:t>
            </w:r>
          </w:p>
        </w:tc>
        <w:tc>
          <w:tcPr>
            <w:tcW w:w="1451" w:type="dxa"/>
            <w:shd w:val="clear" w:color="auto" w:fill="C1F0C7" w:themeFill="accent3" w:themeFillTint="33"/>
            <w:noWrap/>
          </w:tcPr>
          <w:p w14:paraId="0E6F18DE"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5719B5E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1063E35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63154F9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439ACBD7"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2023</w:t>
            </w:r>
          </w:p>
        </w:tc>
        <w:tc>
          <w:tcPr>
            <w:tcW w:w="3260" w:type="dxa"/>
            <w:shd w:val="clear" w:color="auto" w:fill="C1F0C7" w:themeFill="accent3" w:themeFillTint="33"/>
          </w:tcPr>
          <w:p w14:paraId="248AC03D"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 Implementation of tools (for example, procedures, checklists, fitness and propriety applications) in line with new legislation (providing for the establishment, activities and supervision of Institutions for Occupational Retirement Benefits Law of 2020 -L 10(I)/2020 and the legislation of the Insurance and Reinsurance Business and Other Related Issues Law of 2016 (Ν.38(Ι)/2016.</w:t>
            </w:r>
          </w:p>
        </w:tc>
      </w:tr>
      <w:tr w:rsidR="00B3049F" w:rsidRPr="005D2C5D" w14:paraId="22D4901B" w14:textId="77777777" w:rsidTr="005D2C5D">
        <w:trPr>
          <w:trHeight w:val="309"/>
          <w:jc w:val="center"/>
        </w:trPr>
        <w:tc>
          <w:tcPr>
            <w:tcW w:w="1135" w:type="dxa"/>
            <w:shd w:val="clear" w:color="auto" w:fill="C1F0C7" w:themeFill="accent3" w:themeFillTint="33"/>
            <w:noWrap/>
            <w:hideMark/>
          </w:tcPr>
          <w:p w14:paraId="124D074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206</w:t>
            </w:r>
          </w:p>
        </w:tc>
        <w:tc>
          <w:tcPr>
            <w:tcW w:w="1653" w:type="dxa"/>
            <w:shd w:val="clear" w:color="auto" w:fill="C1F0C7" w:themeFill="accent3" w:themeFillTint="33"/>
            <w:noWrap/>
            <w:hideMark/>
          </w:tcPr>
          <w:p w14:paraId="301C8343"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C3.5I1 Enhancement of the Supervisory Function of the Cyprus Securities and Exchange Commission</w:t>
            </w:r>
          </w:p>
        </w:tc>
        <w:tc>
          <w:tcPr>
            <w:tcW w:w="1063" w:type="dxa"/>
            <w:shd w:val="clear" w:color="auto" w:fill="C1F0C7" w:themeFill="accent3" w:themeFillTint="33"/>
            <w:noWrap/>
            <w:hideMark/>
          </w:tcPr>
          <w:p w14:paraId="50E466B9"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hideMark/>
          </w:tcPr>
          <w:p w14:paraId="6545A8B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Digital system for supervision of transactions for the Cyprus Securities and Exchange Commission </w:t>
            </w:r>
          </w:p>
        </w:tc>
        <w:tc>
          <w:tcPr>
            <w:tcW w:w="1320" w:type="dxa"/>
            <w:shd w:val="clear" w:color="auto" w:fill="C1F0C7" w:themeFill="accent3" w:themeFillTint="33"/>
            <w:noWrap/>
            <w:hideMark/>
          </w:tcPr>
          <w:p w14:paraId="3C654DD7" w14:textId="77777777"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Project management committee verifies acceptance of deliverables in due time; and quality and standards as specified in tender documents</w:t>
            </w:r>
          </w:p>
          <w:p w14:paraId="15680C25" w14:textId="77777777" w:rsidR="00B3049F" w:rsidRPr="005D2C5D" w:rsidRDefault="00B3049F" w:rsidP="00D8670B">
            <w:pPr>
              <w:spacing w:after="0" w:line="240" w:lineRule="auto"/>
              <w:rPr>
                <w:rFonts w:ascii="Times New Roman" w:hAnsi="Times New Roman" w:cs="Times New Roman"/>
                <w:noProof/>
                <w:sz w:val="18"/>
                <w:szCs w:val="18"/>
              </w:rPr>
            </w:pPr>
          </w:p>
        </w:tc>
        <w:tc>
          <w:tcPr>
            <w:tcW w:w="1451" w:type="dxa"/>
            <w:shd w:val="clear" w:color="auto" w:fill="C1F0C7" w:themeFill="accent3" w:themeFillTint="33"/>
            <w:noWrap/>
            <w:hideMark/>
          </w:tcPr>
          <w:p w14:paraId="53A6B58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hideMark/>
          </w:tcPr>
          <w:p w14:paraId="3D8E6D2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hideMark/>
          </w:tcPr>
          <w:p w14:paraId="1BFD8593"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67FA122C"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hideMark/>
          </w:tcPr>
          <w:p w14:paraId="7F97FD8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2023</w:t>
            </w:r>
          </w:p>
        </w:tc>
        <w:tc>
          <w:tcPr>
            <w:tcW w:w="3260" w:type="dxa"/>
            <w:shd w:val="clear" w:color="auto" w:fill="C1F0C7" w:themeFill="accent3" w:themeFillTint="33"/>
          </w:tcPr>
          <w:p w14:paraId="04E6BC5B"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Implementation of a new digital system of supervision of transactions. The new digital system shall have the following features: </w:t>
            </w:r>
            <w:r w:rsidRPr="005D2C5D">
              <w:rPr>
                <w:rFonts w:ascii="Times New Roman" w:hAnsi="Times New Roman" w:cs="Times New Roman"/>
                <w:noProof/>
                <w:sz w:val="18"/>
                <w:szCs w:val="18"/>
              </w:rPr>
              <w:br/>
              <w:t xml:space="preserve">- Loading and pre-processing of Transaction data. </w:t>
            </w:r>
            <w:r w:rsidRPr="005D2C5D">
              <w:rPr>
                <w:rFonts w:ascii="Times New Roman" w:hAnsi="Times New Roman" w:cs="Times New Roman"/>
                <w:noProof/>
                <w:sz w:val="18"/>
                <w:szCs w:val="18"/>
              </w:rPr>
              <w:br/>
              <w:t xml:space="preserve">- Aggregations and queries on data to generate regulatory insights. </w:t>
            </w:r>
            <w:r w:rsidRPr="005D2C5D">
              <w:rPr>
                <w:rFonts w:ascii="Times New Roman" w:hAnsi="Times New Roman" w:cs="Times New Roman"/>
                <w:noProof/>
                <w:sz w:val="18"/>
                <w:szCs w:val="18"/>
              </w:rPr>
              <w:br/>
              <w:t>- Generation of on-schedule and ad-hoc reports.</w:t>
            </w:r>
          </w:p>
        </w:tc>
      </w:tr>
      <w:tr w:rsidR="00B3049F" w:rsidRPr="005D2C5D" w14:paraId="2565A684" w14:textId="77777777" w:rsidTr="005D2C5D">
        <w:trPr>
          <w:trHeight w:val="309"/>
          <w:jc w:val="center"/>
        </w:trPr>
        <w:tc>
          <w:tcPr>
            <w:tcW w:w="1135" w:type="dxa"/>
            <w:shd w:val="clear" w:color="auto" w:fill="C1F0C7" w:themeFill="accent3" w:themeFillTint="33"/>
            <w:noWrap/>
            <w:hideMark/>
          </w:tcPr>
          <w:p w14:paraId="4FA91341"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207a</w:t>
            </w:r>
          </w:p>
        </w:tc>
        <w:tc>
          <w:tcPr>
            <w:tcW w:w="1653" w:type="dxa"/>
            <w:shd w:val="clear" w:color="auto" w:fill="C1F0C7" w:themeFill="accent3" w:themeFillTint="33"/>
            <w:noWrap/>
            <w:hideMark/>
          </w:tcPr>
          <w:p w14:paraId="24548E57"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C3.5R9 Improving tax collection and effectiveness of the Tax Department</w:t>
            </w:r>
          </w:p>
        </w:tc>
        <w:tc>
          <w:tcPr>
            <w:tcW w:w="1063" w:type="dxa"/>
            <w:shd w:val="clear" w:color="auto" w:fill="C1F0C7" w:themeFill="accent3" w:themeFillTint="33"/>
            <w:noWrap/>
            <w:hideMark/>
          </w:tcPr>
          <w:p w14:paraId="5AE55E65"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hideMark/>
          </w:tcPr>
          <w:p w14:paraId="2C632AC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Operation of VAT Services within an Integrated Tax Administration System (ITAS)</w:t>
            </w:r>
          </w:p>
        </w:tc>
        <w:tc>
          <w:tcPr>
            <w:tcW w:w="1320" w:type="dxa"/>
            <w:shd w:val="clear" w:color="auto" w:fill="C1F0C7" w:themeFill="accent3" w:themeFillTint="33"/>
            <w:noWrap/>
            <w:hideMark/>
          </w:tcPr>
          <w:p w14:paraId="736CBED9" w14:textId="77777777"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Project Board Approval of the Project Deliverables for completion, installation, and operation of a new integrated VAT System </w:t>
            </w:r>
          </w:p>
        </w:tc>
        <w:tc>
          <w:tcPr>
            <w:tcW w:w="1451" w:type="dxa"/>
            <w:shd w:val="clear" w:color="auto" w:fill="C1F0C7" w:themeFill="accent3" w:themeFillTint="33"/>
            <w:noWrap/>
            <w:hideMark/>
          </w:tcPr>
          <w:p w14:paraId="2DE291A1"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hideMark/>
          </w:tcPr>
          <w:p w14:paraId="67F99EA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hideMark/>
          </w:tcPr>
          <w:p w14:paraId="6E47A230"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4D25F682"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Q1</w:t>
            </w:r>
          </w:p>
        </w:tc>
        <w:tc>
          <w:tcPr>
            <w:tcW w:w="984" w:type="dxa"/>
            <w:shd w:val="clear" w:color="auto" w:fill="C1F0C7" w:themeFill="accent3" w:themeFillTint="33"/>
            <w:noWrap/>
            <w:hideMark/>
          </w:tcPr>
          <w:p w14:paraId="446EC8C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2022</w:t>
            </w:r>
          </w:p>
        </w:tc>
        <w:tc>
          <w:tcPr>
            <w:tcW w:w="3260" w:type="dxa"/>
            <w:shd w:val="clear" w:color="auto" w:fill="C1F0C7" w:themeFill="accent3" w:themeFillTint="33"/>
          </w:tcPr>
          <w:p w14:paraId="6919FF57"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The Cyprus Tax Department (CTD) shall put into operation an Integrated Tax Administration System (ITAS) that shall support the tax administration functionalities and processes. The functionalities related to the VAT Services shall be completed and operational within this system.</w:t>
            </w:r>
          </w:p>
        </w:tc>
      </w:tr>
      <w:tr w:rsidR="00B3049F" w:rsidRPr="005D2C5D" w14:paraId="529B1EA6" w14:textId="77777777" w:rsidTr="005D2C5D">
        <w:trPr>
          <w:trHeight w:val="309"/>
          <w:jc w:val="center"/>
        </w:trPr>
        <w:tc>
          <w:tcPr>
            <w:tcW w:w="1135" w:type="dxa"/>
            <w:shd w:val="clear" w:color="auto" w:fill="C1F0C7" w:themeFill="accent3" w:themeFillTint="33"/>
            <w:noWrap/>
          </w:tcPr>
          <w:p w14:paraId="47B1DDBC"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207b</w:t>
            </w:r>
          </w:p>
        </w:tc>
        <w:tc>
          <w:tcPr>
            <w:tcW w:w="1653" w:type="dxa"/>
            <w:shd w:val="clear" w:color="auto" w:fill="C1F0C7" w:themeFill="accent3" w:themeFillTint="33"/>
            <w:noWrap/>
          </w:tcPr>
          <w:p w14:paraId="0D944F97"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C3.5R9 Improving tax collection and effectiveness of the Tax Department</w:t>
            </w:r>
          </w:p>
        </w:tc>
        <w:tc>
          <w:tcPr>
            <w:tcW w:w="1063" w:type="dxa"/>
            <w:shd w:val="clear" w:color="auto" w:fill="C1F0C7" w:themeFill="accent3" w:themeFillTint="33"/>
            <w:noWrap/>
          </w:tcPr>
          <w:p w14:paraId="0DBE029D"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47E50B7C" w14:textId="20712978" w:rsidR="00B3049F" w:rsidRPr="005D2C5D" w:rsidRDefault="00B3049F" w:rsidP="00600EF8">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Purchase of the new building for the integrated Nicosia District Office and Large Taxpayers’ Office</w:t>
            </w:r>
          </w:p>
        </w:tc>
        <w:tc>
          <w:tcPr>
            <w:tcW w:w="1320" w:type="dxa"/>
            <w:shd w:val="clear" w:color="auto" w:fill="C1F0C7" w:themeFill="accent3" w:themeFillTint="33"/>
            <w:noWrap/>
          </w:tcPr>
          <w:p w14:paraId="38F67DD9" w14:textId="77777777"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Completion of the purchase and start of operations</w:t>
            </w:r>
          </w:p>
        </w:tc>
        <w:tc>
          <w:tcPr>
            <w:tcW w:w="1451" w:type="dxa"/>
            <w:shd w:val="clear" w:color="auto" w:fill="C1F0C7" w:themeFill="accent3" w:themeFillTint="33"/>
            <w:noWrap/>
          </w:tcPr>
          <w:p w14:paraId="6346B397" w14:textId="77777777" w:rsidR="00B3049F" w:rsidRPr="005D2C5D" w:rsidRDefault="00B3049F" w:rsidP="005D2C5D">
            <w:pPr>
              <w:spacing w:after="0" w:line="240" w:lineRule="auto"/>
              <w:jc w:val="center"/>
              <w:rPr>
                <w:rFonts w:ascii="Times New Roman" w:hAnsi="Times New Roman" w:cs="Times New Roman"/>
                <w:noProof/>
                <w:sz w:val="18"/>
                <w:szCs w:val="18"/>
              </w:rPr>
            </w:pPr>
          </w:p>
        </w:tc>
        <w:tc>
          <w:tcPr>
            <w:tcW w:w="1088" w:type="dxa"/>
            <w:shd w:val="clear" w:color="auto" w:fill="C1F0C7" w:themeFill="accent3" w:themeFillTint="33"/>
            <w:noWrap/>
          </w:tcPr>
          <w:p w14:paraId="2A6485D1" w14:textId="77777777" w:rsidR="00B3049F" w:rsidRPr="005D2C5D" w:rsidRDefault="00B3049F" w:rsidP="005D2C5D">
            <w:pPr>
              <w:spacing w:after="0" w:line="240" w:lineRule="auto"/>
              <w:jc w:val="center"/>
              <w:rPr>
                <w:rFonts w:ascii="Times New Roman" w:hAnsi="Times New Roman" w:cs="Times New Roman"/>
                <w:noProof/>
                <w:sz w:val="18"/>
                <w:szCs w:val="18"/>
              </w:rPr>
            </w:pPr>
          </w:p>
        </w:tc>
        <w:tc>
          <w:tcPr>
            <w:tcW w:w="1048" w:type="dxa"/>
            <w:shd w:val="clear" w:color="auto" w:fill="C1F0C7" w:themeFill="accent3" w:themeFillTint="33"/>
            <w:noWrap/>
          </w:tcPr>
          <w:p w14:paraId="6D6E7438" w14:textId="77777777" w:rsidR="00B3049F" w:rsidRPr="005D2C5D" w:rsidRDefault="00B3049F" w:rsidP="005D2C5D">
            <w:pPr>
              <w:spacing w:after="0" w:line="240" w:lineRule="auto"/>
              <w:jc w:val="center"/>
              <w:rPr>
                <w:rFonts w:ascii="Times New Roman" w:hAnsi="Times New Roman" w:cs="Times New Roman"/>
                <w:noProof/>
                <w:sz w:val="18"/>
                <w:szCs w:val="18"/>
              </w:rPr>
            </w:pPr>
          </w:p>
        </w:tc>
        <w:tc>
          <w:tcPr>
            <w:tcW w:w="986" w:type="dxa"/>
            <w:shd w:val="clear" w:color="auto" w:fill="C1F0C7" w:themeFill="accent3" w:themeFillTint="33"/>
          </w:tcPr>
          <w:p w14:paraId="416D8B9E"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Q3</w:t>
            </w:r>
          </w:p>
        </w:tc>
        <w:tc>
          <w:tcPr>
            <w:tcW w:w="984" w:type="dxa"/>
            <w:shd w:val="clear" w:color="auto" w:fill="C1F0C7" w:themeFill="accent3" w:themeFillTint="33"/>
            <w:noWrap/>
          </w:tcPr>
          <w:p w14:paraId="22920F3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2023</w:t>
            </w:r>
          </w:p>
        </w:tc>
        <w:tc>
          <w:tcPr>
            <w:tcW w:w="3260" w:type="dxa"/>
            <w:shd w:val="clear" w:color="auto" w:fill="C1F0C7" w:themeFill="accent3" w:themeFillTint="33"/>
          </w:tcPr>
          <w:p w14:paraId="585F1450"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The new building for the integrated Nicosia District Office and Large Taxpayers’ Office has been purchased. </w:t>
            </w:r>
          </w:p>
        </w:tc>
      </w:tr>
      <w:tr w:rsidR="00B3049F" w:rsidRPr="005D2C5D" w14:paraId="4CF62B97" w14:textId="77777777" w:rsidTr="005D2C5D">
        <w:trPr>
          <w:trHeight w:val="309"/>
          <w:jc w:val="center"/>
        </w:trPr>
        <w:tc>
          <w:tcPr>
            <w:tcW w:w="1135" w:type="dxa"/>
            <w:shd w:val="clear" w:color="auto" w:fill="C1F0C7" w:themeFill="accent3" w:themeFillTint="33"/>
            <w:noWrap/>
          </w:tcPr>
          <w:p w14:paraId="23F39B20" w14:textId="77777777" w:rsidR="00B3049F" w:rsidRPr="005D2C5D" w:rsidRDefault="00B3049F" w:rsidP="00D8670B">
            <w:pPr>
              <w:spacing w:after="0" w:line="240" w:lineRule="auto"/>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208</w:t>
            </w:r>
          </w:p>
        </w:tc>
        <w:tc>
          <w:tcPr>
            <w:tcW w:w="1653" w:type="dxa"/>
            <w:shd w:val="clear" w:color="auto" w:fill="C1F0C7" w:themeFill="accent3" w:themeFillTint="33"/>
            <w:noWrap/>
          </w:tcPr>
          <w:p w14:paraId="5392E5C7" w14:textId="77777777" w:rsidR="00B3049F" w:rsidRPr="005D2C5D" w:rsidRDefault="00B3049F" w:rsidP="00D8670B">
            <w:pPr>
              <w:spacing w:after="0" w:line="240" w:lineRule="auto"/>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 xml:space="preserve">C3.5R9 Digitalising tax collection </w:t>
            </w:r>
          </w:p>
        </w:tc>
        <w:tc>
          <w:tcPr>
            <w:tcW w:w="1063" w:type="dxa"/>
            <w:shd w:val="clear" w:color="auto" w:fill="C1F0C7" w:themeFill="accent3" w:themeFillTint="33"/>
            <w:noWrap/>
          </w:tcPr>
          <w:p w14:paraId="4585E440" w14:textId="77777777" w:rsidR="00B3049F" w:rsidRPr="005D2C5D" w:rsidRDefault="00B3049F" w:rsidP="00D8670B">
            <w:pPr>
              <w:spacing w:after="0" w:line="240" w:lineRule="auto"/>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Milestone</w:t>
            </w:r>
          </w:p>
        </w:tc>
        <w:tc>
          <w:tcPr>
            <w:tcW w:w="1463" w:type="dxa"/>
            <w:shd w:val="clear" w:color="auto" w:fill="C1F0C7" w:themeFill="accent3" w:themeFillTint="33"/>
            <w:noWrap/>
          </w:tcPr>
          <w:p w14:paraId="3C9246BD" w14:textId="77777777" w:rsidR="00B3049F" w:rsidRPr="005D2C5D" w:rsidRDefault="00B3049F" w:rsidP="00D8670B">
            <w:pPr>
              <w:spacing w:after="0" w:line="240" w:lineRule="auto"/>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Direct tax administration services of the Tax department within the ITAS</w:t>
            </w:r>
          </w:p>
        </w:tc>
        <w:tc>
          <w:tcPr>
            <w:tcW w:w="1320" w:type="dxa"/>
            <w:shd w:val="clear" w:color="auto" w:fill="C1F0C7" w:themeFill="accent3" w:themeFillTint="33"/>
            <w:noWrap/>
          </w:tcPr>
          <w:p w14:paraId="52B0922E" w14:textId="0681E08B" w:rsidR="00B3049F" w:rsidRPr="005D2C5D" w:rsidRDefault="00B3049F" w:rsidP="00D8670B">
            <w:pPr>
              <w:spacing w:after="0" w:line="240" w:lineRule="auto"/>
              <w:rPr>
                <w:rFonts w:ascii="Times New Roman" w:eastAsia="Times New Roman" w:hAnsi="Times New Roman" w:cs="Times New Roman"/>
                <w:noProof/>
                <w:sz w:val="18"/>
                <w:szCs w:val="18"/>
              </w:rPr>
            </w:pPr>
            <w:r w:rsidRPr="00BE5C85">
              <w:rPr>
                <w:rFonts w:ascii="Times New Roman" w:eastAsia="Times New Roman" w:hAnsi="Times New Roman" w:cs="Times New Roman"/>
                <w:noProof/>
                <w:sz w:val="18"/>
                <w:szCs w:val="18"/>
              </w:rPr>
              <w:t>Direct Taxes are ready to be put into productive operation within ITAS and have been approved by the board</w:t>
            </w:r>
          </w:p>
        </w:tc>
        <w:tc>
          <w:tcPr>
            <w:tcW w:w="1451" w:type="dxa"/>
            <w:shd w:val="clear" w:color="auto" w:fill="C1F0C7" w:themeFill="accent3" w:themeFillTint="33"/>
            <w:noWrap/>
          </w:tcPr>
          <w:p w14:paraId="5AE4E087" w14:textId="77777777" w:rsidR="00B3049F" w:rsidRPr="005D2C5D" w:rsidRDefault="00B3049F" w:rsidP="005D2C5D">
            <w:pPr>
              <w:spacing w:after="0" w:line="240" w:lineRule="auto"/>
              <w:jc w:val="center"/>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w:t>
            </w:r>
          </w:p>
        </w:tc>
        <w:tc>
          <w:tcPr>
            <w:tcW w:w="1088" w:type="dxa"/>
            <w:shd w:val="clear" w:color="auto" w:fill="C1F0C7" w:themeFill="accent3" w:themeFillTint="33"/>
            <w:noWrap/>
          </w:tcPr>
          <w:p w14:paraId="19867183" w14:textId="77777777" w:rsidR="00B3049F" w:rsidRPr="005D2C5D" w:rsidRDefault="00B3049F" w:rsidP="005D2C5D">
            <w:pPr>
              <w:spacing w:after="0" w:line="240" w:lineRule="auto"/>
              <w:jc w:val="center"/>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w:t>
            </w:r>
          </w:p>
        </w:tc>
        <w:tc>
          <w:tcPr>
            <w:tcW w:w="1048" w:type="dxa"/>
            <w:shd w:val="clear" w:color="auto" w:fill="C1F0C7" w:themeFill="accent3" w:themeFillTint="33"/>
            <w:noWrap/>
          </w:tcPr>
          <w:p w14:paraId="55BD7998" w14:textId="77777777" w:rsidR="00B3049F" w:rsidRPr="005D2C5D" w:rsidRDefault="00B3049F" w:rsidP="005D2C5D">
            <w:pPr>
              <w:spacing w:after="0" w:line="240" w:lineRule="auto"/>
              <w:jc w:val="center"/>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w:t>
            </w:r>
          </w:p>
        </w:tc>
        <w:tc>
          <w:tcPr>
            <w:tcW w:w="986" w:type="dxa"/>
            <w:shd w:val="clear" w:color="auto" w:fill="C1F0C7" w:themeFill="accent3" w:themeFillTint="33"/>
          </w:tcPr>
          <w:p w14:paraId="3AF9FAE4" w14:textId="7549A98B" w:rsidR="00B3049F" w:rsidRPr="005D2C5D" w:rsidRDefault="00B3049F" w:rsidP="005B736A">
            <w:pPr>
              <w:spacing w:after="0" w:line="240" w:lineRule="auto"/>
              <w:jc w:val="center"/>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Q1</w:t>
            </w:r>
          </w:p>
        </w:tc>
        <w:tc>
          <w:tcPr>
            <w:tcW w:w="984" w:type="dxa"/>
            <w:shd w:val="clear" w:color="auto" w:fill="C1F0C7" w:themeFill="accent3" w:themeFillTint="33"/>
            <w:noWrap/>
          </w:tcPr>
          <w:p w14:paraId="231ACD9A" w14:textId="77777777" w:rsidR="00B3049F" w:rsidRPr="005D2C5D" w:rsidRDefault="00B3049F" w:rsidP="005D2C5D">
            <w:pPr>
              <w:spacing w:after="0" w:line="240" w:lineRule="auto"/>
              <w:jc w:val="center"/>
              <w:rPr>
                <w:rFonts w:ascii="Times New Roman" w:eastAsia="Times New Roman" w:hAnsi="Times New Roman" w:cs="Times New Roman"/>
                <w:noProof/>
                <w:sz w:val="18"/>
                <w:szCs w:val="18"/>
              </w:rPr>
            </w:pPr>
            <w:r w:rsidRPr="005D2C5D">
              <w:rPr>
                <w:rFonts w:ascii="Times New Roman" w:eastAsia="Times New Roman" w:hAnsi="Times New Roman" w:cs="Times New Roman"/>
                <w:noProof/>
                <w:sz w:val="18"/>
                <w:szCs w:val="18"/>
              </w:rPr>
              <w:t>2026</w:t>
            </w:r>
          </w:p>
          <w:p w14:paraId="564E5F71" w14:textId="77777777" w:rsidR="00B3049F" w:rsidRPr="005D2C5D" w:rsidRDefault="00B3049F" w:rsidP="005D2C5D">
            <w:pPr>
              <w:spacing w:after="0" w:line="240" w:lineRule="auto"/>
              <w:jc w:val="center"/>
              <w:rPr>
                <w:rFonts w:ascii="Times New Roman" w:eastAsia="Times New Roman" w:hAnsi="Times New Roman" w:cs="Times New Roman"/>
                <w:noProof/>
                <w:sz w:val="18"/>
                <w:szCs w:val="18"/>
              </w:rPr>
            </w:pPr>
          </w:p>
        </w:tc>
        <w:tc>
          <w:tcPr>
            <w:tcW w:w="3260" w:type="dxa"/>
            <w:shd w:val="clear" w:color="auto" w:fill="C1F0C7" w:themeFill="accent3" w:themeFillTint="33"/>
          </w:tcPr>
          <w:p w14:paraId="61481C67" w14:textId="3050A814" w:rsidR="00B3049F" w:rsidRPr="00BE5C85" w:rsidRDefault="00B3049F" w:rsidP="00600EF8">
            <w:pPr>
              <w:spacing w:line="240" w:lineRule="auto"/>
              <w:jc w:val="both"/>
              <w:rPr>
                <w:rFonts w:ascii="Times New Roman" w:eastAsia="Times New Roman" w:hAnsi="Times New Roman" w:cs="Times New Roman"/>
                <w:noProof/>
                <w:sz w:val="18"/>
                <w:szCs w:val="18"/>
              </w:rPr>
            </w:pPr>
            <w:r w:rsidRPr="00BE5C85">
              <w:rPr>
                <w:rFonts w:ascii="Times New Roman" w:eastAsia="Times New Roman" w:hAnsi="Times New Roman" w:cs="Times New Roman"/>
                <w:noProof/>
                <w:sz w:val="18"/>
                <w:szCs w:val="18"/>
              </w:rPr>
              <w:t>The Tax administration services for the following Direct Taxes are ready to be put into productive operation within ITAS and have been approved by the board:</w:t>
            </w:r>
          </w:p>
          <w:p w14:paraId="267691A8" w14:textId="77777777" w:rsidR="00B3049F" w:rsidRPr="00BE5C85" w:rsidRDefault="00B3049F" w:rsidP="00BE5C85">
            <w:pPr>
              <w:pStyle w:val="ListParagraph"/>
              <w:numPr>
                <w:ilvl w:val="0"/>
                <w:numId w:val="4"/>
              </w:numPr>
              <w:spacing w:after="0" w:line="240" w:lineRule="auto"/>
              <w:jc w:val="both"/>
              <w:rPr>
                <w:rFonts w:ascii="Times New Roman" w:eastAsia="Times New Roman" w:hAnsi="Times New Roman" w:cs="Times New Roman"/>
                <w:noProof/>
                <w:sz w:val="18"/>
                <w:szCs w:val="18"/>
                <w:lang w:val="en-US" w:eastAsia="ja-JP"/>
              </w:rPr>
            </w:pPr>
            <w:r w:rsidRPr="00BE5C85">
              <w:rPr>
                <w:rFonts w:ascii="Times New Roman" w:eastAsia="Times New Roman" w:hAnsi="Times New Roman" w:cs="Times New Roman"/>
                <w:noProof/>
                <w:sz w:val="18"/>
                <w:szCs w:val="18"/>
                <w:lang w:val="en-US"/>
              </w:rPr>
              <w:t>Income Tax withheld at source by employers (PAYE),</w:t>
            </w:r>
          </w:p>
          <w:p w14:paraId="4179D2BD" w14:textId="5C9313AE" w:rsidR="00B3049F" w:rsidRPr="00BE5C85" w:rsidRDefault="00B3049F" w:rsidP="00BE5C85">
            <w:pPr>
              <w:pStyle w:val="ListParagraph"/>
              <w:numPr>
                <w:ilvl w:val="0"/>
                <w:numId w:val="4"/>
              </w:numPr>
              <w:spacing w:after="0" w:line="240" w:lineRule="auto"/>
              <w:jc w:val="both"/>
              <w:rPr>
                <w:rFonts w:ascii="Times New Roman" w:eastAsia="Times New Roman" w:hAnsi="Times New Roman" w:cs="Times New Roman"/>
                <w:noProof/>
                <w:sz w:val="18"/>
                <w:szCs w:val="18"/>
                <w:lang w:val="en-US"/>
              </w:rPr>
            </w:pPr>
            <w:r w:rsidRPr="00BE5C85">
              <w:rPr>
                <w:rFonts w:ascii="Times New Roman" w:eastAsia="Times New Roman" w:hAnsi="Times New Roman" w:cs="Times New Roman"/>
                <w:noProof/>
                <w:sz w:val="18"/>
                <w:szCs w:val="18"/>
                <w:lang w:val="en-US"/>
              </w:rPr>
              <w:t>Defence Tax</w:t>
            </w:r>
          </w:p>
          <w:p w14:paraId="1B6408A6" w14:textId="0110B8C7" w:rsidR="00B3049F" w:rsidRDefault="00B3049F" w:rsidP="00BE5C85">
            <w:pPr>
              <w:pStyle w:val="ListParagraph"/>
              <w:numPr>
                <w:ilvl w:val="0"/>
                <w:numId w:val="4"/>
              </w:numPr>
              <w:spacing w:after="0" w:line="240" w:lineRule="auto"/>
              <w:jc w:val="both"/>
              <w:rPr>
                <w:rFonts w:ascii="Times New Roman" w:eastAsia="Times New Roman" w:hAnsi="Times New Roman" w:cs="Times New Roman"/>
                <w:noProof/>
                <w:sz w:val="18"/>
                <w:szCs w:val="18"/>
                <w:lang w:val="en-US"/>
              </w:rPr>
            </w:pPr>
            <w:r w:rsidRPr="00BE5C85">
              <w:rPr>
                <w:rFonts w:ascii="Times New Roman" w:eastAsia="Times New Roman" w:hAnsi="Times New Roman" w:cs="Times New Roman"/>
                <w:noProof/>
                <w:sz w:val="18"/>
                <w:szCs w:val="18"/>
                <w:lang w:val="en-US"/>
              </w:rPr>
              <w:t>Submission Services for the Summary Information Table for Controlled Transactions</w:t>
            </w:r>
          </w:p>
          <w:p w14:paraId="3E534BC0" w14:textId="77777777" w:rsidR="00BE5C85" w:rsidRPr="00BE5C85" w:rsidRDefault="00BE5C85" w:rsidP="00BE5C85">
            <w:pPr>
              <w:pStyle w:val="ListParagraph"/>
              <w:spacing w:after="0" w:line="240" w:lineRule="auto"/>
              <w:jc w:val="both"/>
              <w:rPr>
                <w:rFonts w:ascii="Times New Roman" w:eastAsia="Times New Roman" w:hAnsi="Times New Roman" w:cs="Times New Roman"/>
                <w:noProof/>
                <w:sz w:val="18"/>
                <w:szCs w:val="18"/>
                <w:lang w:val="en-US"/>
              </w:rPr>
            </w:pPr>
          </w:p>
          <w:p w14:paraId="67AC964E" w14:textId="77777777" w:rsidR="00B3049F" w:rsidRPr="00BE5C85" w:rsidRDefault="00B3049F" w:rsidP="00BE5C85">
            <w:pPr>
              <w:spacing w:after="0" w:line="240" w:lineRule="auto"/>
              <w:jc w:val="both"/>
              <w:rPr>
                <w:rFonts w:ascii="Times New Roman" w:eastAsia="Times New Roman" w:hAnsi="Times New Roman" w:cs="Times New Roman"/>
                <w:noProof/>
                <w:sz w:val="18"/>
                <w:szCs w:val="18"/>
              </w:rPr>
            </w:pPr>
            <w:r w:rsidRPr="00BE5C85">
              <w:rPr>
                <w:rFonts w:ascii="Times New Roman" w:eastAsia="Times New Roman" w:hAnsi="Times New Roman" w:cs="Times New Roman"/>
                <w:noProof/>
                <w:sz w:val="18"/>
                <w:szCs w:val="18"/>
              </w:rPr>
              <w:t>Together with the following horizontal functionalities:</w:t>
            </w:r>
          </w:p>
          <w:p w14:paraId="630F0B8B" w14:textId="77777777" w:rsidR="00B3049F" w:rsidRPr="00BE5C85" w:rsidRDefault="00B3049F" w:rsidP="00BE5C85">
            <w:pPr>
              <w:pStyle w:val="ListParagraph"/>
              <w:numPr>
                <w:ilvl w:val="0"/>
                <w:numId w:val="5"/>
              </w:numPr>
              <w:spacing w:after="0" w:line="240" w:lineRule="auto"/>
              <w:jc w:val="both"/>
              <w:rPr>
                <w:rFonts w:ascii="Times New Roman" w:eastAsia="Times New Roman" w:hAnsi="Times New Roman" w:cs="Times New Roman"/>
                <w:noProof/>
                <w:sz w:val="18"/>
                <w:szCs w:val="18"/>
                <w:lang w:val="en-US"/>
              </w:rPr>
            </w:pPr>
            <w:r w:rsidRPr="00BE5C85">
              <w:rPr>
                <w:rFonts w:ascii="Times New Roman" w:eastAsia="Times New Roman" w:hAnsi="Times New Roman" w:cs="Times New Roman"/>
                <w:noProof/>
                <w:sz w:val="18"/>
                <w:szCs w:val="18"/>
                <w:lang w:val="en-US"/>
              </w:rPr>
              <w:t xml:space="preserve">Online Registration to the Tax Registry of the Department </w:t>
            </w:r>
          </w:p>
          <w:p w14:paraId="533AD233" w14:textId="77777777" w:rsidR="00B3049F" w:rsidRPr="00BE5C85" w:rsidRDefault="00B3049F" w:rsidP="00BE5C85">
            <w:pPr>
              <w:pStyle w:val="ListParagraph"/>
              <w:numPr>
                <w:ilvl w:val="0"/>
                <w:numId w:val="5"/>
              </w:numPr>
              <w:spacing w:after="0" w:line="240" w:lineRule="auto"/>
              <w:jc w:val="both"/>
              <w:rPr>
                <w:rFonts w:ascii="Times New Roman" w:eastAsia="Times New Roman" w:hAnsi="Times New Roman" w:cs="Times New Roman"/>
                <w:noProof/>
                <w:sz w:val="18"/>
                <w:szCs w:val="18"/>
                <w:lang w:val="en-US"/>
              </w:rPr>
            </w:pPr>
            <w:r w:rsidRPr="00BE5C85">
              <w:rPr>
                <w:rFonts w:ascii="Times New Roman" w:eastAsia="Times New Roman" w:hAnsi="Times New Roman" w:cs="Times New Roman"/>
                <w:noProof/>
                <w:sz w:val="18"/>
                <w:szCs w:val="18"/>
                <w:lang w:val="en-US"/>
              </w:rPr>
              <w:t>Tax Audit Operation Services,</w:t>
            </w:r>
          </w:p>
          <w:p w14:paraId="129ECE4A" w14:textId="77777777" w:rsidR="00B3049F" w:rsidRPr="00BE5C85" w:rsidRDefault="00B3049F" w:rsidP="00BE5C85">
            <w:pPr>
              <w:pStyle w:val="ListParagraph"/>
              <w:numPr>
                <w:ilvl w:val="0"/>
                <w:numId w:val="5"/>
              </w:numPr>
              <w:spacing w:after="0" w:line="240" w:lineRule="auto"/>
              <w:jc w:val="both"/>
              <w:rPr>
                <w:rFonts w:ascii="Times New Roman" w:eastAsia="Times New Roman" w:hAnsi="Times New Roman" w:cs="Times New Roman"/>
                <w:noProof/>
                <w:sz w:val="18"/>
                <w:szCs w:val="18"/>
                <w:lang w:val="en-US"/>
              </w:rPr>
            </w:pPr>
            <w:r w:rsidRPr="00BE5C85">
              <w:rPr>
                <w:rFonts w:ascii="Times New Roman" w:eastAsia="Times New Roman" w:hAnsi="Times New Roman" w:cs="Times New Roman"/>
                <w:noProof/>
                <w:sz w:val="18"/>
                <w:szCs w:val="18"/>
                <w:lang w:val="en-US"/>
              </w:rPr>
              <w:t>Objections Services,</w:t>
            </w:r>
          </w:p>
          <w:p w14:paraId="715CA59A" w14:textId="77777777" w:rsidR="00B3049F" w:rsidRPr="00BE5C85" w:rsidRDefault="00B3049F" w:rsidP="00BE5C85">
            <w:pPr>
              <w:pStyle w:val="ListParagraph"/>
              <w:numPr>
                <w:ilvl w:val="0"/>
                <w:numId w:val="5"/>
              </w:numPr>
              <w:spacing w:after="0" w:line="240" w:lineRule="auto"/>
              <w:jc w:val="both"/>
              <w:rPr>
                <w:rFonts w:ascii="Times New Roman" w:eastAsia="Times New Roman" w:hAnsi="Times New Roman" w:cs="Times New Roman"/>
                <w:noProof/>
                <w:sz w:val="18"/>
                <w:szCs w:val="18"/>
                <w:lang w:val="en-US"/>
              </w:rPr>
            </w:pPr>
            <w:r w:rsidRPr="00BE5C85">
              <w:rPr>
                <w:rFonts w:ascii="Times New Roman" w:eastAsia="Times New Roman" w:hAnsi="Times New Roman" w:cs="Times New Roman"/>
                <w:noProof/>
                <w:sz w:val="18"/>
                <w:szCs w:val="18"/>
                <w:lang w:val="en-US"/>
              </w:rPr>
              <w:t>Cy Login Authentication Functionality,</w:t>
            </w:r>
          </w:p>
          <w:p w14:paraId="0A49F20B" w14:textId="77777777" w:rsidR="00B3049F" w:rsidRPr="00BE5C85" w:rsidRDefault="00B3049F" w:rsidP="00BE5C85">
            <w:pPr>
              <w:pStyle w:val="ListParagraph"/>
              <w:numPr>
                <w:ilvl w:val="0"/>
                <w:numId w:val="5"/>
              </w:numPr>
              <w:spacing w:after="0" w:line="240" w:lineRule="auto"/>
              <w:jc w:val="both"/>
              <w:rPr>
                <w:rFonts w:ascii="Times New Roman" w:eastAsia="Times New Roman" w:hAnsi="Times New Roman" w:cs="Times New Roman"/>
                <w:noProof/>
                <w:sz w:val="18"/>
                <w:szCs w:val="18"/>
                <w:lang w:val="en-US"/>
              </w:rPr>
            </w:pPr>
            <w:r w:rsidRPr="00BE5C85">
              <w:rPr>
                <w:rFonts w:ascii="Times New Roman" w:eastAsia="Times New Roman" w:hAnsi="Times New Roman" w:cs="Times New Roman"/>
                <w:noProof/>
                <w:sz w:val="18"/>
                <w:szCs w:val="18"/>
                <w:lang w:val="en-US"/>
              </w:rPr>
              <w:t>Appeals Services.</w:t>
            </w:r>
          </w:p>
          <w:p w14:paraId="51D75574" w14:textId="77777777" w:rsidR="00B3049F" w:rsidRPr="005D2C5D" w:rsidRDefault="00B3049F" w:rsidP="005D2C5D">
            <w:pPr>
              <w:spacing w:after="0" w:line="240" w:lineRule="auto"/>
              <w:jc w:val="both"/>
              <w:rPr>
                <w:rFonts w:ascii="Times New Roman" w:eastAsia="Times New Roman" w:hAnsi="Times New Roman" w:cs="Times New Roman"/>
                <w:noProof/>
                <w:color w:val="D13438"/>
                <w:sz w:val="18"/>
                <w:szCs w:val="18"/>
              </w:rPr>
            </w:pPr>
          </w:p>
        </w:tc>
      </w:tr>
      <w:tr w:rsidR="00B3049F" w:rsidRPr="005D2C5D" w14:paraId="5C2FF469" w14:textId="77777777" w:rsidTr="005D2C5D">
        <w:trPr>
          <w:trHeight w:val="309"/>
          <w:jc w:val="center"/>
        </w:trPr>
        <w:tc>
          <w:tcPr>
            <w:tcW w:w="1135" w:type="dxa"/>
            <w:shd w:val="clear" w:color="auto" w:fill="C1F0C7" w:themeFill="accent3" w:themeFillTint="33"/>
            <w:noWrap/>
          </w:tcPr>
          <w:p w14:paraId="1AF321A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209</w:t>
            </w:r>
          </w:p>
        </w:tc>
        <w:tc>
          <w:tcPr>
            <w:tcW w:w="1653" w:type="dxa"/>
            <w:shd w:val="clear" w:color="auto" w:fill="C1F0C7" w:themeFill="accent3" w:themeFillTint="33"/>
            <w:noWrap/>
          </w:tcPr>
          <w:p w14:paraId="7C5E45A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C3.5R10 Addressing Aggressive Tax Planning</w:t>
            </w:r>
          </w:p>
        </w:tc>
        <w:tc>
          <w:tcPr>
            <w:tcW w:w="1063" w:type="dxa"/>
            <w:shd w:val="clear" w:color="auto" w:fill="C1F0C7" w:themeFill="accent3" w:themeFillTint="33"/>
            <w:noWrap/>
          </w:tcPr>
          <w:p w14:paraId="47A1FC0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2C4F01A5"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the law to tackle aggressive tax planning </w:t>
            </w:r>
          </w:p>
        </w:tc>
        <w:tc>
          <w:tcPr>
            <w:tcW w:w="1320" w:type="dxa"/>
            <w:shd w:val="clear" w:color="auto" w:fill="C1F0C7" w:themeFill="accent3" w:themeFillTint="33"/>
            <w:noWrap/>
          </w:tcPr>
          <w:p w14:paraId="6DFEF40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Provision in the law indicating the entry into force of the law </w:t>
            </w:r>
          </w:p>
        </w:tc>
        <w:tc>
          <w:tcPr>
            <w:tcW w:w="1451" w:type="dxa"/>
            <w:shd w:val="clear" w:color="auto" w:fill="C1F0C7" w:themeFill="accent3" w:themeFillTint="33"/>
            <w:noWrap/>
          </w:tcPr>
          <w:p w14:paraId="68E394C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7DCF0B46"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0AF08819"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48A1F0BD"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079D4B5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2022</w:t>
            </w:r>
          </w:p>
        </w:tc>
        <w:tc>
          <w:tcPr>
            <w:tcW w:w="3260" w:type="dxa"/>
            <w:shd w:val="clear" w:color="auto" w:fill="C1F0C7" w:themeFill="accent3" w:themeFillTint="33"/>
          </w:tcPr>
          <w:p w14:paraId="386029CA"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a law to tackle aggressive tax planning by (a) imposing a withholding tax on interest, dividends and royalty payments to jurisdictions included in Annex I of the Council conclusions on the revised EU list of non-cooperative jurisdictions for tax purposes and (b) introduction of a further corporate tax residency test based on the incorporation of each entity. </w:t>
            </w:r>
          </w:p>
        </w:tc>
      </w:tr>
      <w:tr w:rsidR="00B3049F" w:rsidRPr="005D2C5D" w14:paraId="4BA9F7C0" w14:textId="77777777" w:rsidTr="005D2C5D">
        <w:trPr>
          <w:trHeight w:val="309"/>
          <w:jc w:val="center"/>
        </w:trPr>
        <w:tc>
          <w:tcPr>
            <w:tcW w:w="1135" w:type="dxa"/>
            <w:shd w:val="clear" w:color="auto" w:fill="C1F0C7" w:themeFill="accent3" w:themeFillTint="33"/>
            <w:noWrap/>
          </w:tcPr>
          <w:p w14:paraId="36C04BAB" w14:textId="77777777"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210</w:t>
            </w:r>
          </w:p>
        </w:tc>
        <w:tc>
          <w:tcPr>
            <w:tcW w:w="1653" w:type="dxa"/>
            <w:shd w:val="clear" w:color="auto" w:fill="C1F0C7" w:themeFill="accent3" w:themeFillTint="33"/>
            <w:noWrap/>
          </w:tcPr>
          <w:p w14:paraId="0A23ABB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C3.5R10 Addressing Aggressive Tax Planning</w:t>
            </w:r>
          </w:p>
        </w:tc>
        <w:tc>
          <w:tcPr>
            <w:tcW w:w="1063" w:type="dxa"/>
            <w:shd w:val="clear" w:color="auto" w:fill="C1F0C7" w:themeFill="accent3" w:themeFillTint="33"/>
            <w:noWrap/>
          </w:tcPr>
          <w:p w14:paraId="157EBDEF"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3A492D60"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legal act(s) to tackle aggressive tax planning </w:t>
            </w:r>
          </w:p>
        </w:tc>
        <w:tc>
          <w:tcPr>
            <w:tcW w:w="1320" w:type="dxa"/>
            <w:shd w:val="clear" w:color="auto" w:fill="C1F0C7" w:themeFill="accent3" w:themeFillTint="33"/>
            <w:noWrap/>
          </w:tcPr>
          <w:p w14:paraId="245E9484"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legal act(s) </w:t>
            </w:r>
          </w:p>
        </w:tc>
        <w:tc>
          <w:tcPr>
            <w:tcW w:w="1451" w:type="dxa"/>
            <w:shd w:val="clear" w:color="auto" w:fill="C1F0C7" w:themeFill="accent3" w:themeFillTint="33"/>
            <w:noWrap/>
          </w:tcPr>
          <w:p w14:paraId="5B746138"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1AC2964F"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360D1CEE"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301BB433"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31DCC4EC"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2024</w:t>
            </w:r>
          </w:p>
        </w:tc>
        <w:tc>
          <w:tcPr>
            <w:tcW w:w="3260" w:type="dxa"/>
            <w:shd w:val="clear" w:color="auto" w:fill="C1F0C7" w:themeFill="accent3" w:themeFillTint="33"/>
          </w:tcPr>
          <w:p w14:paraId="7D7B54A4"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legal act(s) to introduce withholding tax on dividend payments to low tax jurisdictions and applying non-deductibility on interest and royalty payments to low tax jurisdictions. </w:t>
            </w:r>
          </w:p>
          <w:p w14:paraId="7F6B1FA5" w14:textId="77777777" w:rsidR="00B3049F" w:rsidRPr="005D2C5D" w:rsidRDefault="00B3049F" w:rsidP="005D2C5D">
            <w:pPr>
              <w:spacing w:after="0" w:line="240" w:lineRule="auto"/>
              <w:jc w:val="both"/>
              <w:rPr>
                <w:rFonts w:ascii="Times New Roman" w:hAnsi="Times New Roman" w:cs="Times New Roman"/>
                <w:noProof/>
                <w:sz w:val="18"/>
                <w:szCs w:val="18"/>
              </w:rPr>
            </w:pPr>
          </w:p>
        </w:tc>
      </w:tr>
      <w:tr w:rsidR="00B3049F" w:rsidRPr="005D2C5D" w14:paraId="21E29742" w14:textId="77777777" w:rsidTr="005D2C5D">
        <w:trPr>
          <w:trHeight w:val="309"/>
          <w:jc w:val="center"/>
        </w:trPr>
        <w:tc>
          <w:tcPr>
            <w:tcW w:w="1135" w:type="dxa"/>
            <w:shd w:val="clear" w:color="auto" w:fill="C1F0C7" w:themeFill="accent3" w:themeFillTint="33"/>
            <w:noWrap/>
          </w:tcPr>
          <w:p w14:paraId="52924F80" w14:textId="77777777"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211</w:t>
            </w:r>
          </w:p>
        </w:tc>
        <w:tc>
          <w:tcPr>
            <w:tcW w:w="1653" w:type="dxa"/>
            <w:shd w:val="clear" w:color="auto" w:fill="C1F0C7" w:themeFill="accent3" w:themeFillTint="33"/>
            <w:noWrap/>
          </w:tcPr>
          <w:p w14:paraId="5200B7A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C3.5R10 Addressing Aggressive Tax Planning</w:t>
            </w:r>
          </w:p>
        </w:tc>
        <w:tc>
          <w:tcPr>
            <w:tcW w:w="1063" w:type="dxa"/>
            <w:shd w:val="clear" w:color="auto" w:fill="C1F0C7" w:themeFill="accent3" w:themeFillTint="33"/>
            <w:noWrap/>
          </w:tcPr>
          <w:p w14:paraId="0092F09E"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Milestone</w:t>
            </w:r>
          </w:p>
        </w:tc>
        <w:tc>
          <w:tcPr>
            <w:tcW w:w="1463" w:type="dxa"/>
            <w:shd w:val="clear" w:color="auto" w:fill="C1F0C7" w:themeFill="accent3" w:themeFillTint="33"/>
            <w:noWrap/>
          </w:tcPr>
          <w:p w14:paraId="20259A8B"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legal act(s) addressing aggressive tax planning </w:t>
            </w:r>
          </w:p>
        </w:tc>
        <w:tc>
          <w:tcPr>
            <w:tcW w:w="1320" w:type="dxa"/>
            <w:shd w:val="clear" w:color="auto" w:fill="C1F0C7" w:themeFill="accent3" w:themeFillTint="33"/>
            <w:noWrap/>
          </w:tcPr>
          <w:p w14:paraId="5DA6825D"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Entry into force of legal act(s) </w:t>
            </w:r>
          </w:p>
        </w:tc>
        <w:tc>
          <w:tcPr>
            <w:tcW w:w="1451" w:type="dxa"/>
            <w:shd w:val="clear" w:color="auto" w:fill="C1F0C7" w:themeFill="accent3" w:themeFillTint="33"/>
            <w:noWrap/>
          </w:tcPr>
          <w:p w14:paraId="57E41425"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88" w:type="dxa"/>
            <w:shd w:val="clear" w:color="auto" w:fill="C1F0C7" w:themeFill="accent3" w:themeFillTint="33"/>
            <w:noWrap/>
          </w:tcPr>
          <w:p w14:paraId="63E5B63E"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048" w:type="dxa"/>
            <w:shd w:val="clear" w:color="auto" w:fill="C1F0C7" w:themeFill="accent3" w:themeFillTint="33"/>
            <w:noWrap/>
          </w:tcPr>
          <w:p w14:paraId="7E8D4A74"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986" w:type="dxa"/>
            <w:shd w:val="clear" w:color="auto" w:fill="C1F0C7" w:themeFill="accent3" w:themeFillTint="33"/>
          </w:tcPr>
          <w:p w14:paraId="0D6E2D7E"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Q2</w:t>
            </w:r>
          </w:p>
        </w:tc>
        <w:tc>
          <w:tcPr>
            <w:tcW w:w="984" w:type="dxa"/>
            <w:shd w:val="clear" w:color="auto" w:fill="C1F0C7" w:themeFill="accent3" w:themeFillTint="33"/>
            <w:noWrap/>
          </w:tcPr>
          <w:p w14:paraId="56D3FD3C"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2026</w:t>
            </w:r>
          </w:p>
        </w:tc>
        <w:tc>
          <w:tcPr>
            <w:tcW w:w="3260" w:type="dxa"/>
            <w:shd w:val="clear" w:color="auto" w:fill="C1F0C7" w:themeFill="accent3" w:themeFillTint="33"/>
          </w:tcPr>
          <w:p w14:paraId="1DA6C50F" w14:textId="7562AEED"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A study shall assess the tax framework</w:t>
            </w:r>
            <w:r w:rsidR="00064579" w:rsidRPr="005D2C5D">
              <w:rPr>
                <w:rFonts w:ascii="Times New Roman" w:hAnsi="Times New Roman" w:cs="Times New Roman"/>
                <w:noProof/>
                <w:sz w:val="18"/>
                <w:szCs w:val="18"/>
              </w:rPr>
              <w:t xml:space="preserve"> </w:t>
            </w:r>
            <w:r w:rsidRPr="005D2C5D">
              <w:rPr>
                <w:rFonts w:ascii="Times New Roman" w:hAnsi="Times New Roman" w:cs="Times New Roman"/>
                <w:noProof/>
                <w:sz w:val="18"/>
                <w:szCs w:val="18"/>
              </w:rPr>
              <w:t>with respect to measures related to aggressive tax planning. Legal act(s) addressing aggressive tax planning based on the findings of this study shall enter into force.</w:t>
            </w:r>
          </w:p>
        </w:tc>
      </w:tr>
      <w:tr w:rsidR="00B3049F" w:rsidRPr="005D2C5D" w14:paraId="3879469C" w14:textId="77777777" w:rsidTr="005D2C5D">
        <w:trPr>
          <w:trHeight w:val="309"/>
          <w:jc w:val="center"/>
        </w:trPr>
        <w:tc>
          <w:tcPr>
            <w:tcW w:w="1135" w:type="dxa"/>
            <w:shd w:val="clear" w:color="auto" w:fill="C1F0C7" w:themeFill="accent3" w:themeFillTint="33"/>
            <w:noWrap/>
          </w:tcPr>
          <w:p w14:paraId="0CD18B68"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212</w:t>
            </w:r>
          </w:p>
        </w:tc>
        <w:tc>
          <w:tcPr>
            <w:tcW w:w="1653" w:type="dxa"/>
            <w:shd w:val="clear" w:color="auto" w:fill="C1F0C7" w:themeFill="accent3" w:themeFillTint="33"/>
            <w:noWrap/>
          </w:tcPr>
          <w:p w14:paraId="5DDDD2BF"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C3.5I2 Modernisation of Customs and Electronic Payment System </w:t>
            </w:r>
          </w:p>
        </w:tc>
        <w:tc>
          <w:tcPr>
            <w:tcW w:w="1063" w:type="dxa"/>
            <w:shd w:val="clear" w:color="auto" w:fill="C1F0C7" w:themeFill="accent3" w:themeFillTint="33"/>
            <w:noWrap/>
          </w:tcPr>
          <w:p w14:paraId="21EACB8C"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Target</w:t>
            </w:r>
          </w:p>
        </w:tc>
        <w:tc>
          <w:tcPr>
            <w:tcW w:w="1463" w:type="dxa"/>
            <w:shd w:val="clear" w:color="auto" w:fill="C1F0C7" w:themeFill="accent3" w:themeFillTint="33"/>
            <w:noWrap/>
          </w:tcPr>
          <w:p w14:paraId="478F6B63"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Putting into operation the information systems– envisaged under the Union Customs Code (UCC)</w:t>
            </w:r>
          </w:p>
        </w:tc>
        <w:tc>
          <w:tcPr>
            <w:tcW w:w="1320" w:type="dxa"/>
            <w:shd w:val="clear" w:color="auto" w:fill="C1F0C7" w:themeFill="accent3" w:themeFillTint="33"/>
            <w:noWrap/>
          </w:tcPr>
          <w:p w14:paraId="64179146"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451" w:type="dxa"/>
            <w:shd w:val="clear" w:color="auto" w:fill="C1F0C7" w:themeFill="accent3" w:themeFillTint="33"/>
            <w:noWrap/>
          </w:tcPr>
          <w:p w14:paraId="772D223D"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Number</w:t>
            </w:r>
          </w:p>
        </w:tc>
        <w:tc>
          <w:tcPr>
            <w:tcW w:w="1088" w:type="dxa"/>
            <w:shd w:val="clear" w:color="auto" w:fill="C1F0C7" w:themeFill="accent3" w:themeFillTint="33"/>
            <w:noWrap/>
          </w:tcPr>
          <w:p w14:paraId="19876903"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0</w:t>
            </w:r>
          </w:p>
        </w:tc>
        <w:tc>
          <w:tcPr>
            <w:tcW w:w="1048" w:type="dxa"/>
            <w:shd w:val="clear" w:color="auto" w:fill="C1F0C7" w:themeFill="accent3" w:themeFillTint="33"/>
            <w:noWrap/>
          </w:tcPr>
          <w:p w14:paraId="7AD44C76"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w:t>
            </w:r>
          </w:p>
        </w:tc>
        <w:tc>
          <w:tcPr>
            <w:tcW w:w="986" w:type="dxa"/>
            <w:shd w:val="clear" w:color="auto" w:fill="C1F0C7" w:themeFill="accent3" w:themeFillTint="33"/>
          </w:tcPr>
          <w:p w14:paraId="3D8649CC"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63C9E58F"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2023</w:t>
            </w:r>
          </w:p>
        </w:tc>
        <w:tc>
          <w:tcPr>
            <w:tcW w:w="3260" w:type="dxa"/>
            <w:shd w:val="clear" w:color="auto" w:fill="C1F0C7" w:themeFill="accent3" w:themeFillTint="33"/>
          </w:tcPr>
          <w:p w14:paraId="53787F9B" w14:textId="77777777"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 xml:space="preserve">At least two of the following import-related information systems have been completed, installed, and put into operation: </w:t>
            </w:r>
          </w:p>
          <w:p w14:paraId="50C44349" w14:textId="045283F8" w:rsidR="00B3049F" w:rsidRPr="005D2C5D" w:rsidRDefault="00B3049F" w:rsidP="00BE5C85">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1. Automated Export System </w:t>
            </w:r>
            <w:r w:rsidRPr="005D2C5D">
              <w:rPr>
                <w:rFonts w:ascii="Times New Roman" w:hAnsi="Times New Roman" w:cs="Times New Roman"/>
                <w:noProof/>
                <w:sz w:val="18"/>
                <w:szCs w:val="18"/>
              </w:rPr>
              <w:br/>
              <w:t>2. New Computerised Transit System</w:t>
            </w:r>
            <w:r w:rsidRPr="005D2C5D">
              <w:rPr>
                <w:rFonts w:ascii="Times New Roman" w:hAnsi="Times New Roman" w:cs="Times New Roman"/>
                <w:noProof/>
                <w:sz w:val="18"/>
                <w:szCs w:val="18"/>
              </w:rPr>
              <w:br/>
              <w:t xml:space="preserve">3. EU Single Window </w:t>
            </w:r>
            <w:r w:rsidRPr="005D2C5D">
              <w:rPr>
                <w:rFonts w:ascii="Times New Roman" w:hAnsi="Times New Roman" w:cs="Times New Roman"/>
                <w:noProof/>
                <w:sz w:val="18"/>
                <w:szCs w:val="18"/>
              </w:rPr>
              <w:br/>
              <w:t>4. Union Customs Code</w:t>
            </w:r>
            <w:r w:rsidR="00064579" w:rsidRPr="005D2C5D">
              <w:rPr>
                <w:rFonts w:ascii="Times New Roman" w:hAnsi="Times New Roman" w:cs="Times New Roman"/>
                <w:noProof/>
                <w:sz w:val="18"/>
                <w:szCs w:val="18"/>
              </w:rPr>
              <w:t xml:space="preserve"> </w:t>
            </w:r>
            <w:r w:rsidRPr="005D2C5D">
              <w:rPr>
                <w:rFonts w:ascii="Times New Roman" w:hAnsi="Times New Roman" w:cs="Times New Roman"/>
                <w:noProof/>
                <w:sz w:val="18"/>
                <w:szCs w:val="18"/>
              </w:rPr>
              <w:br/>
              <w:t>5. Guarantee Management</w:t>
            </w:r>
          </w:p>
          <w:p w14:paraId="14562987" w14:textId="0FB6BDB3" w:rsidR="00B3049F" w:rsidRPr="005D2C5D" w:rsidRDefault="00B3049F" w:rsidP="00BE5C85">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6. Union Customs Code</w:t>
            </w:r>
            <w:r w:rsidR="00064579" w:rsidRPr="005D2C5D">
              <w:rPr>
                <w:rFonts w:ascii="Times New Roman" w:hAnsi="Times New Roman" w:cs="Times New Roman"/>
                <w:noProof/>
                <w:sz w:val="18"/>
                <w:szCs w:val="18"/>
              </w:rPr>
              <w:t xml:space="preserve"> </w:t>
            </w:r>
            <w:r w:rsidRPr="005D2C5D">
              <w:rPr>
                <w:rFonts w:ascii="Times New Roman" w:hAnsi="Times New Roman" w:cs="Times New Roman"/>
                <w:noProof/>
                <w:sz w:val="18"/>
                <w:szCs w:val="18"/>
              </w:rPr>
              <w:br/>
              <w:t xml:space="preserve">7. SURVEILLANCE 3 </w:t>
            </w:r>
            <w:r w:rsidRPr="005D2C5D">
              <w:rPr>
                <w:rFonts w:ascii="Times New Roman" w:hAnsi="Times New Roman" w:cs="Times New Roman"/>
                <w:noProof/>
                <w:sz w:val="18"/>
                <w:szCs w:val="18"/>
              </w:rPr>
              <w:br/>
              <w:t xml:space="preserve">8. Union Customs Code - Import Control System 2 </w:t>
            </w:r>
            <w:r w:rsidRPr="005D2C5D">
              <w:rPr>
                <w:rFonts w:ascii="Times New Roman" w:hAnsi="Times New Roman" w:cs="Times New Roman"/>
                <w:noProof/>
                <w:sz w:val="18"/>
                <w:szCs w:val="18"/>
              </w:rPr>
              <w:br/>
              <w:t xml:space="preserve">9. Import Applications under the Union Customs Code </w:t>
            </w:r>
            <w:r w:rsidRPr="005D2C5D">
              <w:rPr>
                <w:rFonts w:ascii="Times New Roman" w:hAnsi="Times New Roman" w:cs="Times New Roman"/>
                <w:noProof/>
                <w:sz w:val="18"/>
                <w:szCs w:val="18"/>
              </w:rPr>
              <w:br/>
              <w:t>10. Customs Union Performance – Management Information System</w:t>
            </w:r>
            <w:r w:rsidR="00064579" w:rsidRPr="005D2C5D">
              <w:rPr>
                <w:rFonts w:ascii="Times New Roman" w:hAnsi="Times New Roman" w:cs="Times New Roman"/>
                <w:noProof/>
                <w:sz w:val="18"/>
                <w:szCs w:val="18"/>
              </w:rPr>
              <w:t xml:space="preserve"> </w:t>
            </w:r>
            <w:r w:rsidRPr="005D2C5D">
              <w:rPr>
                <w:rFonts w:ascii="Times New Roman" w:hAnsi="Times New Roman" w:cs="Times New Roman"/>
                <w:noProof/>
                <w:sz w:val="18"/>
                <w:szCs w:val="18"/>
              </w:rPr>
              <w:br/>
              <w:t xml:space="preserve">11. Union Customs Code Proof of Union Status </w:t>
            </w:r>
            <w:r w:rsidRPr="005D2C5D">
              <w:rPr>
                <w:rFonts w:ascii="Times New Roman" w:hAnsi="Times New Roman" w:cs="Times New Roman"/>
                <w:noProof/>
                <w:sz w:val="18"/>
                <w:szCs w:val="18"/>
              </w:rPr>
              <w:br/>
              <w:t>12. Uniform User Management and Digital Signature</w:t>
            </w:r>
          </w:p>
          <w:p w14:paraId="56BD552B" w14:textId="77777777" w:rsidR="00B3049F" w:rsidRPr="005D2C5D" w:rsidRDefault="00B3049F" w:rsidP="005D2C5D">
            <w:pPr>
              <w:spacing w:after="0" w:line="240" w:lineRule="auto"/>
              <w:jc w:val="both"/>
              <w:rPr>
                <w:rFonts w:ascii="Times New Roman" w:hAnsi="Times New Roman" w:cs="Times New Roman"/>
                <w:noProof/>
                <w:sz w:val="18"/>
                <w:szCs w:val="18"/>
              </w:rPr>
            </w:pPr>
          </w:p>
        </w:tc>
      </w:tr>
      <w:tr w:rsidR="00B3049F" w:rsidRPr="005D2C5D" w14:paraId="6DC52604" w14:textId="77777777" w:rsidTr="00600EF8">
        <w:trPr>
          <w:trHeight w:val="309"/>
          <w:jc w:val="center"/>
        </w:trPr>
        <w:tc>
          <w:tcPr>
            <w:tcW w:w="1135" w:type="dxa"/>
            <w:shd w:val="clear" w:color="auto" w:fill="C1F0C7" w:themeFill="accent3" w:themeFillTint="33"/>
            <w:noWrap/>
          </w:tcPr>
          <w:p w14:paraId="1F96AF68" w14:textId="77777777" w:rsidR="00B3049F" w:rsidRPr="005D2C5D" w:rsidRDefault="00B3049F" w:rsidP="00D8670B">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213</w:t>
            </w:r>
          </w:p>
        </w:tc>
        <w:tc>
          <w:tcPr>
            <w:tcW w:w="1653" w:type="dxa"/>
            <w:shd w:val="clear" w:color="auto" w:fill="C1F0C7" w:themeFill="accent3" w:themeFillTint="33"/>
            <w:noWrap/>
          </w:tcPr>
          <w:p w14:paraId="72D3EF5C"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C3.5I2 Modernisation of Customs and Electronic Payment System </w:t>
            </w:r>
          </w:p>
        </w:tc>
        <w:tc>
          <w:tcPr>
            <w:tcW w:w="1063" w:type="dxa"/>
            <w:shd w:val="clear" w:color="auto" w:fill="C1F0C7" w:themeFill="accent3" w:themeFillTint="33"/>
            <w:noWrap/>
          </w:tcPr>
          <w:p w14:paraId="4792A0AC"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Target</w:t>
            </w:r>
          </w:p>
        </w:tc>
        <w:tc>
          <w:tcPr>
            <w:tcW w:w="1463" w:type="dxa"/>
            <w:shd w:val="clear" w:color="auto" w:fill="C1F0C7" w:themeFill="accent3" w:themeFillTint="33"/>
            <w:noWrap/>
          </w:tcPr>
          <w:p w14:paraId="5F2AB0E3" w14:textId="77A72CAA"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 xml:space="preserve">Information systems </w:t>
            </w:r>
            <w:r w:rsidR="00613BE5">
              <w:rPr>
                <w:rFonts w:ascii="Times New Roman" w:hAnsi="Times New Roman" w:cs="Times New Roman"/>
                <w:noProof/>
                <w:sz w:val="18"/>
                <w:szCs w:val="18"/>
              </w:rPr>
              <w:t>or functionalities</w:t>
            </w:r>
          </w:p>
        </w:tc>
        <w:tc>
          <w:tcPr>
            <w:tcW w:w="1320" w:type="dxa"/>
            <w:shd w:val="clear" w:color="auto" w:fill="C1F0C7" w:themeFill="accent3" w:themeFillTint="33"/>
            <w:noWrap/>
          </w:tcPr>
          <w:p w14:paraId="03D0DC78" w14:textId="77777777" w:rsidR="00B3049F" w:rsidRPr="005D2C5D" w:rsidRDefault="00B3049F">
            <w:pPr>
              <w:spacing w:after="0" w:line="240" w:lineRule="auto"/>
              <w:rPr>
                <w:rFonts w:ascii="Times New Roman" w:hAnsi="Times New Roman" w:cs="Times New Roman"/>
                <w:noProof/>
                <w:sz w:val="18"/>
                <w:szCs w:val="18"/>
              </w:rPr>
            </w:pPr>
            <w:r w:rsidRPr="005D2C5D">
              <w:rPr>
                <w:rFonts w:ascii="Times New Roman" w:hAnsi="Times New Roman" w:cs="Times New Roman"/>
                <w:noProof/>
                <w:sz w:val="18"/>
                <w:szCs w:val="18"/>
              </w:rPr>
              <w:t>-</w:t>
            </w:r>
          </w:p>
        </w:tc>
        <w:tc>
          <w:tcPr>
            <w:tcW w:w="1451" w:type="dxa"/>
            <w:shd w:val="clear" w:color="auto" w:fill="C1F0C7" w:themeFill="accent3" w:themeFillTint="33"/>
            <w:noWrap/>
          </w:tcPr>
          <w:p w14:paraId="7EA69F90"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Number</w:t>
            </w:r>
          </w:p>
        </w:tc>
        <w:tc>
          <w:tcPr>
            <w:tcW w:w="1088" w:type="dxa"/>
            <w:shd w:val="clear" w:color="auto" w:fill="C1F0C7" w:themeFill="accent3" w:themeFillTint="33"/>
            <w:noWrap/>
          </w:tcPr>
          <w:p w14:paraId="59444B73"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w:t>
            </w:r>
          </w:p>
        </w:tc>
        <w:tc>
          <w:tcPr>
            <w:tcW w:w="1048" w:type="dxa"/>
            <w:shd w:val="clear" w:color="auto" w:fill="C1F0C7" w:themeFill="accent3" w:themeFillTint="33"/>
            <w:noWrap/>
          </w:tcPr>
          <w:p w14:paraId="2C0F6999" w14:textId="6DF65A40"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11</w:t>
            </w:r>
          </w:p>
        </w:tc>
        <w:tc>
          <w:tcPr>
            <w:tcW w:w="986" w:type="dxa"/>
            <w:shd w:val="clear" w:color="auto" w:fill="C1F0C7" w:themeFill="accent3" w:themeFillTint="33"/>
          </w:tcPr>
          <w:p w14:paraId="6652DEDB"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Q4</w:t>
            </w:r>
          </w:p>
        </w:tc>
        <w:tc>
          <w:tcPr>
            <w:tcW w:w="984" w:type="dxa"/>
            <w:shd w:val="clear" w:color="auto" w:fill="C1F0C7" w:themeFill="accent3" w:themeFillTint="33"/>
            <w:noWrap/>
          </w:tcPr>
          <w:p w14:paraId="143C7451" w14:textId="77777777" w:rsidR="00B3049F" w:rsidRPr="005D2C5D" w:rsidRDefault="00B3049F" w:rsidP="005D2C5D">
            <w:pPr>
              <w:spacing w:after="0" w:line="240" w:lineRule="auto"/>
              <w:jc w:val="center"/>
              <w:rPr>
                <w:rFonts w:ascii="Times New Roman" w:hAnsi="Times New Roman" w:cs="Times New Roman"/>
                <w:noProof/>
                <w:sz w:val="18"/>
                <w:szCs w:val="18"/>
              </w:rPr>
            </w:pPr>
            <w:r w:rsidRPr="005D2C5D">
              <w:rPr>
                <w:rFonts w:ascii="Times New Roman" w:hAnsi="Times New Roman" w:cs="Times New Roman"/>
                <w:noProof/>
                <w:sz w:val="18"/>
                <w:szCs w:val="18"/>
              </w:rPr>
              <w:t>2025</w:t>
            </w:r>
          </w:p>
        </w:tc>
        <w:tc>
          <w:tcPr>
            <w:tcW w:w="3260" w:type="dxa"/>
            <w:shd w:val="clear" w:color="auto" w:fill="C1F0C7" w:themeFill="accent3" w:themeFillTint="33"/>
          </w:tcPr>
          <w:p w14:paraId="368F8502" w14:textId="65CDC793" w:rsidR="00B3049F" w:rsidRPr="005D2C5D" w:rsidRDefault="00B3049F" w:rsidP="005D2C5D">
            <w:pPr>
              <w:spacing w:after="0" w:line="240" w:lineRule="auto"/>
              <w:jc w:val="both"/>
              <w:rPr>
                <w:rFonts w:ascii="Times New Roman" w:hAnsi="Times New Roman" w:cs="Times New Roman"/>
                <w:noProof/>
                <w:sz w:val="18"/>
                <w:szCs w:val="18"/>
              </w:rPr>
            </w:pPr>
            <w:r w:rsidRPr="005D2C5D">
              <w:rPr>
                <w:rFonts w:ascii="Times New Roman" w:hAnsi="Times New Roman" w:cs="Times New Roman"/>
                <w:noProof/>
                <w:sz w:val="18"/>
                <w:szCs w:val="18"/>
              </w:rPr>
              <w:t>Acceptance Certificates shall be issued on the following:</w:t>
            </w:r>
          </w:p>
          <w:p w14:paraId="3AEE8128" w14:textId="77777777" w:rsidR="00B3049F" w:rsidRPr="005D2C5D" w:rsidRDefault="00B3049F" w:rsidP="005D2C5D">
            <w:pPr>
              <w:pStyle w:val="ListParagraph"/>
              <w:numPr>
                <w:ilvl w:val="0"/>
                <w:numId w:val="8"/>
              </w:numPr>
              <w:spacing w:after="0" w:line="240" w:lineRule="auto"/>
              <w:jc w:val="both"/>
              <w:rPr>
                <w:rFonts w:ascii="Times New Roman" w:eastAsia="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New Computerised Transit System</w:t>
            </w:r>
          </w:p>
          <w:p w14:paraId="6ADDB6CB" w14:textId="77777777" w:rsidR="00B3049F" w:rsidRPr="005D2C5D" w:rsidRDefault="00B3049F" w:rsidP="005D2C5D">
            <w:pPr>
              <w:pStyle w:val="ListParagraph"/>
              <w:numPr>
                <w:ilvl w:val="0"/>
                <w:numId w:val="8"/>
              </w:numPr>
              <w:spacing w:after="0" w:line="240" w:lineRule="auto"/>
              <w:jc w:val="both"/>
              <w:rPr>
                <w:rFonts w:ascii="Times New Roman" w:eastAsia="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EU Single Window</w:t>
            </w:r>
          </w:p>
          <w:p w14:paraId="56BA6CBA" w14:textId="77777777" w:rsidR="00B3049F" w:rsidRPr="005D2C5D" w:rsidRDefault="00B3049F" w:rsidP="005D2C5D">
            <w:pPr>
              <w:pStyle w:val="ListParagraph"/>
              <w:numPr>
                <w:ilvl w:val="0"/>
                <w:numId w:val="8"/>
              </w:numPr>
              <w:spacing w:after="0" w:line="240" w:lineRule="auto"/>
              <w:jc w:val="both"/>
              <w:rPr>
                <w:rFonts w:ascii="Times New Roman" w:eastAsia="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Automated Import System (AIS)</w:t>
            </w:r>
          </w:p>
          <w:p w14:paraId="48E9F376" w14:textId="1B3D8433" w:rsidR="00B3049F" w:rsidRPr="005D2C5D" w:rsidRDefault="00B3049F" w:rsidP="005D2C5D">
            <w:pPr>
              <w:pStyle w:val="ListParagraph"/>
              <w:numPr>
                <w:ilvl w:val="0"/>
                <w:numId w:val="8"/>
              </w:numPr>
              <w:spacing w:after="0" w:line="240" w:lineRule="auto"/>
              <w:jc w:val="both"/>
              <w:rPr>
                <w:rFonts w:ascii="Times New Roman" w:eastAsia="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The Union Customs Code</w:t>
            </w:r>
            <w:r w:rsidR="00064579" w:rsidRPr="005D2C5D">
              <w:rPr>
                <w:rFonts w:ascii="Times New Roman" w:eastAsia="Times New Roman" w:hAnsi="Times New Roman" w:cs="Times New Roman"/>
                <w:noProof/>
                <w:sz w:val="18"/>
                <w:szCs w:val="18"/>
                <w:lang w:val="en-US"/>
              </w:rPr>
              <w:t xml:space="preserve"> </w:t>
            </w:r>
            <w:r w:rsidRPr="005D2C5D">
              <w:rPr>
                <w:rFonts w:ascii="Times New Roman" w:eastAsia="Times New Roman" w:hAnsi="Times New Roman" w:cs="Times New Roman"/>
                <w:noProof/>
                <w:sz w:val="18"/>
                <w:szCs w:val="18"/>
                <w:lang w:val="en-US"/>
              </w:rPr>
              <w:t>– Special Procedures for Import</w:t>
            </w:r>
            <w:r w:rsidRPr="005D2C5D">
              <w:rPr>
                <w:rFonts w:ascii="Times New Roman" w:hAnsi="Times New Roman" w:cs="Times New Roman"/>
                <w:noProof/>
                <w:sz w:val="18"/>
                <w:szCs w:val="18"/>
                <w:lang w:val="en-US"/>
              </w:rPr>
              <w:t xml:space="preserve"> and </w:t>
            </w:r>
            <w:r w:rsidRPr="005D2C5D">
              <w:rPr>
                <w:rFonts w:ascii="Times New Roman" w:eastAsia="Times New Roman" w:hAnsi="Times New Roman" w:cs="Times New Roman"/>
                <w:noProof/>
                <w:sz w:val="18"/>
                <w:szCs w:val="18"/>
                <w:lang w:val="en-US"/>
              </w:rPr>
              <w:t>Export</w:t>
            </w:r>
          </w:p>
          <w:p w14:paraId="522DD22E" w14:textId="77777777" w:rsidR="00B3049F" w:rsidRPr="005D2C5D" w:rsidRDefault="00B3049F" w:rsidP="005D2C5D">
            <w:pPr>
              <w:pStyle w:val="ListParagraph"/>
              <w:numPr>
                <w:ilvl w:val="0"/>
                <w:numId w:val="8"/>
              </w:numPr>
              <w:spacing w:after="0" w:line="240" w:lineRule="auto"/>
              <w:jc w:val="both"/>
              <w:rPr>
                <w:rFonts w:ascii="Times New Roman" w:eastAsia="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SURVEILLANCE 3</w:t>
            </w:r>
          </w:p>
          <w:p w14:paraId="42E50028" w14:textId="77777777" w:rsidR="00B3049F" w:rsidRPr="005D2C5D" w:rsidRDefault="00B3049F" w:rsidP="005D2C5D">
            <w:pPr>
              <w:pStyle w:val="ListParagraph"/>
              <w:numPr>
                <w:ilvl w:val="0"/>
                <w:numId w:val="8"/>
              </w:numPr>
              <w:spacing w:after="0" w:line="240" w:lineRule="auto"/>
              <w:jc w:val="both"/>
              <w:rPr>
                <w:rFonts w:ascii="Times New Roman" w:eastAsia="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Centralized Clearance for Import Applications under the Union Customs Code</w:t>
            </w:r>
          </w:p>
          <w:p w14:paraId="6643E961" w14:textId="77777777" w:rsidR="00B3049F" w:rsidRPr="005D2C5D" w:rsidRDefault="00B3049F" w:rsidP="005D2C5D">
            <w:pPr>
              <w:pStyle w:val="ListParagraph"/>
              <w:numPr>
                <w:ilvl w:val="0"/>
                <w:numId w:val="8"/>
              </w:numPr>
              <w:spacing w:after="0" w:line="240" w:lineRule="auto"/>
              <w:jc w:val="both"/>
              <w:rPr>
                <w:rFonts w:ascii="Times New Roman" w:eastAsia="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Customs Union Performance – Management Information System</w:t>
            </w:r>
          </w:p>
          <w:p w14:paraId="4A2877A5" w14:textId="06FDF0C2" w:rsidR="00B3049F" w:rsidRPr="00BE5C85" w:rsidRDefault="00B3049F" w:rsidP="005D2C5D">
            <w:pPr>
              <w:pStyle w:val="ListParagraph"/>
              <w:numPr>
                <w:ilvl w:val="0"/>
                <w:numId w:val="8"/>
              </w:numPr>
              <w:spacing w:after="0" w:line="240" w:lineRule="auto"/>
              <w:jc w:val="both"/>
              <w:rPr>
                <w:rFonts w:ascii="Times New Roman" w:eastAsia="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Union Customs Code Proof of Union Status</w:t>
            </w:r>
          </w:p>
          <w:p w14:paraId="0D82CB7D" w14:textId="29C11722" w:rsidR="00B3049F" w:rsidRPr="005D2C5D" w:rsidRDefault="00B3049F" w:rsidP="005D2C5D">
            <w:pPr>
              <w:pStyle w:val="ListParagraph"/>
              <w:numPr>
                <w:ilvl w:val="0"/>
                <w:numId w:val="8"/>
              </w:numPr>
              <w:spacing w:after="0" w:line="240" w:lineRule="auto"/>
              <w:jc w:val="both"/>
              <w:rPr>
                <w:rFonts w:ascii="Times New Roman" w:hAnsi="Times New Roman" w:cs="Times New Roman"/>
                <w:noProof/>
                <w:sz w:val="18"/>
                <w:szCs w:val="18"/>
                <w:lang w:val="en-US"/>
              </w:rPr>
            </w:pPr>
            <w:r w:rsidRPr="005D2C5D">
              <w:rPr>
                <w:rFonts w:ascii="Times New Roman" w:eastAsia="Times New Roman" w:hAnsi="Times New Roman" w:cs="Times New Roman"/>
                <w:noProof/>
                <w:sz w:val="18"/>
                <w:szCs w:val="18"/>
                <w:lang w:val="en-US"/>
              </w:rPr>
              <w:t>The Uniform User Management and Digital Signature system</w:t>
            </w:r>
          </w:p>
        </w:tc>
      </w:tr>
    </w:tbl>
    <w:p w14:paraId="3F505CB7" w14:textId="77777777" w:rsidR="00B3049F" w:rsidRPr="000F04FA" w:rsidRDefault="00B3049F">
      <w:pPr>
        <w:rPr>
          <w:noProof/>
        </w:rPr>
      </w:pPr>
    </w:p>
    <w:p w14:paraId="0901BCAA" w14:textId="77777777" w:rsidR="00B3049F" w:rsidRPr="000F04FA" w:rsidRDefault="00B3049F">
      <w:pPr>
        <w:rPr>
          <w:noProof/>
        </w:rPr>
        <w:sectPr w:rsidR="00B3049F" w:rsidRPr="000F04FA" w:rsidSect="00B3049F">
          <w:headerReference w:type="default" r:id="rId76"/>
          <w:footerReference w:type="default" r:id="rId77"/>
          <w:pgSz w:w="15840" w:h="12240" w:orient="landscape"/>
          <w:pgMar w:top="1440" w:right="1440" w:bottom="1440" w:left="1440" w:header="720" w:footer="720" w:gutter="0"/>
          <w:cols w:space="720"/>
          <w:docGrid w:linePitch="360"/>
        </w:sectPr>
      </w:pPr>
    </w:p>
    <w:p w14:paraId="22AF739E" w14:textId="77777777" w:rsidR="00B3049F" w:rsidRPr="000F04FA" w:rsidRDefault="00B3049F" w:rsidP="00D8670B">
      <w:pPr>
        <w:keepNext/>
        <w:tabs>
          <w:tab w:val="left" w:pos="850"/>
        </w:tabs>
        <w:spacing w:before="360" w:after="120" w:line="240" w:lineRule="auto"/>
        <w:jc w:val="both"/>
        <w:outlineLvl w:val="0"/>
        <w:rPr>
          <w:rFonts w:ascii="Times New Roman" w:hAnsi="Times New Roman"/>
          <w:b/>
          <w:bCs/>
          <w:smallCaps/>
          <w:noProof/>
        </w:rPr>
      </w:pPr>
      <w:r w:rsidRPr="000F04FA">
        <w:rPr>
          <w:rFonts w:ascii="Times New Roman" w:hAnsi="Times New Roman"/>
          <w:b/>
          <w:bCs/>
          <w:smallCaps/>
          <w:noProof/>
        </w:rPr>
        <w:t xml:space="preserve">J. </w:t>
      </w:r>
      <w:r w:rsidRPr="000F04FA">
        <w:rPr>
          <w:rFonts w:ascii="Times New Roman" w:hAnsi="Times New Roman"/>
          <w:b/>
          <w:smallCaps/>
          <w:noProof/>
        </w:rPr>
        <w:t>COMPO</w:t>
      </w:r>
      <w:r w:rsidRPr="000F04FA">
        <w:rPr>
          <w:rFonts w:ascii="Times New Roman" w:hAnsi="Times New Roman"/>
          <w:b/>
          <w:bCs/>
          <w:smallCaps/>
          <w:noProof/>
        </w:rPr>
        <w:t xml:space="preserve">NENT 4.1: </w:t>
      </w:r>
      <w:r w:rsidRPr="000F04FA">
        <w:rPr>
          <w:rFonts w:ascii="Times New Roman" w:hAnsi="Times New Roman"/>
          <w:b/>
          <w:noProof/>
        </w:rPr>
        <w:t xml:space="preserve">Upgrade </w:t>
      </w:r>
      <w:r w:rsidRPr="000F04FA">
        <w:rPr>
          <w:rFonts w:ascii="Times New Roman" w:hAnsi="Times New Roman"/>
          <w:b/>
          <w:bCs/>
          <w:noProof/>
        </w:rPr>
        <w:t>infrastructure for connectivity</w:t>
      </w:r>
    </w:p>
    <w:p w14:paraId="3FF32E2B" w14:textId="77777777" w:rsidR="00B3049F" w:rsidRPr="000F04FA" w:rsidRDefault="00B3049F" w:rsidP="00BE5C85">
      <w:pPr>
        <w:spacing w:before="120" w:after="120" w:line="278" w:lineRule="auto"/>
        <w:jc w:val="both"/>
        <w:rPr>
          <w:rFonts w:ascii="Times New Roman" w:hAnsi="Times New Roman"/>
          <w:noProof/>
        </w:rPr>
      </w:pPr>
      <w:r w:rsidRPr="000F04FA">
        <w:rPr>
          <w:rFonts w:ascii="Times New Roman" w:hAnsi="Times New Roman"/>
          <w:noProof/>
        </w:rPr>
        <w:t xml:space="preserve">This component of the Cypriot recovery and resilience plan contributes to addressing infrastructure challenges in the area of data connectivity, in particular in rural areas, with a view to narrowing the rural-urban divide, as well as differences along gender, age, income and education. </w:t>
      </w:r>
    </w:p>
    <w:p w14:paraId="6F3F032E" w14:textId="77777777" w:rsidR="00B3049F" w:rsidRPr="000F04FA" w:rsidRDefault="00B3049F" w:rsidP="00BE5C85">
      <w:pPr>
        <w:spacing w:before="120" w:after="120" w:line="278" w:lineRule="auto"/>
        <w:jc w:val="both"/>
        <w:rPr>
          <w:rFonts w:ascii="Times New Roman" w:hAnsi="Times New Roman"/>
          <w:noProof/>
        </w:rPr>
      </w:pPr>
      <w:r w:rsidRPr="000F04FA">
        <w:rPr>
          <w:rFonts w:ascii="Times New Roman" w:hAnsi="Times New Roman"/>
          <w:noProof/>
        </w:rPr>
        <w:t xml:space="preserve">The objective of the component is to enhance access to communication infrastructure for all citizens, thus bridging the digital divide and supporting an inclusive digital transformation. </w:t>
      </w:r>
    </w:p>
    <w:p w14:paraId="5F69FA90" w14:textId="77777777" w:rsidR="00B3049F" w:rsidRPr="000F04FA" w:rsidRDefault="00B3049F" w:rsidP="00BE5C85">
      <w:pPr>
        <w:spacing w:before="120" w:after="120" w:line="278" w:lineRule="auto"/>
        <w:jc w:val="both"/>
        <w:rPr>
          <w:rFonts w:ascii="Times New Roman" w:hAnsi="Times New Roman"/>
          <w:noProof/>
        </w:rPr>
      </w:pPr>
      <w:r w:rsidRPr="000F04FA">
        <w:rPr>
          <w:rFonts w:ascii="Times New Roman" w:hAnsi="Times New Roman"/>
          <w:noProof/>
        </w:rPr>
        <w:t xml:space="preserve">The component addresses the country-specific recommendation on investment in the digital transition and the digitalisation (Country-Specific Recommendation 4 of 2019 and Country-Specific Recommendation 3 of 2020). </w:t>
      </w:r>
    </w:p>
    <w:p w14:paraId="7FBE5414" w14:textId="77777777" w:rsidR="00B3049F" w:rsidRPr="000F04FA" w:rsidRDefault="00B3049F" w:rsidP="00BE5C85">
      <w:pPr>
        <w:pStyle w:val="Text1"/>
        <w:spacing w:line="278" w:lineRule="auto"/>
        <w:ind w:left="0"/>
        <w:rPr>
          <w:i/>
          <w:iCs/>
          <w:noProof/>
          <w:lang w:val="en-US"/>
        </w:rPr>
      </w:pPr>
      <w:r w:rsidRPr="000F04FA">
        <w:rPr>
          <w:noProof/>
          <w:lang w:val="en-US"/>
        </w:rPr>
        <w:t>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3AC8770" w14:textId="77777777" w:rsidR="00B3049F" w:rsidRPr="000F04FA" w:rsidRDefault="00B3049F" w:rsidP="00D8670B">
      <w:pPr>
        <w:spacing w:before="120" w:after="120" w:line="240" w:lineRule="auto"/>
        <w:jc w:val="both"/>
        <w:rPr>
          <w:rFonts w:ascii="Times New Roman" w:hAnsi="Times New Roman"/>
          <w:b/>
          <w:noProof/>
          <w:u w:val="single"/>
        </w:rPr>
      </w:pPr>
    </w:p>
    <w:p w14:paraId="4CD4BD69" w14:textId="77777777" w:rsidR="00B3049F" w:rsidRPr="000F04FA" w:rsidRDefault="00B3049F" w:rsidP="00D8670B">
      <w:pPr>
        <w:spacing w:before="120" w:after="120" w:line="240" w:lineRule="auto"/>
        <w:jc w:val="both"/>
        <w:rPr>
          <w:rFonts w:ascii="Times New Roman" w:hAnsi="Times New Roman"/>
          <w:b/>
          <w:i/>
          <w:noProof/>
          <w:u w:val="single"/>
        </w:rPr>
      </w:pPr>
      <w:r w:rsidRPr="000F04FA">
        <w:rPr>
          <w:rFonts w:ascii="Times New Roman" w:hAnsi="Times New Roman"/>
          <w:b/>
          <w:noProof/>
          <w:u w:val="single"/>
        </w:rPr>
        <w:t xml:space="preserve">J.1. </w:t>
      </w:r>
      <w:r w:rsidRPr="000F04FA">
        <w:rPr>
          <w:noProof/>
        </w:rPr>
        <w:tab/>
      </w:r>
      <w:r w:rsidRPr="000F04FA">
        <w:rPr>
          <w:rFonts w:ascii="Times New Roman" w:hAnsi="Times New Roman"/>
          <w:b/>
          <w:noProof/>
          <w:u w:val="single"/>
        </w:rPr>
        <w:t>Description of the reforms and investments for non-repayable financial support</w:t>
      </w:r>
    </w:p>
    <w:p w14:paraId="18734A4D" w14:textId="77777777" w:rsidR="00B3049F" w:rsidRPr="000F04FA" w:rsidRDefault="00B3049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1 (C4.1R1): Empower the National Regulatory Authority (OCECPR)</w:t>
      </w:r>
    </w:p>
    <w:p w14:paraId="19F627B1" w14:textId="77777777" w:rsidR="00B3049F" w:rsidRPr="000F04FA" w:rsidRDefault="00B3049F" w:rsidP="00000359">
      <w:pPr>
        <w:spacing w:before="120" w:after="120" w:line="278" w:lineRule="auto"/>
        <w:jc w:val="both"/>
        <w:rPr>
          <w:rFonts w:ascii="Times New Roman" w:hAnsi="Times New Roman" w:cs="Times New Roman"/>
          <w:noProof/>
        </w:rPr>
      </w:pPr>
      <w:r w:rsidRPr="000F04FA">
        <w:rPr>
          <w:rFonts w:ascii="Times New Roman" w:hAnsi="Times New Roman" w:cs="Times New Roman"/>
          <w:noProof/>
        </w:rPr>
        <w:t>The objective of this reform is to facilitate broadband connectivity in Cyprus.</w:t>
      </w:r>
    </w:p>
    <w:p w14:paraId="135D823A" w14:textId="77777777" w:rsidR="00B3049F" w:rsidRPr="000F04FA" w:rsidRDefault="00B3049F" w:rsidP="00000359">
      <w:pPr>
        <w:spacing w:before="120" w:after="120" w:line="278" w:lineRule="auto"/>
        <w:jc w:val="both"/>
        <w:rPr>
          <w:rFonts w:ascii="Times New Roman" w:hAnsi="Times New Roman" w:cs="Times New Roman"/>
          <w:noProof/>
        </w:rPr>
      </w:pPr>
      <w:r w:rsidRPr="000F04FA">
        <w:rPr>
          <w:rFonts w:ascii="Times New Roman" w:hAnsi="Times New Roman" w:cs="Times New Roman"/>
          <w:noProof/>
        </w:rPr>
        <w:t xml:space="preserve">This measure consists in enabling the Office of the Commissioner of Electronic Communications and Postal Regulation (OCECPR) to collect and publish geographical data on electronic communication networks. </w:t>
      </w:r>
    </w:p>
    <w:p w14:paraId="0559A525" w14:textId="77777777" w:rsidR="00B3049F" w:rsidRPr="000F04FA" w:rsidRDefault="00B3049F" w:rsidP="00D8670B">
      <w:pPr>
        <w:spacing w:before="120" w:after="120" w:line="240" w:lineRule="auto"/>
        <w:jc w:val="both"/>
        <w:rPr>
          <w:rFonts w:ascii="Times New Roman" w:hAnsi="Times New Roman" w:cs="Times New Roman"/>
          <w:noProof/>
        </w:rPr>
      </w:pPr>
    </w:p>
    <w:p w14:paraId="5B212726" w14:textId="41C88272"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u w:val="single"/>
        </w:rPr>
        <w:t>Reform 2 (C4.1R2):</w:t>
      </w:r>
      <w:r w:rsidR="00064579">
        <w:rPr>
          <w:rFonts w:ascii="Times New Roman" w:hAnsi="Times New Roman" w:cs="Times New Roman"/>
          <w:noProof/>
          <w:u w:val="single"/>
        </w:rPr>
        <w:t xml:space="preserve"> </w:t>
      </w:r>
      <w:r w:rsidRPr="000F04FA">
        <w:rPr>
          <w:rFonts w:ascii="Times New Roman" w:hAnsi="Times New Roman" w:cs="Times New Roman"/>
          <w:noProof/>
          <w:u w:val="single"/>
        </w:rPr>
        <w:t>Simplification of the administrative procedures for the deployment of VHCN</w:t>
      </w:r>
      <w:r w:rsidRPr="000F04FA">
        <w:rPr>
          <w:rFonts w:ascii="Times New Roman" w:hAnsi="Times New Roman" w:cs="Times New Roman"/>
          <w:noProof/>
        </w:rPr>
        <w:t xml:space="preserve"> </w:t>
      </w:r>
    </w:p>
    <w:p w14:paraId="21E7CB2D"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this reform is to facilitate the build-up of Very High Capacity Networks (VHCN) infrastructure.</w:t>
      </w:r>
    </w:p>
    <w:p w14:paraId="546A462D" w14:textId="77777777" w:rsidR="00B3049F" w:rsidRPr="000F04FA" w:rsidDel="00AF79D0"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reform consists in the entry into force of administrative acts for the deployment of very high capacity networks.</w:t>
      </w:r>
    </w:p>
    <w:p w14:paraId="0C131B78" w14:textId="77777777" w:rsidR="00B3049F" w:rsidRPr="000F04FA" w:rsidRDefault="00B3049F" w:rsidP="00D8670B">
      <w:pPr>
        <w:spacing w:before="120" w:after="120" w:line="240" w:lineRule="auto"/>
        <w:jc w:val="both"/>
        <w:rPr>
          <w:rFonts w:ascii="Times New Roman" w:hAnsi="Times New Roman" w:cs="Times New Roman"/>
          <w:noProof/>
        </w:rPr>
      </w:pPr>
    </w:p>
    <w:p w14:paraId="54118C61" w14:textId="77777777" w:rsidR="00B3049F" w:rsidRPr="000F04FA" w:rsidRDefault="00B3049F" w:rsidP="00D8670B">
      <w:pPr>
        <w:keepNext/>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1 (C4.1I1): Expansion of Very High-Capacity Networks in underserved areas</w:t>
      </w:r>
    </w:p>
    <w:p w14:paraId="40435183"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this investment is to expand VHCN, addressing territorial disparities of broadband availability. </w:t>
      </w:r>
    </w:p>
    <w:p w14:paraId="719AD41F"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This measure consists in supporting investment in VHCN in areas of no interest to private investors.</w:t>
      </w:r>
    </w:p>
    <w:p w14:paraId="5BC898AE" w14:textId="77777777" w:rsidR="00B3049F" w:rsidRPr="000F04FA" w:rsidRDefault="00B3049F" w:rsidP="00D8670B">
      <w:pPr>
        <w:spacing w:before="120" w:after="120" w:line="240" w:lineRule="auto"/>
        <w:jc w:val="both"/>
        <w:rPr>
          <w:rFonts w:ascii="Times New Roman" w:hAnsi="Times New Roman" w:cs="Times New Roman"/>
          <w:noProof/>
        </w:rPr>
      </w:pPr>
    </w:p>
    <w:p w14:paraId="399628F2" w14:textId="77777777" w:rsidR="00B3049F" w:rsidRPr="000F04FA" w:rsidRDefault="00B3049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2 (C4.1I2): Upgrade internet connection to be “Gigabit-ready” and support connectivity take-up</w:t>
      </w:r>
    </w:p>
    <w:p w14:paraId="50ADAEAB"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objective of this investment is to encourage the widespread take-up of VHCN.</w:t>
      </w:r>
    </w:p>
    <w:p w14:paraId="14456767" w14:textId="199007A6"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cs="Times New Roman"/>
          <w:noProof/>
        </w:rPr>
        <w:t xml:space="preserve">This measure consists in vouchers for higher capacity internet connections. </w:t>
      </w:r>
    </w:p>
    <w:p w14:paraId="459C8880" w14:textId="77777777" w:rsidR="00B3049F" w:rsidRPr="000F04FA" w:rsidRDefault="00B3049F" w:rsidP="00D8670B">
      <w:pPr>
        <w:rPr>
          <w:noProof/>
        </w:rPr>
        <w:sectPr w:rsidR="00B3049F" w:rsidRPr="000F04FA" w:rsidSect="00B3049F">
          <w:headerReference w:type="default" r:id="rId78"/>
          <w:footerReference w:type="default" r:id="rId79"/>
          <w:pgSz w:w="12240" w:h="15840"/>
          <w:pgMar w:top="1134" w:right="1134" w:bottom="1134" w:left="1134" w:header="720" w:footer="720" w:gutter="0"/>
          <w:cols w:space="720"/>
          <w:docGrid w:linePitch="360"/>
        </w:sectPr>
      </w:pPr>
    </w:p>
    <w:p w14:paraId="212D652D" w14:textId="77777777" w:rsidR="00B3049F" w:rsidRPr="000F04FA" w:rsidRDefault="00B3049F" w:rsidP="00A04476">
      <w:pPr>
        <w:spacing w:before="120" w:after="240" w:line="240" w:lineRule="auto"/>
        <w:jc w:val="center"/>
        <w:rPr>
          <w:rFonts w:ascii="Times New Roman" w:hAnsi="Times New Roman"/>
          <w:b/>
          <w:noProof/>
          <w:u w:val="single"/>
        </w:rPr>
      </w:pPr>
      <w:r w:rsidRPr="000F04FA">
        <w:rPr>
          <w:rFonts w:ascii="Times New Roman" w:hAnsi="Times New Roman"/>
          <w:b/>
          <w:noProof/>
          <w:u w:val="single"/>
        </w:rPr>
        <w:t xml:space="preserve">J.2.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304"/>
        <w:gridCol w:w="1133"/>
        <w:gridCol w:w="1418"/>
        <w:gridCol w:w="1418"/>
        <w:gridCol w:w="992"/>
        <w:gridCol w:w="992"/>
        <w:gridCol w:w="851"/>
        <w:gridCol w:w="992"/>
        <w:gridCol w:w="851"/>
        <w:gridCol w:w="4115"/>
      </w:tblGrid>
      <w:tr w:rsidR="00B3049F" w:rsidRPr="00000359" w14:paraId="06785466" w14:textId="77777777" w:rsidTr="00000359">
        <w:trPr>
          <w:trHeight w:val="747"/>
          <w:tblHeader/>
          <w:jc w:val="center"/>
        </w:trPr>
        <w:tc>
          <w:tcPr>
            <w:tcW w:w="406" w:type="pct"/>
            <w:vMerge w:val="restart"/>
            <w:tcBorders>
              <w:top w:val="single" w:sz="4" w:space="0" w:color="auto"/>
            </w:tcBorders>
            <w:shd w:val="clear" w:color="auto" w:fill="BDD7EE"/>
            <w:vAlign w:val="center"/>
            <w:hideMark/>
          </w:tcPr>
          <w:p w14:paraId="658F3E8B" w14:textId="77777777"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Sequential Number</w:t>
            </w:r>
          </w:p>
        </w:tc>
        <w:tc>
          <w:tcPr>
            <w:tcW w:w="426" w:type="pct"/>
            <w:vMerge w:val="restart"/>
            <w:tcBorders>
              <w:top w:val="single" w:sz="4" w:space="0" w:color="auto"/>
            </w:tcBorders>
            <w:shd w:val="clear" w:color="auto" w:fill="BDD7EE"/>
            <w:vAlign w:val="center"/>
            <w:hideMark/>
          </w:tcPr>
          <w:p w14:paraId="435F5A79" w14:textId="77777777"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Related</w:t>
            </w:r>
          </w:p>
          <w:p w14:paraId="3C1EB716" w14:textId="77777777"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Measure</w:t>
            </w:r>
          </w:p>
          <w:p w14:paraId="0162ACC0" w14:textId="77777777"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(Reform or Investment)</w:t>
            </w:r>
          </w:p>
        </w:tc>
        <w:tc>
          <w:tcPr>
            <w:tcW w:w="370" w:type="pct"/>
            <w:vMerge w:val="restart"/>
            <w:tcBorders>
              <w:top w:val="single" w:sz="4" w:space="0" w:color="auto"/>
            </w:tcBorders>
            <w:shd w:val="clear" w:color="auto" w:fill="BDD7EE"/>
            <w:vAlign w:val="center"/>
            <w:hideMark/>
          </w:tcPr>
          <w:p w14:paraId="4189E87D" w14:textId="0CE8C9BE"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Milestone/Target</w:t>
            </w:r>
          </w:p>
        </w:tc>
        <w:tc>
          <w:tcPr>
            <w:tcW w:w="463" w:type="pct"/>
            <w:vMerge w:val="restart"/>
            <w:tcBorders>
              <w:top w:val="single" w:sz="4" w:space="0" w:color="auto"/>
            </w:tcBorders>
            <w:shd w:val="clear" w:color="auto" w:fill="BDD7EE"/>
            <w:vAlign w:val="center"/>
            <w:hideMark/>
          </w:tcPr>
          <w:p w14:paraId="62A8D9BA" w14:textId="77777777"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Name</w:t>
            </w:r>
          </w:p>
        </w:tc>
        <w:tc>
          <w:tcPr>
            <w:tcW w:w="463" w:type="pct"/>
            <w:vMerge w:val="restart"/>
            <w:tcBorders>
              <w:top w:val="single" w:sz="4" w:space="0" w:color="auto"/>
            </w:tcBorders>
            <w:shd w:val="clear" w:color="auto" w:fill="BDD7EE"/>
            <w:vAlign w:val="center"/>
            <w:hideMark/>
          </w:tcPr>
          <w:p w14:paraId="02B5A378" w14:textId="15061B33"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Qualitative indicators</w:t>
            </w:r>
            <w:r w:rsidR="00064579" w:rsidRPr="00000359">
              <w:rPr>
                <w:rFonts w:ascii="Times New Roman" w:hAnsi="Times New Roman" w:cs="Times New Roman"/>
                <w:b/>
                <w:noProof/>
                <w:sz w:val="18"/>
                <w:szCs w:val="18"/>
              </w:rPr>
              <w:t xml:space="preserve"> </w:t>
            </w:r>
            <w:r w:rsidRPr="00000359">
              <w:rPr>
                <w:rFonts w:ascii="Times New Roman" w:hAnsi="Times New Roman" w:cs="Times New Roman"/>
                <w:noProof/>
                <w:sz w:val="18"/>
                <w:szCs w:val="18"/>
              </w:rPr>
              <w:br/>
            </w:r>
            <w:r w:rsidRPr="00000359">
              <w:rPr>
                <w:rFonts w:ascii="Times New Roman" w:hAnsi="Times New Roman" w:cs="Times New Roman"/>
                <w:b/>
                <w:noProof/>
                <w:sz w:val="18"/>
                <w:szCs w:val="18"/>
              </w:rPr>
              <w:t>(for milestones)</w:t>
            </w:r>
          </w:p>
        </w:tc>
        <w:tc>
          <w:tcPr>
            <w:tcW w:w="926" w:type="pct"/>
            <w:gridSpan w:val="3"/>
            <w:tcBorders>
              <w:top w:val="single" w:sz="4" w:space="0" w:color="auto"/>
            </w:tcBorders>
            <w:shd w:val="clear" w:color="auto" w:fill="BDD7EE"/>
            <w:vAlign w:val="center"/>
            <w:hideMark/>
          </w:tcPr>
          <w:p w14:paraId="0D4CDF7B" w14:textId="20159935"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Quantitative indicators</w:t>
            </w:r>
            <w:r w:rsidR="00064579" w:rsidRPr="00000359">
              <w:rPr>
                <w:rFonts w:ascii="Times New Roman" w:hAnsi="Times New Roman" w:cs="Times New Roman"/>
                <w:b/>
                <w:noProof/>
                <w:sz w:val="18"/>
                <w:szCs w:val="18"/>
              </w:rPr>
              <w:t xml:space="preserve"> </w:t>
            </w:r>
            <w:r w:rsidRPr="00000359">
              <w:rPr>
                <w:rFonts w:ascii="Times New Roman" w:hAnsi="Times New Roman" w:cs="Times New Roman"/>
                <w:noProof/>
                <w:sz w:val="18"/>
                <w:szCs w:val="18"/>
              </w:rPr>
              <w:br/>
            </w:r>
            <w:r w:rsidRPr="00000359">
              <w:rPr>
                <w:rFonts w:ascii="Times New Roman" w:hAnsi="Times New Roman" w:cs="Times New Roman"/>
                <w:b/>
                <w:noProof/>
                <w:sz w:val="18"/>
                <w:szCs w:val="18"/>
              </w:rPr>
              <w:t>(for targets)</w:t>
            </w:r>
          </w:p>
        </w:tc>
        <w:tc>
          <w:tcPr>
            <w:tcW w:w="602" w:type="pct"/>
            <w:gridSpan w:val="2"/>
            <w:tcBorders>
              <w:top w:val="single" w:sz="4" w:space="0" w:color="auto"/>
            </w:tcBorders>
            <w:shd w:val="clear" w:color="auto" w:fill="BDD7EE"/>
            <w:vAlign w:val="center"/>
            <w:hideMark/>
          </w:tcPr>
          <w:p w14:paraId="59261D98"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Indicative timeline for completion</w:t>
            </w:r>
          </w:p>
        </w:tc>
        <w:tc>
          <w:tcPr>
            <w:tcW w:w="1344" w:type="pct"/>
            <w:vMerge w:val="restart"/>
            <w:tcBorders>
              <w:top w:val="single" w:sz="4" w:space="0" w:color="auto"/>
            </w:tcBorders>
            <w:shd w:val="clear" w:color="auto" w:fill="BDD7EE"/>
            <w:vAlign w:val="center"/>
            <w:hideMark/>
          </w:tcPr>
          <w:p w14:paraId="264A2BA0"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Description of each milestone and target</w:t>
            </w:r>
          </w:p>
        </w:tc>
      </w:tr>
      <w:tr w:rsidR="00B3049F" w:rsidRPr="00000359" w14:paraId="55CEA5DC" w14:textId="77777777" w:rsidTr="00000359">
        <w:trPr>
          <w:trHeight w:val="391"/>
          <w:tblHeader/>
          <w:jc w:val="center"/>
        </w:trPr>
        <w:tc>
          <w:tcPr>
            <w:tcW w:w="406" w:type="pct"/>
            <w:vMerge/>
            <w:hideMark/>
          </w:tcPr>
          <w:p w14:paraId="514A742B" w14:textId="77777777" w:rsidR="00B3049F" w:rsidRPr="00000359" w:rsidRDefault="00B3049F" w:rsidP="00D8670B">
            <w:pPr>
              <w:spacing w:after="0" w:line="240" w:lineRule="auto"/>
              <w:rPr>
                <w:rFonts w:ascii="Times New Roman" w:hAnsi="Times New Roman" w:cs="Times New Roman"/>
                <w:b/>
                <w:noProof/>
                <w:sz w:val="18"/>
                <w:szCs w:val="18"/>
              </w:rPr>
            </w:pPr>
          </w:p>
        </w:tc>
        <w:tc>
          <w:tcPr>
            <w:tcW w:w="426" w:type="pct"/>
            <w:vMerge/>
            <w:hideMark/>
          </w:tcPr>
          <w:p w14:paraId="3057686B" w14:textId="77777777" w:rsidR="00B3049F" w:rsidRPr="00000359" w:rsidRDefault="00B3049F" w:rsidP="00D8670B">
            <w:pPr>
              <w:spacing w:after="0" w:line="240" w:lineRule="auto"/>
              <w:rPr>
                <w:rFonts w:ascii="Times New Roman" w:hAnsi="Times New Roman" w:cs="Times New Roman"/>
                <w:b/>
                <w:noProof/>
                <w:sz w:val="18"/>
                <w:szCs w:val="18"/>
              </w:rPr>
            </w:pPr>
          </w:p>
        </w:tc>
        <w:tc>
          <w:tcPr>
            <w:tcW w:w="370" w:type="pct"/>
            <w:vMerge/>
            <w:hideMark/>
          </w:tcPr>
          <w:p w14:paraId="244D9FB3" w14:textId="77777777" w:rsidR="00B3049F" w:rsidRPr="00000359" w:rsidRDefault="00B3049F" w:rsidP="00D8670B">
            <w:pPr>
              <w:spacing w:after="0" w:line="240" w:lineRule="auto"/>
              <w:rPr>
                <w:rFonts w:ascii="Times New Roman" w:hAnsi="Times New Roman" w:cs="Times New Roman"/>
                <w:b/>
                <w:noProof/>
                <w:sz w:val="18"/>
                <w:szCs w:val="18"/>
              </w:rPr>
            </w:pPr>
          </w:p>
        </w:tc>
        <w:tc>
          <w:tcPr>
            <w:tcW w:w="463" w:type="pct"/>
            <w:vMerge/>
            <w:hideMark/>
          </w:tcPr>
          <w:p w14:paraId="50F44CCD" w14:textId="77777777" w:rsidR="00B3049F" w:rsidRPr="00000359" w:rsidRDefault="00B3049F" w:rsidP="00D8670B">
            <w:pPr>
              <w:spacing w:after="0" w:line="240" w:lineRule="auto"/>
              <w:rPr>
                <w:rFonts w:ascii="Times New Roman" w:hAnsi="Times New Roman" w:cs="Times New Roman"/>
                <w:b/>
                <w:noProof/>
                <w:sz w:val="18"/>
                <w:szCs w:val="18"/>
              </w:rPr>
            </w:pPr>
          </w:p>
        </w:tc>
        <w:tc>
          <w:tcPr>
            <w:tcW w:w="463" w:type="pct"/>
            <w:vMerge/>
            <w:hideMark/>
          </w:tcPr>
          <w:p w14:paraId="473325D8" w14:textId="77777777" w:rsidR="00B3049F" w:rsidRPr="00000359" w:rsidRDefault="00B3049F" w:rsidP="00D8670B">
            <w:pPr>
              <w:spacing w:after="0" w:line="240" w:lineRule="auto"/>
              <w:rPr>
                <w:rFonts w:ascii="Times New Roman" w:hAnsi="Times New Roman" w:cs="Times New Roman"/>
                <w:b/>
                <w:noProof/>
                <w:sz w:val="18"/>
                <w:szCs w:val="18"/>
              </w:rPr>
            </w:pPr>
          </w:p>
        </w:tc>
        <w:tc>
          <w:tcPr>
            <w:tcW w:w="324" w:type="pct"/>
            <w:shd w:val="clear" w:color="auto" w:fill="BDD7EE"/>
            <w:vAlign w:val="center"/>
            <w:hideMark/>
          </w:tcPr>
          <w:p w14:paraId="103FB35A"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Unit of measure</w:t>
            </w:r>
          </w:p>
        </w:tc>
        <w:tc>
          <w:tcPr>
            <w:tcW w:w="324" w:type="pct"/>
            <w:shd w:val="clear" w:color="auto" w:fill="BDD7EE"/>
            <w:vAlign w:val="center"/>
            <w:hideMark/>
          </w:tcPr>
          <w:p w14:paraId="76D03C0A"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Baseline</w:t>
            </w:r>
          </w:p>
        </w:tc>
        <w:tc>
          <w:tcPr>
            <w:tcW w:w="278" w:type="pct"/>
            <w:shd w:val="clear" w:color="auto" w:fill="BDD7EE"/>
            <w:vAlign w:val="center"/>
            <w:hideMark/>
          </w:tcPr>
          <w:p w14:paraId="2D9C3C40"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Goal</w:t>
            </w:r>
          </w:p>
        </w:tc>
        <w:tc>
          <w:tcPr>
            <w:tcW w:w="324" w:type="pct"/>
            <w:shd w:val="clear" w:color="auto" w:fill="BDD7EE"/>
            <w:vAlign w:val="center"/>
            <w:hideMark/>
          </w:tcPr>
          <w:p w14:paraId="5DC03D63"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Quarter</w:t>
            </w:r>
          </w:p>
        </w:tc>
        <w:tc>
          <w:tcPr>
            <w:tcW w:w="278" w:type="pct"/>
            <w:shd w:val="clear" w:color="auto" w:fill="BDD7EE"/>
            <w:vAlign w:val="center"/>
            <w:hideMark/>
          </w:tcPr>
          <w:p w14:paraId="32FFEC83"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Year</w:t>
            </w:r>
          </w:p>
        </w:tc>
        <w:tc>
          <w:tcPr>
            <w:tcW w:w="1344" w:type="pct"/>
            <w:vMerge/>
            <w:vAlign w:val="center"/>
            <w:hideMark/>
          </w:tcPr>
          <w:p w14:paraId="1F21267F" w14:textId="77777777" w:rsidR="00B3049F" w:rsidRPr="00000359" w:rsidRDefault="00B3049F" w:rsidP="00000359">
            <w:pPr>
              <w:spacing w:after="0" w:line="240" w:lineRule="auto"/>
              <w:jc w:val="both"/>
              <w:rPr>
                <w:rFonts w:ascii="Times New Roman" w:hAnsi="Times New Roman" w:cs="Times New Roman"/>
                <w:b/>
                <w:noProof/>
                <w:sz w:val="18"/>
                <w:szCs w:val="18"/>
              </w:rPr>
            </w:pPr>
          </w:p>
        </w:tc>
      </w:tr>
      <w:tr w:rsidR="00B3049F" w:rsidRPr="00000359" w14:paraId="1C5CBCB8" w14:textId="77777777" w:rsidTr="00000359">
        <w:trPr>
          <w:trHeight w:val="309"/>
          <w:jc w:val="center"/>
        </w:trPr>
        <w:tc>
          <w:tcPr>
            <w:tcW w:w="406" w:type="pct"/>
            <w:shd w:val="clear" w:color="auto" w:fill="C6EFCE"/>
            <w:noWrap/>
            <w:hideMark/>
          </w:tcPr>
          <w:p w14:paraId="73BDCCF3" w14:textId="77777777" w:rsidR="00B3049F" w:rsidRPr="00000359" w:rsidRDefault="00B3049F" w:rsidP="00D8670B">
            <w:pPr>
              <w:spacing w:after="0" w:line="240" w:lineRule="auto"/>
              <w:rPr>
                <w:rFonts w:ascii="Times New Roman" w:hAnsi="Times New Roman" w:cs="Times New Roman"/>
                <w:noProof/>
                <w:sz w:val="18"/>
                <w:szCs w:val="18"/>
                <w:highlight w:val="green"/>
              </w:rPr>
            </w:pPr>
            <w:r w:rsidRPr="00000359">
              <w:rPr>
                <w:rFonts w:ascii="Times New Roman" w:hAnsi="Times New Roman" w:cs="Times New Roman"/>
                <w:noProof/>
                <w:sz w:val="18"/>
                <w:szCs w:val="18"/>
              </w:rPr>
              <w:t>214</w:t>
            </w:r>
          </w:p>
        </w:tc>
        <w:tc>
          <w:tcPr>
            <w:tcW w:w="426" w:type="pct"/>
            <w:shd w:val="clear" w:color="auto" w:fill="C6EFCE"/>
            <w:noWrap/>
            <w:hideMark/>
          </w:tcPr>
          <w:p w14:paraId="536C72EC"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C4.1R1</w:t>
            </w:r>
          </w:p>
          <w:p w14:paraId="0281B043"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Empower the National Regulatory Authority (OCECPR)</w:t>
            </w:r>
          </w:p>
        </w:tc>
        <w:tc>
          <w:tcPr>
            <w:tcW w:w="370" w:type="pct"/>
            <w:shd w:val="clear" w:color="auto" w:fill="C6EFCE"/>
            <w:noWrap/>
            <w:hideMark/>
          </w:tcPr>
          <w:p w14:paraId="4453BCBA"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463" w:type="pct"/>
            <w:shd w:val="clear" w:color="auto" w:fill="C6EFCE"/>
            <w:noWrap/>
            <w:hideMark/>
          </w:tcPr>
          <w:p w14:paraId="5B7C02DD"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Launch of the geographical survey and entry into force of secondary legislation </w:t>
            </w:r>
          </w:p>
        </w:tc>
        <w:tc>
          <w:tcPr>
            <w:tcW w:w="463" w:type="pct"/>
            <w:shd w:val="clear" w:color="auto" w:fill="C6EFCE"/>
            <w:noWrap/>
            <w:hideMark/>
          </w:tcPr>
          <w:p w14:paraId="3F86BA37"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Entry into force of the secondary legislation and launch of the survey</w:t>
            </w:r>
          </w:p>
        </w:tc>
        <w:tc>
          <w:tcPr>
            <w:tcW w:w="324" w:type="pct"/>
            <w:shd w:val="clear" w:color="auto" w:fill="C6EFCE"/>
            <w:noWrap/>
            <w:hideMark/>
          </w:tcPr>
          <w:p w14:paraId="2EA2B955"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hideMark/>
          </w:tcPr>
          <w:p w14:paraId="33ACB43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278" w:type="pct"/>
            <w:shd w:val="clear" w:color="auto" w:fill="C6EFCE"/>
            <w:noWrap/>
            <w:hideMark/>
          </w:tcPr>
          <w:p w14:paraId="03898C2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hideMark/>
          </w:tcPr>
          <w:p w14:paraId="4ED176AC"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Q1</w:t>
            </w:r>
          </w:p>
        </w:tc>
        <w:tc>
          <w:tcPr>
            <w:tcW w:w="278" w:type="pct"/>
            <w:shd w:val="clear" w:color="auto" w:fill="C6EFCE"/>
            <w:noWrap/>
            <w:hideMark/>
          </w:tcPr>
          <w:p w14:paraId="54C29686"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2022</w:t>
            </w:r>
          </w:p>
        </w:tc>
        <w:tc>
          <w:tcPr>
            <w:tcW w:w="1344" w:type="pct"/>
            <w:shd w:val="clear" w:color="auto" w:fill="C6EFCE"/>
            <w:noWrap/>
            <w:hideMark/>
          </w:tcPr>
          <w:p w14:paraId="48157E0D"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The secondary legislation shall enter into force and cover the main aspects related to the survey such as the type, the degree of analysis and the form of the required information, as well as the persons from whom the required information is requested.</w:t>
            </w:r>
          </w:p>
          <w:p w14:paraId="7B919DB9"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Launch of the geographical survey of the reach of electronic networks capable of delivering broadband networks and physical infrastructures based on Article 22 of the European Electronic Communications Code.</w:t>
            </w:r>
          </w:p>
        </w:tc>
      </w:tr>
      <w:tr w:rsidR="00B3049F" w:rsidRPr="00000359" w14:paraId="25F1DE77" w14:textId="77777777" w:rsidTr="00000359">
        <w:trPr>
          <w:trHeight w:val="309"/>
          <w:jc w:val="center"/>
        </w:trPr>
        <w:tc>
          <w:tcPr>
            <w:tcW w:w="406" w:type="pct"/>
            <w:shd w:val="clear" w:color="auto" w:fill="C6EFCE"/>
            <w:noWrap/>
          </w:tcPr>
          <w:p w14:paraId="2CC091B9" w14:textId="77777777" w:rsidR="00B3049F" w:rsidRPr="00000359" w:rsidRDefault="00B3049F" w:rsidP="00D8670B">
            <w:pPr>
              <w:spacing w:after="0" w:line="240" w:lineRule="auto"/>
              <w:rPr>
                <w:rFonts w:ascii="Times New Roman" w:hAnsi="Times New Roman" w:cs="Times New Roman"/>
                <w:noProof/>
                <w:sz w:val="18"/>
                <w:szCs w:val="18"/>
                <w:highlight w:val="yellow"/>
              </w:rPr>
            </w:pPr>
            <w:r w:rsidRPr="00000359">
              <w:rPr>
                <w:rFonts w:ascii="Times New Roman" w:hAnsi="Times New Roman" w:cs="Times New Roman"/>
                <w:noProof/>
                <w:sz w:val="18"/>
                <w:szCs w:val="18"/>
              </w:rPr>
              <w:t>215</w:t>
            </w:r>
          </w:p>
        </w:tc>
        <w:tc>
          <w:tcPr>
            <w:tcW w:w="426" w:type="pct"/>
            <w:shd w:val="clear" w:color="auto" w:fill="C6EFCE"/>
            <w:noWrap/>
          </w:tcPr>
          <w:p w14:paraId="72A3267E"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C4.1R1</w:t>
            </w:r>
          </w:p>
          <w:p w14:paraId="7808AA2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Empower the National Regulatory Authority (OCECPR)</w:t>
            </w:r>
          </w:p>
        </w:tc>
        <w:tc>
          <w:tcPr>
            <w:tcW w:w="370" w:type="pct"/>
            <w:shd w:val="clear" w:color="auto" w:fill="C6EFCE"/>
            <w:noWrap/>
          </w:tcPr>
          <w:p w14:paraId="7F73A5A7"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463" w:type="pct"/>
            <w:shd w:val="clear" w:color="auto" w:fill="C6EFCE"/>
            <w:noWrap/>
          </w:tcPr>
          <w:p w14:paraId="12A6E6A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Web portal on broadband and infrastructure mapping</w:t>
            </w:r>
          </w:p>
        </w:tc>
        <w:tc>
          <w:tcPr>
            <w:tcW w:w="463" w:type="pct"/>
            <w:shd w:val="clear" w:color="auto" w:fill="C6EFCE"/>
            <w:noWrap/>
          </w:tcPr>
          <w:p w14:paraId="27EAD58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The web portal is accessible </w:t>
            </w:r>
          </w:p>
        </w:tc>
        <w:tc>
          <w:tcPr>
            <w:tcW w:w="324" w:type="pct"/>
            <w:shd w:val="clear" w:color="auto" w:fill="C6EFCE"/>
            <w:noWrap/>
          </w:tcPr>
          <w:p w14:paraId="770D8AF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tcPr>
          <w:p w14:paraId="5D99A635"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278" w:type="pct"/>
            <w:shd w:val="clear" w:color="auto" w:fill="C6EFCE"/>
            <w:noWrap/>
          </w:tcPr>
          <w:p w14:paraId="6A8A362A"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tcPr>
          <w:p w14:paraId="534CCD36"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278" w:type="pct"/>
            <w:shd w:val="clear" w:color="auto" w:fill="C6EFCE"/>
            <w:noWrap/>
          </w:tcPr>
          <w:p w14:paraId="4469764C"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2024</w:t>
            </w:r>
          </w:p>
        </w:tc>
        <w:tc>
          <w:tcPr>
            <w:tcW w:w="1344" w:type="pct"/>
            <w:shd w:val="clear" w:color="auto" w:fill="C6EFCE"/>
            <w:noWrap/>
          </w:tcPr>
          <w:p w14:paraId="1CEC07BF"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The web portal on broadband and infrastructure mapping is accessible.</w:t>
            </w:r>
          </w:p>
        </w:tc>
      </w:tr>
      <w:tr w:rsidR="00B3049F" w:rsidRPr="00000359" w14:paraId="2427C21B" w14:textId="77777777" w:rsidTr="00000359">
        <w:trPr>
          <w:trHeight w:val="300"/>
          <w:jc w:val="center"/>
        </w:trPr>
        <w:tc>
          <w:tcPr>
            <w:tcW w:w="406" w:type="pct"/>
            <w:shd w:val="clear" w:color="auto" w:fill="C6EFCE"/>
            <w:noWrap/>
          </w:tcPr>
          <w:p w14:paraId="4AF037EC" w14:textId="77777777" w:rsidR="00B3049F" w:rsidRPr="00000359" w:rsidRDefault="00B3049F" w:rsidP="00D8670B">
            <w:pPr>
              <w:spacing w:after="0" w:line="240" w:lineRule="auto"/>
              <w:rPr>
                <w:rFonts w:ascii="Times New Roman" w:hAnsi="Times New Roman" w:cs="Times New Roman"/>
                <w:noProof/>
                <w:sz w:val="18"/>
                <w:szCs w:val="18"/>
                <w:highlight w:val="green"/>
              </w:rPr>
            </w:pPr>
            <w:r w:rsidRPr="00000359">
              <w:rPr>
                <w:rFonts w:ascii="Times New Roman" w:hAnsi="Times New Roman" w:cs="Times New Roman"/>
                <w:noProof/>
                <w:sz w:val="18"/>
                <w:szCs w:val="18"/>
              </w:rPr>
              <w:t>216</w:t>
            </w:r>
          </w:p>
        </w:tc>
        <w:tc>
          <w:tcPr>
            <w:tcW w:w="426" w:type="pct"/>
            <w:shd w:val="clear" w:color="auto" w:fill="C6EFCE"/>
            <w:noWrap/>
          </w:tcPr>
          <w:p w14:paraId="7C9E378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C4.1R2</w:t>
            </w:r>
          </w:p>
          <w:p w14:paraId="5CC4BA8A" w14:textId="176131EB"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Simplification of the administrative procedures for the deployment of VHCN</w:t>
            </w:r>
            <w:r w:rsidR="00064579" w:rsidRPr="00000359">
              <w:rPr>
                <w:rFonts w:ascii="Times New Roman" w:hAnsi="Times New Roman" w:cs="Times New Roman"/>
                <w:noProof/>
                <w:sz w:val="18"/>
                <w:szCs w:val="18"/>
              </w:rPr>
              <w:t xml:space="preserve"> </w:t>
            </w:r>
            <w:r w:rsidRPr="00000359">
              <w:rPr>
                <w:rFonts w:ascii="Times New Roman" w:hAnsi="Times New Roman" w:cs="Times New Roman"/>
                <w:noProof/>
                <w:sz w:val="18"/>
                <w:szCs w:val="18"/>
              </w:rPr>
              <w:t xml:space="preserve"> </w:t>
            </w:r>
          </w:p>
        </w:tc>
        <w:tc>
          <w:tcPr>
            <w:tcW w:w="370" w:type="pct"/>
            <w:shd w:val="clear" w:color="auto" w:fill="C6EFCE"/>
            <w:noWrap/>
          </w:tcPr>
          <w:p w14:paraId="0235161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463" w:type="pct"/>
            <w:shd w:val="clear" w:color="auto" w:fill="C6EFCE"/>
            <w:noWrap/>
          </w:tcPr>
          <w:p w14:paraId="499CBDDB"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Entry into force of the administrative acts for very high capacity networks’ deployment</w:t>
            </w:r>
          </w:p>
        </w:tc>
        <w:tc>
          <w:tcPr>
            <w:tcW w:w="463" w:type="pct"/>
            <w:shd w:val="clear" w:color="auto" w:fill="C6EFCE"/>
            <w:noWrap/>
          </w:tcPr>
          <w:p w14:paraId="1D2C441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Provision in the administrative acts indicating the entry into force of the respective acts</w:t>
            </w:r>
          </w:p>
        </w:tc>
        <w:tc>
          <w:tcPr>
            <w:tcW w:w="324" w:type="pct"/>
            <w:shd w:val="clear" w:color="auto" w:fill="C6EFCE"/>
            <w:noWrap/>
          </w:tcPr>
          <w:p w14:paraId="463C11EC"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tcPr>
          <w:p w14:paraId="09886B19"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278" w:type="pct"/>
            <w:shd w:val="clear" w:color="auto" w:fill="C6EFCE"/>
            <w:noWrap/>
          </w:tcPr>
          <w:p w14:paraId="518141D2"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tcPr>
          <w:p w14:paraId="66C707C7"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Q2</w:t>
            </w:r>
          </w:p>
        </w:tc>
        <w:tc>
          <w:tcPr>
            <w:tcW w:w="278" w:type="pct"/>
            <w:shd w:val="clear" w:color="auto" w:fill="C6EFCE"/>
            <w:noWrap/>
          </w:tcPr>
          <w:p w14:paraId="7C824C1C"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2024</w:t>
            </w:r>
          </w:p>
        </w:tc>
        <w:tc>
          <w:tcPr>
            <w:tcW w:w="1344" w:type="pct"/>
            <w:shd w:val="clear" w:color="auto" w:fill="C6EFCE"/>
            <w:noWrap/>
          </w:tcPr>
          <w:p w14:paraId="2DAEC0D0"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Entry into force of administrative acts for the reduction of administrative barriers for the deployment of very high capacity networks, which may include, but not be limited to, acts facilitating permit granting procedures or access to physical infrastructure.</w:t>
            </w:r>
          </w:p>
        </w:tc>
      </w:tr>
      <w:tr w:rsidR="00B3049F" w:rsidRPr="00000359" w14:paraId="58370630" w14:textId="77777777" w:rsidTr="00000359">
        <w:trPr>
          <w:trHeight w:val="309"/>
          <w:jc w:val="center"/>
        </w:trPr>
        <w:tc>
          <w:tcPr>
            <w:tcW w:w="406" w:type="pct"/>
            <w:shd w:val="clear" w:color="auto" w:fill="C6EFCE"/>
            <w:noWrap/>
          </w:tcPr>
          <w:p w14:paraId="244E57C8" w14:textId="77777777" w:rsidR="00B3049F" w:rsidRPr="00000359" w:rsidRDefault="00B3049F" w:rsidP="00D8670B">
            <w:pPr>
              <w:spacing w:after="0" w:line="240" w:lineRule="auto"/>
              <w:rPr>
                <w:rFonts w:ascii="Times New Roman" w:hAnsi="Times New Roman" w:cs="Times New Roman"/>
                <w:noProof/>
                <w:sz w:val="18"/>
                <w:szCs w:val="18"/>
                <w:highlight w:val="green"/>
              </w:rPr>
            </w:pPr>
            <w:r w:rsidRPr="00000359">
              <w:rPr>
                <w:rFonts w:ascii="Times New Roman" w:hAnsi="Times New Roman" w:cs="Times New Roman"/>
                <w:noProof/>
                <w:sz w:val="18"/>
                <w:szCs w:val="18"/>
              </w:rPr>
              <w:t>217</w:t>
            </w:r>
          </w:p>
        </w:tc>
        <w:tc>
          <w:tcPr>
            <w:tcW w:w="426" w:type="pct"/>
            <w:shd w:val="clear" w:color="auto" w:fill="C6EFCE"/>
            <w:noWrap/>
          </w:tcPr>
          <w:p w14:paraId="6C8A628E"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C4.1I1</w:t>
            </w:r>
          </w:p>
          <w:p w14:paraId="13F3C5B1" w14:textId="2F8834E0"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Expansion of </w:t>
            </w:r>
            <w:r w:rsidR="00000359">
              <w:rPr>
                <w:rFonts w:ascii="Times New Roman" w:hAnsi="Times New Roman" w:cs="Times New Roman"/>
                <w:noProof/>
                <w:sz w:val="18"/>
                <w:szCs w:val="18"/>
              </w:rPr>
              <w:t>v</w:t>
            </w:r>
            <w:r w:rsidRPr="00000359">
              <w:rPr>
                <w:rFonts w:ascii="Times New Roman" w:hAnsi="Times New Roman" w:cs="Times New Roman"/>
                <w:noProof/>
                <w:sz w:val="18"/>
                <w:szCs w:val="18"/>
              </w:rPr>
              <w:t xml:space="preserve">ery </w:t>
            </w:r>
            <w:r w:rsidR="00000359">
              <w:rPr>
                <w:rFonts w:ascii="Times New Roman" w:hAnsi="Times New Roman" w:cs="Times New Roman"/>
                <w:noProof/>
                <w:sz w:val="18"/>
                <w:szCs w:val="18"/>
              </w:rPr>
              <w:t>h</w:t>
            </w:r>
            <w:r w:rsidRPr="00000359">
              <w:rPr>
                <w:rFonts w:ascii="Times New Roman" w:hAnsi="Times New Roman" w:cs="Times New Roman"/>
                <w:noProof/>
                <w:sz w:val="18"/>
                <w:szCs w:val="18"/>
              </w:rPr>
              <w:t xml:space="preserve">igh </w:t>
            </w:r>
            <w:r w:rsidR="00000359">
              <w:rPr>
                <w:rFonts w:ascii="Times New Roman" w:hAnsi="Times New Roman" w:cs="Times New Roman"/>
                <w:noProof/>
                <w:sz w:val="18"/>
                <w:szCs w:val="18"/>
              </w:rPr>
              <w:t>c</w:t>
            </w:r>
            <w:r w:rsidRPr="00000359">
              <w:rPr>
                <w:rFonts w:ascii="Times New Roman" w:hAnsi="Times New Roman" w:cs="Times New Roman"/>
                <w:noProof/>
                <w:sz w:val="18"/>
                <w:szCs w:val="18"/>
              </w:rPr>
              <w:t>apacity Networks in underserved areas</w:t>
            </w:r>
          </w:p>
        </w:tc>
        <w:tc>
          <w:tcPr>
            <w:tcW w:w="370" w:type="pct"/>
            <w:shd w:val="clear" w:color="auto" w:fill="C6EFCE"/>
            <w:noWrap/>
          </w:tcPr>
          <w:p w14:paraId="09F3E48E"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463" w:type="pct"/>
            <w:shd w:val="clear" w:color="auto" w:fill="C6EFCE"/>
            <w:noWrap/>
          </w:tcPr>
          <w:p w14:paraId="6C93D979"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Start of very high capacity networks’ deployment in underserved areas</w:t>
            </w:r>
          </w:p>
        </w:tc>
        <w:tc>
          <w:tcPr>
            <w:tcW w:w="463" w:type="pct"/>
            <w:shd w:val="clear" w:color="auto" w:fill="C6EFCE"/>
            <w:noWrap/>
          </w:tcPr>
          <w:p w14:paraId="7F0AF88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Signed contracts with contractors to deploy very high capacity networks in areas of no interest to private very high capacity network investors</w:t>
            </w:r>
          </w:p>
        </w:tc>
        <w:tc>
          <w:tcPr>
            <w:tcW w:w="324" w:type="pct"/>
            <w:shd w:val="clear" w:color="auto" w:fill="C6EFCE"/>
            <w:noWrap/>
          </w:tcPr>
          <w:p w14:paraId="62EC6F50"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tcPr>
          <w:p w14:paraId="2377330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278" w:type="pct"/>
            <w:shd w:val="clear" w:color="auto" w:fill="C6EFCE"/>
            <w:noWrap/>
          </w:tcPr>
          <w:p w14:paraId="2EEE04D0"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tcPr>
          <w:p w14:paraId="7C3B74E7"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278" w:type="pct"/>
            <w:shd w:val="clear" w:color="auto" w:fill="C6EFCE"/>
            <w:noWrap/>
          </w:tcPr>
          <w:p w14:paraId="1000BDDA"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2023</w:t>
            </w:r>
          </w:p>
        </w:tc>
        <w:tc>
          <w:tcPr>
            <w:tcW w:w="1344" w:type="pct"/>
            <w:shd w:val="clear" w:color="auto" w:fill="C6EFCE"/>
            <w:noWrap/>
          </w:tcPr>
          <w:p w14:paraId="07801875"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Contracts have been signed with contractors, which shall have been selected through an open tender procedure, to deploy very high capacity networks (in particular, fixed or mobile (5G) networks offering a download speed of at least 100Mbps, which shall be readily upgradable to Gigabit for fixed access) in areas of no interest to private very high capacity network investors.</w:t>
            </w:r>
          </w:p>
        </w:tc>
      </w:tr>
      <w:tr w:rsidR="00B3049F" w:rsidRPr="00000359" w14:paraId="55F62283" w14:textId="77777777" w:rsidTr="00000359">
        <w:trPr>
          <w:trHeight w:val="309"/>
          <w:jc w:val="center"/>
        </w:trPr>
        <w:tc>
          <w:tcPr>
            <w:tcW w:w="406" w:type="pct"/>
            <w:shd w:val="clear" w:color="auto" w:fill="C6EFCE"/>
            <w:noWrap/>
          </w:tcPr>
          <w:p w14:paraId="51F5366E"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219</w:t>
            </w:r>
          </w:p>
        </w:tc>
        <w:tc>
          <w:tcPr>
            <w:tcW w:w="426" w:type="pct"/>
            <w:shd w:val="clear" w:color="auto" w:fill="C6EFCE"/>
            <w:noWrap/>
          </w:tcPr>
          <w:p w14:paraId="4735EF6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C4.1I1</w:t>
            </w:r>
          </w:p>
          <w:p w14:paraId="7B2D38C5" w14:textId="3A500310"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Expansion of </w:t>
            </w:r>
            <w:r w:rsidR="00000359">
              <w:rPr>
                <w:rFonts w:ascii="Times New Roman" w:hAnsi="Times New Roman" w:cs="Times New Roman"/>
                <w:noProof/>
                <w:sz w:val="18"/>
                <w:szCs w:val="18"/>
              </w:rPr>
              <w:t>v</w:t>
            </w:r>
            <w:r w:rsidRPr="00000359">
              <w:rPr>
                <w:rFonts w:ascii="Times New Roman" w:hAnsi="Times New Roman" w:cs="Times New Roman"/>
                <w:noProof/>
                <w:sz w:val="18"/>
                <w:szCs w:val="18"/>
              </w:rPr>
              <w:t xml:space="preserve">ery </w:t>
            </w:r>
            <w:r w:rsidR="00000359">
              <w:rPr>
                <w:rFonts w:ascii="Times New Roman" w:hAnsi="Times New Roman" w:cs="Times New Roman"/>
                <w:noProof/>
                <w:sz w:val="18"/>
                <w:szCs w:val="18"/>
              </w:rPr>
              <w:t>h</w:t>
            </w:r>
            <w:r w:rsidRPr="00000359">
              <w:rPr>
                <w:rFonts w:ascii="Times New Roman" w:hAnsi="Times New Roman" w:cs="Times New Roman"/>
                <w:noProof/>
                <w:sz w:val="18"/>
                <w:szCs w:val="18"/>
              </w:rPr>
              <w:t xml:space="preserve">igh </w:t>
            </w:r>
            <w:r w:rsidR="00000359">
              <w:rPr>
                <w:rFonts w:ascii="Times New Roman" w:hAnsi="Times New Roman" w:cs="Times New Roman"/>
                <w:noProof/>
                <w:sz w:val="18"/>
                <w:szCs w:val="18"/>
              </w:rPr>
              <w:t>c</w:t>
            </w:r>
            <w:r w:rsidRPr="00000359">
              <w:rPr>
                <w:rFonts w:ascii="Times New Roman" w:hAnsi="Times New Roman" w:cs="Times New Roman"/>
                <w:noProof/>
                <w:sz w:val="18"/>
                <w:szCs w:val="18"/>
              </w:rPr>
              <w:t>apacity Networks in underserved areas</w:t>
            </w:r>
          </w:p>
        </w:tc>
        <w:tc>
          <w:tcPr>
            <w:tcW w:w="370" w:type="pct"/>
            <w:shd w:val="clear" w:color="auto" w:fill="C6EFCE"/>
            <w:noWrap/>
          </w:tcPr>
          <w:p w14:paraId="10E7EA49"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463" w:type="pct"/>
            <w:shd w:val="clear" w:color="auto" w:fill="C6EFCE"/>
            <w:noWrap/>
          </w:tcPr>
          <w:p w14:paraId="2C13AACB"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Very high capacity networks are accessible in areas of no interest to private investors</w:t>
            </w:r>
          </w:p>
        </w:tc>
        <w:tc>
          <w:tcPr>
            <w:tcW w:w="463" w:type="pct"/>
            <w:shd w:val="clear" w:color="auto" w:fill="C6EFCE"/>
            <w:noWrap/>
          </w:tcPr>
          <w:p w14:paraId="098BF109"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Three acceptance certificates (one per lot) issued by the contracting authority</w:t>
            </w:r>
          </w:p>
        </w:tc>
        <w:tc>
          <w:tcPr>
            <w:tcW w:w="324" w:type="pct"/>
            <w:shd w:val="clear" w:color="auto" w:fill="C6EFCE"/>
            <w:noWrap/>
          </w:tcPr>
          <w:p w14:paraId="58AA9E17" w14:textId="77777777" w:rsidR="00B3049F" w:rsidRPr="00000359" w:rsidRDefault="00B3049F" w:rsidP="00000359">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4556A017" w14:textId="110650EB" w:rsidR="00B3049F" w:rsidRPr="00000359" w:rsidRDefault="00B3049F" w:rsidP="00A04476">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0</w:t>
            </w:r>
          </w:p>
        </w:tc>
        <w:tc>
          <w:tcPr>
            <w:tcW w:w="278" w:type="pct"/>
            <w:shd w:val="clear" w:color="auto" w:fill="C6EFCE"/>
            <w:noWrap/>
          </w:tcPr>
          <w:p w14:paraId="27487809" w14:textId="77777777" w:rsidR="00B3049F" w:rsidRPr="00000359" w:rsidRDefault="00B3049F" w:rsidP="00000359">
            <w:pPr>
              <w:spacing w:after="0" w:line="240" w:lineRule="auto"/>
              <w:jc w:val="center"/>
              <w:rPr>
                <w:rFonts w:ascii="Times New Roman" w:hAnsi="Times New Roman" w:cs="Times New Roman"/>
                <w:noProof/>
                <w:sz w:val="18"/>
                <w:szCs w:val="18"/>
              </w:rPr>
            </w:pPr>
          </w:p>
        </w:tc>
        <w:tc>
          <w:tcPr>
            <w:tcW w:w="324" w:type="pct"/>
            <w:shd w:val="clear" w:color="auto" w:fill="C6EFCE"/>
            <w:noWrap/>
          </w:tcPr>
          <w:p w14:paraId="2231B768"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278" w:type="pct"/>
            <w:shd w:val="clear" w:color="auto" w:fill="C6EFCE"/>
            <w:noWrap/>
          </w:tcPr>
          <w:p w14:paraId="6855C4D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2025</w:t>
            </w:r>
          </w:p>
        </w:tc>
        <w:tc>
          <w:tcPr>
            <w:tcW w:w="1344" w:type="pct"/>
            <w:shd w:val="clear" w:color="auto" w:fill="C6EFCE"/>
            <w:noWrap/>
          </w:tcPr>
          <w:p w14:paraId="3C81ADD2" w14:textId="3A5B10F4" w:rsidR="00B3049F" w:rsidRPr="00000359" w:rsidRDefault="00B3049F" w:rsidP="00A04476">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At least three areas (lots) as defined in contracts under milestone 217 are covered by very high capacity networks.</w:t>
            </w:r>
          </w:p>
        </w:tc>
      </w:tr>
      <w:tr w:rsidR="00B3049F" w:rsidRPr="00000359" w14:paraId="6B8FC215" w14:textId="77777777" w:rsidTr="00600EF8">
        <w:trPr>
          <w:trHeight w:val="1871"/>
          <w:jc w:val="center"/>
        </w:trPr>
        <w:tc>
          <w:tcPr>
            <w:tcW w:w="406" w:type="pct"/>
            <w:shd w:val="clear" w:color="auto" w:fill="C6EFCE"/>
            <w:noWrap/>
          </w:tcPr>
          <w:p w14:paraId="5E96D188" w14:textId="77777777" w:rsidR="00B3049F" w:rsidRPr="00000359" w:rsidRDefault="00B3049F" w:rsidP="00D8670B">
            <w:pPr>
              <w:spacing w:after="0" w:line="240" w:lineRule="auto"/>
              <w:rPr>
                <w:rFonts w:ascii="Times New Roman" w:hAnsi="Times New Roman" w:cs="Times New Roman"/>
                <w:noProof/>
                <w:sz w:val="18"/>
                <w:szCs w:val="18"/>
                <w:highlight w:val="green"/>
              </w:rPr>
            </w:pPr>
            <w:r w:rsidRPr="00000359">
              <w:rPr>
                <w:rFonts w:ascii="Times New Roman" w:hAnsi="Times New Roman" w:cs="Times New Roman"/>
                <w:noProof/>
                <w:sz w:val="18"/>
                <w:szCs w:val="18"/>
              </w:rPr>
              <w:t>220</w:t>
            </w:r>
          </w:p>
        </w:tc>
        <w:tc>
          <w:tcPr>
            <w:tcW w:w="426" w:type="pct"/>
            <w:shd w:val="clear" w:color="auto" w:fill="C6EFCE"/>
            <w:noWrap/>
          </w:tcPr>
          <w:p w14:paraId="5AF1355B"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C4.1I2</w:t>
            </w:r>
          </w:p>
          <w:p w14:paraId="7298D3EC"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Upgrade internet connection to be “Gigabit-ready” and promote connectivity take-up </w:t>
            </w:r>
          </w:p>
        </w:tc>
        <w:tc>
          <w:tcPr>
            <w:tcW w:w="370" w:type="pct"/>
            <w:shd w:val="clear" w:color="auto" w:fill="C6EFCE"/>
            <w:noWrap/>
          </w:tcPr>
          <w:p w14:paraId="6C070C3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463" w:type="pct"/>
            <w:shd w:val="clear" w:color="auto" w:fill="C6EFCE"/>
            <w:noWrap/>
          </w:tcPr>
          <w:p w14:paraId="656C1050"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Expansion of Gigabit-ready internet connection take-up by households</w:t>
            </w:r>
          </w:p>
        </w:tc>
        <w:tc>
          <w:tcPr>
            <w:tcW w:w="463" w:type="pct"/>
            <w:shd w:val="clear" w:color="auto" w:fill="C6EFCE"/>
            <w:noWrap/>
          </w:tcPr>
          <w:p w14:paraId="7DBABCC7"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tcPr>
          <w:p w14:paraId="7FE917D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324" w:type="pct"/>
            <w:shd w:val="clear" w:color="auto" w:fill="C6EFCE"/>
            <w:noWrap/>
          </w:tcPr>
          <w:p w14:paraId="2C43EB78"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0</w:t>
            </w:r>
          </w:p>
        </w:tc>
        <w:tc>
          <w:tcPr>
            <w:tcW w:w="278" w:type="pct"/>
            <w:shd w:val="clear" w:color="auto" w:fill="C6EFCE"/>
            <w:noWrap/>
          </w:tcPr>
          <w:p w14:paraId="44AD312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24 300</w:t>
            </w:r>
          </w:p>
        </w:tc>
        <w:tc>
          <w:tcPr>
            <w:tcW w:w="324" w:type="pct"/>
            <w:shd w:val="clear" w:color="auto" w:fill="C6EFCE"/>
            <w:noWrap/>
          </w:tcPr>
          <w:p w14:paraId="4342DDB0"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Q2</w:t>
            </w:r>
          </w:p>
        </w:tc>
        <w:tc>
          <w:tcPr>
            <w:tcW w:w="278" w:type="pct"/>
            <w:shd w:val="clear" w:color="auto" w:fill="C6EFCE"/>
            <w:noWrap/>
          </w:tcPr>
          <w:p w14:paraId="773F77D5"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2023</w:t>
            </w:r>
          </w:p>
        </w:tc>
        <w:tc>
          <w:tcPr>
            <w:tcW w:w="1344" w:type="pct"/>
            <w:shd w:val="clear" w:color="auto" w:fill="C6EFCE"/>
            <w:noWrap/>
          </w:tcPr>
          <w:p w14:paraId="58E530D8"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Internet connection has been upgraded to be able to support provision of Gigabit connectivity in at least 24 300 homes.</w:t>
            </w:r>
          </w:p>
        </w:tc>
      </w:tr>
      <w:tr w:rsidR="00B3049F" w:rsidRPr="00000359" w14:paraId="67A96987" w14:textId="77777777" w:rsidTr="00000359">
        <w:trPr>
          <w:trHeight w:val="309"/>
          <w:jc w:val="center"/>
        </w:trPr>
        <w:tc>
          <w:tcPr>
            <w:tcW w:w="406" w:type="pct"/>
            <w:shd w:val="clear" w:color="auto" w:fill="C6EFCE"/>
            <w:noWrap/>
          </w:tcPr>
          <w:p w14:paraId="051583E3" w14:textId="77777777" w:rsidR="00B3049F" w:rsidRPr="00000359" w:rsidRDefault="00B3049F" w:rsidP="00D8670B">
            <w:pPr>
              <w:spacing w:after="0" w:line="240" w:lineRule="auto"/>
              <w:rPr>
                <w:rFonts w:ascii="Times New Roman" w:hAnsi="Times New Roman" w:cs="Times New Roman"/>
                <w:noProof/>
                <w:sz w:val="18"/>
                <w:szCs w:val="18"/>
                <w:highlight w:val="yellow"/>
              </w:rPr>
            </w:pPr>
            <w:r w:rsidRPr="00000359">
              <w:rPr>
                <w:rFonts w:ascii="Times New Roman" w:hAnsi="Times New Roman" w:cs="Times New Roman"/>
                <w:noProof/>
                <w:sz w:val="18"/>
                <w:szCs w:val="18"/>
              </w:rPr>
              <w:t>221</w:t>
            </w:r>
          </w:p>
        </w:tc>
        <w:tc>
          <w:tcPr>
            <w:tcW w:w="426" w:type="pct"/>
            <w:shd w:val="clear" w:color="auto" w:fill="C6EFCE"/>
            <w:noWrap/>
          </w:tcPr>
          <w:p w14:paraId="2571507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C4.1I2</w:t>
            </w:r>
          </w:p>
          <w:p w14:paraId="0727C2A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Upgrade internet connection to be “Gigabit-ready” and support connectivity take-up</w:t>
            </w:r>
          </w:p>
        </w:tc>
        <w:tc>
          <w:tcPr>
            <w:tcW w:w="370" w:type="pct"/>
            <w:shd w:val="clear" w:color="auto" w:fill="C6EFCE"/>
            <w:noWrap/>
          </w:tcPr>
          <w:p w14:paraId="1B62BAEA"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463" w:type="pct"/>
            <w:shd w:val="clear" w:color="auto" w:fill="C6EFCE"/>
            <w:noWrap/>
          </w:tcPr>
          <w:p w14:paraId="35A9525D"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Gigabit-ready internet connection take-up by at least 82 000 households</w:t>
            </w:r>
          </w:p>
        </w:tc>
        <w:tc>
          <w:tcPr>
            <w:tcW w:w="463" w:type="pct"/>
            <w:shd w:val="clear" w:color="auto" w:fill="C6EFCE"/>
            <w:noWrap/>
          </w:tcPr>
          <w:p w14:paraId="3BC98BD5"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324" w:type="pct"/>
            <w:shd w:val="clear" w:color="auto" w:fill="C6EFCE"/>
            <w:noWrap/>
          </w:tcPr>
          <w:p w14:paraId="3E06403F"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324" w:type="pct"/>
            <w:shd w:val="clear" w:color="auto" w:fill="C6EFCE"/>
            <w:noWrap/>
          </w:tcPr>
          <w:p w14:paraId="10DB90E0"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24 300</w:t>
            </w:r>
          </w:p>
        </w:tc>
        <w:tc>
          <w:tcPr>
            <w:tcW w:w="278" w:type="pct"/>
            <w:shd w:val="clear" w:color="auto" w:fill="C6EFCE"/>
            <w:noWrap/>
          </w:tcPr>
          <w:p w14:paraId="525188A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82 000</w:t>
            </w:r>
          </w:p>
        </w:tc>
        <w:tc>
          <w:tcPr>
            <w:tcW w:w="324" w:type="pct"/>
            <w:shd w:val="clear" w:color="auto" w:fill="C6EFCE"/>
            <w:noWrap/>
          </w:tcPr>
          <w:p w14:paraId="1CF3B5F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Q2</w:t>
            </w:r>
          </w:p>
        </w:tc>
        <w:tc>
          <w:tcPr>
            <w:tcW w:w="278" w:type="pct"/>
            <w:shd w:val="clear" w:color="auto" w:fill="C6EFCE"/>
            <w:noWrap/>
          </w:tcPr>
          <w:p w14:paraId="4C97F1DC"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2025</w:t>
            </w:r>
          </w:p>
        </w:tc>
        <w:tc>
          <w:tcPr>
            <w:tcW w:w="1344" w:type="pct"/>
            <w:shd w:val="clear" w:color="auto" w:fill="C6EFCE"/>
            <w:noWrap/>
          </w:tcPr>
          <w:p w14:paraId="7C2662CE"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Internet connection has been upgraded to be able to support provision of gigabit connectivity in at least 82 000 households.</w:t>
            </w:r>
          </w:p>
        </w:tc>
      </w:tr>
    </w:tbl>
    <w:p w14:paraId="69424113" w14:textId="77777777" w:rsidR="00B3049F" w:rsidRPr="000F04FA" w:rsidRDefault="00B3049F" w:rsidP="00D8670B">
      <w:pPr>
        <w:rPr>
          <w:noProof/>
        </w:rPr>
      </w:pPr>
    </w:p>
    <w:p w14:paraId="2DC7585C" w14:textId="77777777" w:rsidR="00B3049F" w:rsidRPr="000F04FA" w:rsidRDefault="00B3049F">
      <w:pPr>
        <w:rPr>
          <w:noProof/>
        </w:rPr>
        <w:sectPr w:rsidR="00B3049F" w:rsidRPr="000F04FA" w:rsidSect="00B3049F">
          <w:headerReference w:type="default" r:id="rId80"/>
          <w:footerReference w:type="default" r:id="rId81"/>
          <w:pgSz w:w="15840" w:h="12240" w:orient="landscape"/>
          <w:pgMar w:top="1134" w:right="1134" w:bottom="1134" w:left="1134" w:header="720" w:footer="720" w:gutter="0"/>
          <w:cols w:space="720"/>
          <w:docGrid w:linePitch="360"/>
        </w:sectPr>
      </w:pPr>
    </w:p>
    <w:p w14:paraId="2B95007B" w14:textId="391365A5" w:rsidR="00B3049F" w:rsidRPr="001A21F9" w:rsidRDefault="00B3049F" w:rsidP="001A21F9">
      <w:pPr>
        <w:keepNext/>
        <w:tabs>
          <w:tab w:val="left" w:pos="850"/>
        </w:tabs>
        <w:spacing w:before="360" w:after="120" w:line="240" w:lineRule="auto"/>
        <w:ind w:left="850" w:hanging="850"/>
        <w:jc w:val="both"/>
        <w:outlineLvl w:val="0"/>
        <w:rPr>
          <w:rFonts w:ascii="Times New Roman" w:hAnsi="Times New Roman"/>
          <w:b/>
          <w:smallCaps/>
          <w:noProof/>
        </w:rPr>
      </w:pPr>
      <w:r w:rsidRPr="000F04FA">
        <w:rPr>
          <w:rFonts w:ascii="Times New Roman" w:hAnsi="Times New Roman"/>
          <w:b/>
          <w:smallCaps/>
          <w:noProof/>
        </w:rPr>
        <w:t>K. COMPONENT 4.2: Promote e-government</w:t>
      </w:r>
    </w:p>
    <w:p w14:paraId="0E4041A2" w14:textId="77777777" w:rsidR="00B3049F" w:rsidRPr="000F04FA" w:rsidRDefault="00B3049F" w:rsidP="00000359">
      <w:pPr>
        <w:spacing w:before="120" w:after="120" w:line="278" w:lineRule="auto"/>
        <w:jc w:val="both"/>
        <w:rPr>
          <w:rFonts w:ascii="Times New Roman" w:hAnsi="Times New Roman"/>
          <w:noProof/>
        </w:rPr>
      </w:pPr>
      <w:r w:rsidRPr="000F04FA">
        <w:rPr>
          <w:rFonts w:ascii="Times New Roman" w:hAnsi="Times New Roman"/>
          <w:noProof/>
        </w:rPr>
        <w:t>This component of the Cypriot recovery and resilience plan contributes to accelerating the digital transformation of Cyprus through the digitalisation of government services enhancing the efficiency and the provision of online, secure, and prompt services to citizens, in a user friendly, efficient, and effective way. This is expected to facilitate the interaction between citizens and the public services, without the need for physical presence.</w:t>
      </w:r>
    </w:p>
    <w:p w14:paraId="52229A40" w14:textId="77777777" w:rsidR="00B3049F" w:rsidRPr="000F04FA" w:rsidRDefault="00B3049F" w:rsidP="00000359">
      <w:pPr>
        <w:spacing w:before="120" w:after="120" w:line="278" w:lineRule="auto"/>
        <w:jc w:val="both"/>
        <w:rPr>
          <w:rFonts w:ascii="Times New Roman" w:hAnsi="Times New Roman"/>
          <w:noProof/>
        </w:rPr>
      </w:pPr>
      <w:r w:rsidRPr="000F04FA">
        <w:rPr>
          <w:rFonts w:ascii="Times New Roman" w:hAnsi="Times New Roman"/>
          <w:noProof/>
        </w:rPr>
        <w:t xml:space="preserve">The objective of the component is to build a secured, integrated, and modern digital architecture to achieve the transformation to a digital government. </w:t>
      </w:r>
    </w:p>
    <w:p w14:paraId="14845E26" w14:textId="77777777" w:rsidR="00B3049F" w:rsidRPr="000F04FA" w:rsidRDefault="00B3049F" w:rsidP="00000359">
      <w:pPr>
        <w:spacing w:before="120" w:after="120" w:line="278" w:lineRule="auto"/>
        <w:jc w:val="both"/>
        <w:rPr>
          <w:rFonts w:ascii="Times New Roman" w:hAnsi="Times New Roman"/>
          <w:noProof/>
        </w:rPr>
      </w:pPr>
      <w:r w:rsidRPr="000F04FA">
        <w:rPr>
          <w:rFonts w:ascii="Times New Roman" w:hAnsi="Times New Roman"/>
          <w:noProof/>
        </w:rPr>
        <w:t>The component addresses the country-specific recommendation on investment in the digital transition and the digitalisation (Country-Specific Recommendation 4 of 2019 and Country-Specific Recommendation 3 of 2020).</w:t>
      </w:r>
    </w:p>
    <w:p w14:paraId="351C8390" w14:textId="77777777" w:rsidR="00B3049F" w:rsidRPr="000F04FA" w:rsidRDefault="00B3049F" w:rsidP="00D8670B">
      <w:pPr>
        <w:spacing w:before="120" w:after="120" w:line="240" w:lineRule="auto"/>
        <w:jc w:val="both"/>
        <w:rPr>
          <w:rFonts w:ascii="Times New Roman" w:hAnsi="Times New Roman" w:cs="Times New Roman"/>
          <w:noProof/>
        </w:rPr>
      </w:pPr>
    </w:p>
    <w:p w14:paraId="21F00827"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b/>
          <w:noProof/>
          <w:u w:val="single"/>
        </w:rPr>
        <w:t xml:space="preserve">K.1. </w:t>
      </w:r>
      <w:r w:rsidRPr="000F04FA">
        <w:rPr>
          <w:noProof/>
        </w:rPr>
        <w:tab/>
      </w:r>
      <w:r w:rsidRPr="000F04FA">
        <w:rPr>
          <w:rFonts w:ascii="Times New Roman" w:hAnsi="Times New Roman"/>
          <w:b/>
          <w:noProof/>
          <w:u w:val="single"/>
        </w:rPr>
        <w:t>Description of the reforms and investments for non-repayable financial support</w:t>
      </w:r>
    </w:p>
    <w:p w14:paraId="107575AC"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Reform 1 (C4.2R1): Digital Services Factory (DSF)</w:t>
      </w:r>
    </w:p>
    <w:p w14:paraId="052FEF20"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The objective of this reform is to facilitate the interaction with public services.</w:t>
      </w:r>
    </w:p>
    <w:p w14:paraId="1AF5557A"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noProof/>
        </w:rPr>
        <w:t>This measure consist in designing a Service Delivery Model for the provision of digital services to the public.</w:t>
      </w:r>
    </w:p>
    <w:p w14:paraId="50DCDB4C" w14:textId="77777777" w:rsidR="00B3049F" w:rsidRPr="000F04FA" w:rsidRDefault="00B3049F" w:rsidP="00D8670B">
      <w:pPr>
        <w:spacing w:before="120" w:after="120" w:line="240" w:lineRule="auto"/>
        <w:jc w:val="both"/>
        <w:rPr>
          <w:rFonts w:ascii="Times New Roman" w:hAnsi="Times New Roman" w:cs="Times New Roman"/>
          <w:bCs/>
          <w:iCs/>
          <w:noProof/>
        </w:rPr>
      </w:pPr>
    </w:p>
    <w:p w14:paraId="43D5D25E"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Reform 2 (C4.2R2): New cloud policy with regard to government IT systems and services </w:t>
      </w:r>
      <w:r w:rsidRPr="000F04FA">
        <w:rPr>
          <w:rFonts w:ascii="Times New Roman" w:hAnsi="Times New Roman" w:cs="Times New Roman"/>
          <w:noProof/>
          <w:u w:val="single"/>
        </w:rPr>
        <w:t>and infrastructure set-up</w:t>
      </w:r>
    </w:p>
    <w:p w14:paraId="7CF43F3B"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The objective of this measure is to elaborate the cloud policy of the government.</w:t>
      </w:r>
    </w:p>
    <w:p w14:paraId="412AA788"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 xml:space="preserve">This measure consists in two data centres </w:t>
      </w:r>
      <w:r w:rsidRPr="000F04FA">
        <w:rPr>
          <w:rFonts w:ascii="Times New Roman" w:hAnsi="Times New Roman" w:cs="Times New Roman"/>
          <w:noProof/>
        </w:rPr>
        <w:t>providing</w:t>
      </w:r>
      <w:r w:rsidRPr="000F04FA">
        <w:rPr>
          <w:rFonts w:ascii="Times New Roman" w:hAnsi="Times New Roman"/>
          <w:noProof/>
        </w:rPr>
        <w:t xml:space="preserve"> hosting services to government IT systems, and the adoption of a national cloud policy.</w:t>
      </w:r>
      <w:r w:rsidRPr="000F04FA">
        <w:rPr>
          <w:noProof/>
        </w:rPr>
        <w:t xml:space="preserve"> </w:t>
      </w:r>
    </w:p>
    <w:p w14:paraId="1C69D1DE" w14:textId="77777777" w:rsidR="00B3049F" w:rsidRPr="000F04FA" w:rsidRDefault="00B3049F" w:rsidP="00D8670B">
      <w:pPr>
        <w:spacing w:before="120" w:after="120" w:line="240" w:lineRule="auto"/>
        <w:jc w:val="both"/>
        <w:rPr>
          <w:rFonts w:ascii="Times New Roman" w:hAnsi="Times New Roman" w:cs="Times New Roman"/>
          <w:noProof/>
        </w:rPr>
      </w:pPr>
    </w:p>
    <w:p w14:paraId="22A4F3BD"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Reform 3 (C4.2R3): Police procedures digitalisation (Digipol)</w:t>
      </w:r>
    </w:p>
    <w:p w14:paraId="2D275514" w14:textId="6FA13D8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 xml:space="preserve">The objective of this reform is to digitalise procedures for the Cyprus Police. </w:t>
      </w:r>
    </w:p>
    <w:p w14:paraId="58F7BBAD"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 xml:space="preserve">This measure consists in a platform (Digipol) of demands for police procedures and services. </w:t>
      </w:r>
    </w:p>
    <w:p w14:paraId="32E7CCC4" w14:textId="77777777" w:rsidR="00B3049F" w:rsidRPr="000F04FA" w:rsidRDefault="00B3049F" w:rsidP="00D8670B">
      <w:pPr>
        <w:spacing w:before="120" w:after="120" w:line="240" w:lineRule="auto"/>
        <w:jc w:val="both"/>
        <w:rPr>
          <w:rFonts w:ascii="Times New Roman" w:hAnsi="Times New Roman"/>
          <w:noProof/>
        </w:rPr>
      </w:pPr>
    </w:p>
    <w:p w14:paraId="01A74AC8"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Reform 4 (C4.2R4): Setting up the beneficial ownership registry</w:t>
      </w:r>
    </w:p>
    <w:p w14:paraId="09EC8A64" w14:textId="77777777" w:rsidR="00B3049F" w:rsidRPr="000F04FA" w:rsidRDefault="00B3049F" w:rsidP="00000359">
      <w:pPr>
        <w:spacing w:before="120" w:after="120" w:line="278" w:lineRule="auto"/>
        <w:jc w:val="both"/>
        <w:rPr>
          <w:rFonts w:ascii="Times New Roman" w:hAnsi="Times New Roman"/>
          <w:noProof/>
        </w:rPr>
      </w:pPr>
      <w:r w:rsidRPr="000F04FA">
        <w:rPr>
          <w:rFonts w:ascii="Times New Roman" w:hAnsi="Times New Roman"/>
          <w:noProof/>
        </w:rPr>
        <w:t xml:space="preserve">The objective of the measure is to set up the register for the submission of the data of beneficial owners of all corporate and other legal entities. Such registration aims to improve corporate trust and transparency in Cyprus and shall make it clear who ultimately owns and controls companies and other legal entities. </w:t>
      </w:r>
    </w:p>
    <w:p w14:paraId="5285C67D" w14:textId="77777777" w:rsidR="00B3049F" w:rsidRPr="000F04FA" w:rsidRDefault="00B3049F" w:rsidP="00000359">
      <w:pPr>
        <w:spacing w:before="120" w:after="120" w:line="278" w:lineRule="auto"/>
        <w:jc w:val="both"/>
        <w:rPr>
          <w:rFonts w:ascii="Times New Roman" w:hAnsi="Times New Roman"/>
          <w:noProof/>
        </w:rPr>
      </w:pPr>
      <w:r w:rsidRPr="000F04FA">
        <w:rPr>
          <w:rFonts w:ascii="Times New Roman" w:hAnsi="Times New Roman"/>
          <w:noProof/>
        </w:rPr>
        <w:t>The reform shall consist in setting up the register. Currently, an online platform has been developed as an interim solution but its functionalities are limited. The reform shall result in a solution with the necessary functionalities to support the maintenance of the register and management of relevant information (for example by sending out notifications for updating, enforcement of late filing fees, search facilities with prescribed levels of access). This aims to support the registration of the data of beneficial owners of all corporate and other legal entities and achieve interconnection with the beneficial ownership registers of other Member States.</w:t>
      </w:r>
    </w:p>
    <w:p w14:paraId="711C9C89" w14:textId="2A2A47A9" w:rsidR="00B3049F" w:rsidRPr="000F04FA" w:rsidRDefault="00B3049F" w:rsidP="00000359">
      <w:pPr>
        <w:spacing w:before="120" w:after="120" w:line="278" w:lineRule="auto"/>
        <w:jc w:val="both"/>
        <w:rPr>
          <w:rFonts w:ascii="Times New Roman" w:hAnsi="Times New Roman"/>
          <w:noProof/>
        </w:rPr>
      </w:pPr>
      <w:r w:rsidRPr="000F04FA">
        <w:rPr>
          <w:rFonts w:ascii="Times New Roman" w:hAnsi="Times New Roman"/>
          <w:noProof/>
        </w:rPr>
        <w:t>The implementation of the reform shall be completed by 31</w:t>
      </w:r>
      <w:r w:rsidR="00000359">
        <w:rPr>
          <w:rFonts w:ascii="Times New Roman" w:hAnsi="Times New Roman"/>
          <w:noProof/>
        </w:rPr>
        <w:t> </w:t>
      </w:r>
      <w:r w:rsidRPr="000F04FA">
        <w:rPr>
          <w:rFonts w:ascii="Times New Roman" w:hAnsi="Times New Roman"/>
          <w:noProof/>
        </w:rPr>
        <w:t>December</w:t>
      </w:r>
      <w:r w:rsidR="00000359">
        <w:rPr>
          <w:rFonts w:ascii="Times New Roman" w:hAnsi="Times New Roman"/>
          <w:noProof/>
        </w:rPr>
        <w:t> </w:t>
      </w:r>
      <w:r w:rsidRPr="000F04FA">
        <w:rPr>
          <w:rFonts w:ascii="Times New Roman" w:hAnsi="Times New Roman"/>
          <w:noProof/>
        </w:rPr>
        <w:t>2023.</w:t>
      </w:r>
    </w:p>
    <w:p w14:paraId="71AE244F" w14:textId="77777777" w:rsidR="00B3049F" w:rsidRPr="000F04FA" w:rsidRDefault="00B3049F" w:rsidP="00D8670B">
      <w:pPr>
        <w:spacing w:before="120" w:after="120" w:line="240" w:lineRule="auto"/>
        <w:jc w:val="both"/>
        <w:rPr>
          <w:rFonts w:ascii="Times New Roman" w:hAnsi="Times New Roman"/>
          <w:noProof/>
        </w:rPr>
      </w:pPr>
    </w:p>
    <w:p w14:paraId="40B3E44F" w14:textId="1689E24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1 (C4.2I1): Digitalisation of central government ministries or departments</w:t>
      </w:r>
    </w:p>
    <w:p w14:paraId="504A7D0B" w14:textId="42BA6B0D"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digitalise workflows in a number of central government ministries or departments.</w:t>
      </w:r>
    </w:p>
    <w:p w14:paraId="54AC00BC" w14:textId="04A9A07A"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noProof/>
        </w:rPr>
        <w:t>This measure consist in digitalisation projects in five central government ministries or departments.</w:t>
      </w:r>
      <w:r w:rsidRPr="000F04FA">
        <w:rPr>
          <w:rFonts w:ascii="Times New Roman" w:hAnsi="Times New Roman"/>
          <w:noProof/>
          <w:u w:val="single"/>
        </w:rPr>
        <w:t xml:space="preserve"> </w:t>
      </w:r>
    </w:p>
    <w:p w14:paraId="65A52228" w14:textId="77777777" w:rsidR="00B3049F" w:rsidRPr="000F04FA" w:rsidRDefault="00B3049F" w:rsidP="00D8670B">
      <w:pPr>
        <w:spacing w:before="120" w:after="120" w:line="240" w:lineRule="auto"/>
        <w:jc w:val="both"/>
        <w:rPr>
          <w:rFonts w:ascii="Times New Roman" w:hAnsi="Times New Roman"/>
          <w:noProof/>
        </w:rPr>
      </w:pPr>
    </w:p>
    <w:p w14:paraId="0B1C4E06"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2 (C4.2I2): Digitalisation of the Cyprus Ports Authority</w:t>
      </w:r>
    </w:p>
    <w:p w14:paraId="57E9E876"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support digital infrastructure and processes of the Cyprus Ports Authority (CPA).</w:t>
      </w:r>
    </w:p>
    <w:p w14:paraId="4387DE1E"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noProof/>
        </w:rPr>
        <w:t xml:space="preserve">The measure consist in investing in information technology equipment and systems for CPA. </w:t>
      </w:r>
    </w:p>
    <w:p w14:paraId="4E610A47" w14:textId="77777777" w:rsidR="00B3049F" w:rsidRPr="000F04FA" w:rsidRDefault="00B3049F" w:rsidP="00D8670B">
      <w:pPr>
        <w:spacing w:before="120" w:after="120" w:line="240" w:lineRule="auto"/>
        <w:jc w:val="both"/>
        <w:rPr>
          <w:rFonts w:ascii="Times New Roman" w:hAnsi="Times New Roman"/>
          <w:noProof/>
        </w:rPr>
      </w:pPr>
    </w:p>
    <w:p w14:paraId="7BD4166A" w14:textId="77777777" w:rsidR="00B3049F" w:rsidRPr="000F04FA" w:rsidRDefault="00B3049F" w:rsidP="00D8670B">
      <w:pPr>
        <w:rPr>
          <w:noProof/>
        </w:rPr>
        <w:sectPr w:rsidR="00B3049F" w:rsidRPr="000F04FA" w:rsidSect="00B3049F">
          <w:headerReference w:type="default" r:id="rId82"/>
          <w:footerReference w:type="default" r:id="rId83"/>
          <w:pgSz w:w="12240" w:h="15840"/>
          <w:pgMar w:top="1134" w:right="1134" w:bottom="1134" w:left="1134" w:header="720" w:footer="720" w:gutter="0"/>
          <w:cols w:space="720"/>
          <w:docGrid w:linePitch="360"/>
        </w:sectPr>
      </w:pPr>
    </w:p>
    <w:p w14:paraId="126CCB6F" w14:textId="77777777" w:rsidR="00B3049F" w:rsidRPr="000F04FA" w:rsidRDefault="00B3049F" w:rsidP="001A21F9">
      <w:pPr>
        <w:spacing w:before="120" w:after="240" w:line="240" w:lineRule="auto"/>
        <w:jc w:val="center"/>
        <w:rPr>
          <w:rFonts w:ascii="Times New Roman" w:hAnsi="Times New Roman"/>
          <w:b/>
          <w:noProof/>
          <w:u w:val="single"/>
        </w:rPr>
      </w:pPr>
      <w:r w:rsidRPr="000F04FA">
        <w:rPr>
          <w:rFonts w:ascii="Times New Roman" w:hAnsi="Times New Roman"/>
          <w:b/>
          <w:noProof/>
          <w:u w:val="single"/>
        </w:rPr>
        <w:t xml:space="preserve">K.2.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050" w:type="dxa"/>
        <w:jc w:val="center"/>
        <w:tblLayout w:type="fixed"/>
        <w:tblCellMar>
          <w:left w:w="70" w:type="dxa"/>
          <w:right w:w="70" w:type="dxa"/>
        </w:tblCellMar>
        <w:tblLook w:val="04A0" w:firstRow="1" w:lastRow="0" w:firstColumn="1" w:lastColumn="0" w:noHBand="0" w:noVBand="1"/>
      </w:tblPr>
      <w:tblGrid>
        <w:gridCol w:w="988"/>
        <w:gridCol w:w="1423"/>
        <w:gridCol w:w="1125"/>
        <w:gridCol w:w="1546"/>
        <w:gridCol w:w="1434"/>
        <w:gridCol w:w="791"/>
        <w:gridCol w:w="985"/>
        <w:gridCol w:w="1128"/>
        <w:gridCol w:w="845"/>
        <w:gridCol w:w="929"/>
        <w:gridCol w:w="3856"/>
      </w:tblGrid>
      <w:tr w:rsidR="00B3049F" w:rsidRPr="00000359" w14:paraId="4FB88C81" w14:textId="77777777" w:rsidTr="00000359">
        <w:trPr>
          <w:trHeight w:val="1103"/>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C51C97" w14:textId="77777777"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Sequential Number</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E6C0B3" w14:textId="77777777"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Related Measure (Reform or Investment)</w:t>
            </w:r>
          </w:p>
        </w:tc>
        <w:tc>
          <w:tcPr>
            <w:tcW w:w="11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7B3F9C" w14:textId="5FE910CB"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Milestone/</w:t>
            </w:r>
            <w:r w:rsidR="005B736A">
              <w:rPr>
                <w:rFonts w:ascii="Times New Roman" w:hAnsi="Times New Roman" w:cs="Times New Roman"/>
                <w:b/>
                <w:noProof/>
                <w:sz w:val="18"/>
                <w:szCs w:val="18"/>
              </w:rPr>
              <w:t xml:space="preserve"> </w:t>
            </w:r>
            <w:r w:rsidRPr="00000359">
              <w:rPr>
                <w:rFonts w:ascii="Times New Roman" w:hAnsi="Times New Roman" w:cs="Times New Roman"/>
                <w:b/>
                <w:noProof/>
                <w:sz w:val="18"/>
                <w:szCs w:val="18"/>
              </w:rPr>
              <w:t>Target</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44206F" w14:textId="77777777"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Name</w:t>
            </w:r>
          </w:p>
        </w:tc>
        <w:tc>
          <w:tcPr>
            <w:tcW w:w="14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9D1737" w14:textId="7A64A9D1" w:rsidR="00B3049F" w:rsidRPr="00000359" w:rsidRDefault="00B3049F" w:rsidP="00D8670B">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Qualitative indicators</w:t>
            </w:r>
            <w:r w:rsidR="00064579" w:rsidRPr="00000359">
              <w:rPr>
                <w:rFonts w:ascii="Times New Roman" w:hAnsi="Times New Roman" w:cs="Times New Roman"/>
                <w:b/>
                <w:noProof/>
                <w:sz w:val="18"/>
                <w:szCs w:val="18"/>
              </w:rPr>
              <w:t xml:space="preserve"> </w:t>
            </w:r>
            <w:r w:rsidRPr="00000359">
              <w:rPr>
                <w:rFonts w:ascii="Times New Roman" w:hAnsi="Times New Roman" w:cs="Times New Roman"/>
                <w:noProof/>
                <w:sz w:val="18"/>
                <w:szCs w:val="18"/>
              </w:rPr>
              <w:br/>
            </w:r>
            <w:r w:rsidRPr="00000359">
              <w:rPr>
                <w:rFonts w:ascii="Times New Roman" w:hAnsi="Times New Roman" w:cs="Times New Roman"/>
                <w:b/>
                <w:noProof/>
                <w:sz w:val="18"/>
                <w:szCs w:val="18"/>
              </w:rPr>
              <w:t>(for milestones)</w:t>
            </w:r>
          </w:p>
        </w:tc>
        <w:tc>
          <w:tcPr>
            <w:tcW w:w="290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9909176" w14:textId="0E8A05B9"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Quantitative indicators</w:t>
            </w:r>
            <w:r w:rsidR="00064579" w:rsidRPr="00000359">
              <w:rPr>
                <w:rFonts w:ascii="Times New Roman" w:hAnsi="Times New Roman" w:cs="Times New Roman"/>
                <w:b/>
                <w:noProof/>
                <w:sz w:val="18"/>
                <w:szCs w:val="18"/>
              </w:rPr>
              <w:t xml:space="preserve"> </w:t>
            </w:r>
            <w:r w:rsidRPr="00000359">
              <w:rPr>
                <w:rFonts w:ascii="Times New Roman" w:hAnsi="Times New Roman" w:cs="Times New Roman"/>
                <w:noProof/>
                <w:sz w:val="18"/>
                <w:szCs w:val="18"/>
              </w:rPr>
              <w:br/>
            </w:r>
            <w:r w:rsidRPr="00000359">
              <w:rPr>
                <w:rFonts w:ascii="Times New Roman" w:hAnsi="Times New Roman" w:cs="Times New Roman"/>
                <w:b/>
                <w:noProof/>
                <w:sz w:val="18"/>
                <w:szCs w:val="18"/>
              </w:rPr>
              <w:t>(for targets)</w:t>
            </w:r>
          </w:p>
        </w:tc>
        <w:tc>
          <w:tcPr>
            <w:tcW w:w="177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A295F11" w14:textId="03C22D31"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Timeline for completion</w:t>
            </w:r>
            <w:r w:rsidR="00064579" w:rsidRPr="00000359">
              <w:rPr>
                <w:rFonts w:ascii="Times New Roman" w:hAnsi="Times New Roman" w:cs="Times New Roman"/>
                <w:b/>
                <w:noProof/>
                <w:sz w:val="18"/>
                <w:szCs w:val="18"/>
              </w:rPr>
              <w:t xml:space="preserve"> </w:t>
            </w:r>
            <w:r w:rsidRPr="00000359">
              <w:rPr>
                <w:rFonts w:ascii="Times New Roman" w:hAnsi="Times New Roman" w:cs="Times New Roman"/>
                <w:noProof/>
                <w:sz w:val="18"/>
                <w:szCs w:val="18"/>
              </w:rPr>
              <w:br/>
            </w:r>
            <w:r w:rsidRPr="00000359">
              <w:rPr>
                <w:rFonts w:ascii="Times New Roman" w:hAnsi="Times New Roman" w:cs="Times New Roman"/>
                <w:b/>
                <w:noProof/>
                <w:sz w:val="18"/>
                <w:szCs w:val="18"/>
              </w:rPr>
              <w:t>(indicate the quarter and the year)</w:t>
            </w:r>
          </w:p>
        </w:tc>
        <w:tc>
          <w:tcPr>
            <w:tcW w:w="38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30EB1C"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Description and clear definition of each milestone and target</w:t>
            </w:r>
          </w:p>
        </w:tc>
      </w:tr>
      <w:tr w:rsidR="00B3049F" w:rsidRPr="00000359" w14:paraId="601E14A0" w14:textId="77777777" w:rsidTr="00000359">
        <w:trPr>
          <w:trHeight w:val="451"/>
          <w:tblHeader/>
          <w:jc w:val="center"/>
        </w:trPr>
        <w:tc>
          <w:tcPr>
            <w:tcW w:w="988" w:type="dxa"/>
            <w:vMerge/>
            <w:tcBorders>
              <w:top w:val="single" w:sz="4" w:space="0" w:color="auto"/>
              <w:left w:val="single" w:sz="4" w:space="0" w:color="auto"/>
              <w:bottom w:val="single" w:sz="4" w:space="0" w:color="auto"/>
              <w:right w:val="single" w:sz="4" w:space="0" w:color="auto"/>
            </w:tcBorders>
            <w:hideMark/>
          </w:tcPr>
          <w:p w14:paraId="75F309F3" w14:textId="77777777" w:rsidR="00B3049F" w:rsidRPr="00000359" w:rsidRDefault="00B3049F" w:rsidP="00D8670B">
            <w:pPr>
              <w:spacing w:after="0" w:line="240" w:lineRule="auto"/>
              <w:rPr>
                <w:rFonts w:ascii="Times New Roman" w:hAnsi="Times New Roman" w:cs="Times New Roman"/>
                <w:b/>
                <w:noProof/>
                <w:sz w:val="18"/>
                <w:szCs w:val="18"/>
              </w:rPr>
            </w:pPr>
          </w:p>
        </w:tc>
        <w:tc>
          <w:tcPr>
            <w:tcW w:w="1423" w:type="dxa"/>
            <w:vMerge/>
            <w:tcBorders>
              <w:top w:val="single" w:sz="4" w:space="0" w:color="auto"/>
              <w:left w:val="single" w:sz="4" w:space="0" w:color="auto"/>
              <w:bottom w:val="single" w:sz="4" w:space="0" w:color="auto"/>
              <w:right w:val="single" w:sz="4" w:space="0" w:color="auto"/>
            </w:tcBorders>
            <w:hideMark/>
          </w:tcPr>
          <w:p w14:paraId="07D1AE5C" w14:textId="77777777" w:rsidR="00B3049F" w:rsidRPr="00000359" w:rsidRDefault="00B3049F" w:rsidP="00D8670B">
            <w:pPr>
              <w:spacing w:after="0" w:line="240" w:lineRule="auto"/>
              <w:rPr>
                <w:rFonts w:ascii="Times New Roman" w:hAnsi="Times New Roman" w:cs="Times New Roman"/>
                <w:b/>
                <w:noProof/>
                <w:sz w:val="18"/>
                <w:szCs w:val="18"/>
              </w:rPr>
            </w:pPr>
          </w:p>
        </w:tc>
        <w:tc>
          <w:tcPr>
            <w:tcW w:w="1125" w:type="dxa"/>
            <w:vMerge/>
            <w:tcBorders>
              <w:top w:val="single" w:sz="4" w:space="0" w:color="auto"/>
              <w:left w:val="single" w:sz="4" w:space="0" w:color="auto"/>
              <w:bottom w:val="single" w:sz="4" w:space="0" w:color="auto"/>
              <w:right w:val="single" w:sz="4" w:space="0" w:color="auto"/>
            </w:tcBorders>
            <w:hideMark/>
          </w:tcPr>
          <w:p w14:paraId="121AB54C" w14:textId="77777777" w:rsidR="00B3049F" w:rsidRPr="00000359" w:rsidRDefault="00B3049F" w:rsidP="00D8670B">
            <w:pPr>
              <w:spacing w:after="0" w:line="240" w:lineRule="auto"/>
              <w:rPr>
                <w:rFonts w:ascii="Times New Roman" w:hAnsi="Times New Roman" w:cs="Times New Roman"/>
                <w:b/>
                <w:noProof/>
                <w:sz w:val="18"/>
                <w:szCs w:val="18"/>
              </w:rPr>
            </w:pPr>
          </w:p>
        </w:tc>
        <w:tc>
          <w:tcPr>
            <w:tcW w:w="1546" w:type="dxa"/>
            <w:vMerge/>
            <w:tcBorders>
              <w:top w:val="single" w:sz="4" w:space="0" w:color="auto"/>
              <w:left w:val="single" w:sz="4" w:space="0" w:color="auto"/>
              <w:bottom w:val="single" w:sz="4" w:space="0" w:color="auto"/>
              <w:right w:val="single" w:sz="4" w:space="0" w:color="auto"/>
            </w:tcBorders>
            <w:hideMark/>
          </w:tcPr>
          <w:p w14:paraId="25A9EF17" w14:textId="77777777" w:rsidR="00B3049F" w:rsidRPr="00000359" w:rsidRDefault="00B3049F" w:rsidP="00D8670B">
            <w:pPr>
              <w:spacing w:after="0" w:line="240" w:lineRule="auto"/>
              <w:rPr>
                <w:rFonts w:ascii="Times New Roman" w:hAnsi="Times New Roman" w:cs="Times New Roman"/>
                <w:b/>
                <w:noProof/>
                <w:sz w:val="18"/>
                <w:szCs w:val="18"/>
              </w:rPr>
            </w:pPr>
          </w:p>
        </w:tc>
        <w:tc>
          <w:tcPr>
            <w:tcW w:w="1434" w:type="dxa"/>
            <w:vMerge/>
            <w:tcBorders>
              <w:top w:val="single" w:sz="4" w:space="0" w:color="auto"/>
              <w:left w:val="single" w:sz="4" w:space="0" w:color="auto"/>
              <w:bottom w:val="single" w:sz="4" w:space="0" w:color="auto"/>
              <w:right w:val="single" w:sz="4" w:space="0" w:color="auto"/>
            </w:tcBorders>
            <w:hideMark/>
          </w:tcPr>
          <w:p w14:paraId="03460DF7" w14:textId="77777777" w:rsidR="00B3049F" w:rsidRPr="00000359" w:rsidRDefault="00B3049F" w:rsidP="00D8670B">
            <w:pPr>
              <w:spacing w:after="0" w:line="240" w:lineRule="auto"/>
              <w:rPr>
                <w:rFonts w:ascii="Times New Roman" w:hAnsi="Times New Roman" w:cs="Times New Roman"/>
                <w:b/>
                <w:noProof/>
                <w:sz w:val="18"/>
                <w:szCs w:val="18"/>
              </w:rPr>
            </w:pPr>
          </w:p>
        </w:tc>
        <w:tc>
          <w:tcPr>
            <w:tcW w:w="7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1927095"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Unit of measure</w:t>
            </w:r>
          </w:p>
        </w:tc>
        <w:tc>
          <w:tcPr>
            <w:tcW w:w="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F5D248"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Baseline</w:t>
            </w:r>
          </w:p>
        </w:tc>
        <w:tc>
          <w:tcPr>
            <w:tcW w:w="112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90EFF1"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Goal</w:t>
            </w:r>
          </w:p>
        </w:tc>
        <w:tc>
          <w:tcPr>
            <w:tcW w:w="8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51DDF2"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Quarter</w:t>
            </w:r>
          </w:p>
        </w:tc>
        <w:tc>
          <w:tcPr>
            <w:tcW w:w="9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BC6E3E" w14:textId="77777777" w:rsidR="00B3049F" w:rsidRPr="00000359" w:rsidRDefault="00B3049F" w:rsidP="00000359">
            <w:pPr>
              <w:spacing w:after="0" w:line="240" w:lineRule="auto"/>
              <w:jc w:val="center"/>
              <w:rPr>
                <w:rFonts w:ascii="Times New Roman" w:hAnsi="Times New Roman" w:cs="Times New Roman"/>
                <w:b/>
                <w:noProof/>
                <w:sz w:val="18"/>
                <w:szCs w:val="18"/>
              </w:rPr>
            </w:pPr>
            <w:r w:rsidRPr="00000359">
              <w:rPr>
                <w:rFonts w:ascii="Times New Roman" w:hAnsi="Times New Roman" w:cs="Times New Roman"/>
                <w:b/>
                <w:noProof/>
                <w:sz w:val="18"/>
                <w:szCs w:val="18"/>
              </w:rPr>
              <w:t>Year</w:t>
            </w:r>
          </w:p>
        </w:tc>
        <w:tc>
          <w:tcPr>
            <w:tcW w:w="3856" w:type="dxa"/>
            <w:vMerge/>
            <w:tcBorders>
              <w:top w:val="single" w:sz="4" w:space="0" w:color="auto"/>
              <w:left w:val="single" w:sz="4" w:space="0" w:color="auto"/>
              <w:bottom w:val="single" w:sz="4" w:space="0" w:color="auto"/>
              <w:right w:val="single" w:sz="4" w:space="0" w:color="auto"/>
            </w:tcBorders>
            <w:hideMark/>
          </w:tcPr>
          <w:p w14:paraId="63DE3EDA" w14:textId="77777777" w:rsidR="00B3049F" w:rsidRPr="00000359" w:rsidRDefault="00B3049F" w:rsidP="00000359">
            <w:pPr>
              <w:spacing w:after="0" w:line="240" w:lineRule="auto"/>
              <w:jc w:val="both"/>
              <w:rPr>
                <w:rFonts w:ascii="Times New Roman" w:hAnsi="Times New Roman" w:cs="Times New Roman"/>
                <w:b/>
                <w:noProof/>
                <w:sz w:val="18"/>
                <w:szCs w:val="18"/>
              </w:rPr>
            </w:pPr>
          </w:p>
        </w:tc>
      </w:tr>
      <w:tr w:rsidR="00B3049F" w:rsidRPr="00000359" w14:paraId="273E8BBF" w14:textId="77777777" w:rsidTr="00000359">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D0A1962"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224</w:t>
            </w:r>
          </w:p>
        </w:tc>
        <w:tc>
          <w:tcPr>
            <w:tcW w:w="1423" w:type="dxa"/>
            <w:tcBorders>
              <w:top w:val="single" w:sz="4" w:space="0" w:color="auto"/>
              <w:left w:val="nil"/>
              <w:bottom w:val="single" w:sz="4" w:space="0" w:color="auto"/>
              <w:right w:val="single" w:sz="4" w:space="0" w:color="auto"/>
            </w:tcBorders>
            <w:shd w:val="clear" w:color="auto" w:fill="C6EFCE"/>
          </w:tcPr>
          <w:p w14:paraId="077CCDF3" w14:textId="77777777" w:rsidR="00B3049F" w:rsidRPr="00547ADA" w:rsidRDefault="00B3049F" w:rsidP="00D8670B">
            <w:pPr>
              <w:spacing w:after="0" w:line="240" w:lineRule="auto"/>
              <w:rPr>
                <w:rFonts w:ascii="Times New Roman" w:hAnsi="Times New Roman" w:cs="Times New Roman"/>
                <w:noProof/>
                <w:sz w:val="18"/>
                <w:szCs w:val="18"/>
                <w:lang w:val="pt-PT"/>
              </w:rPr>
            </w:pPr>
            <w:r w:rsidRPr="00547ADA">
              <w:rPr>
                <w:rFonts w:ascii="Times New Roman" w:hAnsi="Times New Roman" w:cs="Times New Roman"/>
                <w:noProof/>
                <w:sz w:val="18"/>
                <w:szCs w:val="18"/>
                <w:lang w:val="pt-PT"/>
              </w:rPr>
              <w:t>C4.2R1</w:t>
            </w:r>
          </w:p>
          <w:p w14:paraId="59F594CE" w14:textId="77777777" w:rsidR="00B3049F" w:rsidRPr="00547ADA" w:rsidRDefault="00B3049F" w:rsidP="00D8670B">
            <w:pPr>
              <w:spacing w:after="0" w:line="240" w:lineRule="auto"/>
              <w:rPr>
                <w:rFonts w:ascii="Times New Roman" w:hAnsi="Times New Roman" w:cs="Times New Roman"/>
                <w:noProof/>
                <w:sz w:val="18"/>
                <w:szCs w:val="18"/>
                <w:lang w:val="pt-PT"/>
              </w:rPr>
            </w:pPr>
            <w:r w:rsidRPr="00547ADA">
              <w:rPr>
                <w:rFonts w:ascii="Times New Roman" w:hAnsi="Times New Roman" w:cs="Times New Roman"/>
                <w:noProof/>
                <w:sz w:val="18"/>
                <w:szCs w:val="18"/>
                <w:lang w:val="pt-PT"/>
              </w:rPr>
              <w:t>Digital Services Factory</w:t>
            </w:r>
          </w:p>
        </w:tc>
        <w:tc>
          <w:tcPr>
            <w:tcW w:w="1125" w:type="dxa"/>
            <w:tcBorders>
              <w:top w:val="single" w:sz="4" w:space="0" w:color="auto"/>
              <w:left w:val="nil"/>
              <w:bottom w:val="single" w:sz="4" w:space="0" w:color="auto"/>
              <w:right w:val="single" w:sz="4" w:space="0" w:color="auto"/>
            </w:tcBorders>
            <w:shd w:val="clear" w:color="auto" w:fill="C6EFCE"/>
            <w:hideMark/>
          </w:tcPr>
          <w:p w14:paraId="3D5A7F26"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1546" w:type="dxa"/>
            <w:tcBorders>
              <w:top w:val="single" w:sz="4" w:space="0" w:color="auto"/>
              <w:left w:val="nil"/>
              <w:bottom w:val="single" w:sz="4" w:space="0" w:color="auto"/>
              <w:right w:val="single" w:sz="4" w:space="0" w:color="auto"/>
            </w:tcBorders>
            <w:shd w:val="clear" w:color="auto" w:fill="C6EFCE"/>
            <w:hideMark/>
          </w:tcPr>
          <w:p w14:paraId="53CCA640"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Definition of the Service Delivery Model for the Digital Services Factory </w:t>
            </w:r>
          </w:p>
        </w:tc>
        <w:tc>
          <w:tcPr>
            <w:tcW w:w="1434" w:type="dxa"/>
            <w:tcBorders>
              <w:top w:val="single" w:sz="4" w:space="0" w:color="auto"/>
              <w:left w:val="nil"/>
              <w:bottom w:val="single" w:sz="4" w:space="0" w:color="auto"/>
              <w:right w:val="single" w:sz="4" w:space="0" w:color="auto"/>
            </w:tcBorders>
            <w:shd w:val="clear" w:color="auto" w:fill="C6EFCE"/>
            <w:hideMark/>
          </w:tcPr>
          <w:p w14:paraId="6D12D018"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Appointment decision of the Deputy Minister of Research, Innovation and Digital Policy establishing the team; publication of the standards on the website of the Deputy Ministry </w:t>
            </w:r>
          </w:p>
        </w:tc>
        <w:tc>
          <w:tcPr>
            <w:tcW w:w="791" w:type="dxa"/>
            <w:tcBorders>
              <w:top w:val="single" w:sz="4" w:space="0" w:color="auto"/>
              <w:left w:val="nil"/>
              <w:bottom w:val="single" w:sz="4" w:space="0" w:color="auto"/>
              <w:right w:val="single" w:sz="4" w:space="0" w:color="auto"/>
            </w:tcBorders>
            <w:shd w:val="clear" w:color="auto" w:fill="C6EFCE"/>
            <w:hideMark/>
          </w:tcPr>
          <w:p w14:paraId="05C629AD"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985" w:type="dxa"/>
            <w:tcBorders>
              <w:top w:val="single" w:sz="4" w:space="0" w:color="auto"/>
              <w:left w:val="nil"/>
              <w:bottom w:val="single" w:sz="4" w:space="0" w:color="auto"/>
              <w:right w:val="single" w:sz="4" w:space="0" w:color="auto"/>
            </w:tcBorders>
            <w:shd w:val="clear" w:color="auto" w:fill="C6EFCE"/>
            <w:hideMark/>
          </w:tcPr>
          <w:p w14:paraId="1E39763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1128" w:type="dxa"/>
            <w:tcBorders>
              <w:top w:val="single" w:sz="4" w:space="0" w:color="auto"/>
              <w:left w:val="nil"/>
              <w:bottom w:val="single" w:sz="4" w:space="0" w:color="auto"/>
              <w:right w:val="single" w:sz="4" w:space="0" w:color="auto"/>
            </w:tcBorders>
            <w:shd w:val="clear" w:color="auto" w:fill="C6EFCE"/>
            <w:hideMark/>
          </w:tcPr>
          <w:p w14:paraId="1D77ECF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845" w:type="dxa"/>
            <w:tcBorders>
              <w:top w:val="single" w:sz="4" w:space="0" w:color="auto"/>
              <w:left w:val="nil"/>
              <w:bottom w:val="single" w:sz="4" w:space="0" w:color="auto"/>
              <w:right w:val="single" w:sz="4" w:space="0" w:color="auto"/>
            </w:tcBorders>
            <w:shd w:val="clear" w:color="auto" w:fill="C6EFCE"/>
            <w:hideMark/>
          </w:tcPr>
          <w:p w14:paraId="1CC9F42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929" w:type="dxa"/>
            <w:tcBorders>
              <w:top w:val="single" w:sz="4" w:space="0" w:color="auto"/>
              <w:left w:val="nil"/>
              <w:bottom w:val="single" w:sz="4" w:space="0" w:color="auto"/>
              <w:right w:val="single" w:sz="4" w:space="0" w:color="auto"/>
            </w:tcBorders>
            <w:shd w:val="clear" w:color="auto" w:fill="C6EFCE"/>
            <w:hideMark/>
          </w:tcPr>
          <w:p w14:paraId="0AA76544"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2022</w:t>
            </w:r>
          </w:p>
        </w:tc>
        <w:tc>
          <w:tcPr>
            <w:tcW w:w="3856" w:type="dxa"/>
            <w:tcBorders>
              <w:top w:val="single" w:sz="4" w:space="0" w:color="auto"/>
              <w:left w:val="nil"/>
              <w:bottom w:val="single" w:sz="4" w:space="0" w:color="auto"/>
              <w:right w:val="single" w:sz="4" w:space="0" w:color="auto"/>
            </w:tcBorders>
            <w:shd w:val="clear" w:color="auto" w:fill="C6EFCE"/>
            <w:hideMark/>
          </w:tcPr>
          <w:p w14:paraId="52E49BEC"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 xml:space="preserve">The Service Delivery Model for the Digital Services Factory has been defined so as to enable the efficient provision of high-quality and user-friendly digital services to the public. This shall include: (a) the establishment of the core Digital Services Factory team (including the procurement of services of experts from the private sector), and (b) definition of the standards and procedures for the development of digital services. </w:t>
            </w:r>
          </w:p>
        </w:tc>
      </w:tr>
      <w:tr w:rsidR="00B3049F" w:rsidRPr="00000359" w14:paraId="4F3BCFCF" w14:textId="77777777" w:rsidTr="000003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583DE27"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225</w:t>
            </w:r>
          </w:p>
        </w:tc>
        <w:tc>
          <w:tcPr>
            <w:tcW w:w="1423" w:type="dxa"/>
            <w:tcBorders>
              <w:top w:val="nil"/>
              <w:left w:val="nil"/>
              <w:bottom w:val="single" w:sz="4" w:space="0" w:color="auto"/>
              <w:right w:val="single" w:sz="4" w:space="0" w:color="auto"/>
            </w:tcBorders>
            <w:shd w:val="clear" w:color="auto" w:fill="C6EFCE"/>
          </w:tcPr>
          <w:p w14:paraId="4EEE47BF" w14:textId="77777777" w:rsidR="00B3049F" w:rsidRPr="00547ADA" w:rsidRDefault="00B3049F" w:rsidP="00D8670B">
            <w:pPr>
              <w:spacing w:after="0" w:line="240" w:lineRule="auto"/>
              <w:rPr>
                <w:rFonts w:ascii="Times New Roman" w:hAnsi="Times New Roman" w:cs="Times New Roman"/>
                <w:noProof/>
                <w:sz w:val="18"/>
                <w:szCs w:val="18"/>
                <w:lang w:val="pt-PT"/>
              </w:rPr>
            </w:pPr>
            <w:r w:rsidRPr="00547ADA">
              <w:rPr>
                <w:rFonts w:ascii="Times New Roman" w:hAnsi="Times New Roman" w:cs="Times New Roman"/>
                <w:noProof/>
                <w:sz w:val="18"/>
                <w:szCs w:val="18"/>
                <w:lang w:val="pt-PT"/>
              </w:rPr>
              <w:t>C4.2R1</w:t>
            </w:r>
          </w:p>
          <w:p w14:paraId="26435277" w14:textId="77777777" w:rsidR="00B3049F" w:rsidRPr="00547ADA" w:rsidRDefault="00B3049F" w:rsidP="00D8670B">
            <w:pPr>
              <w:spacing w:after="0" w:line="240" w:lineRule="auto"/>
              <w:rPr>
                <w:rFonts w:ascii="Times New Roman" w:hAnsi="Times New Roman" w:cs="Times New Roman"/>
                <w:noProof/>
                <w:sz w:val="18"/>
                <w:szCs w:val="18"/>
                <w:lang w:val="pt-PT"/>
              </w:rPr>
            </w:pPr>
            <w:r w:rsidRPr="00547ADA">
              <w:rPr>
                <w:rFonts w:ascii="Times New Roman" w:hAnsi="Times New Roman" w:cs="Times New Roman"/>
                <w:noProof/>
                <w:sz w:val="18"/>
                <w:szCs w:val="18"/>
                <w:lang w:val="pt-PT"/>
              </w:rPr>
              <w:t>Digital Services Factory</w:t>
            </w:r>
          </w:p>
        </w:tc>
        <w:tc>
          <w:tcPr>
            <w:tcW w:w="1125" w:type="dxa"/>
            <w:tcBorders>
              <w:top w:val="nil"/>
              <w:left w:val="nil"/>
              <w:bottom w:val="single" w:sz="4" w:space="0" w:color="auto"/>
              <w:right w:val="single" w:sz="4" w:space="0" w:color="auto"/>
            </w:tcBorders>
            <w:shd w:val="clear" w:color="auto" w:fill="C6EFCE"/>
            <w:hideMark/>
          </w:tcPr>
          <w:p w14:paraId="7FBF5E2B"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6B8C87A3"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Expansion of delivery of government services online through the Digital Services Factory</w:t>
            </w:r>
          </w:p>
        </w:tc>
        <w:tc>
          <w:tcPr>
            <w:tcW w:w="1434" w:type="dxa"/>
            <w:tcBorders>
              <w:top w:val="nil"/>
              <w:left w:val="nil"/>
              <w:bottom w:val="single" w:sz="4" w:space="0" w:color="auto"/>
              <w:right w:val="single" w:sz="4" w:space="0" w:color="auto"/>
            </w:tcBorders>
            <w:shd w:val="clear" w:color="auto" w:fill="C6EFCE"/>
            <w:hideMark/>
          </w:tcPr>
          <w:p w14:paraId="093C6756"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 -</w:t>
            </w:r>
          </w:p>
        </w:tc>
        <w:tc>
          <w:tcPr>
            <w:tcW w:w="791" w:type="dxa"/>
            <w:tcBorders>
              <w:top w:val="nil"/>
              <w:left w:val="nil"/>
              <w:bottom w:val="single" w:sz="4" w:space="0" w:color="auto"/>
              <w:right w:val="single" w:sz="4" w:space="0" w:color="auto"/>
            </w:tcBorders>
            <w:shd w:val="clear" w:color="auto" w:fill="C6EFCE"/>
            <w:hideMark/>
          </w:tcPr>
          <w:p w14:paraId="6D55101A"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7357A8AF"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hideMark/>
          </w:tcPr>
          <w:p w14:paraId="04EF298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w:t>
            </w:r>
          </w:p>
        </w:tc>
        <w:tc>
          <w:tcPr>
            <w:tcW w:w="845" w:type="dxa"/>
            <w:tcBorders>
              <w:top w:val="nil"/>
              <w:left w:val="nil"/>
              <w:bottom w:val="single" w:sz="4" w:space="0" w:color="auto"/>
              <w:right w:val="single" w:sz="4" w:space="0" w:color="auto"/>
            </w:tcBorders>
            <w:shd w:val="clear" w:color="auto" w:fill="C6EFCE"/>
            <w:hideMark/>
          </w:tcPr>
          <w:p w14:paraId="6617EAF0"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hideMark/>
          </w:tcPr>
          <w:p w14:paraId="3E9CF86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2023</w:t>
            </w:r>
          </w:p>
        </w:tc>
        <w:tc>
          <w:tcPr>
            <w:tcW w:w="3856" w:type="dxa"/>
            <w:tcBorders>
              <w:top w:val="nil"/>
              <w:left w:val="nil"/>
              <w:bottom w:val="single" w:sz="4" w:space="0" w:color="auto"/>
              <w:right w:val="single" w:sz="4" w:space="0" w:color="auto"/>
            </w:tcBorders>
            <w:shd w:val="clear" w:color="auto" w:fill="C6EFCE"/>
            <w:hideMark/>
          </w:tcPr>
          <w:p w14:paraId="26F2E4AF"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Digitalisation and delivery online of at least 20 services to the public through the Digital Services Factory, using the defined Service Delivery Model (under milestone with a sequential number 224) and agile methodologies.</w:t>
            </w:r>
          </w:p>
        </w:tc>
      </w:tr>
      <w:tr w:rsidR="00B3049F" w:rsidRPr="00000359" w14:paraId="5E1177B3" w14:textId="77777777" w:rsidTr="001A21F9">
        <w:trPr>
          <w:trHeight w:val="753"/>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44A027EB"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226</w:t>
            </w:r>
          </w:p>
        </w:tc>
        <w:tc>
          <w:tcPr>
            <w:tcW w:w="1423" w:type="dxa"/>
            <w:tcBorders>
              <w:top w:val="nil"/>
              <w:left w:val="nil"/>
              <w:bottom w:val="single" w:sz="4" w:space="0" w:color="auto"/>
              <w:right w:val="single" w:sz="4" w:space="0" w:color="auto"/>
            </w:tcBorders>
            <w:shd w:val="clear" w:color="auto" w:fill="C6EFCE"/>
          </w:tcPr>
          <w:p w14:paraId="4F28358A" w14:textId="77777777" w:rsidR="00B3049F" w:rsidRPr="00547ADA" w:rsidRDefault="00B3049F" w:rsidP="00D8670B">
            <w:pPr>
              <w:spacing w:after="0" w:line="240" w:lineRule="auto"/>
              <w:rPr>
                <w:rFonts w:ascii="Times New Roman" w:hAnsi="Times New Roman" w:cs="Times New Roman"/>
                <w:noProof/>
                <w:sz w:val="18"/>
                <w:szCs w:val="18"/>
                <w:lang w:val="pt-PT"/>
              </w:rPr>
            </w:pPr>
            <w:r w:rsidRPr="00547ADA">
              <w:rPr>
                <w:rFonts w:ascii="Times New Roman" w:hAnsi="Times New Roman" w:cs="Times New Roman"/>
                <w:noProof/>
                <w:sz w:val="18"/>
                <w:szCs w:val="18"/>
                <w:lang w:val="pt-PT"/>
              </w:rPr>
              <w:t>C4.2R1</w:t>
            </w:r>
          </w:p>
          <w:p w14:paraId="549AE0CC" w14:textId="77777777" w:rsidR="00B3049F" w:rsidRPr="00547ADA" w:rsidRDefault="00B3049F" w:rsidP="00D8670B">
            <w:pPr>
              <w:spacing w:after="0" w:line="240" w:lineRule="auto"/>
              <w:rPr>
                <w:rFonts w:ascii="Times New Roman" w:hAnsi="Times New Roman" w:cs="Times New Roman"/>
                <w:noProof/>
                <w:sz w:val="18"/>
                <w:szCs w:val="18"/>
                <w:lang w:val="pt-PT"/>
              </w:rPr>
            </w:pPr>
            <w:r w:rsidRPr="00547ADA">
              <w:rPr>
                <w:rFonts w:ascii="Times New Roman" w:hAnsi="Times New Roman" w:cs="Times New Roman"/>
                <w:noProof/>
                <w:sz w:val="18"/>
                <w:szCs w:val="18"/>
                <w:lang w:val="pt-PT"/>
              </w:rPr>
              <w:t>Digital Services Factory</w:t>
            </w:r>
          </w:p>
        </w:tc>
        <w:tc>
          <w:tcPr>
            <w:tcW w:w="1125" w:type="dxa"/>
            <w:tcBorders>
              <w:top w:val="nil"/>
              <w:left w:val="nil"/>
              <w:bottom w:val="single" w:sz="4" w:space="0" w:color="auto"/>
              <w:right w:val="single" w:sz="4" w:space="0" w:color="auto"/>
            </w:tcBorders>
            <w:shd w:val="clear" w:color="auto" w:fill="C6EFCE"/>
            <w:hideMark/>
          </w:tcPr>
          <w:p w14:paraId="54AEE10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53FAB69C"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At least 70 services through the Digital Services Factory</w:t>
            </w:r>
          </w:p>
        </w:tc>
        <w:tc>
          <w:tcPr>
            <w:tcW w:w="1434" w:type="dxa"/>
            <w:tcBorders>
              <w:top w:val="nil"/>
              <w:left w:val="nil"/>
              <w:bottom w:val="single" w:sz="4" w:space="0" w:color="auto"/>
              <w:right w:val="single" w:sz="4" w:space="0" w:color="auto"/>
            </w:tcBorders>
            <w:shd w:val="clear" w:color="auto" w:fill="C6EFCE"/>
            <w:hideMark/>
          </w:tcPr>
          <w:p w14:paraId="543C50F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28FA185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1D83FBC6"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w:t>
            </w:r>
          </w:p>
        </w:tc>
        <w:tc>
          <w:tcPr>
            <w:tcW w:w="1128" w:type="dxa"/>
            <w:tcBorders>
              <w:top w:val="nil"/>
              <w:left w:val="nil"/>
              <w:bottom w:val="single" w:sz="4" w:space="0" w:color="auto"/>
              <w:right w:val="single" w:sz="4" w:space="0" w:color="auto"/>
            </w:tcBorders>
            <w:shd w:val="clear" w:color="auto" w:fill="C6EFCE"/>
            <w:hideMark/>
          </w:tcPr>
          <w:p w14:paraId="6B5EA9AD"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70</w:t>
            </w:r>
          </w:p>
        </w:tc>
        <w:tc>
          <w:tcPr>
            <w:tcW w:w="845" w:type="dxa"/>
            <w:tcBorders>
              <w:top w:val="nil"/>
              <w:left w:val="nil"/>
              <w:bottom w:val="single" w:sz="4" w:space="0" w:color="auto"/>
              <w:right w:val="single" w:sz="4" w:space="0" w:color="auto"/>
            </w:tcBorders>
            <w:shd w:val="clear" w:color="auto" w:fill="C6EFCE"/>
            <w:hideMark/>
          </w:tcPr>
          <w:p w14:paraId="29A04E6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Q2</w:t>
            </w:r>
          </w:p>
        </w:tc>
        <w:tc>
          <w:tcPr>
            <w:tcW w:w="929" w:type="dxa"/>
            <w:tcBorders>
              <w:top w:val="nil"/>
              <w:left w:val="nil"/>
              <w:bottom w:val="single" w:sz="4" w:space="0" w:color="auto"/>
              <w:right w:val="single" w:sz="4" w:space="0" w:color="auto"/>
            </w:tcBorders>
            <w:shd w:val="clear" w:color="auto" w:fill="C6EFCE"/>
            <w:hideMark/>
          </w:tcPr>
          <w:p w14:paraId="05EBB4E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2026</w:t>
            </w:r>
          </w:p>
        </w:tc>
        <w:tc>
          <w:tcPr>
            <w:tcW w:w="3856" w:type="dxa"/>
            <w:tcBorders>
              <w:top w:val="nil"/>
              <w:left w:val="nil"/>
              <w:bottom w:val="single" w:sz="4" w:space="0" w:color="auto"/>
              <w:right w:val="single" w:sz="4" w:space="0" w:color="auto"/>
            </w:tcBorders>
            <w:shd w:val="clear" w:color="auto" w:fill="C6EFCE"/>
            <w:hideMark/>
          </w:tcPr>
          <w:p w14:paraId="3E870D2E" w14:textId="3B17B77B"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Digitalisation of at least 70 services through the Digital Services Factory.</w:t>
            </w:r>
          </w:p>
        </w:tc>
      </w:tr>
      <w:tr w:rsidR="00B3049F" w:rsidRPr="00000359" w14:paraId="37DEF1F3" w14:textId="77777777" w:rsidTr="00000359">
        <w:trPr>
          <w:trHeight w:val="2119"/>
          <w:jc w:val="center"/>
        </w:trPr>
        <w:tc>
          <w:tcPr>
            <w:tcW w:w="988" w:type="dxa"/>
            <w:tcBorders>
              <w:top w:val="nil"/>
              <w:left w:val="single" w:sz="4" w:space="0" w:color="auto"/>
              <w:bottom w:val="single" w:sz="4" w:space="0" w:color="auto"/>
              <w:right w:val="single" w:sz="4" w:space="0" w:color="auto"/>
            </w:tcBorders>
            <w:shd w:val="clear" w:color="auto" w:fill="C6EFCE"/>
            <w:noWrap/>
          </w:tcPr>
          <w:p w14:paraId="5F29EDA2"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227</w:t>
            </w:r>
          </w:p>
        </w:tc>
        <w:tc>
          <w:tcPr>
            <w:tcW w:w="1423" w:type="dxa"/>
            <w:tcBorders>
              <w:top w:val="nil"/>
              <w:left w:val="nil"/>
              <w:bottom w:val="single" w:sz="4" w:space="0" w:color="auto"/>
              <w:right w:val="single" w:sz="4" w:space="0" w:color="auto"/>
            </w:tcBorders>
            <w:shd w:val="clear" w:color="auto" w:fill="C6EFCE"/>
          </w:tcPr>
          <w:p w14:paraId="668E575C"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C4.2R2</w:t>
            </w:r>
          </w:p>
          <w:p w14:paraId="7DBA59C2"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New cloud policy with regard to government IT systems and services and infrastructure set-up</w:t>
            </w:r>
          </w:p>
        </w:tc>
        <w:tc>
          <w:tcPr>
            <w:tcW w:w="1125" w:type="dxa"/>
            <w:tcBorders>
              <w:top w:val="nil"/>
              <w:left w:val="nil"/>
              <w:bottom w:val="single" w:sz="4" w:space="0" w:color="auto"/>
              <w:right w:val="single" w:sz="4" w:space="0" w:color="auto"/>
            </w:tcBorders>
            <w:shd w:val="clear" w:color="auto" w:fill="C6EFCE"/>
          </w:tcPr>
          <w:p w14:paraId="7112528C"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tcPr>
          <w:p w14:paraId="66F5B46D"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Two data centres with hosting services</w:t>
            </w:r>
          </w:p>
        </w:tc>
        <w:tc>
          <w:tcPr>
            <w:tcW w:w="1434" w:type="dxa"/>
            <w:tcBorders>
              <w:top w:val="nil"/>
              <w:left w:val="nil"/>
              <w:bottom w:val="single" w:sz="4" w:space="0" w:color="auto"/>
              <w:right w:val="single" w:sz="4" w:space="0" w:color="auto"/>
            </w:tcBorders>
            <w:shd w:val="clear" w:color="auto" w:fill="C6EFCE"/>
          </w:tcPr>
          <w:p w14:paraId="7B17A544" w14:textId="77777777" w:rsidR="00B3049F" w:rsidRPr="00000359" w:rsidRDefault="00B3049F" w:rsidP="00B3049F">
            <w:pPr>
              <w:pStyle w:val="ListParagraph"/>
              <w:numPr>
                <w:ilvl w:val="0"/>
                <w:numId w:val="9"/>
              </w:numPr>
              <w:spacing w:after="0" w:line="240" w:lineRule="auto"/>
              <w:rPr>
                <w:rFonts w:ascii="Times New Roman" w:eastAsia="Times New Roman" w:hAnsi="Times New Roman" w:cs="Times New Roman"/>
                <w:noProof/>
                <w:sz w:val="18"/>
                <w:szCs w:val="18"/>
                <w:lang w:val="en-US"/>
              </w:rPr>
            </w:pPr>
          </w:p>
        </w:tc>
        <w:tc>
          <w:tcPr>
            <w:tcW w:w="791" w:type="dxa"/>
            <w:tcBorders>
              <w:top w:val="nil"/>
              <w:left w:val="nil"/>
              <w:bottom w:val="single" w:sz="4" w:space="0" w:color="auto"/>
              <w:right w:val="single" w:sz="4" w:space="0" w:color="auto"/>
            </w:tcBorders>
            <w:shd w:val="clear" w:color="auto" w:fill="C6EFCE"/>
          </w:tcPr>
          <w:p w14:paraId="552C2294"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tcPr>
          <w:p w14:paraId="193771C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tcPr>
          <w:p w14:paraId="7F152D0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w:t>
            </w:r>
          </w:p>
        </w:tc>
        <w:tc>
          <w:tcPr>
            <w:tcW w:w="845" w:type="dxa"/>
            <w:tcBorders>
              <w:top w:val="nil"/>
              <w:left w:val="nil"/>
              <w:bottom w:val="single" w:sz="4" w:space="0" w:color="auto"/>
              <w:right w:val="single" w:sz="4" w:space="0" w:color="auto"/>
            </w:tcBorders>
            <w:shd w:val="clear" w:color="auto" w:fill="C6EFCE"/>
          </w:tcPr>
          <w:p w14:paraId="6A6DF6F4"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tcPr>
          <w:p w14:paraId="17A7E78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2024</w:t>
            </w:r>
          </w:p>
        </w:tc>
        <w:tc>
          <w:tcPr>
            <w:tcW w:w="3856" w:type="dxa"/>
            <w:tcBorders>
              <w:top w:val="nil"/>
              <w:left w:val="nil"/>
              <w:bottom w:val="single" w:sz="4" w:space="0" w:color="auto"/>
              <w:right w:val="single" w:sz="4" w:space="0" w:color="auto"/>
            </w:tcBorders>
            <w:shd w:val="clear" w:color="auto" w:fill="C6EFCE"/>
          </w:tcPr>
          <w:p w14:paraId="1F68F2D1"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Two data centres with hosting services for government IT systems.</w:t>
            </w:r>
          </w:p>
          <w:p w14:paraId="1838032F" w14:textId="77777777" w:rsidR="00B3049F" w:rsidRPr="00000359" w:rsidRDefault="00B3049F" w:rsidP="00000359">
            <w:pPr>
              <w:spacing w:after="0" w:line="240" w:lineRule="auto"/>
              <w:jc w:val="both"/>
              <w:rPr>
                <w:rFonts w:ascii="Times New Roman" w:hAnsi="Times New Roman" w:cs="Times New Roman"/>
                <w:noProof/>
                <w:sz w:val="18"/>
                <w:szCs w:val="18"/>
              </w:rPr>
            </w:pPr>
          </w:p>
        </w:tc>
      </w:tr>
      <w:tr w:rsidR="00B3049F" w:rsidRPr="00000359" w14:paraId="540EA796" w14:textId="77777777" w:rsidTr="00000359">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EF4C2E0"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228</w:t>
            </w:r>
          </w:p>
        </w:tc>
        <w:tc>
          <w:tcPr>
            <w:tcW w:w="1423" w:type="dxa"/>
            <w:tcBorders>
              <w:top w:val="single" w:sz="4" w:space="0" w:color="auto"/>
              <w:left w:val="single" w:sz="4" w:space="0" w:color="auto"/>
              <w:bottom w:val="single" w:sz="4" w:space="0" w:color="auto"/>
              <w:right w:val="single" w:sz="4" w:space="0" w:color="auto"/>
            </w:tcBorders>
            <w:shd w:val="clear" w:color="auto" w:fill="C6EFCE"/>
          </w:tcPr>
          <w:p w14:paraId="0EE51625"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C4.2R2</w:t>
            </w:r>
          </w:p>
          <w:p w14:paraId="058F4C35" w14:textId="77777777" w:rsidR="00B3049F" w:rsidRPr="00000359" w:rsidRDefault="00B3049F" w:rsidP="00D8670B">
            <w:pPr>
              <w:spacing w:after="0" w:line="240" w:lineRule="auto"/>
              <w:rPr>
                <w:rFonts w:ascii="Times New Roman" w:hAnsi="Times New Roman" w:cs="Times New Roman"/>
                <w:strike/>
                <w:noProof/>
                <w:sz w:val="18"/>
                <w:szCs w:val="18"/>
              </w:rPr>
            </w:pPr>
            <w:r w:rsidRPr="00000359">
              <w:rPr>
                <w:rFonts w:ascii="Times New Roman" w:hAnsi="Times New Roman" w:cs="Times New Roman"/>
                <w:noProof/>
                <w:sz w:val="18"/>
                <w:szCs w:val="18"/>
              </w:rPr>
              <w:t>New cloud policy with regard to government IT systems and services and infrastructure set-up</w:t>
            </w:r>
          </w:p>
        </w:tc>
        <w:tc>
          <w:tcPr>
            <w:tcW w:w="1125" w:type="dxa"/>
            <w:tcBorders>
              <w:top w:val="single" w:sz="4" w:space="0" w:color="auto"/>
              <w:left w:val="single" w:sz="4" w:space="0" w:color="auto"/>
              <w:bottom w:val="single" w:sz="4" w:space="0" w:color="auto"/>
              <w:right w:val="single" w:sz="4" w:space="0" w:color="auto"/>
            </w:tcBorders>
            <w:shd w:val="clear" w:color="auto" w:fill="C6EFCE"/>
            <w:hideMark/>
          </w:tcPr>
          <w:p w14:paraId="656B3AA9" w14:textId="77777777" w:rsidR="00B3049F" w:rsidRPr="00000359" w:rsidRDefault="00B3049F" w:rsidP="00D8670B">
            <w:pPr>
              <w:spacing w:after="0" w:line="240" w:lineRule="auto"/>
              <w:rPr>
                <w:rFonts w:ascii="Times New Roman" w:hAnsi="Times New Roman" w:cs="Times New Roman"/>
                <w:strike/>
                <w:noProof/>
                <w:sz w:val="18"/>
                <w:szCs w:val="18"/>
              </w:rPr>
            </w:pPr>
            <w:r w:rsidRPr="00000359">
              <w:rPr>
                <w:rFonts w:ascii="Times New Roman" w:hAnsi="Times New Roman" w:cs="Times New Roman"/>
                <w:noProof/>
                <w:sz w:val="18"/>
                <w:szCs w:val="18"/>
              </w:rPr>
              <w:t>Milestone</w:t>
            </w:r>
            <w:r w:rsidRPr="00000359">
              <w:rPr>
                <w:rFonts w:ascii="Times New Roman" w:hAnsi="Times New Roman" w:cs="Times New Roman"/>
                <w:strike/>
                <w:noProof/>
                <w:sz w:val="18"/>
                <w:szCs w:val="18"/>
              </w:rPr>
              <w:t xml:space="preserve"> </w:t>
            </w:r>
          </w:p>
        </w:tc>
        <w:tc>
          <w:tcPr>
            <w:tcW w:w="1546" w:type="dxa"/>
            <w:tcBorders>
              <w:top w:val="single" w:sz="4" w:space="0" w:color="auto"/>
              <w:left w:val="single" w:sz="4" w:space="0" w:color="auto"/>
              <w:bottom w:val="single" w:sz="4" w:space="0" w:color="auto"/>
              <w:right w:val="single" w:sz="4" w:space="0" w:color="auto"/>
            </w:tcBorders>
            <w:shd w:val="clear" w:color="auto" w:fill="C6EFCE"/>
            <w:hideMark/>
          </w:tcPr>
          <w:p w14:paraId="3411ED8E" w14:textId="0B36137E" w:rsidR="00B3049F" w:rsidRPr="00000359" w:rsidRDefault="00B3049F" w:rsidP="005B736A">
            <w:pPr>
              <w:spacing w:after="0" w:line="240" w:lineRule="auto"/>
              <w:rPr>
                <w:rFonts w:ascii="Times New Roman" w:hAnsi="Times New Roman" w:cs="Times New Roman"/>
                <w:strike/>
                <w:noProof/>
                <w:sz w:val="18"/>
                <w:szCs w:val="18"/>
              </w:rPr>
            </w:pPr>
            <w:r w:rsidRPr="00000359">
              <w:rPr>
                <w:rFonts w:ascii="Times New Roman" w:hAnsi="Times New Roman" w:cs="Times New Roman"/>
                <w:noProof/>
                <w:sz w:val="18"/>
                <w:szCs w:val="18"/>
              </w:rPr>
              <w:t>Adoption of a national cloud policy by the Council of Ministers</w:t>
            </w:r>
          </w:p>
        </w:tc>
        <w:tc>
          <w:tcPr>
            <w:tcW w:w="1434" w:type="dxa"/>
            <w:tcBorders>
              <w:top w:val="single" w:sz="4" w:space="0" w:color="auto"/>
              <w:left w:val="single" w:sz="4" w:space="0" w:color="auto"/>
              <w:bottom w:val="single" w:sz="4" w:space="0" w:color="auto"/>
              <w:right w:val="single" w:sz="4" w:space="0" w:color="auto"/>
            </w:tcBorders>
            <w:shd w:val="clear" w:color="auto" w:fill="C6EFCE"/>
            <w:hideMark/>
          </w:tcPr>
          <w:p w14:paraId="2ED336D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National cloud policy adopted by the Council of Ministers</w:t>
            </w:r>
          </w:p>
        </w:tc>
        <w:tc>
          <w:tcPr>
            <w:tcW w:w="791" w:type="dxa"/>
            <w:tcBorders>
              <w:top w:val="single" w:sz="4" w:space="0" w:color="auto"/>
              <w:left w:val="single" w:sz="4" w:space="0" w:color="auto"/>
              <w:bottom w:val="single" w:sz="4" w:space="0" w:color="auto"/>
              <w:right w:val="single" w:sz="4" w:space="0" w:color="auto"/>
            </w:tcBorders>
            <w:shd w:val="clear" w:color="auto" w:fill="C6EFCE"/>
          </w:tcPr>
          <w:p w14:paraId="77EB3F79" w14:textId="77777777" w:rsidR="00B3049F" w:rsidRPr="00000359" w:rsidRDefault="00B3049F" w:rsidP="00000359">
            <w:pPr>
              <w:spacing w:after="0" w:line="240" w:lineRule="auto"/>
              <w:jc w:val="center"/>
              <w:rPr>
                <w:rFonts w:ascii="Times New Roman" w:hAnsi="Times New Roman" w:cs="Times New Roman"/>
                <w:strike/>
                <w:noProof/>
                <w:sz w:val="18"/>
                <w:szCs w:val="18"/>
              </w:rPr>
            </w:pPr>
          </w:p>
        </w:tc>
        <w:tc>
          <w:tcPr>
            <w:tcW w:w="985" w:type="dxa"/>
            <w:tcBorders>
              <w:top w:val="single" w:sz="4" w:space="0" w:color="auto"/>
              <w:left w:val="single" w:sz="4" w:space="0" w:color="auto"/>
              <w:bottom w:val="single" w:sz="4" w:space="0" w:color="auto"/>
              <w:right w:val="single" w:sz="4" w:space="0" w:color="auto"/>
            </w:tcBorders>
            <w:shd w:val="clear" w:color="auto" w:fill="C6EFCE"/>
          </w:tcPr>
          <w:p w14:paraId="16EF0AB5" w14:textId="77777777" w:rsidR="00B3049F" w:rsidRPr="00000359" w:rsidRDefault="00B3049F" w:rsidP="00000359">
            <w:pPr>
              <w:spacing w:after="0" w:line="240" w:lineRule="auto"/>
              <w:jc w:val="center"/>
              <w:rPr>
                <w:rFonts w:ascii="Times New Roman" w:hAnsi="Times New Roman" w:cs="Times New Roman"/>
                <w:strike/>
                <w:noProof/>
                <w:sz w:val="18"/>
                <w:szCs w:val="18"/>
              </w:rPr>
            </w:pPr>
          </w:p>
        </w:tc>
        <w:tc>
          <w:tcPr>
            <w:tcW w:w="1128" w:type="dxa"/>
            <w:tcBorders>
              <w:top w:val="single" w:sz="4" w:space="0" w:color="auto"/>
              <w:left w:val="single" w:sz="4" w:space="0" w:color="auto"/>
              <w:bottom w:val="single" w:sz="4" w:space="0" w:color="auto"/>
              <w:right w:val="single" w:sz="4" w:space="0" w:color="auto"/>
            </w:tcBorders>
            <w:shd w:val="clear" w:color="auto" w:fill="C6EFCE"/>
          </w:tcPr>
          <w:p w14:paraId="6B7A7E12" w14:textId="77777777" w:rsidR="00B3049F" w:rsidRPr="00000359" w:rsidRDefault="00B3049F" w:rsidP="00000359">
            <w:pPr>
              <w:spacing w:after="0" w:line="240" w:lineRule="auto"/>
              <w:jc w:val="center"/>
              <w:rPr>
                <w:rFonts w:ascii="Times New Roman" w:hAnsi="Times New Roman" w:cs="Times New Roman"/>
                <w:strike/>
                <w:noProof/>
                <w:sz w:val="18"/>
                <w:szCs w:val="18"/>
              </w:rPr>
            </w:pPr>
          </w:p>
        </w:tc>
        <w:tc>
          <w:tcPr>
            <w:tcW w:w="845" w:type="dxa"/>
            <w:tcBorders>
              <w:top w:val="single" w:sz="4" w:space="0" w:color="auto"/>
              <w:left w:val="single" w:sz="4" w:space="0" w:color="auto"/>
              <w:bottom w:val="single" w:sz="4" w:space="0" w:color="auto"/>
              <w:right w:val="single" w:sz="4" w:space="0" w:color="auto"/>
            </w:tcBorders>
            <w:shd w:val="clear" w:color="auto" w:fill="C6EFCE"/>
            <w:hideMark/>
          </w:tcPr>
          <w:p w14:paraId="55435AD8"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929" w:type="dxa"/>
            <w:tcBorders>
              <w:top w:val="single" w:sz="4" w:space="0" w:color="auto"/>
              <w:left w:val="single" w:sz="4" w:space="0" w:color="auto"/>
              <w:bottom w:val="single" w:sz="4" w:space="0" w:color="auto"/>
              <w:right w:val="single" w:sz="4" w:space="0" w:color="auto"/>
            </w:tcBorders>
            <w:shd w:val="clear" w:color="auto" w:fill="C6EFCE"/>
            <w:hideMark/>
          </w:tcPr>
          <w:p w14:paraId="1400F64D" w14:textId="77777777" w:rsidR="00B3049F" w:rsidRPr="00000359" w:rsidRDefault="00B3049F" w:rsidP="00000359">
            <w:pPr>
              <w:spacing w:after="0" w:line="240" w:lineRule="auto"/>
              <w:jc w:val="center"/>
              <w:rPr>
                <w:rFonts w:ascii="Times New Roman" w:hAnsi="Times New Roman" w:cs="Times New Roman"/>
                <w:strike/>
                <w:noProof/>
                <w:sz w:val="18"/>
                <w:szCs w:val="18"/>
              </w:rPr>
            </w:pPr>
            <w:r w:rsidRPr="00000359">
              <w:rPr>
                <w:rFonts w:ascii="Times New Roman" w:hAnsi="Times New Roman" w:cs="Times New Roman"/>
                <w:noProof/>
                <w:sz w:val="18"/>
                <w:szCs w:val="18"/>
              </w:rPr>
              <w:t>2025</w:t>
            </w:r>
          </w:p>
        </w:tc>
        <w:tc>
          <w:tcPr>
            <w:tcW w:w="3856" w:type="dxa"/>
            <w:tcBorders>
              <w:top w:val="single" w:sz="4" w:space="0" w:color="auto"/>
              <w:left w:val="single" w:sz="4" w:space="0" w:color="auto"/>
              <w:bottom w:val="single" w:sz="4" w:space="0" w:color="auto"/>
              <w:right w:val="single" w:sz="4" w:space="0" w:color="auto"/>
            </w:tcBorders>
            <w:shd w:val="clear" w:color="auto" w:fill="C6EFCE"/>
            <w:hideMark/>
          </w:tcPr>
          <w:p w14:paraId="7F7C0667" w14:textId="77B4F08E" w:rsidR="00B3049F" w:rsidRPr="00000359" w:rsidRDefault="00B3049F" w:rsidP="005B736A">
            <w:pPr>
              <w:spacing w:after="0" w:line="240" w:lineRule="auto"/>
              <w:jc w:val="both"/>
              <w:rPr>
                <w:rFonts w:ascii="Times New Roman" w:hAnsi="Times New Roman" w:cs="Times New Roman"/>
                <w:strike/>
                <w:noProof/>
                <w:sz w:val="18"/>
                <w:szCs w:val="18"/>
              </w:rPr>
            </w:pPr>
            <w:r w:rsidRPr="00000359">
              <w:rPr>
                <w:rFonts w:ascii="Times New Roman" w:hAnsi="Times New Roman" w:cs="Times New Roman"/>
                <w:noProof/>
                <w:sz w:val="18"/>
                <w:szCs w:val="18"/>
              </w:rPr>
              <w:t>A National Cloud Policy on the use of cloud computing technologies in the public sector is adopted by the Council of Ministers.</w:t>
            </w:r>
          </w:p>
        </w:tc>
      </w:tr>
      <w:tr w:rsidR="00B3049F" w:rsidRPr="00000359" w14:paraId="3AC2D12E" w14:textId="77777777" w:rsidTr="00000359">
        <w:trPr>
          <w:trHeight w:val="130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513FFD3C"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229</w:t>
            </w:r>
          </w:p>
        </w:tc>
        <w:tc>
          <w:tcPr>
            <w:tcW w:w="1423" w:type="dxa"/>
            <w:tcBorders>
              <w:top w:val="single" w:sz="4" w:space="0" w:color="auto"/>
              <w:left w:val="nil"/>
              <w:bottom w:val="single" w:sz="4" w:space="0" w:color="auto"/>
              <w:right w:val="single" w:sz="4" w:space="0" w:color="auto"/>
            </w:tcBorders>
            <w:shd w:val="clear" w:color="auto" w:fill="C6EFCE"/>
          </w:tcPr>
          <w:p w14:paraId="1EE2B52D"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C4.2R3</w:t>
            </w:r>
          </w:p>
          <w:p w14:paraId="7A4D32AC"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Police Procedures digitalisation Digipol</w:t>
            </w:r>
          </w:p>
        </w:tc>
        <w:tc>
          <w:tcPr>
            <w:tcW w:w="1125" w:type="dxa"/>
            <w:tcBorders>
              <w:top w:val="single" w:sz="4" w:space="0" w:color="auto"/>
              <w:left w:val="nil"/>
              <w:bottom w:val="single" w:sz="4" w:space="0" w:color="auto"/>
              <w:right w:val="single" w:sz="4" w:space="0" w:color="auto"/>
            </w:tcBorders>
            <w:shd w:val="clear" w:color="auto" w:fill="C6EFCE"/>
            <w:hideMark/>
          </w:tcPr>
          <w:p w14:paraId="7E9DDA9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1546" w:type="dxa"/>
            <w:tcBorders>
              <w:top w:val="single" w:sz="4" w:space="0" w:color="auto"/>
              <w:left w:val="nil"/>
              <w:bottom w:val="single" w:sz="4" w:space="0" w:color="auto"/>
              <w:right w:val="single" w:sz="4" w:space="0" w:color="auto"/>
            </w:tcBorders>
            <w:shd w:val="clear" w:color="auto" w:fill="C6EFCE"/>
            <w:hideMark/>
          </w:tcPr>
          <w:p w14:paraId="08D767C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Digipol prototype operational </w:t>
            </w:r>
          </w:p>
        </w:tc>
        <w:tc>
          <w:tcPr>
            <w:tcW w:w="1434" w:type="dxa"/>
            <w:tcBorders>
              <w:top w:val="single" w:sz="4" w:space="0" w:color="auto"/>
              <w:left w:val="nil"/>
              <w:bottom w:val="single" w:sz="4" w:space="0" w:color="auto"/>
              <w:right w:val="single" w:sz="4" w:space="0" w:color="auto"/>
            </w:tcBorders>
            <w:shd w:val="clear" w:color="auto" w:fill="C6EFCE"/>
            <w:hideMark/>
          </w:tcPr>
          <w:p w14:paraId="4AB4716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Declaration by Cyprus Police confirming that the prototype platform (Digipol) is operational</w:t>
            </w:r>
          </w:p>
        </w:tc>
        <w:tc>
          <w:tcPr>
            <w:tcW w:w="791" w:type="dxa"/>
            <w:tcBorders>
              <w:top w:val="single" w:sz="4" w:space="0" w:color="auto"/>
              <w:left w:val="nil"/>
              <w:bottom w:val="single" w:sz="4" w:space="0" w:color="auto"/>
              <w:right w:val="single" w:sz="4" w:space="0" w:color="auto"/>
            </w:tcBorders>
            <w:shd w:val="clear" w:color="auto" w:fill="C6EFCE"/>
            <w:hideMark/>
          </w:tcPr>
          <w:p w14:paraId="076EE319"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985" w:type="dxa"/>
            <w:tcBorders>
              <w:top w:val="single" w:sz="4" w:space="0" w:color="auto"/>
              <w:left w:val="nil"/>
              <w:bottom w:val="single" w:sz="4" w:space="0" w:color="auto"/>
              <w:right w:val="single" w:sz="4" w:space="0" w:color="auto"/>
            </w:tcBorders>
            <w:shd w:val="clear" w:color="auto" w:fill="C6EFCE"/>
            <w:hideMark/>
          </w:tcPr>
          <w:p w14:paraId="440ADA6C"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1128" w:type="dxa"/>
            <w:tcBorders>
              <w:top w:val="single" w:sz="4" w:space="0" w:color="auto"/>
              <w:left w:val="nil"/>
              <w:bottom w:val="single" w:sz="4" w:space="0" w:color="auto"/>
              <w:right w:val="single" w:sz="4" w:space="0" w:color="auto"/>
            </w:tcBorders>
            <w:shd w:val="clear" w:color="auto" w:fill="C6EFCE"/>
            <w:hideMark/>
          </w:tcPr>
          <w:p w14:paraId="6F6A3EBE"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845" w:type="dxa"/>
            <w:tcBorders>
              <w:top w:val="single" w:sz="4" w:space="0" w:color="auto"/>
              <w:left w:val="nil"/>
              <w:bottom w:val="single" w:sz="4" w:space="0" w:color="auto"/>
              <w:right w:val="single" w:sz="4" w:space="0" w:color="auto"/>
            </w:tcBorders>
            <w:shd w:val="clear" w:color="auto" w:fill="C6EFCE"/>
            <w:hideMark/>
          </w:tcPr>
          <w:p w14:paraId="59F5F33C"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Q2</w:t>
            </w:r>
          </w:p>
        </w:tc>
        <w:tc>
          <w:tcPr>
            <w:tcW w:w="929" w:type="dxa"/>
            <w:tcBorders>
              <w:top w:val="single" w:sz="4" w:space="0" w:color="auto"/>
              <w:left w:val="nil"/>
              <w:bottom w:val="single" w:sz="4" w:space="0" w:color="auto"/>
              <w:right w:val="single" w:sz="4" w:space="0" w:color="auto"/>
            </w:tcBorders>
            <w:shd w:val="clear" w:color="auto" w:fill="C6EFCE"/>
            <w:hideMark/>
          </w:tcPr>
          <w:p w14:paraId="4B813A82"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2023</w:t>
            </w:r>
          </w:p>
        </w:tc>
        <w:tc>
          <w:tcPr>
            <w:tcW w:w="3856" w:type="dxa"/>
            <w:tcBorders>
              <w:top w:val="single" w:sz="4" w:space="0" w:color="auto"/>
              <w:left w:val="nil"/>
              <w:bottom w:val="single" w:sz="4" w:space="0" w:color="auto"/>
              <w:right w:val="single" w:sz="4" w:space="0" w:color="auto"/>
            </w:tcBorders>
            <w:shd w:val="clear" w:color="auto" w:fill="C6EFCE"/>
            <w:hideMark/>
          </w:tcPr>
          <w:p w14:paraId="37AE74C7"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 xml:space="preserve">The prototype platform (Digipol) is operational. Police officers shall be the users and have access to the prototype Digipol for familiarity and training purposes. </w:t>
            </w:r>
          </w:p>
        </w:tc>
      </w:tr>
      <w:tr w:rsidR="00B3049F" w:rsidRPr="00000359" w14:paraId="02F5A6B9" w14:textId="77777777" w:rsidTr="001A21F9">
        <w:trPr>
          <w:trHeight w:val="1104"/>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5EDFB836"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230</w:t>
            </w:r>
          </w:p>
        </w:tc>
        <w:tc>
          <w:tcPr>
            <w:tcW w:w="1423" w:type="dxa"/>
            <w:tcBorders>
              <w:top w:val="nil"/>
              <w:left w:val="nil"/>
              <w:bottom w:val="single" w:sz="4" w:space="0" w:color="auto"/>
              <w:right w:val="single" w:sz="4" w:space="0" w:color="auto"/>
            </w:tcBorders>
            <w:shd w:val="clear" w:color="auto" w:fill="C6EFCE"/>
          </w:tcPr>
          <w:p w14:paraId="47AADC0A" w14:textId="77777777" w:rsidR="00B3049F" w:rsidRPr="00000359" w:rsidRDefault="00B3049F" w:rsidP="00D8670B">
            <w:pPr>
              <w:spacing w:after="0" w:line="240" w:lineRule="auto"/>
              <w:rPr>
                <w:rFonts w:ascii="Times New Roman" w:eastAsia="Times New Roman" w:hAnsi="Times New Roman" w:cs="Times New Roman"/>
                <w:noProof/>
                <w:sz w:val="18"/>
                <w:szCs w:val="18"/>
              </w:rPr>
            </w:pPr>
            <w:r w:rsidRPr="00000359">
              <w:rPr>
                <w:rFonts w:ascii="Times New Roman" w:hAnsi="Times New Roman" w:cs="Times New Roman"/>
                <w:noProof/>
                <w:sz w:val="18"/>
                <w:szCs w:val="18"/>
              </w:rPr>
              <w:t>C4.2R3</w:t>
            </w:r>
          </w:p>
          <w:p w14:paraId="00C83F1B" w14:textId="77777777" w:rsidR="00B3049F" w:rsidRPr="00000359" w:rsidRDefault="00B3049F" w:rsidP="00D8670B">
            <w:pPr>
              <w:spacing w:after="0" w:line="240" w:lineRule="auto"/>
              <w:rPr>
                <w:rFonts w:ascii="Times New Roman" w:eastAsia="Times New Roman" w:hAnsi="Times New Roman" w:cs="Times New Roman"/>
                <w:noProof/>
                <w:sz w:val="18"/>
                <w:szCs w:val="18"/>
              </w:rPr>
            </w:pPr>
            <w:r w:rsidRPr="00000359">
              <w:rPr>
                <w:rFonts w:ascii="Times New Roman" w:hAnsi="Times New Roman" w:cs="Times New Roman"/>
                <w:noProof/>
                <w:sz w:val="18"/>
                <w:szCs w:val="18"/>
              </w:rPr>
              <w:t>Police Procedures digitalisation (Digipol)</w:t>
            </w:r>
          </w:p>
        </w:tc>
        <w:tc>
          <w:tcPr>
            <w:tcW w:w="1125" w:type="dxa"/>
            <w:tcBorders>
              <w:top w:val="nil"/>
              <w:left w:val="nil"/>
              <w:bottom w:val="single" w:sz="4" w:space="0" w:color="auto"/>
              <w:right w:val="single" w:sz="4" w:space="0" w:color="auto"/>
            </w:tcBorders>
            <w:shd w:val="clear" w:color="auto" w:fill="C6EFCE"/>
            <w:hideMark/>
          </w:tcPr>
          <w:p w14:paraId="1D29AFA0"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1546" w:type="dxa"/>
            <w:tcBorders>
              <w:top w:val="nil"/>
              <w:left w:val="nil"/>
              <w:bottom w:val="single" w:sz="4" w:space="0" w:color="auto"/>
              <w:right w:val="single" w:sz="4" w:space="0" w:color="auto"/>
            </w:tcBorders>
            <w:shd w:val="clear" w:color="auto" w:fill="C6EFCE"/>
            <w:hideMark/>
          </w:tcPr>
          <w:p w14:paraId="6343452C"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Digipol accessible</w:t>
            </w:r>
          </w:p>
        </w:tc>
        <w:tc>
          <w:tcPr>
            <w:tcW w:w="1434" w:type="dxa"/>
            <w:tcBorders>
              <w:top w:val="nil"/>
              <w:left w:val="nil"/>
              <w:bottom w:val="single" w:sz="4" w:space="0" w:color="auto"/>
              <w:right w:val="single" w:sz="4" w:space="0" w:color="auto"/>
            </w:tcBorders>
            <w:shd w:val="clear" w:color="auto" w:fill="C6EFCE"/>
            <w:hideMark/>
          </w:tcPr>
          <w:p w14:paraId="26C1893B"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tcPr>
          <w:p w14:paraId="69BA6F4D" w14:textId="77777777" w:rsidR="00B3049F" w:rsidRPr="00000359" w:rsidRDefault="00B3049F" w:rsidP="00000359">
            <w:pPr>
              <w:spacing w:after="0" w:line="240" w:lineRule="auto"/>
              <w:jc w:val="center"/>
              <w:rPr>
                <w:rFonts w:ascii="Times New Roman" w:hAnsi="Times New Roman" w:cs="Times New Roman"/>
                <w:noProof/>
                <w:sz w:val="18"/>
                <w:szCs w:val="18"/>
              </w:rPr>
            </w:pPr>
          </w:p>
        </w:tc>
        <w:tc>
          <w:tcPr>
            <w:tcW w:w="985" w:type="dxa"/>
            <w:tcBorders>
              <w:top w:val="nil"/>
              <w:left w:val="nil"/>
              <w:bottom w:val="single" w:sz="4" w:space="0" w:color="auto"/>
              <w:right w:val="single" w:sz="4" w:space="0" w:color="auto"/>
            </w:tcBorders>
            <w:shd w:val="clear" w:color="auto" w:fill="C6EFCE"/>
          </w:tcPr>
          <w:p w14:paraId="304CD921" w14:textId="77777777" w:rsidR="00B3049F" w:rsidRPr="00000359" w:rsidRDefault="00B3049F" w:rsidP="00000359">
            <w:pPr>
              <w:spacing w:after="0" w:line="240" w:lineRule="auto"/>
              <w:jc w:val="center"/>
              <w:rPr>
                <w:rFonts w:ascii="Times New Roman" w:hAnsi="Times New Roman" w:cs="Times New Roman"/>
                <w:noProof/>
                <w:sz w:val="18"/>
                <w:szCs w:val="18"/>
              </w:rPr>
            </w:pPr>
          </w:p>
        </w:tc>
        <w:tc>
          <w:tcPr>
            <w:tcW w:w="1128" w:type="dxa"/>
            <w:tcBorders>
              <w:top w:val="nil"/>
              <w:left w:val="nil"/>
              <w:bottom w:val="single" w:sz="4" w:space="0" w:color="auto"/>
              <w:right w:val="single" w:sz="4" w:space="0" w:color="auto"/>
            </w:tcBorders>
            <w:shd w:val="clear" w:color="auto" w:fill="C6EFCE"/>
          </w:tcPr>
          <w:p w14:paraId="0F32A002" w14:textId="77777777" w:rsidR="00B3049F" w:rsidRPr="00000359" w:rsidRDefault="00B3049F" w:rsidP="00000359">
            <w:pPr>
              <w:spacing w:after="0" w:line="240" w:lineRule="auto"/>
              <w:jc w:val="center"/>
              <w:rPr>
                <w:rFonts w:ascii="Times New Roman" w:hAnsi="Times New Roman" w:cs="Times New Roman"/>
                <w:noProof/>
                <w:sz w:val="18"/>
                <w:szCs w:val="18"/>
              </w:rPr>
            </w:pPr>
          </w:p>
        </w:tc>
        <w:tc>
          <w:tcPr>
            <w:tcW w:w="845" w:type="dxa"/>
            <w:tcBorders>
              <w:top w:val="nil"/>
              <w:left w:val="nil"/>
              <w:bottom w:val="single" w:sz="4" w:space="0" w:color="auto"/>
              <w:right w:val="single" w:sz="4" w:space="0" w:color="auto"/>
            </w:tcBorders>
            <w:shd w:val="clear" w:color="auto" w:fill="C6EFCE"/>
            <w:hideMark/>
          </w:tcPr>
          <w:p w14:paraId="2431181D"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Q3</w:t>
            </w:r>
          </w:p>
        </w:tc>
        <w:tc>
          <w:tcPr>
            <w:tcW w:w="929" w:type="dxa"/>
            <w:tcBorders>
              <w:top w:val="nil"/>
              <w:left w:val="nil"/>
              <w:bottom w:val="single" w:sz="4" w:space="0" w:color="auto"/>
              <w:right w:val="single" w:sz="4" w:space="0" w:color="auto"/>
            </w:tcBorders>
            <w:shd w:val="clear" w:color="auto" w:fill="C6EFCE"/>
            <w:hideMark/>
          </w:tcPr>
          <w:p w14:paraId="0A76CA89"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2025</w:t>
            </w:r>
          </w:p>
        </w:tc>
        <w:tc>
          <w:tcPr>
            <w:tcW w:w="3856" w:type="dxa"/>
            <w:tcBorders>
              <w:top w:val="nil"/>
              <w:left w:val="nil"/>
              <w:bottom w:val="single" w:sz="4" w:space="0" w:color="auto"/>
              <w:right w:val="single" w:sz="4" w:space="0" w:color="auto"/>
            </w:tcBorders>
            <w:shd w:val="clear" w:color="auto" w:fill="C6EFCE"/>
            <w:hideMark/>
          </w:tcPr>
          <w:p w14:paraId="0A448D84" w14:textId="4EC67169"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Digipol shall be accessible. Training and dissemination activities have been conducted.</w:t>
            </w:r>
            <w:r w:rsidR="00064579" w:rsidRPr="00000359">
              <w:rPr>
                <w:rFonts w:ascii="Times New Roman" w:hAnsi="Times New Roman" w:cs="Times New Roman"/>
                <w:noProof/>
                <w:sz w:val="18"/>
                <w:szCs w:val="18"/>
              </w:rPr>
              <w:t xml:space="preserve"> </w:t>
            </w:r>
          </w:p>
        </w:tc>
      </w:tr>
      <w:tr w:rsidR="00B3049F" w:rsidRPr="00000359" w14:paraId="3BEE47F3" w14:textId="77777777" w:rsidTr="000003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509A94D"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231</w:t>
            </w:r>
          </w:p>
        </w:tc>
        <w:tc>
          <w:tcPr>
            <w:tcW w:w="1423" w:type="dxa"/>
            <w:tcBorders>
              <w:top w:val="nil"/>
              <w:left w:val="nil"/>
              <w:bottom w:val="single" w:sz="4" w:space="0" w:color="auto"/>
              <w:right w:val="single" w:sz="4" w:space="0" w:color="auto"/>
            </w:tcBorders>
            <w:shd w:val="clear" w:color="auto" w:fill="C6EFCE"/>
          </w:tcPr>
          <w:p w14:paraId="7EB0BB40"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C4.2R4</w:t>
            </w:r>
          </w:p>
          <w:p w14:paraId="5D0C73A5"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Setting up the beneficial ownership registry</w:t>
            </w:r>
          </w:p>
        </w:tc>
        <w:tc>
          <w:tcPr>
            <w:tcW w:w="1125" w:type="dxa"/>
            <w:tcBorders>
              <w:top w:val="nil"/>
              <w:left w:val="nil"/>
              <w:bottom w:val="single" w:sz="4" w:space="0" w:color="auto"/>
              <w:right w:val="single" w:sz="4" w:space="0" w:color="auto"/>
            </w:tcBorders>
            <w:shd w:val="clear" w:color="auto" w:fill="C6EFCE"/>
            <w:hideMark/>
          </w:tcPr>
          <w:p w14:paraId="41BD6246"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1546" w:type="dxa"/>
            <w:tcBorders>
              <w:top w:val="nil"/>
              <w:left w:val="nil"/>
              <w:bottom w:val="single" w:sz="4" w:space="0" w:color="auto"/>
              <w:right w:val="single" w:sz="4" w:space="0" w:color="auto"/>
            </w:tcBorders>
            <w:shd w:val="clear" w:color="auto" w:fill="C6EFCE"/>
            <w:hideMark/>
          </w:tcPr>
          <w:p w14:paraId="196FEF66"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Beneficial ownership registry available for use </w:t>
            </w:r>
          </w:p>
        </w:tc>
        <w:tc>
          <w:tcPr>
            <w:tcW w:w="1434" w:type="dxa"/>
            <w:tcBorders>
              <w:top w:val="nil"/>
              <w:left w:val="nil"/>
              <w:bottom w:val="single" w:sz="4" w:space="0" w:color="auto"/>
              <w:right w:val="single" w:sz="4" w:space="0" w:color="auto"/>
            </w:tcBorders>
            <w:shd w:val="clear" w:color="auto" w:fill="C6EFCE"/>
            <w:hideMark/>
          </w:tcPr>
          <w:p w14:paraId="763FD8F8"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Beneficial ownership registry publicly available online at national and European Level</w:t>
            </w:r>
          </w:p>
        </w:tc>
        <w:tc>
          <w:tcPr>
            <w:tcW w:w="791" w:type="dxa"/>
            <w:tcBorders>
              <w:top w:val="nil"/>
              <w:left w:val="nil"/>
              <w:bottom w:val="single" w:sz="4" w:space="0" w:color="auto"/>
              <w:right w:val="single" w:sz="4" w:space="0" w:color="auto"/>
            </w:tcBorders>
            <w:shd w:val="clear" w:color="auto" w:fill="C6EFCE"/>
            <w:hideMark/>
          </w:tcPr>
          <w:p w14:paraId="0A7395C9"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985" w:type="dxa"/>
            <w:tcBorders>
              <w:top w:val="nil"/>
              <w:left w:val="nil"/>
              <w:bottom w:val="single" w:sz="4" w:space="0" w:color="auto"/>
              <w:right w:val="single" w:sz="4" w:space="0" w:color="auto"/>
            </w:tcBorders>
            <w:shd w:val="clear" w:color="auto" w:fill="C6EFCE"/>
            <w:hideMark/>
          </w:tcPr>
          <w:p w14:paraId="0F4604E2"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1128" w:type="dxa"/>
            <w:tcBorders>
              <w:top w:val="nil"/>
              <w:left w:val="nil"/>
              <w:bottom w:val="single" w:sz="4" w:space="0" w:color="auto"/>
              <w:right w:val="single" w:sz="4" w:space="0" w:color="auto"/>
            </w:tcBorders>
            <w:shd w:val="clear" w:color="auto" w:fill="C6EFCE"/>
            <w:hideMark/>
          </w:tcPr>
          <w:p w14:paraId="0C3602CF"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845" w:type="dxa"/>
            <w:tcBorders>
              <w:top w:val="nil"/>
              <w:left w:val="nil"/>
              <w:bottom w:val="single" w:sz="4" w:space="0" w:color="auto"/>
              <w:right w:val="single" w:sz="4" w:space="0" w:color="auto"/>
            </w:tcBorders>
            <w:shd w:val="clear" w:color="auto" w:fill="C6EFCE"/>
            <w:hideMark/>
          </w:tcPr>
          <w:p w14:paraId="0F16753A"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hideMark/>
          </w:tcPr>
          <w:p w14:paraId="6B9BE41F"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2023</w:t>
            </w:r>
          </w:p>
        </w:tc>
        <w:tc>
          <w:tcPr>
            <w:tcW w:w="3856" w:type="dxa"/>
            <w:tcBorders>
              <w:top w:val="nil"/>
              <w:left w:val="nil"/>
              <w:bottom w:val="single" w:sz="4" w:space="0" w:color="auto"/>
              <w:right w:val="single" w:sz="4" w:space="0" w:color="auto"/>
            </w:tcBorders>
            <w:shd w:val="clear" w:color="auto" w:fill="C6EFCE"/>
            <w:hideMark/>
          </w:tcPr>
          <w:p w14:paraId="568B5FFD"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The beneficial ownership registry shall be deployed and become available for use at national level and European level, enabling users to check the ultimate beneficial ownership information of legal entities and to achieve interconnection of the beneficiary ownership registers with other Member States.</w:t>
            </w:r>
          </w:p>
        </w:tc>
      </w:tr>
      <w:tr w:rsidR="00B3049F" w:rsidRPr="00000359" w14:paraId="5057CB60" w14:textId="77777777" w:rsidTr="000003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3F4B035A"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232</w:t>
            </w:r>
          </w:p>
        </w:tc>
        <w:tc>
          <w:tcPr>
            <w:tcW w:w="1423" w:type="dxa"/>
            <w:tcBorders>
              <w:top w:val="nil"/>
              <w:left w:val="nil"/>
              <w:bottom w:val="single" w:sz="4" w:space="0" w:color="auto"/>
              <w:right w:val="single" w:sz="4" w:space="0" w:color="auto"/>
            </w:tcBorders>
            <w:shd w:val="clear" w:color="auto" w:fill="C6EFCE"/>
          </w:tcPr>
          <w:p w14:paraId="3BCC77E0"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C4.2I1</w:t>
            </w:r>
          </w:p>
          <w:p w14:paraId="2E1FA099"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Digitalisation in various Central Government Ministries - Services</w:t>
            </w:r>
          </w:p>
        </w:tc>
        <w:tc>
          <w:tcPr>
            <w:tcW w:w="1125" w:type="dxa"/>
            <w:tcBorders>
              <w:top w:val="nil"/>
              <w:left w:val="nil"/>
              <w:bottom w:val="single" w:sz="4" w:space="0" w:color="auto"/>
              <w:right w:val="single" w:sz="4" w:space="0" w:color="auto"/>
            </w:tcBorders>
            <w:shd w:val="clear" w:color="auto" w:fill="C6EFCE"/>
          </w:tcPr>
          <w:p w14:paraId="0E60C75B"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Milestone</w:t>
            </w:r>
          </w:p>
        </w:tc>
        <w:tc>
          <w:tcPr>
            <w:tcW w:w="1546" w:type="dxa"/>
            <w:tcBorders>
              <w:top w:val="nil"/>
              <w:left w:val="nil"/>
              <w:bottom w:val="single" w:sz="4" w:space="0" w:color="auto"/>
              <w:right w:val="single" w:sz="4" w:space="0" w:color="auto"/>
            </w:tcBorders>
            <w:shd w:val="clear" w:color="auto" w:fill="C6EFCE"/>
          </w:tcPr>
          <w:p w14:paraId="31CCA342"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Repository system for audit and control: information for monitoring implementation of RRF</w:t>
            </w:r>
          </w:p>
        </w:tc>
        <w:tc>
          <w:tcPr>
            <w:tcW w:w="1434" w:type="dxa"/>
            <w:tcBorders>
              <w:top w:val="nil"/>
              <w:left w:val="nil"/>
              <w:bottom w:val="single" w:sz="4" w:space="0" w:color="auto"/>
              <w:right w:val="single" w:sz="4" w:space="0" w:color="auto"/>
            </w:tcBorders>
            <w:shd w:val="clear" w:color="auto" w:fill="C6EFCE"/>
          </w:tcPr>
          <w:p w14:paraId="129FF378"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An audit report confirming repository system functionalities</w:t>
            </w:r>
          </w:p>
        </w:tc>
        <w:tc>
          <w:tcPr>
            <w:tcW w:w="791" w:type="dxa"/>
            <w:tcBorders>
              <w:top w:val="nil"/>
              <w:left w:val="nil"/>
              <w:bottom w:val="single" w:sz="4" w:space="0" w:color="auto"/>
              <w:right w:val="single" w:sz="4" w:space="0" w:color="auto"/>
            </w:tcBorders>
            <w:shd w:val="clear" w:color="auto" w:fill="C6EFCE"/>
          </w:tcPr>
          <w:p w14:paraId="1D4C09EE"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985" w:type="dxa"/>
            <w:tcBorders>
              <w:top w:val="nil"/>
              <w:left w:val="nil"/>
              <w:bottom w:val="single" w:sz="4" w:space="0" w:color="auto"/>
              <w:right w:val="single" w:sz="4" w:space="0" w:color="auto"/>
            </w:tcBorders>
            <w:shd w:val="clear" w:color="auto" w:fill="C6EFCE"/>
          </w:tcPr>
          <w:p w14:paraId="09259FF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1128" w:type="dxa"/>
            <w:tcBorders>
              <w:top w:val="nil"/>
              <w:left w:val="nil"/>
              <w:bottom w:val="single" w:sz="4" w:space="0" w:color="auto"/>
              <w:right w:val="single" w:sz="4" w:space="0" w:color="auto"/>
            </w:tcBorders>
            <w:shd w:val="clear" w:color="auto" w:fill="C6EFCE"/>
          </w:tcPr>
          <w:p w14:paraId="0375A809"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845" w:type="dxa"/>
            <w:tcBorders>
              <w:top w:val="nil"/>
              <w:left w:val="nil"/>
              <w:bottom w:val="single" w:sz="4" w:space="0" w:color="auto"/>
              <w:right w:val="single" w:sz="4" w:space="0" w:color="auto"/>
            </w:tcBorders>
            <w:shd w:val="clear" w:color="auto" w:fill="C6EFCE"/>
          </w:tcPr>
          <w:p w14:paraId="53BC1FAF"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Q1</w:t>
            </w:r>
          </w:p>
        </w:tc>
        <w:tc>
          <w:tcPr>
            <w:tcW w:w="929" w:type="dxa"/>
            <w:tcBorders>
              <w:top w:val="nil"/>
              <w:left w:val="nil"/>
              <w:bottom w:val="single" w:sz="4" w:space="0" w:color="auto"/>
              <w:right w:val="single" w:sz="4" w:space="0" w:color="auto"/>
            </w:tcBorders>
            <w:shd w:val="clear" w:color="auto" w:fill="C6EFCE"/>
          </w:tcPr>
          <w:p w14:paraId="7318622D"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2022</w:t>
            </w:r>
          </w:p>
        </w:tc>
        <w:tc>
          <w:tcPr>
            <w:tcW w:w="3856" w:type="dxa"/>
            <w:tcBorders>
              <w:top w:val="nil"/>
              <w:left w:val="nil"/>
              <w:bottom w:val="single" w:sz="4" w:space="0" w:color="auto"/>
              <w:right w:val="single" w:sz="4" w:space="0" w:color="auto"/>
            </w:tcBorders>
            <w:shd w:val="clear" w:color="auto" w:fill="C6EFCE"/>
          </w:tcPr>
          <w:p w14:paraId="097B3DE1"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A repository system for monitoring the implementation of the RRF shall be in place and operational. The system shall include, as a minimum, the following functionalities:</w:t>
            </w:r>
          </w:p>
          <w:p w14:paraId="58019902"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(1) collection of data and monitoring of the achievement of milestones and targets; (2) collect, store, and ensure access to the data required by Article 22(2)(d) (i) to (iii) of Regulation (EU) 2021/241.</w:t>
            </w:r>
          </w:p>
        </w:tc>
      </w:tr>
      <w:tr w:rsidR="00B3049F" w:rsidRPr="00000359" w14:paraId="383CE244" w14:textId="77777777" w:rsidTr="000003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tcPr>
          <w:p w14:paraId="5322000F" w14:textId="77777777" w:rsidR="00B3049F" w:rsidRPr="00000359" w:rsidRDefault="00B3049F" w:rsidP="00D8670B">
            <w:pPr>
              <w:spacing w:before="120" w:after="12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233</w:t>
            </w:r>
          </w:p>
        </w:tc>
        <w:tc>
          <w:tcPr>
            <w:tcW w:w="1423" w:type="dxa"/>
            <w:tcBorders>
              <w:top w:val="nil"/>
              <w:left w:val="nil"/>
              <w:bottom w:val="single" w:sz="4" w:space="0" w:color="auto"/>
              <w:right w:val="single" w:sz="4" w:space="0" w:color="auto"/>
            </w:tcBorders>
            <w:shd w:val="clear" w:color="auto" w:fill="C6EFCE"/>
          </w:tcPr>
          <w:p w14:paraId="5A6925A6"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C4.2I1</w:t>
            </w:r>
          </w:p>
          <w:p w14:paraId="0ED64838"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Digitalisation in various Central Government Ministries - Services</w:t>
            </w:r>
          </w:p>
        </w:tc>
        <w:tc>
          <w:tcPr>
            <w:tcW w:w="1125" w:type="dxa"/>
            <w:tcBorders>
              <w:top w:val="nil"/>
              <w:left w:val="nil"/>
              <w:bottom w:val="single" w:sz="4" w:space="0" w:color="auto"/>
              <w:right w:val="single" w:sz="4" w:space="0" w:color="auto"/>
            </w:tcBorders>
            <w:shd w:val="clear" w:color="auto" w:fill="C6EFCE"/>
          </w:tcPr>
          <w:p w14:paraId="4D9D49EF"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tcPr>
          <w:p w14:paraId="262A3B8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Start of the digital upgrade of a number of central government ministries and departments</w:t>
            </w:r>
          </w:p>
        </w:tc>
        <w:tc>
          <w:tcPr>
            <w:tcW w:w="1434" w:type="dxa"/>
            <w:tcBorders>
              <w:top w:val="nil"/>
              <w:left w:val="nil"/>
              <w:bottom w:val="single" w:sz="4" w:space="0" w:color="auto"/>
              <w:right w:val="single" w:sz="4" w:space="0" w:color="auto"/>
            </w:tcBorders>
            <w:shd w:val="clear" w:color="auto" w:fill="C6EFCE"/>
          </w:tcPr>
          <w:p w14:paraId="3D3989FF"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tcPr>
          <w:p w14:paraId="636FD61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tcPr>
          <w:p w14:paraId="547479F5"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tcPr>
          <w:p w14:paraId="13778AC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4</w:t>
            </w:r>
          </w:p>
        </w:tc>
        <w:tc>
          <w:tcPr>
            <w:tcW w:w="845" w:type="dxa"/>
            <w:tcBorders>
              <w:top w:val="nil"/>
              <w:left w:val="nil"/>
              <w:bottom w:val="single" w:sz="4" w:space="0" w:color="auto"/>
              <w:right w:val="single" w:sz="4" w:space="0" w:color="auto"/>
            </w:tcBorders>
            <w:shd w:val="clear" w:color="auto" w:fill="C6EFCE"/>
          </w:tcPr>
          <w:p w14:paraId="6C14389A"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Q1</w:t>
            </w:r>
          </w:p>
        </w:tc>
        <w:tc>
          <w:tcPr>
            <w:tcW w:w="929" w:type="dxa"/>
            <w:tcBorders>
              <w:top w:val="nil"/>
              <w:left w:val="nil"/>
              <w:bottom w:val="single" w:sz="4" w:space="0" w:color="auto"/>
              <w:right w:val="single" w:sz="4" w:space="0" w:color="auto"/>
            </w:tcBorders>
            <w:shd w:val="clear" w:color="auto" w:fill="C6EFCE"/>
          </w:tcPr>
          <w:p w14:paraId="5ECC6840"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2022</w:t>
            </w:r>
          </w:p>
        </w:tc>
        <w:tc>
          <w:tcPr>
            <w:tcW w:w="3856" w:type="dxa"/>
            <w:tcBorders>
              <w:top w:val="nil"/>
              <w:left w:val="nil"/>
              <w:bottom w:val="single" w:sz="4" w:space="0" w:color="auto"/>
              <w:right w:val="single" w:sz="4" w:space="0" w:color="auto"/>
            </w:tcBorders>
            <w:shd w:val="clear" w:color="auto" w:fill="C6EFCE"/>
          </w:tcPr>
          <w:p w14:paraId="62C84646" w14:textId="76478B55" w:rsidR="00B3049F" w:rsidRPr="00000359" w:rsidRDefault="00B3049F" w:rsidP="00A22BE7">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The contracts with providers selected through public procurement procedures have been signed to digitalise/digitally upgrade at least four of the following central government ministries/departments: </w:t>
            </w:r>
            <w:r w:rsidRPr="00000359">
              <w:rPr>
                <w:rFonts w:ascii="Times New Roman" w:hAnsi="Times New Roman" w:cs="Times New Roman"/>
                <w:noProof/>
                <w:sz w:val="18"/>
                <w:szCs w:val="18"/>
              </w:rPr>
              <w:br/>
              <w:t>1. Road Transport Department of the Ministry of Transport, Communication and Works,</w:t>
            </w:r>
            <w:r w:rsidR="00064579" w:rsidRPr="00000359">
              <w:rPr>
                <w:rFonts w:ascii="Times New Roman" w:hAnsi="Times New Roman" w:cs="Times New Roman"/>
                <w:noProof/>
                <w:sz w:val="18"/>
                <w:szCs w:val="18"/>
              </w:rPr>
              <w:t xml:space="preserve"> </w:t>
            </w:r>
            <w:r w:rsidRPr="00000359">
              <w:rPr>
                <w:rFonts w:ascii="Times New Roman" w:hAnsi="Times New Roman" w:cs="Times New Roman"/>
                <w:noProof/>
                <w:sz w:val="18"/>
                <w:szCs w:val="18"/>
              </w:rPr>
              <w:br/>
              <w:t xml:space="preserve">2. Deputy Ministry of Shipping. </w:t>
            </w:r>
            <w:r w:rsidRPr="00000359">
              <w:rPr>
                <w:rFonts w:ascii="Times New Roman" w:hAnsi="Times New Roman" w:cs="Times New Roman"/>
                <w:noProof/>
                <w:sz w:val="18"/>
                <w:szCs w:val="18"/>
              </w:rPr>
              <w:br/>
              <w:t>3. Ministry of Foreign Affairs</w:t>
            </w:r>
            <w:r w:rsidR="00064579" w:rsidRPr="00000359">
              <w:rPr>
                <w:rFonts w:ascii="Times New Roman" w:hAnsi="Times New Roman" w:cs="Times New Roman"/>
                <w:noProof/>
                <w:sz w:val="18"/>
                <w:szCs w:val="18"/>
              </w:rPr>
              <w:t xml:space="preserve"> </w:t>
            </w:r>
            <w:r w:rsidRPr="00000359">
              <w:rPr>
                <w:rFonts w:ascii="Times New Roman" w:hAnsi="Times New Roman" w:cs="Times New Roman"/>
                <w:noProof/>
                <w:sz w:val="18"/>
                <w:szCs w:val="18"/>
              </w:rPr>
              <w:br/>
              <w:t xml:space="preserve">4. Directorate General Growth </w:t>
            </w:r>
            <w:r w:rsidRPr="00000359">
              <w:rPr>
                <w:rFonts w:ascii="Times New Roman" w:hAnsi="Times New Roman" w:cs="Times New Roman"/>
                <w:noProof/>
                <w:sz w:val="18"/>
                <w:szCs w:val="18"/>
              </w:rPr>
              <w:br/>
              <w:t>5. Department of Town Planning and Housing of the Ministry of Interior (for Architectural Heritage).</w:t>
            </w:r>
          </w:p>
        </w:tc>
      </w:tr>
      <w:tr w:rsidR="00B3049F" w:rsidRPr="00000359" w14:paraId="4C7BA1B1" w14:textId="77777777" w:rsidTr="000003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12C127B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235</w:t>
            </w:r>
          </w:p>
        </w:tc>
        <w:tc>
          <w:tcPr>
            <w:tcW w:w="1423" w:type="dxa"/>
            <w:tcBorders>
              <w:top w:val="nil"/>
              <w:left w:val="nil"/>
              <w:bottom w:val="single" w:sz="4" w:space="0" w:color="auto"/>
              <w:right w:val="single" w:sz="4" w:space="0" w:color="auto"/>
            </w:tcBorders>
            <w:shd w:val="clear" w:color="auto" w:fill="C6EFCE"/>
          </w:tcPr>
          <w:p w14:paraId="171C74BD"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C4.2I1</w:t>
            </w:r>
          </w:p>
          <w:p w14:paraId="39B73C6B" w14:textId="0775450F"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Digitalisation of Central Government Ministries or departments</w:t>
            </w:r>
          </w:p>
        </w:tc>
        <w:tc>
          <w:tcPr>
            <w:tcW w:w="1125" w:type="dxa"/>
            <w:tcBorders>
              <w:top w:val="nil"/>
              <w:left w:val="nil"/>
              <w:bottom w:val="single" w:sz="4" w:space="0" w:color="auto"/>
              <w:right w:val="single" w:sz="4" w:space="0" w:color="auto"/>
            </w:tcBorders>
            <w:shd w:val="clear" w:color="auto" w:fill="C6EFCE"/>
            <w:hideMark/>
          </w:tcPr>
          <w:p w14:paraId="4595B2D5"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1AFA66AE" w14:textId="38E702A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Delivery of digital systems of five central government ministries or departments</w:t>
            </w:r>
          </w:p>
        </w:tc>
        <w:tc>
          <w:tcPr>
            <w:tcW w:w="1434" w:type="dxa"/>
            <w:tcBorders>
              <w:top w:val="nil"/>
              <w:left w:val="nil"/>
              <w:bottom w:val="single" w:sz="4" w:space="0" w:color="auto"/>
              <w:right w:val="single" w:sz="4" w:space="0" w:color="auto"/>
            </w:tcBorders>
            <w:shd w:val="clear" w:color="auto" w:fill="C6EFCE"/>
            <w:hideMark/>
          </w:tcPr>
          <w:p w14:paraId="1341D7C3"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5FFF104E"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57217094"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hideMark/>
          </w:tcPr>
          <w:p w14:paraId="38E8BB5A"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5</w:t>
            </w:r>
          </w:p>
        </w:tc>
        <w:tc>
          <w:tcPr>
            <w:tcW w:w="845" w:type="dxa"/>
            <w:tcBorders>
              <w:top w:val="nil"/>
              <w:left w:val="nil"/>
              <w:bottom w:val="single" w:sz="4" w:space="0" w:color="auto"/>
              <w:right w:val="single" w:sz="4" w:space="0" w:color="auto"/>
            </w:tcBorders>
            <w:shd w:val="clear" w:color="auto" w:fill="C6EFCE"/>
            <w:hideMark/>
          </w:tcPr>
          <w:p w14:paraId="5368408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hideMark/>
          </w:tcPr>
          <w:p w14:paraId="617FD31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2025</w:t>
            </w:r>
          </w:p>
        </w:tc>
        <w:tc>
          <w:tcPr>
            <w:tcW w:w="3856" w:type="dxa"/>
            <w:tcBorders>
              <w:top w:val="nil"/>
              <w:left w:val="nil"/>
              <w:bottom w:val="single" w:sz="4" w:space="0" w:color="auto"/>
              <w:right w:val="single" w:sz="4" w:space="0" w:color="auto"/>
            </w:tcBorders>
            <w:shd w:val="clear" w:color="auto" w:fill="C6EFCE"/>
            <w:hideMark/>
          </w:tcPr>
          <w:p w14:paraId="7FD293C3" w14:textId="4D4292D0"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Implementation Completion Reports or Acceptance Certificates have been issued for digital systems for the five central government ministries or departments from the list in target with sequential number 233.</w:t>
            </w:r>
            <w:r w:rsidRPr="00000359">
              <w:rPr>
                <w:rFonts w:ascii="Times New Roman" w:hAnsi="Times New Roman" w:cs="Times New Roman"/>
                <w:noProof/>
                <w:color w:val="D13438"/>
                <w:sz w:val="18"/>
                <w:szCs w:val="18"/>
                <w:u w:val="single"/>
              </w:rPr>
              <w:t xml:space="preserve"> </w:t>
            </w:r>
            <w:r w:rsidRPr="00000359">
              <w:rPr>
                <w:rFonts w:ascii="Times New Roman" w:hAnsi="Times New Roman" w:cs="Times New Roman"/>
                <w:noProof/>
                <w:sz w:val="18"/>
                <w:szCs w:val="18"/>
              </w:rPr>
              <w:t xml:space="preserve">For the Department of Road Transport, the system shall include the digitalisation of workflows that may include, but it is not limited to, Vehicle registration, Road tax license renewal and vehicle inspection. For the Deputy Ministry of Shipping, it may include, but it </w:t>
            </w:r>
            <w:bookmarkStart w:id="5" w:name="_Hlk213779827"/>
            <w:r w:rsidRPr="00000359">
              <w:rPr>
                <w:rFonts w:ascii="Times New Roman" w:hAnsi="Times New Roman" w:cs="Times New Roman"/>
                <w:noProof/>
                <w:sz w:val="18"/>
                <w:szCs w:val="18"/>
              </w:rPr>
              <w:t>is not limited to</w:t>
            </w:r>
            <w:bookmarkEnd w:id="5"/>
            <w:r w:rsidRPr="00000359">
              <w:rPr>
                <w:rFonts w:ascii="Times New Roman" w:hAnsi="Times New Roman" w:cs="Times New Roman"/>
                <w:noProof/>
                <w:sz w:val="18"/>
                <w:szCs w:val="18"/>
              </w:rPr>
              <w:t>, Issuance or Renewal of Endorsements and Seamen’s Books, Ship registration, and the Electronic Tonnage Tax System.</w:t>
            </w:r>
          </w:p>
        </w:tc>
      </w:tr>
      <w:tr w:rsidR="00B3049F" w:rsidRPr="00000359" w14:paraId="4A298B1C" w14:textId="77777777" w:rsidTr="00000359">
        <w:trPr>
          <w:trHeight w:val="69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3DF6D4E6"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236</w:t>
            </w:r>
          </w:p>
        </w:tc>
        <w:tc>
          <w:tcPr>
            <w:tcW w:w="1423" w:type="dxa"/>
            <w:tcBorders>
              <w:top w:val="nil"/>
              <w:left w:val="nil"/>
              <w:bottom w:val="single" w:sz="4" w:space="0" w:color="auto"/>
              <w:right w:val="single" w:sz="4" w:space="0" w:color="auto"/>
            </w:tcBorders>
            <w:shd w:val="clear" w:color="auto" w:fill="C6EFCE"/>
          </w:tcPr>
          <w:p w14:paraId="41524DFA"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C4.2I2</w:t>
            </w:r>
          </w:p>
          <w:p w14:paraId="0D86422B"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Digitalisation of the Cyprus Ports Authority</w:t>
            </w:r>
          </w:p>
        </w:tc>
        <w:tc>
          <w:tcPr>
            <w:tcW w:w="1125" w:type="dxa"/>
            <w:tcBorders>
              <w:top w:val="nil"/>
              <w:left w:val="nil"/>
              <w:bottom w:val="single" w:sz="4" w:space="0" w:color="auto"/>
              <w:right w:val="single" w:sz="4" w:space="0" w:color="auto"/>
            </w:tcBorders>
            <w:shd w:val="clear" w:color="auto" w:fill="C6EFCE"/>
            <w:hideMark/>
          </w:tcPr>
          <w:p w14:paraId="72A536FF"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473BCA80"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Start of the digital upgrade of the Cyprus Ports Authority</w:t>
            </w:r>
          </w:p>
        </w:tc>
        <w:tc>
          <w:tcPr>
            <w:tcW w:w="1434" w:type="dxa"/>
            <w:tcBorders>
              <w:top w:val="nil"/>
              <w:left w:val="nil"/>
              <w:bottom w:val="single" w:sz="4" w:space="0" w:color="auto"/>
              <w:right w:val="single" w:sz="4" w:space="0" w:color="auto"/>
            </w:tcBorders>
            <w:shd w:val="clear" w:color="auto" w:fill="C6EFCE"/>
            <w:hideMark/>
          </w:tcPr>
          <w:p w14:paraId="5BD45FB3"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7D682FA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20F889B6"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hideMark/>
          </w:tcPr>
          <w:p w14:paraId="79C7CA94"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4</w:t>
            </w:r>
          </w:p>
        </w:tc>
        <w:tc>
          <w:tcPr>
            <w:tcW w:w="845" w:type="dxa"/>
            <w:tcBorders>
              <w:top w:val="nil"/>
              <w:left w:val="nil"/>
              <w:bottom w:val="single" w:sz="4" w:space="0" w:color="auto"/>
              <w:right w:val="single" w:sz="4" w:space="0" w:color="auto"/>
            </w:tcBorders>
            <w:shd w:val="clear" w:color="auto" w:fill="C6EFCE"/>
            <w:hideMark/>
          </w:tcPr>
          <w:p w14:paraId="00B38A34"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Q2</w:t>
            </w:r>
          </w:p>
        </w:tc>
        <w:tc>
          <w:tcPr>
            <w:tcW w:w="929" w:type="dxa"/>
            <w:tcBorders>
              <w:top w:val="nil"/>
              <w:left w:val="nil"/>
              <w:bottom w:val="single" w:sz="4" w:space="0" w:color="auto"/>
              <w:right w:val="single" w:sz="4" w:space="0" w:color="auto"/>
            </w:tcBorders>
            <w:shd w:val="clear" w:color="auto" w:fill="C6EFCE"/>
            <w:hideMark/>
          </w:tcPr>
          <w:p w14:paraId="02C998E1"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2023</w:t>
            </w:r>
          </w:p>
        </w:tc>
        <w:tc>
          <w:tcPr>
            <w:tcW w:w="3856" w:type="dxa"/>
            <w:tcBorders>
              <w:top w:val="nil"/>
              <w:left w:val="nil"/>
              <w:bottom w:val="single" w:sz="4" w:space="0" w:color="auto"/>
              <w:right w:val="single" w:sz="4" w:space="0" w:color="auto"/>
            </w:tcBorders>
            <w:shd w:val="clear" w:color="auto" w:fill="C6EFCE"/>
            <w:hideMark/>
          </w:tcPr>
          <w:p w14:paraId="0AFA94C2" w14:textId="77777777" w:rsidR="00B3049F" w:rsidRPr="00000359" w:rsidRDefault="00B3049F" w:rsidP="00A22BE7">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 xml:space="preserve">The contracts with providers selected through a public procurement procedure have been signed to develop/upgrade at least four of the following seven systems for the Cyprus Ports Authority: </w:t>
            </w:r>
            <w:r w:rsidRPr="00000359">
              <w:rPr>
                <w:rFonts w:ascii="Times New Roman" w:hAnsi="Times New Roman" w:cs="Times New Roman"/>
                <w:noProof/>
                <w:sz w:val="18"/>
                <w:szCs w:val="18"/>
              </w:rPr>
              <w:br/>
              <w:t xml:space="preserve">1. Upgrade of the Port Community System; </w:t>
            </w:r>
            <w:r w:rsidRPr="00000359">
              <w:rPr>
                <w:rFonts w:ascii="Times New Roman" w:hAnsi="Times New Roman" w:cs="Times New Roman"/>
                <w:noProof/>
                <w:sz w:val="18"/>
                <w:szCs w:val="18"/>
              </w:rPr>
              <w:br/>
              <w:t xml:space="preserve">2. Installation of VTS Station; </w:t>
            </w:r>
            <w:r w:rsidRPr="00000359">
              <w:rPr>
                <w:rFonts w:ascii="Times New Roman" w:hAnsi="Times New Roman" w:cs="Times New Roman"/>
                <w:noProof/>
                <w:sz w:val="18"/>
                <w:szCs w:val="18"/>
              </w:rPr>
              <w:br/>
              <w:t xml:space="preserve">3. Digitisation of CPA archives; </w:t>
            </w:r>
            <w:r w:rsidRPr="00000359">
              <w:rPr>
                <w:rFonts w:ascii="Times New Roman" w:hAnsi="Times New Roman" w:cs="Times New Roman"/>
                <w:noProof/>
                <w:sz w:val="18"/>
                <w:szCs w:val="18"/>
              </w:rPr>
              <w:br/>
              <w:t xml:space="preserve">4. Upgrade of IT infrastructure (such as network, switches); </w:t>
            </w:r>
            <w:r w:rsidRPr="00000359">
              <w:rPr>
                <w:rFonts w:ascii="Times New Roman" w:hAnsi="Times New Roman" w:cs="Times New Roman"/>
                <w:noProof/>
                <w:sz w:val="18"/>
                <w:szCs w:val="18"/>
              </w:rPr>
              <w:br/>
              <w:t xml:space="preserve">5. Update IS systems; </w:t>
            </w:r>
            <w:r w:rsidRPr="00000359">
              <w:rPr>
                <w:rFonts w:ascii="Times New Roman" w:hAnsi="Times New Roman" w:cs="Times New Roman"/>
                <w:noProof/>
                <w:sz w:val="18"/>
                <w:szCs w:val="18"/>
              </w:rPr>
              <w:br/>
              <w:t xml:space="preserve">6. Installation of an HR Management System; </w:t>
            </w:r>
            <w:r w:rsidRPr="00000359">
              <w:rPr>
                <w:rFonts w:ascii="Times New Roman" w:hAnsi="Times New Roman" w:cs="Times New Roman"/>
                <w:noProof/>
                <w:sz w:val="18"/>
                <w:szCs w:val="18"/>
              </w:rPr>
              <w:br/>
              <w:t xml:space="preserve">7. Upgrade CPA Servers; </w:t>
            </w:r>
            <w:r w:rsidRPr="00000359">
              <w:rPr>
                <w:rFonts w:ascii="Times New Roman" w:hAnsi="Times New Roman" w:cs="Times New Roman"/>
                <w:noProof/>
                <w:sz w:val="18"/>
                <w:szCs w:val="18"/>
              </w:rPr>
              <w:br/>
              <w:t xml:space="preserve"> </w:t>
            </w:r>
            <w:r w:rsidRPr="00000359">
              <w:rPr>
                <w:rFonts w:ascii="Times New Roman" w:hAnsi="Times New Roman" w:cs="Times New Roman"/>
                <w:noProof/>
                <w:sz w:val="18"/>
                <w:szCs w:val="18"/>
              </w:rPr>
              <w:br/>
              <w:t xml:space="preserve">and contracts have been signed to develop the following e-service: </w:t>
            </w:r>
            <w:r w:rsidRPr="00000359">
              <w:rPr>
                <w:rFonts w:ascii="Times New Roman" w:hAnsi="Times New Roman" w:cs="Times New Roman"/>
                <w:noProof/>
                <w:sz w:val="18"/>
                <w:szCs w:val="18"/>
              </w:rPr>
              <w:br/>
              <w:t xml:space="preserve"> </w:t>
            </w:r>
            <w:r w:rsidRPr="00000359">
              <w:rPr>
                <w:rFonts w:ascii="Times New Roman" w:hAnsi="Times New Roman" w:cs="Times New Roman"/>
                <w:noProof/>
                <w:sz w:val="18"/>
                <w:szCs w:val="18"/>
              </w:rPr>
              <w:br/>
              <w:t>• monitoring and safety of navigation to and from the ports of Larnaca and Vasiliko.</w:t>
            </w:r>
          </w:p>
        </w:tc>
      </w:tr>
      <w:tr w:rsidR="00B3049F" w:rsidRPr="00000359" w14:paraId="439975D7" w14:textId="77777777" w:rsidTr="00000359">
        <w:trPr>
          <w:trHeight w:val="1305"/>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36CA9E51"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237</w:t>
            </w:r>
          </w:p>
        </w:tc>
        <w:tc>
          <w:tcPr>
            <w:tcW w:w="1423" w:type="dxa"/>
            <w:tcBorders>
              <w:top w:val="nil"/>
              <w:left w:val="nil"/>
              <w:bottom w:val="single" w:sz="4" w:space="0" w:color="auto"/>
              <w:right w:val="single" w:sz="4" w:space="0" w:color="auto"/>
            </w:tcBorders>
            <w:shd w:val="clear" w:color="auto" w:fill="C6EFCE"/>
          </w:tcPr>
          <w:p w14:paraId="16284E70"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C4.2I2</w:t>
            </w:r>
          </w:p>
          <w:p w14:paraId="2355DD54"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Digitalisation of the Cyprus Ports Authority</w:t>
            </w:r>
          </w:p>
        </w:tc>
        <w:tc>
          <w:tcPr>
            <w:tcW w:w="1125" w:type="dxa"/>
            <w:tcBorders>
              <w:top w:val="nil"/>
              <w:left w:val="nil"/>
              <w:bottom w:val="single" w:sz="4" w:space="0" w:color="auto"/>
              <w:right w:val="single" w:sz="4" w:space="0" w:color="auto"/>
            </w:tcBorders>
            <w:shd w:val="clear" w:color="auto" w:fill="C6EFCE"/>
            <w:hideMark/>
          </w:tcPr>
          <w:p w14:paraId="3018B3A9"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3EB1338F"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IT infrastructure of Cyprus Ports Authority</w:t>
            </w:r>
          </w:p>
        </w:tc>
        <w:tc>
          <w:tcPr>
            <w:tcW w:w="1434" w:type="dxa"/>
            <w:tcBorders>
              <w:top w:val="nil"/>
              <w:left w:val="nil"/>
              <w:bottom w:val="single" w:sz="4" w:space="0" w:color="auto"/>
              <w:right w:val="single" w:sz="4" w:space="0" w:color="auto"/>
            </w:tcBorders>
            <w:shd w:val="clear" w:color="auto" w:fill="C6EFCE"/>
            <w:hideMark/>
          </w:tcPr>
          <w:p w14:paraId="2F13D4A2"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26D122F8"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40374EF3"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0</w:t>
            </w:r>
          </w:p>
        </w:tc>
        <w:tc>
          <w:tcPr>
            <w:tcW w:w="1128" w:type="dxa"/>
            <w:tcBorders>
              <w:top w:val="nil"/>
              <w:left w:val="nil"/>
              <w:bottom w:val="single" w:sz="4" w:space="0" w:color="auto"/>
              <w:right w:val="single" w:sz="4" w:space="0" w:color="auto"/>
            </w:tcBorders>
            <w:shd w:val="clear" w:color="auto" w:fill="C6EFCE"/>
            <w:hideMark/>
          </w:tcPr>
          <w:p w14:paraId="24DC855D"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4</w:t>
            </w:r>
          </w:p>
        </w:tc>
        <w:tc>
          <w:tcPr>
            <w:tcW w:w="845" w:type="dxa"/>
            <w:tcBorders>
              <w:top w:val="nil"/>
              <w:left w:val="nil"/>
              <w:bottom w:val="single" w:sz="4" w:space="0" w:color="auto"/>
              <w:right w:val="single" w:sz="4" w:space="0" w:color="auto"/>
            </w:tcBorders>
            <w:shd w:val="clear" w:color="auto" w:fill="C6EFCE"/>
            <w:hideMark/>
          </w:tcPr>
          <w:p w14:paraId="3AF50665"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Q2</w:t>
            </w:r>
          </w:p>
        </w:tc>
        <w:tc>
          <w:tcPr>
            <w:tcW w:w="929" w:type="dxa"/>
            <w:tcBorders>
              <w:top w:val="nil"/>
              <w:left w:val="nil"/>
              <w:bottom w:val="single" w:sz="4" w:space="0" w:color="auto"/>
              <w:right w:val="single" w:sz="4" w:space="0" w:color="auto"/>
            </w:tcBorders>
            <w:shd w:val="clear" w:color="auto" w:fill="C6EFCE"/>
            <w:hideMark/>
          </w:tcPr>
          <w:p w14:paraId="650320B6"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2024</w:t>
            </w:r>
          </w:p>
        </w:tc>
        <w:tc>
          <w:tcPr>
            <w:tcW w:w="3856" w:type="dxa"/>
            <w:tcBorders>
              <w:top w:val="nil"/>
              <w:left w:val="nil"/>
              <w:bottom w:val="single" w:sz="4" w:space="0" w:color="auto"/>
              <w:right w:val="single" w:sz="4" w:space="0" w:color="auto"/>
            </w:tcBorders>
            <w:shd w:val="clear" w:color="auto" w:fill="C6EFCE"/>
            <w:hideMark/>
          </w:tcPr>
          <w:p w14:paraId="440AE605"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The following infrastructure and systems are delivered:</w:t>
            </w:r>
          </w:p>
          <w:p w14:paraId="712729FA" w14:textId="2609F401"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1. VTS Station;</w:t>
            </w:r>
            <w:r w:rsidR="00064579" w:rsidRPr="00000359">
              <w:rPr>
                <w:rFonts w:ascii="Times New Roman" w:hAnsi="Times New Roman" w:cs="Times New Roman"/>
                <w:noProof/>
                <w:sz w:val="18"/>
                <w:szCs w:val="18"/>
              </w:rPr>
              <w:t xml:space="preserve"> </w:t>
            </w:r>
          </w:p>
          <w:p w14:paraId="068245B3"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 xml:space="preserve">2. IT infrastructure (structured cabling and ethernet switches); </w:t>
            </w:r>
          </w:p>
          <w:p w14:paraId="4EB88A77" w14:textId="1D3B6DAA"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3.Solutions or services for the security of information systems (IS);</w:t>
            </w:r>
            <w:r w:rsidR="00064579" w:rsidRPr="00000359">
              <w:rPr>
                <w:rFonts w:ascii="Times New Roman" w:hAnsi="Times New Roman" w:cs="Times New Roman"/>
                <w:noProof/>
                <w:sz w:val="18"/>
                <w:szCs w:val="18"/>
              </w:rPr>
              <w:t xml:space="preserve"> </w:t>
            </w:r>
          </w:p>
          <w:p w14:paraId="0700C530" w14:textId="3064B31A"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 xml:space="preserve">4. CPA servers. </w:t>
            </w:r>
          </w:p>
        </w:tc>
      </w:tr>
      <w:tr w:rsidR="00B3049F" w:rsidRPr="00000359" w14:paraId="6BB85998" w14:textId="77777777" w:rsidTr="00000359">
        <w:trPr>
          <w:trHeight w:val="990"/>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714A83CE"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238</w:t>
            </w:r>
          </w:p>
        </w:tc>
        <w:tc>
          <w:tcPr>
            <w:tcW w:w="1423" w:type="dxa"/>
            <w:tcBorders>
              <w:top w:val="nil"/>
              <w:left w:val="nil"/>
              <w:bottom w:val="single" w:sz="4" w:space="0" w:color="auto"/>
              <w:right w:val="single" w:sz="4" w:space="0" w:color="auto"/>
            </w:tcBorders>
            <w:shd w:val="clear" w:color="auto" w:fill="C6EFCE"/>
          </w:tcPr>
          <w:p w14:paraId="52AF79B5"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C4.2I2</w:t>
            </w:r>
          </w:p>
          <w:p w14:paraId="30DD08F8"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Digitalisation of the Cyprus Ports Authority</w:t>
            </w:r>
          </w:p>
        </w:tc>
        <w:tc>
          <w:tcPr>
            <w:tcW w:w="1125" w:type="dxa"/>
            <w:tcBorders>
              <w:top w:val="nil"/>
              <w:left w:val="nil"/>
              <w:bottom w:val="single" w:sz="4" w:space="0" w:color="auto"/>
              <w:right w:val="single" w:sz="4" w:space="0" w:color="auto"/>
            </w:tcBorders>
            <w:shd w:val="clear" w:color="auto" w:fill="C6EFCE"/>
            <w:hideMark/>
          </w:tcPr>
          <w:p w14:paraId="2AADE15F"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Target</w:t>
            </w:r>
          </w:p>
        </w:tc>
        <w:tc>
          <w:tcPr>
            <w:tcW w:w="1546" w:type="dxa"/>
            <w:tcBorders>
              <w:top w:val="nil"/>
              <w:left w:val="nil"/>
              <w:bottom w:val="single" w:sz="4" w:space="0" w:color="auto"/>
              <w:right w:val="single" w:sz="4" w:space="0" w:color="auto"/>
            </w:tcBorders>
            <w:shd w:val="clear" w:color="auto" w:fill="C6EFCE"/>
            <w:hideMark/>
          </w:tcPr>
          <w:p w14:paraId="6BABB3BB"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IT infrastructure of Cyprus Ports Authority</w:t>
            </w:r>
          </w:p>
        </w:tc>
        <w:tc>
          <w:tcPr>
            <w:tcW w:w="1434" w:type="dxa"/>
            <w:tcBorders>
              <w:top w:val="nil"/>
              <w:left w:val="nil"/>
              <w:bottom w:val="single" w:sz="4" w:space="0" w:color="auto"/>
              <w:right w:val="single" w:sz="4" w:space="0" w:color="auto"/>
            </w:tcBorders>
            <w:shd w:val="clear" w:color="auto" w:fill="C6EFCE"/>
            <w:hideMark/>
          </w:tcPr>
          <w:p w14:paraId="351AEBF2" w14:textId="77777777" w:rsidR="00B3049F" w:rsidRPr="00000359" w:rsidRDefault="00B3049F" w:rsidP="00D8670B">
            <w:pPr>
              <w:spacing w:after="0" w:line="240" w:lineRule="auto"/>
              <w:rPr>
                <w:rFonts w:ascii="Times New Roman" w:hAnsi="Times New Roman" w:cs="Times New Roman"/>
                <w:noProof/>
                <w:sz w:val="18"/>
                <w:szCs w:val="18"/>
              </w:rPr>
            </w:pPr>
            <w:r w:rsidRPr="00000359">
              <w:rPr>
                <w:rFonts w:ascii="Times New Roman" w:hAnsi="Times New Roman" w:cs="Times New Roman"/>
                <w:noProof/>
                <w:sz w:val="18"/>
                <w:szCs w:val="18"/>
              </w:rPr>
              <w:t>-</w:t>
            </w:r>
          </w:p>
        </w:tc>
        <w:tc>
          <w:tcPr>
            <w:tcW w:w="791" w:type="dxa"/>
            <w:tcBorders>
              <w:top w:val="nil"/>
              <w:left w:val="nil"/>
              <w:bottom w:val="single" w:sz="4" w:space="0" w:color="auto"/>
              <w:right w:val="single" w:sz="4" w:space="0" w:color="auto"/>
            </w:tcBorders>
            <w:shd w:val="clear" w:color="auto" w:fill="C6EFCE"/>
            <w:hideMark/>
          </w:tcPr>
          <w:p w14:paraId="64DA62AD"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Number</w:t>
            </w:r>
          </w:p>
        </w:tc>
        <w:tc>
          <w:tcPr>
            <w:tcW w:w="985" w:type="dxa"/>
            <w:tcBorders>
              <w:top w:val="nil"/>
              <w:left w:val="nil"/>
              <w:bottom w:val="single" w:sz="4" w:space="0" w:color="auto"/>
              <w:right w:val="single" w:sz="4" w:space="0" w:color="auto"/>
            </w:tcBorders>
            <w:shd w:val="clear" w:color="auto" w:fill="C6EFCE"/>
            <w:hideMark/>
          </w:tcPr>
          <w:p w14:paraId="290876CB"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4</w:t>
            </w:r>
          </w:p>
        </w:tc>
        <w:tc>
          <w:tcPr>
            <w:tcW w:w="1128" w:type="dxa"/>
            <w:tcBorders>
              <w:top w:val="nil"/>
              <w:left w:val="nil"/>
              <w:bottom w:val="single" w:sz="4" w:space="0" w:color="auto"/>
              <w:right w:val="single" w:sz="4" w:space="0" w:color="auto"/>
            </w:tcBorders>
            <w:shd w:val="clear" w:color="auto" w:fill="C6EFCE"/>
            <w:hideMark/>
          </w:tcPr>
          <w:p w14:paraId="44C20B75"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7</w:t>
            </w:r>
          </w:p>
        </w:tc>
        <w:tc>
          <w:tcPr>
            <w:tcW w:w="845" w:type="dxa"/>
            <w:tcBorders>
              <w:top w:val="nil"/>
              <w:left w:val="nil"/>
              <w:bottom w:val="single" w:sz="4" w:space="0" w:color="auto"/>
              <w:right w:val="single" w:sz="4" w:space="0" w:color="auto"/>
            </w:tcBorders>
            <w:shd w:val="clear" w:color="auto" w:fill="C6EFCE"/>
            <w:hideMark/>
          </w:tcPr>
          <w:p w14:paraId="633E6CCE"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Q4</w:t>
            </w:r>
          </w:p>
        </w:tc>
        <w:tc>
          <w:tcPr>
            <w:tcW w:w="929" w:type="dxa"/>
            <w:tcBorders>
              <w:top w:val="nil"/>
              <w:left w:val="nil"/>
              <w:bottom w:val="single" w:sz="4" w:space="0" w:color="auto"/>
              <w:right w:val="single" w:sz="4" w:space="0" w:color="auto"/>
            </w:tcBorders>
            <w:shd w:val="clear" w:color="auto" w:fill="C6EFCE"/>
            <w:hideMark/>
          </w:tcPr>
          <w:p w14:paraId="6CE10ADA" w14:textId="77777777" w:rsidR="00B3049F" w:rsidRPr="00000359" w:rsidRDefault="00B3049F" w:rsidP="00000359">
            <w:pPr>
              <w:spacing w:after="0" w:line="240" w:lineRule="auto"/>
              <w:jc w:val="center"/>
              <w:rPr>
                <w:rFonts w:ascii="Times New Roman" w:hAnsi="Times New Roman" w:cs="Times New Roman"/>
                <w:noProof/>
                <w:sz w:val="18"/>
                <w:szCs w:val="18"/>
              </w:rPr>
            </w:pPr>
            <w:r w:rsidRPr="00000359">
              <w:rPr>
                <w:rFonts w:ascii="Times New Roman" w:hAnsi="Times New Roman" w:cs="Times New Roman"/>
                <w:noProof/>
                <w:sz w:val="18"/>
                <w:szCs w:val="18"/>
              </w:rPr>
              <w:t>2025</w:t>
            </w:r>
          </w:p>
        </w:tc>
        <w:tc>
          <w:tcPr>
            <w:tcW w:w="3856" w:type="dxa"/>
            <w:tcBorders>
              <w:top w:val="nil"/>
              <w:left w:val="nil"/>
              <w:bottom w:val="single" w:sz="4" w:space="0" w:color="auto"/>
              <w:right w:val="single" w:sz="4" w:space="0" w:color="auto"/>
            </w:tcBorders>
            <w:shd w:val="clear" w:color="auto" w:fill="C6EFCE"/>
            <w:hideMark/>
          </w:tcPr>
          <w:p w14:paraId="106A3C3E"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 xml:space="preserve">The following infrastructure, systems and services are delivered: </w:t>
            </w:r>
          </w:p>
          <w:p w14:paraId="5695D17E" w14:textId="42F490EA"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 xml:space="preserve">1. Upgrade of the Port Community System in a User Acceptance Testing (UAT) environment; </w:t>
            </w:r>
          </w:p>
          <w:p w14:paraId="4C92A6BD" w14:textId="77777777"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 xml:space="preserve">2. Digitisation of CPA archives; </w:t>
            </w:r>
          </w:p>
          <w:p w14:paraId="54B981E0" w14:textId="2237B98C" w:rsidR="00B3049F" w:rsidRPr="00000359" w:rsidRDefault="00B3049F" w:rsidP="00000359">
            <w:pPr>
              <w:spacing w:after="0" w:line="240" w:lineRule="auto"/>
              <w:jc w:val="both"/>
              <w:rPr>
                <w:rFonts w:ascii="Times New Roman" w:hAnsi="Times New Roman" w:cs="Times New Roman"/>
                <w:noProof/>
                <w:sz w:val="18"/>
                <w:szCs w:val="18"/>
              </w:rPr>
            </w:pPr>
            <w:r w:rsidRPr="00000359">
              <w:rPr>
                <w:rFonts w:ascii="Times New Roman" w:hAnsi="Times New Roman" w:cs="Times New Roman"/>
                <w:noProof/>
                <w:sz w:val="18"/>
                <w:szCs w:val="18"/>
              </w:rPr>
              <w:t xml:space="preserve">3. HR Management System in a User Acceptance Testing (UAT) environment. </w:t>
            </w:r>
          </w:p>
        </w:tc>
      </w:tr>
    </w:tbl>
    <w:p w14:paraId="1A5219A7" w14:textId="77777777" w:rsidR="00B3049F" w:rsidRPr="000F04FA" w:rsidRDefault="00B3049F" w:rsidP="00D8670B">
      <w:pPr>
        <w:rPr>
          <w:noProof/>
        </w:rPr>
      </w:pPr>
    </w:p>
    <w:p w14:paraId="5AAED1D7" w14:textId="77777777" w:rsidR="00B3049F" w:rsidRPr="000F04FA" w:rsidRDefault="00B3049F">
      <w:pPr>
        <w:rPr>
          <w:noProof/>
        </w:rPr>
        <w:sectPr w:rsidR="00B3049F" w:rsidRPr="000F04FA" w:rsidSect="00B3049F">
          <w:headerReference w:type="default" r:id="rId84"/>
          <w:footerReference w:type="default" r:id="rId85"/>
          <w:pgSz w:w="15840" w:h="12240" w:orient="landscape"/>
          <w:pgMar w:top="1134" w:right="1134" w:bottom="1134" w:left="1134" w:header="720" w:footer="720" w:gutter="0"/>
          <w:cols w:space="720"/>
          <w:docGrid w:linePitch="360"/>
        </w:sectPr>
      </w:pPr>
    </w:p>
    <w:p w14:paraId="7FB50B74" w14:textId="77777777" w:rsidR="00B3049F" w:rsidRPr="000F04FA" w:rsidRDefault="00B3049F" w:rsidP="00D8670B">
      <w:pPr>
        <w:keepNext/>
        <w:tabs>
          <w:tab w:val="left" w:pos="850"/>
        </w:tabs>
        <w:spacing w:before="360" w:after="120" w:line="240" w:lineRule="auto"/>
        <w:jc w:val="both"/>
        <w:outlineLvl w:val="0"/>
        <w:rPr>
          <w:rFonts w:ascii="Times New Roman" w:hAnsi="Times New Roman"/>
          <w:b/>
          <w:bCs/>
          <w:smallCaps/>
          <w:noProof/>
        </w:rPr>
      </w:pPr>
      <w:r w:rsidRPr="000F04FA">
        <w:rPr>
          <w:rFonts w:ascii="Times New Roman" w:hAnsi="Times New Roman"/>
          <w:b/>
          <w:bCs/>
          <w:smallCaps/>
          <w:noProof/>
        </w:rPr>
        <w:t>L. COMPONENT</w:t>
      </w:r>
      <w:r w:rsidRPr="000F04FA">
        <w:rPr>
          <w:rFonts w:ascii="Times New Roman" w:hAnsi="Times New Roman"/>
          <w:b/>
          <w:smallCaps/>
          <w:noProof/>
        </w:rPr>
        <w:t xml:space="preserve"> 5.1: </w:t>
      </w:r>
      <w:r w:rsidRPr="000F04FA">
        <w:rPr>
          <w:rFonts w:ascii="Times New Roman" w:hAnsi="Times New Roman"/>
          <w:b/>
          <w:bCs/>
          <w:smallCaps/>
          <w:noProof/>
        </w:rPr>
        <w:t xml:space="preserve">Educational system modernisation, upskilling and retraining </w:t>
      </w:r>
    </w:p>
    <w:p w14:paraId="5F8565FD" w14:textId="77777777" w:rsidR="00B3049F" w:rsidRPr="000F04FA" w:rsidRDefault="00B3049F" w:rsidP="00A22BE7">
      <w:pPr>
        <w:spacing w:before="120" w:after="120" w:line="278" w:lineRule="auto"/>
        <w:jc w:val="both"/>
        <w:rPr>
          <w:rFonts w:ascii="Times New Roman" w:hAnsi="Times New Roman"/>
          <w:noProof/>
        </w:rPr>
      </w:pPr>
      <w:r w:rsidRPr="000F04FA">
        <w:rPr>
          <w:rFonts w:ascii="Times New Roman" w:hAnsi="Times New Roman"/>
          <w:noProof/>
        </w:rPr>
        <w:t>This component of the Cypriot Recovery and Resilience plan addresses the challenges of low participation in vocational education and training (VET) and lifelong learning, rising skills mismatches (particularly among young graduates) and poor digital skills. It further addresses the quality of teaching and the availability and affordability of early childhood education and care (ECEC) for children aged four years old. Its objective is to (i) improve the quality and effectiveness of education and training at all levels, (ii) foster the uptake of labour market-relevant reskilling and upskilling opportunities, in particular regarding the twin transitions, across society regardless of employment status, skills level or age, and (iii) modernise the school structures making them fit for the digital transition.</w:t>
      </w:r>
    </w:p>
    <w:p w14:paraId="1BA676B3" w14:textId="77777777" w:rsidR="00B3049F" w:rsidRPr="000F04FA" w:rsidRDefault="00B3049F" w:rsidP="00A22BE7">
      <w:pPr>
        <w:spacing w:before="120" w:after="120" w:line="278" w:lineRule="auto"/>
        <w:jc w:val="both"/>
        <w:rPr>
          <w:rFonts w:ascii="Times New Roman" w:hAnsi="Times New Roman"/>
          <w:noProof/>
        </w:rPr>
      </w:pPr>
      <w:r w:rsidRPr="000F04FA">
        <w:rPr>
          <w:rFonts w:ascii="Times New Roman" w:hAnsi="Times New Roman"/>
          <w:noProof/>
        </w:rPr>
        <w:t>The reforms and investments included in the component address the country-specific recommendations on education and skills (country-specific recommendation 2 2020 and country-specific recommendation 3 2019), early childhood education and care (country-specific recommendation 3 2019) as well as on digital skills (country-specific recommendation 4 2019 and country-specific recommendation 3 2020).</w:t>
      </w:r>
    </w:p>
    <w:p w14:paraId="5C24780F" w14:textId="77777777" w:rsidR="00B3049F" w:rsidRPr="000F04FA" w:rsidRDefault="00B3049F" w:rsidP="00D8670B">
      <w:pPr>
        <w:spacing w:before="120" w:after="120" w:line="240" w:lineRule="auto"/>
        <w:jc w:val="both"/>
        <w:rPr>
          <w:rFonts w:ascii="Times New Roman" w:hAnsi="Times New Roman"/>
          <w:b/>
          <w:noProof/>
          <w:u w:val="single"/>
        </w:rPr>
      </w:pPr>
      <w:r w:rsidRPr="000F04FA">
        <w:rPr>
          <w:rFonts w:ascii="Times New Roman" w:hAnsi="Times New Roman"/>
          <w:b/>
          <w:noProof/>
          <w:u w:val="single"/>
        </w:rPr>
        <w:t xml:space="preserve">L.1. </w:t>
      </w:r>
      <w:r w:rsidRPr="000F04FA">
        <w:rPr>
          <w:noProof/>
        </w:rPr>
        <w:tab/>
      </w:r>
      <w:r w:rsidRPr="000F04FA">
        <w:rPr>
          <w:rFonts w:ascii="Times New Roman" w:hAnsi="Times New Roman"/>
          <w:b/>
          <w:noProof/>
          <w:u w:val="single"/>
        </w:rPr>
        <w:t>Description of the reforms and investments for non-repayable financial support</w:t>
      </w:r>
    </w:p>
    <w:p w14:paraId="7E1EB8C7"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u w:val="single"/>
        </w:rPr>
        <w:t>Reform 1 (C5.1R1): Addressing skills mismatch between education and labour market (Secondary and Higher Education)</w:t>
      </w:r>
    </w:p>
    <w:p w14:paraId="7BA3A89E" w14:textId="77777777" w:rsidR="00B3049F" w:rsidRPr="000F04FA" w:rsidRDefault="00B3049F" w:rsidP="00D8670B">
      <w:pPr>
        <w:spacing w:before="120" w:after="120" w:line="240" w:lineRule="auto"/>
        <w:jc w:val="both"/>
        <w:textAlignment w:val="baseline"/>
        <w:rPr>
          <w:rFonts w:ascii="Times New Roman" w:hAnsi="Times New Roman"/>
          <w:noProof/>
        </w:rPr>
      </w:pPr>
      <w:r w:rsidRPr="000F04FA">
        <w:rPr>
          <w:rFonts w:ascii="Times New Roman" w:hAnsi="Times New Roman"/>
          <w:noProof/>
          <w:shd w:val="clear" w:color="auto" w:fill="FFFFFF"/>
        </w:rPr>
        <w:t xml:space="preserve">The objective of </w:t>
      </w:r>
      <w:r w:rsidRPr="000F04FA">
        <w:rPr>
          <w:rFonts w:ascii="Times New Roman" w:hAnsi="Times New Roman"/>
          <w:noProof/>
        </w:rPr>
        <w:t>this</w:t>
      </w:r>
      <w:r w:rsidRPr="000F04FA">
        <w:rPr>
          <w:rFonts w:ascii="Times New Roman" w:hAnsi="Times New Roman"/>
          <w:noProof/>
          <w:shd w:val="clear" w:color="auto" w:fill="FFFFFF"/>
        </w:rPr>
        <w:t xml:space="preserve"> reform is to </w:t>
      </w:r>
      <w:r w:rsidRPr="000F04FA">
        <w:rPr>
          <w:rFonts w:ascii="Times New Roman" w:hAnsi="Times New Roman"/>
          <w:noProof/>
        </w:rPr>
        <w:t xml:space="preserve">address the skills mismatch between the labour market and the secondary and higher education system. </w:t>
      </w:r>
    </w:p>
    <w:p w14:paraId="5088BF31" w14:textId="77777777" w:rsidR="00B3049F" w:rsidRPr="000F04FA" w:rsidRDefault="00B3049F" w:rsidP="00D8670B">
      <w:pPr>
        <w:spacing w:before="120" w:after="120" w:line="240" w:lineRule="auto"/>
        <w:jc w:val="both"/>
        <w:textAlignment w:val="baseline"/>
        <w:rPr>
          <w:rFonts w:ascii="Times New Roman" w:hAnsi="Times New Roman"/>
          <w:noProof/>
        </w:rPr>
      </w:pPr>
      <w:r w:rsidRPr="000F04FA">
        <w:rPr>
          <w:rFonts w:ascii="Times New Roman" w:hAnsi="Times New Roman"/>
          <w:noProof/>
        </w:rPr>
        <w:t>This measure consists in actions included in the National Action Plan.</w:t>
      </w:r>
    </w:p>
    <w:p w14:paraId="291B9624" w14:textId="77777777" w:rsidR="00B3049F" w:rsidRPr="000F04FA" w:rsidRDefault="00B3049F" w:rsidP="00D8670B">
      <w:pPr>
        <w:spacing w:before="120" w:after="120" w:line="240" w:lineRule="auto"/>
        <w:jc w:val="both"/>
        <w:rPr>
          <w:rFonts w:ascii="Times New Roman" w:hAnsi="Times New Roman" w:cs="Times New Roman"/>
          <w:noProof/>
        </w:rPr>
      </w:pPr>
    </w:p>
    <w:p w14:paraId="225BA6AA" w14:textId="49AC92FE" w:rsidR="00B3049F" w:rsidRPr="00A22BE7" w:rsidRDefault="00B3049F" w:rsidP="00D8670B">
      <w:pPr>
        <w:spacing w:before="120" w:after="120" w:line="240" w:lineRule="auto"/>
        <w:jc w:val="both"/>
        <w:rPr>
          <w:rFonts w:ascii="Times New Roman" w:eastAsia="Times New Roman" w:hAnsi="Times New Roman" w:cs="Times New Roman"/>
          <w:noProof/>
        </w:rPr>
      </w:pPr>
      <w:r w:rsidRPr="000F04FA">
        <w:rPr>
          <w:rFonts w:ascii="Times New Roman" w:hAnsi="Times New Roman"/>
          <w:noProof/>
          <w:u w:val="single"/>
        </w:rPr>
        <w:t>Reform 2 (C5.1R2): A</w:t>
      </w:r>
      <w:r w:rsidR="00064579">
        <w:rPr>
          <w:rFonts w:ascii="Times New Roman" w:hAnsi="Times New Roman"/>
          <w:noProof/>
          <w:u w:val="single"/>
        </w:rPr>
        <w:t xml:space="preserve"> </w:t>
      </w:r>
      <w:r w:rsidRPr="000F04FA">
        <w:rPr>
          <w:rFonts w:ascii="Times New Roman" w:hAnsi="Times New Roman"/>
          <w:noProof/>
          <w:u w:val="single"/>
        </w:rPr>
        <w:t xml:space="preserve">school evaluation </w:t>
      </w:r>
      <w:r w:rsidRPr="00A22BE7">
        <w:rPr>
          <w:rFonts w:ascii="Times New Roman" w:hAnsi="Times New Roman"/>
          <w:noProof/>
          <w:u w:val="single"/>
        </w:rPr>
        <w:t>system</w:t>
      </w:r>
      <w:r w:rsidRPr="00A22BE7">
        <w:rPr>
          <w:rFonts w:ascii="Times New Roman" w:eastAsia="Times New Roman" w:hAnsi="Times New Roman" w:cs="Times New Roman"/>
          <w:noProof/>
          <w:u w:val="single"/>
        </w:rPr>
        <w:t xml:space="preserve"> and formative evaluation of teachers</w:t>
      </w:r>
    </w:p>
    <w:p w14:paraId="31159B74" w14:textId="77777777" w:rsidR="00B3049F" w:rsidRPr="00A22BE7" w:rsidRDefault="00B3049F" w:rsidP="00D8670B">
      <w:pPr>
        <w:spacing w:before="120" w:after="120" w:line="240" w:lineRule="auto"/>
        <w:jc w:val="both"/>
        <w:rPr>
          <w:rFonts w:ascii="Times New Roman" w:hAnsi="Times New Roman"/>
          <w:noProof/>
        </w:rPr>
      </w:pPr>
      <w:r w:rsidRPr="00A22BE7">
        <w:rPr>
          <w:rFonts w:ascii="Times New Roman" w:hAnsi="Times New Roman"/>
          <w:noProof/>
        </w:rPr>
        <w:t>The objective of this reform is to enhance the quality of education and consequently students’ educational outcomes.</w:t>
      </w:r>
    </w:p>
    <w:p w14:paraId="24F986DC" w14:textId="306F95D8" w:rsidR="00B3049F" w:rsidRDefault="00B3049F" w:rsidP="00D8670B">
      <w:pPr>
        <w:jc w:val="both"/>
        <w:rPr>
          <w:rFonts w:ascii="Times New Roman" w:eastAsia="Times New Roman" w:hAnsi="Times New Roman" w:cs="Times New Roman"/>
          <w:noProof/>
          <w:u w:val="single"/>
        </w:rPr>
      </w:pPr>
      <w:r w:rsidRPr="00A22BE7">
        <w:rPr>
          <w:rFonts w:ascii="Times New Roman" w:hAnsi="Times New Roman"/>
          <w:noProof/>
        </w:rPr>
        <w:t>This measure consists in</w:t>
      </w:r>
      <w:r w:rsidR="00064579" w:rsidRPr="00A22BE7">
        <w:rPr>
          <w:rFonts w:ascii="Times New Roman" w:hAnsi="Times New Roman"/>
          <w:noProof/>
        </w:rPr>
        <w:t xml:space="preserve"> </w:t>
      </w:r>
      <w:r w:rsidRPr="00A22BE7">
        <w:rPr>
          <w:rFonts w:ascii="Times New Roman" w:hAnsi="Times New Roman"/>
          <w:noProof/>
        </w:rPr>
        <w:t>a school evaluation system</w:t>
      </w:r>
      <w:r w:rsidR="00064579" w:rsidRPr="00A22BE7">
        <w:rPr>
          <w:rFonts w:ascii="Times New Roman" w:hAnsi="Times New Roman"/>
          <w:noProof/>
        </w:rPr>
        <w:t xml:space="preserve"> </w:t>
      </w:r>
      <w:r w:rsidRPr="00A22BE7">
        <w:rPr>
          <w:rFonts w:ascii="Times New Roman" w:eastAsia="Times New Roman" w:hAnsi="Times New Roman" w:cs="Times New Roman"/>
          <w:noProof/>
          <w:u w:val="single"/>
        </w:rPr>
        <w:t>and formative evaluation of teachers.</w:t>
      </w:r>
    </w:p>
    <w:p w14:paraId="5BBCB330" w14:textId="77777777" w:rsidR="00A8082B" w:rsidRPr="00A22BE7" w:rsidRDefault="00A8082B" w:rsidP="00D8670B">
      <w:pPr>
        <w:jc w:val="both"/>
        <w:rPr>
          <w:rFonts w:ascii="Times New Roman" w:hAnsi="Times New Roman"/>
          <w:noProof/>
          <w:u w:val="single"/>
        </w:rPr>
      </w:pPr>
    </w:p>
    <w:p w14:paraId="13B777F9" w14:textId="77777777" w:rsidR="00B3049F" w:rsidRPr="000F04FA" w:rsidRDefault="00B3049F" w:rsidP="00D8670B">
      <w:pPr>
        <w:keepNext/>
        <w:jc w:val="both"/>
        <w:rPr>
          <w:rFonts w:ascii="Times New Roman" w:hAnsi="Times New Roman"/>
          <w:noProof/>
          <w:u w:val="single"/>
        </w:rPr>
      </w:pPr>
      <w:r w:rsidRPr="000F04FA">
        <w:rPr>
          <w:rFonts w:ascii="Times New Roman" w:hAnsi="Times New Roman"/>
          <w:noProof/>
          <w:u w:val="single"/>
        </w:rPr>
        <w:t xml:space="preserve">Reform 3 (C5.1R3): Gradual extension of free compulsory pre-primary education from the age of four </w:t>
      </w:r>
    </w:p>
    <w:p w14:paraId="00823AF7" w14:textId="77777777" w:rsidR="00B3049F" w:rsidRPr="000F04FA" w:rsidRDefault="00B3049F" w:rsidP="00D8670B">
      <w:pPr>
        <w:spacing w:before="120" w:after="120"/>
        <w:jc w:val="both"/>
        <w:textAlignment w:val="baseline"/>
        <w:rPr>
          <w:rFonts w:ascii="Times New Roman" w:hAnsi="Times New Roman"/>
          <w:noProof/>
        </w:rPr>
      </w:pPr>
      <w:r w:rsidRPr="000F04FA">
        <w:rPr>
          <w:rFonts w:ascii="Times New Roman" w:hAnsi="Times New Roman"/>
          <w:noProof/>
        </w:rPr>
        <w:t>The objective of this reform is to enhance the availability and affordability of early childhood education and care (ECEC).</w:t>
      </w:r>
    </w:p>
    <w:p w14:paraId="1F1CCF5A" w14:textId="77777777" w:rsidR="00B3049F" w:rsidRPr="000F04FA" w:rsidRDefault="00B3049F" w:rsidP="00D8670B">
      <w:pPr>
        <w:keepNext/>
        <w:jc w:val="both"/>
        <w:rPr>
          <w:rFonts w:ascii="Times New Roman" w:hAnsi="Times New Roman"/>
          <w:noProof/>
          <w:u w:val="single"/>
        </w:rPr>
      </w:pPr>
      <w:r w:rsidRPr="000F04FA">
        <w:rPr>
          <w:rFonts w:ascii="Times New Roman" w:hAnsi="Times New Roman" w:cs="Times New Roman"/>
          <w:noProof/>
        </w:rPr>
        <w:t xml:space="preserve">This measure consists in </w:t>
      </w:r>
      <w:r w:rsidRPr="000F04FA">
        <w:rPr>
          <w:rFonts w:ascii="Times New Roman" w:hAnsi="Times New Roman"/>
          <w:noProof/>
        </w:rPr>
        <w:t xml:space="preserve">the </w:t>
      </w:r>
      <w:r w:rsidRPr="000F04FA">
        <w:rPr>
          <w:rFonts w:ascii="Times New Roman" w:hAnsi="Times New Roman" w:cs="Times New Roman"/>
          <w:noProof/>
        </w:rPr>
        <w:t>extension</w:t>
      </w:r>
      <w:r w:rsidRPr="000F04FA">
        <w:rPr>
          <w:rFonts w:ascii="Times New Roman" w:hAnsi="Times New Roman"/>
          <w:noProof/>
        </w:rPr>
        <w:t xml:space="preserve"> of free compulsory pre-primary education from </w:t>
      </w:r>
      <w:r w:rsidRPr="000F04FA">
        <w:rPr>
          <w:rFonts w:ascii="Times New Roman" w:hAnsi="Times New Roman" w:cs="Times New Roman"/>
          <w:noProof/>
        </w:rPr>
        <w:t xml:space="preserve">the </w:t>
      </w:r>
      <w:r w:rsidRPr="000F04FA">
        <w:rPr>
          <w:rFonts w:ascii="Times New Roman" w:hAnsi="Times New Roman"/>
          <w:noProof/>
        </w:rPr>
        <w:t>age of four</w:t>
      </w:r>
      <w:r w:rsidRPr="000F04FA">
        <w:rPr>
          <w:rFonts w:ascii="Times New Roman" w:hAnsi="Times New Roman" w:cs="Times New Roman"/>
          <w:noProof/>
        </w:rPr>
        <w:t xml:space="preserve">. </w:t>
      </w:r>
    </w:p>
    <w:p w14:paraId="2F4B7D53" w14:textId="77777777" w:rsidR="00B3049F" w:rsidRPr="000F04FA" w:rsidRDefault="00B3049F" w:rsidP="00D8670B">
      <w:pPr>
        <w:spacing w:before="120" w:after="120"/>
        <w:jc w:val="both"/>
        <w:textAlignment w:val="baseline"/>
        <w:rPr>
          <w:rFonts w:ascii="Times New Roman" w:hAnsi="Times New Roman"/>
          <w:noProof/>
        </w:rPr>
      </w:pPr>
    </w:p>
    <w:p w14:paraId="7E139F05"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Reform 4 (C5.1R4): Digital transformation of school units with the aim of supporting digital skills and skills related to STEM education</w:t>
      </w:r>
    </w:p>
    <w:p w14:paraId="51C87E69"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The objective of this reform is to support the digital transition of the education system.</w:t>
      </w:r>
    </w:p>
    <w:p w14:paraId="13A6607B" w14:textId="7AABB10A"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This measure consists in the supply or financial support</w:t>
      </w:r>
      <w:r w:rsidR="00A22BE7">
        <w:rPr>
          <w:rFonts w:ascii="Times New Roman" w:hAnsi="Times New Roman"/>
          <w:noProof/>
        </w:rPr>
        <w:t xml:space="preserve"> </w:t>
      </w:r>
      <w:r w:rsidRPr="000F04FA">
        <w:rPr>
          <w:rFonts w:ascii="Times New Roman" w:hAnsi="Times New Roman"/>
          <w:noProof/>
        </w:rPr>
        <w:t>for digital equipment to schools and students.</w:t>
      </w:r>
    </w:p>
    <w:p w14:paraId="70D01C75" w14:textId="77777777" w:rsidR="00B3049F" w:rsidRPr="000F04FA" w:rsidRDefault="00B3049F" w:rsidP="00D8670B">
      <w:pPr>
        <w:spacing w:before="120" w:after="120" w:line="240" w:lineRule="auto"/>
        <w:jc w:val="both"/>
        <w:rPr>
          <w:rFonts w:ascii="Times New Roman" w:hAnsi="Times New Roman" w:cs="Times New Roman"/>
          <w:noProof/>
        </w:rPr>
      </w:pPr>
    </w:p>
    <w:p w14:paraId="7AE0A32B" w14:textId="77777777" w:rsidR="00B3049F" w:rsidRPr="000F04FA" w:rsidRDefault="00B3049F" w:rsidP="00D8670B">
      <w:pPr>
        <w:spacing w:after="0" w:line="240" w:lineRule="auto"/>
        <w:jc w:val="both"/>
        <w:textAlignment w:val="baseline"/>
        <w:rPr>
          <w:rFonts w:ascii="Times New Roman" w:hAnsi="Times New Roman"/>
          <w:noProof/>
        </w:rPr>
      </w:pPr>
      <w:r w:rsidRPr="000F04FA">
        <w:rPr>
          <w:rFonts w:ascii="Times New Roman" w:hAnsi="Times New Roman"/>
          <w:noProof/>
          <w:u w:val="single"/>
        </w:rPr>
        <w:t>Reform 5 (C5.1R5): E-skills Action Plan – Delivery of specific actions</w:t>
      </w:r>
    </w:p>
    <w:p w14:paraId="16E0B3C4"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 xml:space="preserve">This objective of this reform is to enhance digital competences across population groups. </w:t>
      </w:r>
    </w:p>
    <w:p w14:paraId="455D2584"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This measure consists in actions related to the E-skills action plan.</w:t>
      </w:r>
    </w:p>
    <w:p w14:paraId="21752574" w14:textId="77777777" w:rsidR="00B3049F" w:rsidRPr="000F04FA" w:rsidRDefault="00B3049F" w:rsidP="00D8670B">
      <w:pPr>
        <w:spacing w:before="120" w:after="120" w:line="240" w:lineRule="auto"/>
        <w:jc w:val="both"/>
        <w:rPr>
          <w:rFonts w:ascii="Times New Roman" w:hAnsi="Times New Roman" w:cs="Times New Roman"/>
          <w:noProof/>
        </w:rPr>
      </w:pPr>
    </w:p>
    <w:p w14:paraId="262A8738" w14:textId="77777777" w:rsidR="00B3049F" w:rsidRPr="000F04FA" w:rsidRDefault="00B3049F" w:rsidP="00D8670B">
      <w:pPr>
        <w:spacing w:after="0" w:line="240" w:lineRule="auto"/>
        <w:jc w:val="both"/>
        <w:textAlignment w:val="baseline"/>
        <w:rPr>
          <w:rFonts w:ascii="Times New Roman" w:hAnsi="Times New Roman"/>
          <w:noProof/>
          <w:u w:val="single"/>
        </w:rPr>
      </w:pPr>
      <w:r w:rsidRPr="000F04FA">
        <w:rPr>
          <w:rFonts w:ascii="Times New Roman" w:hAnsi="Times New Roman"/>
          <w:noProof/>
          <w:u w:val="single"/>
        </w:rPr>
        <w:t>Investment 1(C5.1I1): Construction of one Model Technical School</w:t>
      </w:r>
    </w:p>
    <w:p w14:paraId="48922C09" w14:textId="77777777" w:rsidR="00B3049F" w:rsidRPr="000F04FA" w:rsidRDefault="00B3049F" w:rsidP="00D8670B">
      <w:pPr>
        <w:spacing w:before="120" w:after="120" w:line="240" w:lineRule="auto"/>
        <w:jc w:val="both"/>
        <w:textAlignment w:val="baseline"/>
        <w:rPr>
          <w:rFonts w:ascii="Times New Roman" w:hAnsi="Times New Roman"/>
          <w:noProof/>
        </w:rPr>
      </w:pPr>
      <w:r w:rsidRPr="000F04FA">
        <w:rPr>
          <w:rFonts w:ascii="Times New Roman" w:hAnsi="Times New Roman"/>
          <w:noProof/>
        </w:rPr>
        <w:t xml:space="preserve">The objective of this investment is to extend the capacity of vocational education and training (VET) in Cyprus. </w:t>
      </w:r>
    </w:p>
    <w:p w14:paraId="2AB0340E" w14:textId="77777777" w:rsidR="00B3049F" w:rsidRPr="000F04FA" w:rsidRDefault="00B3049F" w:rsidP="00D8670B">
      <w:pPr>
        <w:spacing w:before="120" w:after="120" w:line="240" w:lineRule="auto"/>
        <w:jc w:val="both"/>
        <w:textAlignment w:val="baseline"/>
        <w:rPr>
          <w:rFonts w:ascii="Times New Roman" w:hAnsi="Times New Roman"/>
          <w:noProof/>
        </w:rPr>
      </w:pPr>
      <w:r w:rsidRPr="000F04FA">
        <w:rPr>
          <w:rFonts w:ascii="Times New Roman" w:hAnsi="Times New Roman"/>
          <w:noProof/>
        </w:rPr>
        <w:t xml:space="preserve">This measure consists in the signature of the contract for the construction of one new technical school in Limassol </w:t>
      </w:r>
    </w:p>
    <w:p w14:paraId="44C9CE4F" w14:textId="77777777" w:rsidR="00B3049F" w:rsidRPr="000F04FA" w:rsidRDefault="00B3049F" w:rsidP="00D8670B">
      <w:pPr>
        <w:spacing w:before="120" w:after="120" w:line="240" w:lineRule="auto"/>
        <w:jc w:val="both"/>
        <w:textAlignment w:val="baseline"/>
        <w:rPr>
          <w:rFonts w:ascii="Times New Roman" w:hAnsi="Times New Roman"/>
          <w:noProof/>
        </w:rPr>
      </w:pPr>
    </w:p>
    <w:p w14:paraId="0CFC82A5"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u w:val="single"/>
        </w:rPr>
        <w:t>Investment</w:t>
      </w:r>
      <w:r w:rsidRPr="000F04FA">
        <w:rPr>
          <w:rFonts w:ascii="Times New Roman" w:hAnsi="Times New Roman"/>
          <w:noProof/>
          <w:u w:val="single"/>
          <w:shd w:val="clear" w:color="auto" w:fill="FFFFFF"/>
        </w:rPr>
        <w:t xml:space="preserve"> 2 (</w:t>
      </w:r>
      <w:r w:rsidRPr="000F04FA">
        <w:rPr>
          <w:rFonts w:ascii="Times New Roman" w:hAnsi="Times New Roman"/>
          <w:noProof/>
          <w:u w:val="single"/>
        </w:rPr>
        <w:t>C5.1I2)</w:t>
      </w:r>
      <w:r w:rsidRPr="000F04FA">
        <w:rPr>
          <w:rFonts w:ascii="Times New Roman" w:hAnsi="Times New Roman"/>
          <w:noProof/>
          <w:u w:val="single"/>
          <w:shd w:val="clear" w:color="auto" w:fill="FFFFFF"/>
        </w:rPr>
        <w:t>: Skilling, Reskilling and Upskilling</w:t>
      </w:r>
    </w:p>
    <w:p w14:paraId="4E2CB487"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The objective of this investment is to support the skills of the population.</w:t>
      </w:r>
    </w:p>
    <w:p w14:paraId="24168EEA"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This measure consists in training participants in programmes for digital, green, blue, and entrepreneurial skills.</w:t>
      </w:r>
    </w:p>
    <w:p w14:paraId="107561C1" w14:textId="77777777" w:rsidR="00B3049F" w:rsidRPr="000F04FA" w:rsidRDefault="00B3049F" w:rsidP="00D8670B">
      <w:pPr>
        <w:spacing w:before="120" w:after="120" w:line="240" w:lineRule="auto"/>
        <w:jc w:val="both"/>
        <w:rPr>
          <w:rFonts w:ascii="Times New Roman" w:hAnsi="Times New Roman"/>
          <w:noProof/>
        </w:rPr>
      </w:pPr>
    </w:p>
    <w:p w14:paraId="0233EC2E" w14:textId="77777777" w:rsidR="00B3049F" w:rsidRPr="000F04FA" w:rsidRDefault="00B3049F" w:rsidP="00D8670B">
      <w:pPr>
        <w:rPr>
          <w:noProof/>
        </w:rPr>
        <w:sectPr w:rsidR="00B3049F" w:rsidRPr="000F04FA" w:rsidSect="00B3049F">
          <w:headerReference w:type="default" r:id="rId86"/>
          <w:footerReference w:type="default" r:id="rId87"/>
          <w:pgSz w:w="12240" w:h="15840"/>
          <w:pgMar w:top="1134" w:right="1134" w:bottom="1134" w:left="1134" w:header="720" w:footer="720" w:gutter="0"/>
          <w:cols w:space="720"/>
          <w:docGrid w:linePitch="360"/>
        </w:sectPr>
      </w:pPr>
    </w:p>
    <w:p w14:paraId="1CF843A1" w14:textId="77777777" w:rsidR="00B3049F" w:rsidRPr="000F04FA" w:rsidRDefault="00B3049F" w:rsidP="00A04476">
      <w:pPr>
        <w:spacing w:before="120" w:after="240" w:line="240" w:lineRule="auto"/>
        <w:jc w:val="center"/>
        <w:rPr>
          <w:rFonts w:ascii="Times New Roman" w:hAnsi="Times New Roman"/>
          <w:b/>
          <w:noProof/>
          <w:u w:val="single"/>
        </w:rPr>
      </w:pPr>
      <w:r w:rsidRPr="000F04FA">
        <w:rPr>
          <w:rFonts w:ascii="Times New Roman" w:hAnsi="Times New Roman"/>
          <w:b/>
          <w:noProof/>
          <w:u w:val="single"/>
        </w:rPr>
        <w:t>L.2. Milestones, targets, indicators, and timetable for monitoring and implementation for non-repayable financial support</w:t>
      </w:r>
    </w:p>
    <w:tbl>
      <w:tblPr>
        <w:tblW w:w="15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37"/>
        <w:gridCol w:w="1423"/>
        <w:gridCol w:w="1558"/>
        <w:gridCol w:w="1130"/>
        <w:gridCol w:w="992"/>
        <w:gridCol w:w="1280"/>
        <w:gridCol w:w="885"/>
        <w:gridCol w:w="992"/>
        <w:gridCol w:w="3227"/>
      </w:tblGrid>
      <w:tr w:rsidR="00B3049F" w:rsidRPr="00A22BE7" w14:paraId="09F3CD81" w14:textId="77777777" w:rsidTr="003053C5">
        <w:trPr>
          <w:trHeight w:val="300"/>
          <w:tblHeader/>
          <w:jc w:val="center"/>
        </w:trPr>
        <w:tc>
          <w:tcPr>
            <w:tcW w:w="1129" w:type="dxa"/>
            <w:vMerge w:val="restart"/>
            <w:tcBorders>
              <w:top w:val="single" w:sz="4" w:space="0" w:color="auto"/>
            </w:tcBorders>
            <w:shd w:val="clear" w:color="auto" w:fill="BDD7EE"/>
            <w:vAlign w:val="center"/>
            <w:hideMark/>
          </w:tcPr>
          <w:p w14:paraId="7B4743B0" w14:textId="77777777" w:rsidR="00B3049F" w:rsidRPr="00A22BE7" w:rsidRDefault="00B3049F" w:rsidP="00D8670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Sequential Number</w:t>
            </w:r>
          </w:p>
        </w:tc>
        <w:tc>
          <w:tcPr>
            <w:tcW w:w="1560" w:type="dxa"/>
            <w:vMerge w:val="restart"/>
            <w:tcBorders>
              <w:top w:val="single" w:sz="4" w:space="0" w:color="auto"/>
            </w:tcBorders>
            <w:shd w:val="clear" w:color="auto" w:fill="BDD7EE"/>
            <w:vAlign w:val="center"/>
            <w:hideMark/>
          </w:tcPr>
          <w:p w14:paraId="77FCC3BA" w14:textId="77777777" w:rsidR="00B3049F" w:rsidRPr="00A22BE7" w:rsidRDefault="00B3049F" w:rsidP="00D8670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Related Measure (Reform or Investment)</w:t>
            </w:r>
          </w:p>
        </w:tc>
        <w:tc>
          <w:tcPr>
            <w:tcW w:w="1237" w:type="dxa"/>
            <w:vMerge w:val="restart"/>
            <w:tcBorders>
              <w:top w:val="single" w:sz="4" w:space="0" w:color="auto"/>
            </w:tcBorders>
            <w:shd w:val="clear" w:color="auto" w:fill="BDD7EE"/>
            <w:vAlign w:val="center"/>
            <w:hideMark/>
          </w:tcPr>
          <w:p w14:paraId="36ED9C19" w14:textId="77777777" w:rsidR="00B3049F" w:rsidRPr="00A22BE7" w:rsidRDefault="00B3049F" w:rsidP="00D8670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Milestone / Target</w:t>
            </w:r>
          </w:p>
        </w:tc>
        <w:tc>
          <w:tcPr>
            <w:tcW w:w="1423" w:type="dxa"/>
            <w:vMerge w:val="restart"/>
            <w:tcBorders>
              <w:top w:val="single" w:sz="4" w:space="0" w:color="auto"/>
            </w:tcBorders>
            <w:shd w:val="clear" w:color="auto" w:fill="BDD7EE"/>
            <w:vAlign w:val="center"/>
            <w:hideMark/>
          </w:tcPr>
          <w:p w14:paraId="548A49B7" w14:textId="77777777" w:rsidR="00B3049F" w:rsidRPr="00A22BE7" w:rsidRDefault="00B3049F" w:rsidP="00D8670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Name</w:t>
            </w:r>
          </w:p>
        </w:tc>
        <w:tc>
          <w:tcPr>
            <w:tcW w:w="1558" w:type="dxa"/>
            <w:vMerge w:val="restart"/>
            <w:tcBorders>
              <w:top w:val="single" w:sz="4" w:space="0" w:color="auto"/>
            </w:tcBorders>
            <w:shd w:val="clear" w:color="auto" w:fill="BDD7EE"/>
            <w:vAlign w:val="center"/>
            <w:hideMark/>
          </w:tcPr>
          <w:p w14:paraId="583ADB21" w14:textId="44A0FB4D" w:rsidR="00B3049F" w:rsidRPr="00A22BE7" w:rsidRDefault="00B3049F" w:rsidP="00D8670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Qualitative indicators</w:t>
            </w:r>
            <w:r w:rsidR="00064579" w:rsidRPr="00A22BE7">
              <w:rPr>
                <w:rFonts w:ascii="Times New Roman" w:hAnsi="Times New Roman" w:cs="Times New Roman"/>
                <w:b/>
                <w:noProof/>
                <w:sz w:val="18"/>
                <w:szCs w:val="18"/>
              </w:rPr>
              <w:t xml:space="preserve"> </w:t>
            </w:r>
            <w:r w:rsidRPr="00A22BE7">
              <w:rPr>
                <w:rFonts w:ascii="Times New Roman" w:hAnsi="Times New Roman" w:cs="Times New Roman"/>
                <w:noProof/>
                <w:sz w:val="18"/>
                <w:szCs w:val="18"/>
              </w:rPr>
              <w:br/>
            </w:r>
            <w:r w:rsidRPr="00A22BE7">
              <w:rPr>
                <w:rFonts w:ascii="Times New Roman" w:hAnsi="Times New Roman" w:cs="Times New Roman"/>
                <w:b/>
                <w:noProof/>
                <w:sz w:val="18"/>
                <w:szCs w:val="18"/>
              </w:rPr>
              <w:t>(for milestones)</w:t>
            </w:r>
          </w:p>
        </w:tc>
        <w:tc>
          <w:tcPr>
            <w:tcW w:w="3402" w:type="dxa"/>
            <w:gridSpan w:val="3"/>
            <w:tcBorders>
              <w:top w:val="single" w:sz="4" w:space="0" w:color="auto"/>
            </w:tcBorders>
            <w:shd w:val="clear" w:color="auto" w:fill="BDD7EE"/>
            <w:vAlign w:val="center"/>
            <w:hideMark/>
          </w:tcPr>
          <w:p w14:paraId="64F55F2C" w14:textId="13FAB564" w:rsidR="00B3049F" w:rsidRPr="00A22BE7" w:rsidRDefault="00B3049F" w:rsidP="00A8082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Quantitative indicators</w:t>
            </w:r>
            <w:r w:rsidR="00064579" w:rsidRPr="00A22BE7">
              <w:rPr>
                <w:rFonts w:ascii="Times New Roman" w:hAnsi="Times New Roman" w:cs="Times New Roman"/>
                <w:b/>
                <w:noProof/>
                <w:sz w:val="18"/>
                <w:szCs w:val="18"/>
              </w:rPr>
              <w:t xml:space="preserve"> </w:t>
            </w:r>
            <w:r w:rsidRPr="00A22BE7">
              <w:rPr>
                <w:rFonts w:ascii="Times New Roman" w:hAnsi="Times New Roman" w:cs="Times New Roman"/>
                <w:noProof/>
                <w:sz w:val="18"/>
                <w:szCs w:val="18"/>
              </w:rPr>
              <w:br/>
            </w:r>
            <w:r w:rsidRPr="00A22BE7">
              <w:rPr>
                <w:rFonts w:ascii="Times New Roman" w:hAnsi="Times New Roman" w:cs="Times New Roman"/>
                <w:b/>
                <w:noProof/>
                <w:sz w:val="18"/>
                <w:szCs w:val="18"/>
              </w:rPr>
              <w:t>(for targets)</w:t>
            </w:r>
          </w:p>
        </w:tc>
        <w:tc>
          <w:tcPr>
            <w:tcW w:w="1877" w:type="dxa"/>
            <w:gridSpan w:val="2"/>
            <w:tcBorders>
              <w:top w:val="single" w:sz="4" w:space="0" w:color="auto"/>
            </w:tcBorders>
            <w:shd w:val="clear" w:color="auto" w:fill="BDD7EE"/>
            <w:vAlign w:val="center"/>
            <w:hideMark/>
          </w:tcPr>
          <w:p w14:paraId="34510130" w14:textId="792240DF" w:rsidR="00B3049F" w:rsidRPr="00A22BE7" w:rsidRDefault="00B3049F" w:rsidP="00A8082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Indicative timeline for completion</w:t>
            </w:r>
          </w:p>
        </w:tc>
        <w:tc>
          <w:tcPr>
            <w:tcW w:w="3227" w:type="dxa"/>
            <w:vMerge w:val="restart"/>
            <w:tcBorders>
              <w:top w:val="single" w:sz="4" w:space="0" w:color="auto"/>
            </w:tcBorders>
            <w:shd w:val="clear" w:color="auto" w:fill="BDD7EE"/>
            <w:vAlign w:val="center"/>
            <w:hideMark/>
          </w:tcPr>
          <w:p w14:paraId="22A75EFD" w14:textId="77777777" w:rsidR="00B3049F" w:rsidRPr="00A22BE7" w:rsidRDefault="00B3049F" w:rsidP="00A8082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Description of each milestone and target</w:t>
            </w:r>
          </w:p>
        </w:tc>
      </w:tr>
      <w:tr w:rsidR="00B3049F" w:rsidRPr="00A22BE7" w14:paraId="1129FFBA" w14:textId="77777777" w:rsidTr="003053C5">
        <w:trPr>
          <w:trHeight w:val="300"/>
          <w:tblHeader/>
          <w:jc w:val="center"/>
        </w:trPr>
        <w:tc>
          <w:tcPr>
            <w:tcW w:w="1129" w:type="dxa"/>
            <w:vMerge/>
            <w:vAlign w:val="center"/>
            <w:hideMark/>
          </w:tcPr>
          <w:p w14:paraId="691F8D2D" w14:textId="77777777" w:rsidR="00B3049F" w:rsidRPr="00A22BE7" w:rsidRDefault="00B3049F" w:rsidP="00D8670B">
            <w:pPr>
              <w:spacing w:after="0" w:line="240" w:lineRule="auto"/>
              <w:rPr>
                <w:rFonts w:ascii="Times New Roman" w:hAnsi="Times New Roman" w:cs="Times New Roman"/>
                <w:b/>
                <w:noProof/>
                <w:sz w:val="18"/>
                <w:szCs w:val="18"/>
              </w:rPr>
            </w:pPr>
          </w:p>
        </w:tc>
        <w:tc>
          <w:tcPr>
            <w:tcW w:w="1560" w:type="dxa"/>
            <w:vMerge/>
            <w:vAlign w:val="center"/>
            <w:hideMark/>
          </w:tcPr>
          <w:p w14:paraId="7A77E3D7" w14:textId="77777777" w:rsidR="00B3049F" w:rsidRPr="00A22BE7" w:rsidRDefault="00B3049F" w:rsidP="00D8670B">
            <w:pPr>
              <w:spacing w:after="0" w:line="240" w:lineRule="auto"/>
              <w:rPr>
                <w:rFonts w:ascii="Times New Roman" w:hAnsi="Times New Roman" w:cs="Times New Roman"/>
                <w:b/>
                <w:noProof/>
                <w:sz w:val="18"/>
                <w:szCs w:val="18"/>
              </w:rPr>
            </w:pPr>
          </w:p>
        </w:tc>
        <w:tc>
          <w:tcPr>
            <w:tcW w:w="1237" w:type="dxa"/>
            <w:vMerge/>
            <w:vAlign w:val="center"/>
            <w:hideMark/>
          </w:tcPr>
          <w:p w14:paraId="646CAFE8" w14:textId="77777777" w:rsidR="00B3049F" w:rsidRPr="00A22BE7" w:rsidRDefault="00B3049F" w:rsidP="00D8670B">
            <w:pPr>
              <w:spacing w:after="0" w:line="240" w:lineRule="auto"/>
              <w:rPr>
                <w:rFonts w:ascii="Times New Roman" w:hAnsi="Times New Roman" w:cs="Times New Roman"/>
                <w:b/>
                <w:noProof/>
                <w:sz w:val="18"/>
                <w:szCs w:val="18"/>
              </w:rPr>
            </w:pPr>
          </w:p>
        </w:tc>
        <w:tc>
          <w:tcPr>
            <w:tcW w:w="1423" w:type="dxa"/>
            <w:vMerge/>
            <w:vAlign w:val="center"/>
            <w:hideMark/>
          </w:tcPr>
          <w:p w14:paraId="38A53A6A" w14:textId="77777777" w:rsidR="00B3049F" w:rsidRPr="00A22BE7" w:rsidRDefault="00B3049F" w:rsidP="00D8670B">
            <w:pPr>
              <w:spacing w:after="0" w:line="240" w:lineRule="auto"/>
              <w:rPr>
                <w:rFonts w:ascii="Times New Roman" w:hAnsi="Times New Roman" w:cs="Times New Roman"/>
                <w:b/>
                <w:noProof/>
                <w:sz w:val="18"/>
                <w:szCs w:val="18"/>
              </w:rPr>
            </w:pPr>
          </w:p>
        </w:tc>
        <w:tc>
          <w:tcPr>
            <w:tcW w:w="1558" w:type="dxa"/>
            <w:vMerge/>
            <w:vAlign w:val="center"/>
            <w:hideMark/>
          </w:tcPr>
          <w:p w14:paraId="35BEB3E6" w14:textId="77777777" w:rsidR="00B3049F" w:rsidRPr="00A22BE7" w:rsidRDefault="00B3049F" w:rsidP="00D8670B">
            <w:pPr>
              <w:spacing w:after="0" w:line="240" w:lineRule="auto"/>
              <w:rPr>
                <w:rFonts w:ascii="Times New Roman" w:hAnsi="Times New Roman" w:cs="Times New Roman"/>
                <w:b/>
                <w:noProof/>
                <w:sz w:val="18"/>
                <w:szCs w:val="18"/>
              </w:rPr>
            </w:pPr>
          </w:p>
        </w:tc>
        <w:tc>
          <w:tcPr>
            <w:tcW w:w="1130" w:type="dxa"/>
            <w:shd w:val="clear" w:color="auto" w:fill="BDD7EE"/>
            <w:vAlign w:val="center"/>
            <w:hideMark/>
          </w:tcPr>
          <w:p w14:paraId="70084BA7" w14:textId="77777777" w:rsidR="00B3049F" w:rsidRPr="00A22BE7" w:rsidRDefault="00B3049F" w:rsidP="00A8082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Unit of measure</w:t>
            </w:r>
          </w:p>
        </w:tc>
        <w:tc>
          <w:tcPr>
            <w:tcW w:w="992" w:type="dxa"/>
            <w:shd w:val="clear" w:color="auto" w:fill="BDD7EE"/>
            <w:vAlign w:val="center"/>
            <w:hideMark/>
          </w:tcPr>
          <w:p w14:paraId="094B425A" w14:textId="4DDC1BC4" w:rsidR="00B3049F" w:rsidRPr="00A22BE7" w:rsidRDefault="00B3049F" w:rsidP="00A8082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Baseline</w:t>
            </w:r>
          </w:p>
        </w:tc>
        <w:tc>
          <w:tcPr>
            <w:tcW w:w="1280" w:type="dxa"/>
            <w:shd w:val="clear" w:color="auto" w:fill="BDD7EE"/>
            <w:vAlign w:val="center"/>
            <w:hideMark/>
          </w:tcPr>
          <w:p w14:paraId="273D33C4" w14:textId="10220D11" w:rsidR="00B3049F" w:rsidRPr="00A22BE7" w:rsidRDefault="00B3049F" w:rsidP="00A8082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Goal</w:t>
            </w:r>
          </w:p>
        </w:tc>
        <w:tc>
          <w:tcPr>
            <w:tcW w:w="885" w:type="dxa"/>
            <w:shd w:val="clear" w:color="auto" w:fill="BDD7EE"/>
            <w:vAlign w:val="center"/>
            <w:hideMark/>
          </w:tcPr>
          <w:p w14:paraId="71F79B1A" w14:textId="77777777" w:rsidR="00B3049F" w:rsidRPr="00A22BE7" w:rsidRDefault="00B3049F" w:rsidP="00A8082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Quarter</w:t>
            </w:r>
          </w:p>
        </w:tc>
        <w:tc>
          <w:tcPr>
            <w:tcW w:w="992" w:type="dxa"/>
            <w:shd w:val="clear" w:color="auto" w:fill="BDD7EE"/>
            <w:vAlign w:val="center"/>
            <w:hideMark/>
          </w:tcPr>
          <w:p w14:paraId="4306176D" w14:textId="77777777" w:rsidR="00B3049F" w:rsidRPr="00A22BE7" w:rsidRDefault="00B3049F" w:rsidP="00A8082B">
            <w:pPr>
              <w:spacing w:after="0" w:line="240" w:lineRule="auto"/>
              <w:jc w:val="center"/>
              <w:rPr>
                <w:rFonts w:ascii="Times New Roman" w:hAnsi="Times New Roman" w:cs="Times New Roman"/>
                <w:b/>
                <w:noProof/>
                <w:sz w:val="18"/>
                <w:szCs w:val="18"/>
              </w:rPr>
            </w:pPr>
            <w:r w:rsidRPr="00A22BE7">
              <w:rPr>
                <w:rFonts w:ascii="Times New Roman" w:hAnsi="Times New Roman" w:cs="Times New Roman"/>
                <w:b/>
                <w:noProof/>
                <w:sz w:val="18"/>
                <w:szCs w:val="18"/>
              </w:rPr>
              <w:t>Year</w:t>
            </w:r>
          </w:p>
        </w:tc>
        <w:tc>
          <w:tcPr>
            <w:tcW w:w="3227" w:type="dxa"/>
            <w:vMerge/>
            <w:vAlign w:val="center"/>
            <w:hideMark/>
          </w:tcPr>
          <w:p w14:paraId="5BBD887D" w14:textId="77777777" w:rsidR="00B3049F" w:rsidRPr="00A22BE7" w:rsidRDefault="00B3049F" w:rsidP="00A8082B">
            <w:pPr>
              <w:spacing w:after="0" w:line="240" w:lineRule="auto"/>
              <w:jc w:val="both"/>
              <w:rPr>
                <w:rFonts w:ascii="Times New Roman" w:hAnsi="Times New Roman" w:cs="Times New Roman"/>
                <w:b/>
                <w:noProof/>
                <w:sz w:val="18"/>
                <w:szCs w:val="18"/>
              </w:rPr>
            </w:pPr>
          </w:p>
        </w:tc>
      </w:tr>
      <w:tr w:rsidR="00B3049F" w:rsidRPr="00A22BE7" w14:paraId="1604E2F6" w14:textId="77777777" w:rsidTr="003053C5">
        <w:trPr>
          <w:trHeight w:val="300"/>
          <w:jc w:val="center"/>
        </w:trPr>
        <w:tc>
          <w:tcPr>
            <w:tcW w:w="1129" w:type="dxa"/>
            <w:shd w:val="clear" w:color="auto" w:fill="C1F0C7" w:themeFill="accent3" w:themeFillTint="33"/>
            <w:noWrap/>
            <w:hideMark/>
          </w:tcPr>
          <w:p w14:paraId="13442DA8"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239a</w:t>
            </w:r>
          </w:p>
        </w:tc>
        <w:tc>
          <w:tcPr>
            <w:tcW w:w="1560" w:type="dxa"/>
            <w:shd w:val="clear" w:color="auto" w:fill="C1F0C7" w:themeFill="accent3" w:themeFillTint="33"/>
            <w:noWrap/>
            <w:hideMark/>
          </w:tcPr>
          <w:p w14:paraId="39984A84"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C5.1R1</w:t>
            </w:r>
          </w:p>
          <w:p w14:paraId="226F848B"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Addressing skills mismatch between education and labour market (Secondary and Higher Education)</w:t>
            </w:r>
          </w:p>
        </w:tc>
        <w:tc>
          <w:tcPr>
            <w:tcW w:w="1237" w:type="dxa"/>
            <w:shd w:val="clear" w:color="auto" w:fill="C1F0C7" w:themeFill="accent3" w:themeFillTint="33"/>
            <w:noWrap/>
            <w:hideMark/>
          </w:tcPr>
          <w:p w14:paraId="2B3C9320"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Milestone</w:t>
            </w:r>
          </w:p>
        </w:tc>
        <w:tc>
          <w:tcPr>
            <w:tcW w:w="1423" w:type="dxa"/>
            <w:shd w:val="clear" w:color="auto" w:fill="C1F0C7" w:themeFill="accent3" w:themeFillTint="33"/>
            <w:noWrap/>
            <w:hideMark/>
          </w:tcPr>
          <w:p w14:paraId="4DE5092B"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Measures included in the National Action Plan </w:t>
            </w:r>
          </w:p>
        </w:tc>
        <w:tc>
          <w:tcPr>
            <w:tcW w:w="1558" w:type="dxa"/>
            <w:shd w:val="clear" w:color="auto" w:fill="C1F0C7" w:themeFill="accent3" w:themeFillTint="33"/>
            <w:noWrap/>
          </w:tcPr>
          <w:p w14:paraId="669D8897"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Publication of report and approval of the curricula and programmes by competent authorities</w:t>
            </w:r>
          </w:p>
        </w:tc>
        <w:tc>
          <w:tcPr>
            <w:tcW w:w="1130" w:type="dxa"/>
            <w:shd w:val="clear" w:color="auto" w:fill="C1F0C7" w:themeFill="accent3" w:themeFillTint="33"/>
            <w:noWrap/>
            <w:hideMark/>
          </w:tcPr>
          <w:p w14:paraId="448DFE1E"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992" w:type="dxa"/>
            <w:shd w:val="clear" w:color="auto" w:fill="C1F0C7" w:themeFill="accent3" w:themeFillTint="33"/>
            <w:noWrap/>
            <w:hideMark/>
          </w:tcPr>
          <w:p w14:paraId="165AA901"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1280" w:type="dxa"/>
            <w:shd w:val="clear" w:color="auto" w:fill="C1F0C7" w:themeFill="accent3" w:themeFillTint="33"/>
            <w:noWrap/>
            <w:hideMark/>
          </w:tcPr>
          <w:p w14:paraId="2F12589E"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885" w:type="dxa"/>
            <w:shd w:val="clear" w:color="auto" w:fill="C1F0C7" w:themeFill="accent3" w:themeFillTint="33"/>
            <w:noWrap/>
            <w:hideMark/>
          </w:tcPr>
          <w:p w14:paraId="6DDE6349"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Q4</w:t>
            </w:r>
          </w:p>
        </w:tc>
        <w:tc>
          <w:tcPr>
            <w:tcW w:w="992" w:type="dxa"/>
            <w:shd w:val="clear" w:color="auto" w:fill="C1F0C7" w:themeFill="accent3" w:themeFillTint="33"/>
            <w:noWrap/>
            <w:hideMark/>
          </w:tcPr>
          <w:p w14:paraId="0793E913"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2024</w:t>
            </w:r>
          </w:p>
        </w:tc>
        <w:tc>
          <w:tcPr>
            <w:tcW w:w="3227" w:type="dxa"/>
            <w:shd w:val="clear" w:color="auto" w:fill="C1F0C7" w:themeFill="accent3" w:themeFillTint="33"/>
            <w:noWrap/>
            <w:hideMark/>
          </w:tcPr>
          <w:p w14:paraId="506133A0" w14:textId="77777777" w:rsidR="00B3049F" w:rsidRPr="00A22BE7" w:rsidRDefault="00B3049F" w:rsidP="00A8082B">
            <w:pPr>
              <w:spacing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The milestone consists in the following:</w:t>
            </w:r>
          </w:p>
          <w:p w14:paraId="3C066408" w14:textId="77777777" w:rsidR="00B3049F" w:rsidRPr="00A22BE7" w:rsidRDefault="00B3049F" w:rsidP="00A8082B">
            <w:pPr>
              <w:spacing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(a) the preliminary results of a “Graduate Tracking of Cyprus Higher Education" survey and a published report on the survey.</w:t>
            </w:r>
          </w:p>
          <w:p w14:paraId="5C3857C1" w14:textId="77777777" w:rsidR="00B3049F" w:rsidRPr="00A22BE7" w:rsidRDefault="00B3049F" w:rsidP="00A8082B">
            <w:pPr>
              <w:spacing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 xml:space="preserve">(b) 40 educational curricula in secondary schools are amended to support the following skills that may include but it is not limited to soft, hard, entrepreneurial skills </w:t>
            </w:r>
          </w:p>
          <w:p w14:paraId="788B6093" w14:textId="77777777" w:rsidR="00B3049F" w:rsidRPr="00A22BE7" w:rsidRDefault="00B3049F" w:rsidP="00A8082B">
            <w:pPr>
              <w:spacing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 xml:space="preserve">(c) two new programmes of study in secondary general, and vocational education and training, </w:t>
            </w:r>
          </w:p>
        </w:tc>
      </w:tr>
      <w:tr w:rsidR="00B3049F" w:rsidRPr="00A22BE7" w14:paraId="0FACE637" w14:textId="77777777" w:rsidTr="003053C5">
        <w:trPr>
          <w:trHeight w:val="300"/>
          <w:jc w:val="center"/>
        </w:trPr>
        <w:tc>
          <w:tcPr>
            <w:tcW w:w="1129" w:type="dxa"/>
            <w:shd w:val="clear" w:color="auto" w:fill="C6EFCE"/>
            <w:noWrap/>
          </w:tcPr>
          <w:p w14:paraId="5483BF13"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239b</w:t>
            </w:r>
          </w:p>
        </w:tc>
        <w:tc>
          <w:tcPr>
            <w:tcW w:w="1560" w:type="dxa"/>
            <w:shd w:val="clear" w:color="auto" w:fill="C6EFCE"/>
            <w:noWrap/>
          </w:tcPr>
          <w:p w14:paraId="5D460F39"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C5.1R1</w:t>
            </w:r>
          </w:p>
          <w:p w14:paraId="63C2D6F2"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Addressing skills mismatch between education and labour market (Secondary and Higher Education)</w:t>
            </w:r>
          </w:p>
        </w:tc>
        <w:tc>
          <w:tcPr>
            <w:tcW w:w="1237" w:type="dxa"/>
            <w:shd w:val="clear" w:color="auto" w:fill="C6EFCE"/>
            <w:noWrap/>
          </w:tcPr>
          <w:p w14:paraId="44BCE891"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Target</w:t>
            </w:r>
          </w:p>
        </w:tc>
        <w:tc>
          <w:tcPr>
            <w:tcW w:w="1423" w:type="dxa"/>
            <w:shd w:val="clear" w:color="auto" w:fill="C6EFCE"/>
            <w:noWrap/>
          </w:tcPr>
          <w:p w14:paraId="1E32D6AC"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In-job shadowing programme </w:t>
            </w:r>
          </w:p>
        </w:tc>
        <w:tc>
          <w:tcPr>
            <w:tcW w:w="1558" w:type="dxa"/>
            <w:shd w:val="clear" w:color="auto" w:fill="C6EFCE"/>
            <w:noWrap/>
          </w:tcPr>
          <w:p w14:paraId="1F624FB7" w14:textId="77777777" w:rsidR="00B3049F" w:rsidRPr="00A22BE7" w:rsidRDefault="00B3049F" w:rsidP="00D8670B">
            <w:pPr>
              <w:spacing w:after="0" w:line="240" w:lineRule="auto"/>
              <w:rPr>
                <w:rFonts w:ascii="Times New Roman" w:hAnsi="Times New Roman" w:cs="Times New Roman"/>
                <w:noProof/>
                <w:sz w:val="18"/>
                <w:szCs w:val="18"/>
              </w:rPr>
            </w:pPr>
          </w:p>
        </w:tc>
        <w:tc>
          <w:tcPr>
            <w:tcW w:w="1130" w:type="dxa"/>
            <w:shd w:val="clear" w:color="auto" w:fill="C6EFCE"/>
            <w:noWrap/>
          </w:tcPr>
          <w:p w14:paraId="1998E10C"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Number</w:t>
            </w:r>
          </w:p>
        </w:tc>
        <w:tc>
          <w:tcPr>
            <w:tcW w:w="992" w:type="dxa"/>
            <w:shd w:val="clear" w:color="auto" w:fill="C6EFCE"/>
            <w:noWrap/>
          </w:tcPr>
          <w:p w14:paraId="18FE3A5D"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0</w:t>
            </w:r>
          </w:p>
        </w:tc>
        <w:tc>
          <w:tcPr>
            <w:tcW w:w="1280" w:type="dxa"/>
            <w:shd w:val="clear" w:color="auto" w:fill="C6EFCE"/>
            <w:noWrap/>
          </w:tcPr>
          <w:p w14:paraId="6C11D3AE"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2 250</w:t>
            </w:r>
          </w:p>
        </w:tc>
        <w:tc>
          <w:tcPr>
            <w:tcW w:w="885" w:type="dxa"/>
            <w:shd w:val="clear" w:color="auto" w:fill="C6EFCE"/>
            <w:noWrap/>
          </w:tcPr>
          <w:p w14:paraId="02F2A882"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Q2</w:t>
            </w:r>
          </w:p>
        </w:tc>
        <w:tc>
          <w:tcPr>
            <w:tcW w:w="992" w:type="dxa"/>
            <w:shd w:val="clear" w:color="auto" w:fill="C6EFCE"/>
            <w:noWrap/>
          </w:tcPr>
          <w:p w14:paraId="32374517"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2026</w:t>
            </w:r>
          </w:p>
        </w:tc>
        <w:tc>
          <w:tcPr>
            <w:tcW w:w="3227" w:type="dxa"/>
            <w:shd w:val="clear" w:color="auto" w:fill="C6EFCE"/>
            <w:noWrap/>
          </w:tcPr>
          <w:p w14:paraId="0D62503D" w14:textId="77777777" w:rsidR="00B3049F" w:rsidRPr="00A22BE7" w:rsidRDefault="00B3049F" w:rsidP="00A8082B">
            <w:pPr>
              <w:spacing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In-job shadowing programme for at least 2 250 secondary general education pupils.</w:t>
            </w:r>
          </w:p>
        </w:tc>
      </w:tr>
      <w:tr w:rsidR="00B3049F" w:rsidRPr="00A22BE7" w14:paraId="4F09AD0A" w14:textId="77777777" w:rsidTr="003053C5">
        <w:trPr>
          <w:trHeight w:val="300"/>
          <w:jc w:val="center"/>
        </w:trPr>
        <w:tc>
          <w:tcPr>
            <w:tcW w:w="1129" w:type="dxa"/>
            <w:shd w:val="clear" w:color="auto" w:fill="C6EFCE"/>
            <w:noWrap/>
          </w:tcPr>
          <w:p w14:paraId="77088C57"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239c</w:t>
            </w:r>
          </w:p>
        </w:tc>
        <w:tc>
          <w:tcPr>
            <w:tcW w:w="1560" w:type="dxa"/>
            <w:shd w:val="clear" w:color="auto" w:fill="C6EFCE"/>
            <w:noWrap/>
          </w:tcPr>
          <w:p w14:paraId="1DFCE6EF"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C5.1R1</w:t>
            </w:r>
          </w:p>
          <w:p w14:paraId="0A342616"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Addressing skills mismatch between education and labour market (Secondary and Higher Education)</w:t>
            </w:r>
          </w:p>
        </w:tc>
        <w:tc>
          <w:tcPr>
            <w:tcW w:w="1237" w:type="dxa"/>
            <w:shd w:val="clear" w:color="auto" w:fill="C6EFCE"/>
            <w:noWrap/>
          </w:tcPr>
          <w:p w14:paraId="0DA5C382"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Target</w:t>
            </w:r>
          </w:p>
        </w:tc>
        <w:tc>
          <w:tcPr>
            <w:tcW w:w="1423" w:type="dxa"/>
            <w:shd w:val="clear" w:color="auto" w:fill="C6EFCE"/>
            <w:noWrap/>
          </w:tcPr>
          <w:p w14:paraId="2B49F778"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Laboratories equipped and updated</w:t>
            </w:r>
          </w:p>
        </w:tc>
        <w:tc>
          <w:tcPr>
            <w:tcW w:w="1558" w:type="dxa"/>
            <w:shd w:val="clear" w:color="auto" w:fill="C6EFCE"/>
            <w:noWrap/>
          </w:tcPr>
          <w:p w14:paraId="4FA774A2"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1130" w:type="dxa"/>
            <w:shd w:val="clear" w:color="auto" w:fill="C6EFCE"/>
            <w:noWrap/>
          </w:tcPr>
          <w:p w14:paraId="663253F9"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Number</w:t>
            </w:r>
          </w:p>
        </w:tc>
        <w:tc>
          <w:tcPr>
            <w:tcW w:w="992" w:type="dxa"/>
            <w:shd w:val="clear" w:color="auto" w:fill="C6EFCE"/>
            <w:noWrap/>
          </w:tcPr>
          <w:p w14:paraId="33CC7197"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0</w:t>
            </w:r>
          </w:p>
        </w:tc>
        <w:tc>
          <w:tcPr>
            <w:tcW w:w="1280" w:type="dxa"/>
            <w:shd w:val="clear" w:color="auto" w:fill="C6EFCE"/>
            <w:noWrap/>
          </w:tcPr>
          <w:p w14:paraId="452E8A8B"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170</w:t>
            </w:r>
          </w:p>
        </w:tc>
        <w:tc>
          <w:tcPr>
            <w:tcW w:w="885" w:type="dxa"/>
            <w:shd w:val="clear" w:color="auto" w:fill="C6EFCE"/>
            <w:noWrap/>
          </w:tcPr>
          <w:p w14:paraId="2585C46C"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Q2</w:t>
            </w:r>
          </w:p>
        </w:tc>
        <w:tc>
          <w:tcPr>
            <w:tcW w:w="992" w:type="dxa"/>
            <w:shd w:val="clear" w:color="auto" w:fill="C6EFCE"/>
            <w:noWrap/>
          </w:tcPr>
          <w:p w14:paraId="17CD397B"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2026</w:t>
            </w:r>
          </w:p>
        </w:tc>
        <w:tc>
          <w:tcPr>
            <w:tcW w:w="3227" w:type="dxa"/>
            <w:shd w:val="clear" w:color="auto" w:fill="C6EFCE"/>
            <w:noWrap/>
          </w:tcPr>
          <w:p w14:paraId="3722D9C8"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Completion acceptance certificate(s) for the supply of equipment to 170 laboratories for Secondary Education.</w:t>
            </w:r>
          </w:p>
        </w:tc>
      </w:tr>
      <w:tr w:rsidR="00B3049F" w:rsidRPr="00A22BE7" w14:paraId="3FE86FAA" w14:textId="77777777" w:rsidTr="003053C5">
        <w:trPr>
          <w:trHeight w:val="300"/>
          <w:jc w:val="center"/>
        </w:trPr>
        <w:tc>
          <w:tcPr>
            <w:tcW w:w="1129" w:type="dxa"/>
            <w:shd w:val="clear" w:color="auto" w:fill="C6EFCE"/>
            <w:noWrap/>
            <w:hideMark/>
          </w:tcPr>
          <w:p w14:paraId="41403B3D"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241</w:t>
            </w:r>
          </w:p>
        </w:tc>
        <w:tc>
          <w:tcPr>
            <w:tcW w:w="1560" w:type="dxa"/>
            <w:shd w:val="clear" w:color="auto" w:fill="C6EFCE"/>
            <w:noWrap/>
            <w:hideMark/>
          </w:tcPr>
          <w:p w14:paraId="582D6E7F" w14:textId="77777777" w:rsidR="00B3049F" w:rsidRPr="00A8082B" w:rsidRDefault="00B3049F" w:rsidP="00D8670B">
            <w:pPr>
              <w:spacing w:after="0" w:line="240" w:lineRule="auto"/>
              <w:rPr>
                <w:rFonts w:ascii="Times New Roman" w:hAnsi="Times New Roman" w:cs="Times New Roman"/>
                <w:noProof/>
                <w:sz w:val="18"/>
                <w:szCs w:val="18"/>
              </w:rPr>
            </w:pPr>
            <w:r w:rsidRPr="00A8082B">
              <w:rPr>
                <w:rFonts w:ascii="Times New Roman" w:hAnsi="Times New Roman" w:cs="Times New Roman"/>
                <w:noProof/>
                <w:sz w:val="18"/>
                <w:szCs w:val="18"/>
              </w:rPr>
              <w:t>C5.1R2</w:t>
            </w:r>
          </w:p>
          <w:p w14:paraId="61F4E815" w14:textId="77777777" w:rsidR="00B3049F" w:rsidRPr="00A8082B" w:rsidRDefault="00B3049F" w:rsidP="00D8670B">
            <w:pPr>
              <w:spacing w:after="0" w:line="240" w:lineRule="auto"/>
              <w:rPr>
                <w:rFonts w:ascii="Times New Roman" w:eastAsia="Times New Roman" w:hAnsi="Times New Roman" w:cs="Times New Roman"/>
                <w:noProof/>
                <w:sz w:val="18"/>
                <w:szCs w:val="18"/>
              </w:rPr>
            </w:pPr>
            <w:r w:rsidRPr="00A8082B">
              <w:rPr>
                <w:rFonts w:ascii="Times New Roman" w:hAnsi="Times New Roman" w:cs="Times New Roman"/>
                <w:noProof/>
                <w:sz w:val="18"/>
                <w:szCs w:val="18"/>
              </w:rPr>
              <w:t xml:space="preserve">A school evaluation system </w:t>
            </w:r>
            <w:r w:rsidRPr="00A8082B">
              <w:rPr>
                <w:rFonts w:ascii="Times New Roman" w:eastAsia="Times New Roman" w:hAnsi="Times New Roman" w:cs="Times New Roman"/>
                <w:noProof/>
                <w:sz w:val="18"/>
                <w:szCs w:val="18"/>
              </w:rPr>
              <w:t>and formative evaluation of teachers</w:t>
            </w:r>
          </w:p>
        </w:tc>
        <w:tc>
          <w:tcPr>
            <w:tcW w:w="1237" w:type="dxa"/>
            <w:shd w:val="clear" w:color="auto" w:fill="C6EFCE"/>
            <w:noWrap/>
            <w:hideMark/>
          </w:tcPr>
          <w:p w14:paraId="0B7867B1" w14:textId="77777777" w:rsidR="00B3049F" w:rsidRPr="00A8082B" w:rsidRDefault="00B3049F" w:rsidP="00D8670B">
            <w:pPr>
              <w:spacing w:after="0" w:line="240" w:lineRule="auto"/>
              <w:rPr>
                <w:rFonts w:ascii="Times New Roman" w:hAnsi="Times New Roman" w:cs="Times New Roman"/>
                <w:noProof/>
                <w:sz w:val="18"/>
                <w:szCs w:val="18"/>
              </w:rPr>
            </w:pPr>
            <w:r w:rsidRPr="00A8082B">
              <w:rPr>
                <w:rFonts w:ascii="Times New Roman" w:hAnsi="Times New Roman" w:cs="Times New Roman"/>
                <w:noProof/>
                <w:sz w:val="18"/>
                <w:szCs w:val="18"/>
              </w:rPr>
              <w:t>Milestone</w:t>
            </w:r>
          </w:p>
        </w:tc>
        <w:tc>
          <w:tcPr>
            <w:tcW w:w="1423" w:type="dxa"/>
            <w:shd w:val="clear" w:color="auto" w:fill="C6EFCE"/>
            <w:noWrap/>
            <w:hideMark/>
          </w:tcPr>
          <w:p w14:paraId="252EA0A8" w14:textId="77777777" w:rsidR="00B3049F" w:rsidRPr="00A8082B" w:rsidRDefault="00B3049F" w:rsidP="00D8670B">
            <w:pPr>
              <w:spacing w:after="0" w:line="240" w:lineRule="auto"/>
              <w:rPr>
                <w:rFonts w:ascii="Times New Roman" w:hAnsi="Times New Roman" w:cs="Times New Roman"/>
                <w:noProof/>
                <w:sz w:val="18"/>
                <w:szCs w:val="18"/>
              </w:rPr>
            </w:pPr>
            <w:r w:rsidRPr="00A8082B">
              <w:rPr>
                <w:rFonts w:ascii="Times New Roman" w:hAnsi="Times New Roman" w:cs="Times New Roman"/>
                <w:noProof/>
                <w:sz w:val="18"/>
                <w:szCs w:val="18"/>
              </w:rPr>
              <w:t>Council of Ministers Decision for a new School Evaluation system and entry into force of the legal act(s) for the Formative Evaluation of Teachers</w:t>
            </w:r>
          </w:p>
        </w:tc>
        <w:tc>
          <w:tcPr>
            <w:tcW w:w="1558" w:type="dxa"/>
            <w:shd w:val="clear" w:color="auto" w:fill="C6EFCE"/>
            <w:noWrap/>
            <w:hideMark/>
          </w:tcPr>
          <w:p w14:paraId="08D61F15" w14:textId="77777777" w:rsidR="00B3049F" w:rsidRPr="00A8082B" w:rsidRDefault="00B3049F" w:rsidP="00D8670B">
            <w:pPr>
              <w:spacing w:after="0" w:line="240" w:lineRule="auto"/>
              <w:rPr>
                <w:rFonts w:ascii="Times New Roman" w:hAnsi="Times New Roman" w:cs="Times New Roman"/>
                <w:noProof/>
                <w:sz w:val="18"/>
                <w:szCs w:val="18"/>
              </w:rPr>
            </w:pPr>
            <w:r w:rsidRPr="00A8082B">
              <w:rPr>
                <w:rFonts w:ascii="Times New Roman" w:hAnsi="Times New Roman" w:cs="Times New Roman"/>
                <w:noProof/>
                <w:sz w:val="18"/>
                <w:szCs w:val="18"/>
              </w:rPr>
              <w:t xml:space="preserve">Entry into force of the legal act(s) </w:t>
            </w:r>
          </w:p>
        </w:tc>
        <w:tc>
          <w:tcPr>
            <w:tcW w:w="1130" w:type="dxa"/>
            <w:shd w:val="clear" w:color="auto" w:fill="C6EFCE"/>
            <w:noWrap/>
            <w:hideMark/>
          </w:tcPr>
          <w:p w14:paraId="19731823" w14:textId="055C0279" w:rsidR="00B3049F" w:rsidRPr="00A8082B" w:rsidRDefault="00B3049F" w:rsidP="00A8082B">
            <w:pPr>
              <w:spacing w:after="0" w:line="240" w:lineRule="auto"/>
              <w:jc w:val="center"/>
              <w:rPr>
                <w:rFonts w:ascii="Times New Roman" w:hAnsi="Times New Roman" w:cs="Times New Roman"/>
                <w:noProof/>
                <w:sz w:val="18"/>
                <w:szCs w:val="18"/>
              </w:rPr>
            </w:pPr>
            <w:r w:rsidRPr="00A8082B">
              <w:rPr>
                <w:rFonts w:ascii="Times New Roman" w:hAnsi="Times New Roman" w:cs="Times New Roman"/>
                <w:noProof/>
                <w:sz w:val="18"/>
                <w:szCs w:val="18"/>
              </w:rPr>
              <w:t>-</w:t>
            </w:r>
          </w:p>
        </w:tc>
        <w:tc>
          <w:tcPr>
            <w:tcW w:w="992" w:type="dxa"/>
            <w:shd w:val="clear" w:color="auto" w:fill="C6EFCE"/>
            <w:noWrap/>
            <w:hideMark/>
          </w:tcPr>
          <w:p w14:paraId="6F71B055" w14:textId="35D77F66" w:rsidR="00B3049F" w:rsidRPr="00A8082B" w:rsidRDefault="00B3049F" w:rsidP="00A8082B">
            <w:pPr>
              <w:spacing w:after="0" w:line="240" w:lineRule="auto"/>
              <w:jc w:val="center"/>
              <w:rPr>
                <w:rFonts w:ascii="Times New Roman" w:hAnsi="Times New Roman" w:cs="Times New Roman"/>
                <w:noProof/>
                <w:sz w:val="18"/>
                <w:szCs w:val="18"/>
              </w:rPr>
            </w:pPr>
            <w:r w:rsidRPr="00A8082B">
              <w:rPr>
                <w:rFonts w:ascii="Times New Roman" w:hAnsi="Times New Roman" w:cs="Times New Roman"/>
                <w:noProof/>
                <w:sz w:val="18"/>
                <w:szCs w:val="18"/>
              </w:rPr>
              <w:t>-</w:t>
            </w:r>
          </w:p>
        </w:tc>
        <w:tc>
          <w:tcPr>
            <w:tcW w:w="1280" w:type="dxa"/>
            <w:shd w:val="clear" w:color="auto" w:fill="C6EFCE"/>
            <w:noWrap/>
            <w:hideMark/>
          </w:tcPr>
          <w:p w14:paraId="7786A0DD" w14:textId="273F42AC" w:rsidR="00B3049F" w:rsidRPr="00A8082B" w:rsidRDefault="00B3049F" w:rsidP="00A8082B">
            <w:pPr>
              <w:spacing w:after="0" w:line="240" w:lineRule="auto"/>
              <w:jc w:val="center"/>
              <w:rPr>
                <w:rFonts w:ascii="Times New Roman" w:hAnsi="Times New Roman" w:cs="Times New Roman"/>
                <w:noProof/>
                <w:sz w:val="18"/>
                <w:szCs w:val="18"/>
              </w:rPr>
            </w:pPr>
            <w:r w:rsidRPr="00A8082B">
              <w:rPr>
                <w:rFonts w:ascii="Times New Roman" w:hAnsi="Times New Roman" w:cs="Times New Roman"/>
                <w:noProof/>
                <w:sz w:val="18"/>
                <w:szCs w:val="18"/>
              </w:rPr>
              <w:t>-</w:t>
            </w:r>
          </w:p>
        </w:tc>
        <w:tc>
          <w:tcPr>
            <w:tcW w:w="885" w:type="dxa"/>
            <w:shd w:val="clear" w:color="auto" w:fill="C6EFCE"/>
            <w:noWrap/>
            <w:hideMark/>
          </w:tcPr>
          <w:p w14:paraId="02D64563" w14:textId="77777777" w:rsidR="00B3049F" w:rsidRPr="00A8082B" w:rsidRDefault="00B3049F" w:rsidP="00A8082B">
            <w:pPr>
              <w:spacing w:after="0" w:line="240" w:lineRule="auto"/>
              <w:jc w:val="center"/>
              <w:rPr>
                <w:rFonts w:ascii="Times New Roman" w:hAnsi="Times New Roman" w:cs="Times New Roman"/>
                <w:noProof/>
                <w:sz w:val="18"/>
                <w:szCs w:val="18"/>
              </w:rPr>
            </w:pPr>
            <w:r w:rsidRPr="00A8082B">
              <w:rPr>
                <w:rFonts w:ascii="Times New Roman" w:hAnsi="Times New Roman" w:cs="Times New Roman"/>
                <w:noProof/>
                <w:sz w:val="18"/>
                <w:szCs w:val="18"/>
              </w:rPr>
              <w:t>Q2</w:t>
            </w:r>
          </w:p>
        </w:tc>
        <w:tc>
          <w:tcPr>
            <w:tcW w:w="992" w:type="dxa"/>
            <w:shd w:val="clear" w:color="auto" w:fill="C6EFCE"/>
            <w:noWrap/>
            <w:hideMark/>
          </w:tcPr>
          <w:p w14:paraId="71308742" w14:textId="77777777" w:rsidR="00B3049F" w:rsidRPr="00A8082B" w:rsidRDefault="00B3049F" w:rsidP="00A8082B">
            <w:pPr>
              <w:spacing w:after="0" w:line="240" w:lineRule="auto"/>
              <w:jc w:val="center"/>
              <w:rPr>
                <w:rFonts w:ascii="Times New Roman" w:hAnsi="Times New Roman" w:cs="Times New Roman"/>
                <w:noProof/>
                <w:sz w:val="18"/>
                <w:szCs w:val="18"/>
              </w:rPr>
            </w:pPr>
            <w:r w:rsidRPr="00A8082B">
              <w:rPr>
                <w:rFonts w:ascii="Times New Roman" w:hAnsi="Times New Roman" w:cs="Times New Roman"/>
                <w:noProof/>
                <w:sz w:val="18"/>
                <w:szCs w:val="18"/>
              </w:rPr>
              <w:t>2025</w:t>
            </w:r>
          </w:p>
        </w:tc>
        <w:tc>
          <w:tcPr>
            <w:tcW w:w="3227" w:type="dxa"/>
            <w:shd w:val="clear" w:color="auto" w:fill="C6EFCE"/>
            <w:noWrap/>
            <w:hideMark/>
          </w:tcPr>
          <w:p w14:paraId="6DC1D3D4" w14:textId="639ED5A4" w:rsidR="00B3049F" w:rsidRPr="00A8082B" w:rsidRDefault="00B3049F" w:rsidP="00A8082B">
            <w:pPr>
              <w:spacing w:after="0" w:line="240" w:lineRule="auto"/>
              <w:jc w:val="both"/>
              <w:rPr>
                <w:rFonts w:ascii="Times New Roman" w:eastAsia="Times New Roman" w:hAnsi="Times New Roman" w:cs="Times New Roman"/>
                <w:noProof/>
                <w:sz w:val="18"/>
                <w:szCs w:val="18"/>
              </w:rPr>
            </w:pPr>
            <w:r w:rsidRPr="00A8082B">
              <w:rPr>
                <w:rFonts w:ascii="Times New Roman" w:hAnsi="Times New Roman" w:cs="Times New Roman"/>
                <w:noProof/>
                <w:sz w:val="18"/>
                <w:szCs w:val="18"/>
              </w:rPr>
              <w:t>Council of Ministers Decision for a new School Evaluation system and</w:t>
            </w:r>
            <w:r w:rsidR="00064579" w:rsidRPr="00A8082B">
              <w:rPr>
                <w:rFonts w:ascii="Times New Roman" w:hAnsi="Times New Roman" w:cs="Times New Roman"/>
                <w:noProof/>
                <w:sz w:val="18"/>
                <w:szCs w:val="18"/>
              </w:rPr>
              <w:t xml:space="preserve"> </w:t>
            </w:r>
            <w:r w:rsidRPr="00A8082B">
              <w:rPr>
                <w:rFonts w:ascii="Times New Roman" w:eastAsia="Times New Roman" w:hAnsi="Times New Roman" w:cs="Times New Roman"/>
                <w:noProof/>
                <w:sz w:val="18"/>
                <w:szCs w:val="18"/>
              </w:rPr>
              <w:t>entry into force of the legal act(s) concerning the formative evaluation of teachers and the establishment of Committee(s).</w:t>
            </w:r>
          </w:p>
        </w:tc>
      </w:tr>
      <w:tr w:rsidR="00B3049F" w:rsidRPr="00A22BE7" w14:paraId="7BA51948" w14:textId="77777777" w:rsidTr="003053C5">
        <w:trPr>
          <w:trHeight w:val="300"/>
          <w:jc w:val="center"/>
        </w:trPr>
        <w:tc>
          <w:tcPr>
            <w:tcW w:w="1129" w:type="dxa"/>
            <w:shd w:val="clear" w:color="auto" w:fill="C1F0C7" w:themeFill="accent3" w:themeFillTint="33"/>
            <w:noWrap/>
            <w:hideMark/>
          </w:tcPr>
          <w:p w14:paraId="5310AC24"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243</w:t>
            </w:r>
          </w:p>
        </w:tc>
        <w:tc>
          <w:tcPr>
            <w:tcW w:w="1560" w:type="dxa"/>
            <w:shd w:val="clear" w:color="auto" w:fill="C1F0C7" w:themeFill="accent3" w:themeFillTint="33"/>
            <w:noWrap/>
            <w:hideMark/>
          </w:tcPr>
          <w:p w14:paraId="41A8C3AF"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C5.1R3</w:t>
            </w:r>
          </w:p>
          <w:p w14:paraId="0267EBEA"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Gradual extension of free compulsory pre-primary education from the age of four </w:t>
            </w:r>
          </w:p>
        </w:tc>
        <w:tc>
          <w:tcPr>
            <w:tcW w:w="1237" w:type="dxa"/>
            <w:shd w:val="clear" w:color="auto" w:fill="C1F0C7" w:themeFill="accent3" w:themeFillTint="33"/>
            <w:noWrap/>
            <w:hideMark/>
          </w:tcPr>
          <w:p w14:paraId="67D23397"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Milestone</w:t>
            </w:r>
          </w:p>
        </w:tc>
        <w:tc>
          <w:tcPr>
            <w:tcW w:w="1423" w:type="dxa"/>
            <w:shd w:val="clear" w:color="auto" w:fill="C1F0C7" w:themeFill="accent3" w:themeFillTint="33"/>
            <w:noWrap/>
            <w:hideMark/>
          </w:tcPr>
          <w:p w14:paraId="061221EB"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Entry into force of the new Law regarding the gradual extension of free compulsory pre-primary education from the age of four years and adoption of aid schemes by the Council of Ministers</w:t>
            </w:r>
          </w:p>
        </w:tc>
        <w:tc>
          <w:tcPr>
            <w:tcW w:w="1558" w:type="dxa"/>
            <w:shd w:val="clear" w:color="auto" w:fill="C1F0C7" w:themeFill="accent3" w:themeFillTint="33"/>
            <w:noWrap/>
            <w:hideMark/>
          </w:tcPr>
          <w:p w14:paraId="00ABFABC"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Provision in the law(s) indicating the entry into force of the law(s)</w:t>
            </w:r>
          </w:p>
        </w:tc>
        <w:tc>
          <w:tcPr>
            <w:tcW w:w="1130" w:type="dxa"/>
            <w:shd w:val="clear" w:color="auto" w:fill="C1F0C7" w:themeFill="accent3" w:themeFillTint="33"/>
            <w:noWrap/>
            <w:hideMark/>
          </w:tcPr>
          <w:p w14:paraId="60BEA0E9" w14:textId="40ED996D"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992" w:type="dxa"/>
            <w:shd w:val="clear" w:color="auto" w:fill="C1F0C7" w:themeFill="accent3" w:themeFillTint="33"/>
            <w:noWrap/>
            <w:hideMark/>
          </w:tcPr>
          <w:p w14:paraId="0C3007B4" w14:textId="7623B560"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1280" w:type="dxa"/>
            <w:shd w:val="clear" w:color="auto" w:fill="C1F0C7" w:themeFill="accent3" w:themeFillTint="33"/>
            <w:noWrap/>
            <w:hideMark/>
          </w:tcPr>
          <w:p w14:paraId="29A44967" w14:textId="52F2085A"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885" w:type="dxa"/>
            <w:shd w:val="clear" w:color="auto" w:fill="C1F0C7" w:themeFill="accent3" w:themeFillTint="33"/>
            <w:noWrap/>
            <w:hideMark/>
          </w:tcPr>
          <w:p w14:paraId="1EA0B30F"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Q4</w:t>
            </w:r>
          </w:p>
        </w:tc>
        <w:tc>
          <w:tcPr>
            <w:tcW w:w="992" w:type="dxa"/>
            <w:shd w:val="clear" w:color="auto" w:fill="C1F0C7" w:themeFill="accent3" w:themeFillTint="33"/>
            <w:noWrap/>
            <w:hideMark/>
          </w:tcPr>
          <w:p w14:paraId="16021A99"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2023</w:t>
            </w:r>
          </w:p>
        </w:tc>
        <w:tc>
          <w:tcPr>
            <w:tcW w:w="3227" w:type="dxa"/>
            <w:shd w:val="clear" w:color="auto" w:fill="C1F0C7" w:themeFill="accent3" w:themeFillTint="33"/>
            <w:noWrap/>
            <w:hideMark/>
          </w:tcPr>
          <w:p w14:paraId="69C31262" w14:textId="7165B0A7" w:rsidR="00B3049F" w:rsidRPr="00A22BE7" w:rsidRDefault="00B3049F" w:rsidP="00A8082B">
            <w:pPr>
              <w:spacing w:after="0" w:line="240" w:lineRule="auto"/>
              <w:jc w:val="both"/>
              <w:rPr>
                <w:rFonts w:ascii="Times New Roman" w:hAnsi="Times New Roman" w:cs="Times New Roman"/>
                <w:noProof/>
                <w:sz w:val="18"/>
                <w:szCs w:val="18"/>
              </w:rPr>
            </w:pPr>
            <w:r w:rsidRPr="00A22BE7">
              <w:rPr>
                <w:rStyle w:val="ui-provider"/>
                <w:rFonts w:ascii="Times New Roman" w:hAnsi="Times New Roman" w:cs="Times New Roman"/>
                <w:noProof/>
                <w:sz w:val="18"/>
                <w:szCs w:val="18"/>
              </w:rPr>
              <w:t>Entry into force of the Law which shall gradually (starting in the academic year 2024-2025 until academic year 2032-2033) reduce the entry age in free compulsory pre-primary education from the age of four years and eight months to four years. Adoption by the Council of Ministers of aid schemes to (a) cover tuition fees for the free compulsory pre-primary education in communal kindergartens, for children that cannot be enrolled in public kindergartens, and (b) subsidise tuition fees in private and communal kindergartens and nurseries, for the enrolment of children aged under the entry level of compulsory pre-primary education and above the age of four.</w:t>
            </w:r>
            <w:r w:rsidR="00064579" w:rsidRPr="00A22BE7">
              <w:rPr>
                <w:rStyle w:val="ui-provider"/>
                <w:rFonts w:ascii="Times New Roman" w:hAnsi="Times New Roman" w:cs="Times New Roman"/>
                <w:noProof/>
                <w:sz w:val="18"/>
                <w:szCs w:val="18"/>
              </w:rPr>
              <w:t xml:space="preserve"> </w:t>
            </w:r>
          </w:p>
        </w:tc>
      </w:tr>
      <w:tr w:rsidR="00B3049F" w:rsidRPr="00A22BE7" w14:paraId="749BF47C" w14:textId="77777777" w:rsidTr="003053C5">
        <w:trPr>
          <w:trHeight w:val="300"/>
          <w:jc w:val="center"/>
        </w:trPr>
        <w:tc>
          <w:tcPr>
            <w:tcW w:w="1129" w:type="dxa"/>
            <w:shd w:val="clear" w:color="auto" w:fill="C1F0C7" w:themeFill="accent3" w:themeFillTint="33"/>
            <w:noWrap/>
            <w:hideMark/>
          </w:tcPr>
          <w:p w14:paraId="07C7DDA4"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244</w:t>
            </w:r>
          </w:p>
        </w:tc>
        <w:tc>
          <w:tcPr>
            <w:tcW w:w="1560" w:type="dxa"/>
            <w:shd w:val="clear" w:color="auto" w:fill="C1F0C7" w:themeFill="accent3" w:themeFillTint="33"/>
            <w:noWrap/>
            <w:hideMark/>
          </w:tcPr>
          <w:p w14:paraId="198E8112"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C5.1R3</w:t>
            </w:r>
          </w:p>
          <w:p w14:paraId="0AFA54A0"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Gradual extension of free compulsory pre-primary education from the age of four </w:t>
            </w:r>
          </w:p>
        </w:tc>
        <w:tc>
          <w:tcPr>
            <w:tcW w:w="1237" w:type="dxa"/>
            <w:shd w:val="clear" w:color="auto" w:fill="C1F0C7" w:themeFill="accent3" w:themeFillTint="33"/>
            <w:noWrap/>
            <w:hideMark/>
          </w:tcPr>
          <w:p w14:paraId="408D43BC"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Target</w:t>
            </w:r>
          </w:p>
        </w:tc>
        <w:tc>
          <w:tcPr>
            <w:tcW w:w="1423" w:type="dxa"/>
            <w:shd w:val="clear" w:color="auto" w:fill="C1F0C7" w:themeFill="accent3" w:themeFillTint="33"/>
            <w:noWrap/>
            <w:hideMark/>
          </w:tcPr>
          <w:p w14:paraId="066C5353"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Children aged between 4 years and 4 years and 8 months enrolled in public, communal or private kindergartens</w:t>
            </w:r>
          </w:p>
        </w:tc>
        <w:tc>
          <w:tcPr>
            <w:tcW w:w="1558" w:type="dxa"/>
            <w:shd w:val="clear" w:color="auto" w:fill="C1F0C7" w:themeFill="accent3" w:themeFillTint="33"/>
            <w:noWrap/>
            <w:hideMark/>
          </w:tcPr>
          <w:p w14:paraId="04C54A55"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 -</w:t>
            </w:r>
          </w:p>
        </w:tc>
        <w:tc>
          <w:tcPr>
            <w:tcW w:w="1130" w:type="dxa"/>
            <w:shd w:val="clear" w:color="auto" w:fill="C1F0C7" w:themeFill="accent3" w:themeFillTint="33"/>
            <w:noWrap/>
            <w:hideMark/>
          </w:tcPr>
          <w:p w14:paraId="1FC154AE"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Number</w:t>
            </w:r>
          </w:p>
        </w:tc>
        <w:tc>
          <w:tcPr>
            <w:tcW w:w="992" w:type="dxa"/>
            <w:shd w:val="clear" w:color="auto" w:fill="C1F0C7" w:themeFill="accent3" w:themeFillTint="33"/>
            <w:noWrap/>
            <w:hideMark/>
          </w:tcPr>
          <w:p w14:paraId="56DA5AB8"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0</w:t>
            </w:r>
          </w:p>
        </w:tc>
        <w:tc>
          <w:tcPr>
            <w:tcW w:w="1280" w:type="dxa"/>
            <w:shd w:val="clear" w:color="auto" w:fill="C1F0C7" w:themeFill="accent3" w:themeFillTint="33"/>
            <w:noWrap/>
            <w:hideMark/>
          </w:tcPr>
          <w:p w14:paraId="11D737F0"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4 800</w:t>
            </w:r>
          </w:p>
        </w:tc>
        <w:tc>
          <w:tcPr>
            <w:tcW w:w="885" w:type="dxa"/>
            <w:shd w:val="clear" w:color="auto" w:fill="C1F0C7" w:themeFill="accent3" w:themeFillTint="33"/>
            <w:noWrap/>
            <w:hideMark/>
          </w:tcPr>
          <w:p w14:paraId="0889A5AB"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Q2</w:t>
            </w:r>
          </w:p>
        </w:tc>
        <w:tc>
          <w:tcPr>
            <w:tcW w:w="992" w:type="dxa"/>
            <w:shd w:val="clear" w:color="auto" w:fill="C1F0C7" w:themeFill="accent3" w:themeFillTint="33"/>
            <w:noWrap/>
            <w:hideMark/>
          </w:tcPr>
          <w:p w14:paraId="23A53C6F"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2026</w:t>
            </w:r>
          </w:p>
        </w:tc>
        <w:tc>
          <w:tcPr>
            <w:tcW w:w="3227" w:type="dxa"/>
            <w:shd w:val="clear" w:color="auto" w:fill="C1F0C7" w:themeFill="accent3" w:themeFillTint="33"/>
            <w:noWrap/>
            <w:hideMark/>
          </w:tcPr>
          <w:p w14:paraId="150C215A" w14:textId="77777777" w:rsidR="00B3049F" w:rsidRPr="00A22BE7" w:rsidRDefault="00B3049F" w:rsidP="00A8082B">
            <w:pPr>
              <w:spacing w:after="0" w:line="240" w:lineRule="auto"/>
              <w:jc w:val="both"/>
              <w:rPr>
                <w:rStyle w:val="ui-provider"/>
                <w:rFonts w:ascii="Times New Roman" w:hAnsi="Times New Roman" w:cs="Times New Roman"/>
                <w:noProof/>
                <w:sz w:val="18"/>
                <w:szCs w:val="18"/>
              </w:rPr>
            </w:pPr>
            <w:r w:rsidRPr="00A22BE7">
              <w:rPr>
                <w:rStyle w:val="ui-provider"/>
                <w:rFonts w:ascii="Times New Roman" w:hAnsi="Times New Roman" w:cs="Times New Roman"/>
                <w:noProof/>
                <w:sz w:val="18"/>
                <w:szCs w:val="18"/>
              </w:rPr>
              <w:t xml:space="preserve">At least 4 800 children aged between 4 years and 4 years and 8 months are enrolled in public, communal </w:t>
            </w:r>
            <w:r w:rsidRPr="00A22BE7">
              <w:rPr>
                <w:rStyle w:val="ui-provider"/>
                <w:rFonts w:ascii="Times New Roman" w:eastAsia="Times New Roman" w:hAnsi="Times New Roman" w:cs="Times New Roman"/>
                <w:noProof/>
                <w:sz w:val="18"/>
                <w:szCs w:val="18"/>
              </w:rPr>
              <w:t xml:space="preserve">or </w:t>
            </w:r>
            <w:r w:rsidRPr="00A22BE7">
              <w:rPr>
                <w:rStyle w:val="ui-provider"/>
                <w:rFonts w:ascii="Times New Roman" w:hAnsi="Times New Roman" w:cs="Times New Roman"/>
                <w:noProof/>
                <w:sz w:val="18"/>
                <w:szCs w:val="18"/>
              </w:rPr>
              <w:t>private kindergartens, or nurseries.</w:t>
            </w:r>
          </w:p>
          <w:p w14:paraId="0D6847ED" w14:textId="77777777" w:rsidR="00B3049F" w:rsidRPr="00A22BE7" w:rsidRDefault="00B3049F" w:rsidP="00A8082B">
            <w:pPr>
              <w:spacing w:after="0" w:line="240" w:lineRule="auto"/>
              <w:jc w:val="both"/>
              <w:rPr>
                <w:rStyle w:val="ui-provider"/>
                <w:rFonts w:ascii="Times New Roman" w:hAnsi="Times New Roman" w:cs="Times New Roman"/>
                <w:noProof/>
                <w:sz w:val="18"/>
                <w:szCs w:val="18"/>
              </w:rPr>
            </w:pPr>
          </w:p>
        </w:tc>
      </w:tr>
      <w:tr w:rsidR="00B3049F" w:rsidRPr="00A22BE7" w14:paraId="0BB2EFC8" w14:textId="77777777" w:rsidTr="003053C5">
        <w:trPr>
          <w:trHeight w:val="300"/>
          <w:jc w:val="center"/>
        </w:trPr>
        <w:tc>
          <w:tcPr>
            <w:tcW w:w="1129" w:type="dxa"/>
            <w:shd w:val="clear" w:color="auto" w:fill="C1F0C7" w:themeFill="accent3" w:themeFillTint="33"/>
            <w:noWrap/>
            <w:hideMark/>
          </w:tcPr>
          <w:p w14:paraId="1DFF2B64"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245</w:t>
            </w:r>
          </w:p>
        </w:tc>
        <w:tc>
          <w:tcPr>
            <w:tcW w:w="1560" w:type="dxa"/>
            <w:shd w:val="clear" w:color="auto" w:fill="C1F0C7" w:themeFill="accent3" w:themeFillTint="33"/>
            <w:noWrap/>
            <w:hideMark/>
          </w:tcPr>
          <w:p w14:paraId="613055FF"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C5.1R3</w:t>
            </w:r>
          </w:p>
          <w:p w14:paraId="165FFA18"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Gradual extension of free compulsory pre-primary education from the age of four</w:t>
            </w:r>
          </w:p>
        </w:tc>
        <w:tc>
          <w:tcPr>
            <w:tcW w:w="1237" w:type="dxa"/>
            <w:shd w:val="clear" w:color="auto" w:fill="C1F0C7" w:themeFill="accent3" w:themeFillTint="33"/>
            <w:noWrap/>
            <w:hideMark/>
          </w:tcPr>
          <w:p w14:paraId="7B0A381E"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Target</w:t>
            </w:r>
          </w:p>
        </w:tc>
        <w:tc>
          <w:tcPr>
            <w:tcW w:w="1423" w:type="dxa"/>
            <w:shd w:val="clear" w:color="auto" w:fill="C1F0C7" w:themeFill="accent3" w:themeFillTint="33"/>
            <w:noWrap/>
            <w:hideMark/>
          </w:tcPr>
          <w:p w14:paraId="5217C917"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New places in new or extended public kindergartens</w:t>
            </w:r>
          </w:p>
        </w:tc>
        <w:tc>
          <w:tcPr>
            <w:tcW w:w="1558" w:type="dxa"/>
            <w:shd w:val="clear" w:color="auto" w:fill="C1F0C7" w:themeFill="accent3" w:themeFillTint="33"/>
            <w:noWrap/>
            <w:hideMark/>
          </w:tcPr>
          <w:p w14:paraId="758A4A4C"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 -</w:t>
            </w:r>
          </w:p>
        </w:tc>
        <w:tc>
          <w:tcPr>
            <w:tcW w:w="1130" w:type="dxa"/>
            <w:shd w:val="clear" w:color="auto" w:fill="C1F0C7" w:themeFill="accent3" w:themeFillTint="33"/>
            <w:noWrap/>
            <w:hideMark/>
          </w:tcPr>
          <w:p w14:paraId="555148BC"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Number</w:t>
            </w:r>
          </w:p>
        </w:tc>
        <w:tc>
          <w:tcPr>
            <w:tcW w:w="992" w:type="dxa"/>
            <w:shd w:val="clear" w:color="auto" w:fill="C1F0C7" w:themeFill="accent3" w:themeFillTint="33"/>
            <w:noWrap/>
            <w:hideMark/>
          </w:tcPr>
          <w:p w14:paraId="2A602958"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0</w:t>
            </w:r>
          </w:p>
        </w:tc>
        <w:tc>
          <w:tcPr>
            <w:tcW w:w="1280" w:type="dxa"/>
            <w:shd w:val="clear" w:color="auto" w:fill="C1F0C7" w:themeFill="accent3" w:themeFillTint="33"/>
            <w:noWrap/>
            <w:hideMark/>
          </w:tcPr>
          <w:p w14:paraId="461ECEAA" w14:textId="2A3754DD"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675 new places in public kindergartens</w:t>
            </w:r>
          </w:p>
        </w:tc>
        <w:tc>
          <w:tcPr>
            <w:tcW w:w="885" w:type="dxa"/>
            <w:shd w:val="clear" w:color="auto" w:fill="C1F0C7" w:themeFill="accent3" w:themeFillTint="33"/>
            <w:noWrap/>
            <w:hideMark/>
          </w:tcPr>
          <w:p w14:paraId="26EB245B"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Q2</w:t>
            </w:r>
          </w:p>
        </w:tc>
        <w:tc>
          <w:tcPr>
            <w:tcW w:w="992" w:type="dxa"/>
            <w:shd w:val="clear" w:color="auto" w:fill="C1F0C7" w:themeFill="accent3" w:themeFillTint="33"/>
            <w:noWrap/>
            <w:hideMark/>
          </w:tcPr>
          <w:p w14:paraId="25DE6D4F"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2026</w:t>
            </w:r>
          </w:p>
        </w:tc>
        <w:tc>
          <w:tcPr>
            <w:tcW w:w="3227" w:type="dxa"/>
            <w:shd w:val="clear" w:color="auto" w:fill="C1F0C7" w:themeFill="accent3" w:themeFillTint="33"/>
            <w:noWrap/>
            <w:hideMark/>
          </w:tcPr>
          <w:p w14:paraId="611436A8" w14:textId="77777777" w:rsidR="00B3049F" w:rsidRPr="00A22BE7" w:rsidRDefault="00B3049F" w:rsidP="00A8082B">
            <w:pPr>
              <w:jc w:val="both"/>
              <w:rPr>
                <w:rStyle w:val="ui-provider"/>
                <w:rFonts w:ascii="Times New Roman" w:hAnsi="Times New Roman" w:cs="Times New Roman"/>
                <w:noProof/>
                <w:sz w:val="18"/>
                <w:szCs w:val="18"/>
              </w:rPr>
            </w:pPr>
            <w:r w:rsidRPr="00A22BE7">
              <w:rPr>
                <w:rStyle w:val="ui-provider"/>
                <w:rFonts w:ascii="Times New Roman" w:hAnsi="Times New Roman" w:cs="Times New Roman"/>
                <w:noProof/>
                <w:sz w:val="18"/>
                <w:szCs w:val="18"/>
              </w:rPr>
              <w:t xml:space="preserve">At least 675 new places in public kindergartens </w:t>
            </w:r>
          </w:p>
          <w:p w14:paraId="5F81A565" w14:textId="77777777" w:rsidR="00B3049F" w:rsidRPr="00A22BE7" w:rsidRDefault="00B3049F" w:rsidP="00A8082B">
            <w:pPr>
              <w:spacing w:after="0" w:line="240" w:lineRule="auto"/>
              <w:jc w:val="both"/>
              <w:rPr>
                <w:rFonts w:ascii="Times New Roman" w:hAnsi="Times New Roman" w:cs="Times New Roman"/>
                <w:noProof/>
                <w:sz w:val="18"/>
                <w:szCs w:val="18"/>
              </w:rPr>
            </w:pPr>
          </w:p>
        </w:tc>
      </w:tr>
      <w:tr w:rsidR="00B3049F" w:rsidRPr="00A22BE7" w14:paraId="653DA4F0" w14:textId="77777777" w:rsidTr="003053C5">
        <w:trPr>
          <w:trHeight w:val="300"/>
          <w:jc w:val="center"/>
        </w:trPr>
        <w:tc>
          <w:tcPr>
            <w:tcW w:w="1129" w:type="dxa"/>
            <w:shd w:val="clear" w:color="auto" w:fill="C1F0C7" w:themeFill="accent3" w:themeFillTint="33"/>
            <w:noWrap/>
            <w:hideMark/>
          </w:tcPr>
          <w:p w14:paraId="6AA58832"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246a</w:t>
            </w:r>
          </w:p>
        </w:tc>
        <w:tc>
          <w:tcPr>
            <w:tcW w:w="1560" w:type="dxa"/>
            <w:shd w:val="clear" w:color="auto" w:fill="C1F0C7" w:themeFill="accent3" w:themeFillTint="33"/>
            <w:noWrap/>
            <w:hideMark/>
          </w:tcPr>
          <w:p w14:paraId="6B66DD5F"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C5.1R4</w:t>
            </w:r>
          </w:p>
          <w:p w14:paraId="64478556"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Digital transformation of school units with the aim of supporting digital skills and skills related to STEM education</w:t>
            </w:r>
          </w:p>
          <w:p w14:paraId="08EB8C29" w14:textId="77777777" w:rsidR="00B3049F" w:rsidRPr="00A22BE7" w:rsidRDefault="00B3049F" w:rsidP="00D8670B">
            <w:pPr>
              <w:spacing w:after="0" w:line="240" w:lineRule="auto"/>
              <w:rPr>
                <w:rFonts w:ascii="Times New Roman" w:hAnsi="Times New Roman" w:cs="Times New Roman"/>
                <w:noProof/>
                <w:sz w:val="18"/>
                <w:szCs w:val="18"/>
              </w:rPr>
            </w:pPr>
          </w:p>
        </w:tc>
        <w:tc>
          <w:tcPr>
            <w:tcW w:w="1237" w:type="dxa"/>
            <w:shd w:val="clear" w:color="auto" w:fill="C1F0C7" w:themeFill="accent3" w:themeFillTint="33"/>
            <w:noWrap/>
            <w:hideMark/>
          </w:tcPr>
          <w:p w14:paraId="4F6CBE1C"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Target</w:t>
            </w:r>
          </w:p>
        </w:tc>
        <w:tc>
          <w:tcPr>
            <w:tcW w:w="1423" w:type="dxa"/>
            <w:shd w:val="clear" w:color="auto" w:fill="C1F0C7" w:themeFill="accent3" w:themeFillTint="33"/>
            <w:noWrap/>
            <w:hideMark/>
          </w:tcPr>
          <w:p w14:paraId="19C62160"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Classrooms digitally equipped </w:t>
            </w:r>
          </w:p>
        </w:tc>
        <w:tc>
          <w:tcPr>
            <w:tcW w:w="1558" w:type="dxa"/>
            <w:shd w:val="clear" w:color="auto" w:fill="C1F0C7" w:themeFill="accent3" w:themeFillTint="33"/>
            <w:noWrap/>
            <w:hideMark/>
          </w:tcPr>
          <w:p w14:paraId="60FB1440"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 -</w:t>
            </w:r>
          </w:p>
        </w:tc>
        <w:tc>
          <w:tcPr>
            <w:tcW w:w="1130" w:type="dxa"/>
            <w:shd w:val="clear" w:color="auto" w:fill="C1F0C7" w:themeFill="accent3" w:themeFillTint="33"/>
            <w:noWrap/>
            <w:hideMark/>
          </w:tcPr>
          <w:p w14:paraId="1B44B3D1"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Number</w:t>
            </w:r>
          </w:p>
        </w:tc>
        <w:tc>
          <w:tcPr>
            <w:tcW w:w="992" w:type="dxa"/>
            <w:shd w:val="clear" w:color="auto" w:fill="C1F0C7" w:themeFill="accent3" w:themeFillTint="33"/>
            <w:noWrap/>
            <w:hideMark/>
          </w:tcPr>
          <w:p w14:paraId="35B3273A"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0</w:t>
            </w:r>
          </w:p>
        </w:tc>
        <w:tc>
          <w:tcPr>
            <w:tcW w:w="1280" w:type="dxa"/>
            <w:shd w:val="clear" w:color="auto" w:fill="C1F0C7" w:themeFill="accent3" w:themeFillTint="33"/>
            <w:noWrap/>
            <w:hideMark/>
          </w:tcPr>
          <w:p w14:paraId="34F4AECB"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700</w:t>
            </w:r>
          </w:p>
        </w:tc>
        <w:tc>
          <w:tcPr>
            <w:tcW w:w="885" w:type="dxa"/>
            <w:shd w:val="clear" w:color="auto" w:fill="C1F0C7" w:themeFill="accent3" w:themeFillTint="33"/>
            <w:noWrap/>
            <w:hideMark/>
          </w:tcPr>
          <w:p w14:paraId="29E2699B"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Q2</w:t>
            </w:r>
          </w:p>
        </w:tc>
        <w:tc>
          <w:tcPr>
            <w:tcW w:w="992" w:type="dxa"/>
            <w:shd w:val="clear" w:color="auto" w:fill="C1F0C7" w:themeFill="accent3" w:themeFillTint="33"/>
            <w:noWrap/>
            <w:hideMark/>
          </w:tcPr>
          <w:p w14:paraId="6DFA1A33"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2024</w:t>
            </w:r>
          </w:p>
        </w:tc>
        <w:tc>
          <w:tcPr>
            <w:tcW w:w="3227" w:type="dxa"/>
            <w:shd w:val="clear" w:color="auto" w:fill="C1F0C7" w:themeFill="accent3" w:themeFillTint="33"/>
            <w:noWrap/>
            <w:hideMark/>
          </w:tcPr>
          <w:p w14:paraId="2ECC0DE4"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Classrooms in at least 700 schools have been digitally equipped with, for example, laptops, projectors, microphones, speakers, digital graphic boards, cameras, and TVs.</w:t>
            </w:r>
          </w:p>
        </w:tc>
      </w:tr>
      <w:tr w:rsidR="00B3049F" w:rsidRPr="00A22BE7" w14:paraId="00264FB7" w14:textId="77777777" w:rsidTr="003053C5">
        <w:trPr>
          <w:trHeight w:val="300"/>
          <w:jc w:val="center"/>
        </w:trPr>
        <w:tc>
          <w:tcPr>
            <w:tcW w:w="1129" w:type="dxa"/>
            <w:shd w:val="clear" w:color="auto" w:fill="C1F0C7" w:themeFill="accent3" w:themeFillTint="33"/>
            <w:noWrap/>
          </w:tcPr>
          <w:p w14:paraId="08ED8579"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246b</w:t>
            </w:r>
          </w:p>
        </w:tc>
        <w:tc>
          <w:tcPr>
            <w:tcW w:w="1560" w:type="dxa"/>
            <w:shd w:val="clear" w:color="auto" w:fill="C1F0C7" w:themeFill="accent3" w:themeFillTint="33"/>
            <w:noWrap/>
          </w:tcPr>
          <w:p w14:paraId="1B263738"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C5.1R4</w:t>
            </w:r>
          </w:p>
          <w:p w14:paraId="24212507"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Digital transformation of school units with the aim of supporting digital skills and skills related to STEM education</w:t>
            </w:r>
          </w:p>
        </w:tc>
        <w:tc>
          <w:tcPr>
            <w:tcW w:w="1237" w:type="dxa"/>
            <w:shd w:val="clear" w:color="auto" w:fill="C1F0C7" w:themeFill="accent3" w:themeFillTint="33"/>
            <w:noWrap/>
          </w:tcPr>
          <w:p w14:paraId="26965489"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Target</w:t>
            </w:r>
          </w:p>
        </w:tc>
        <w:tc>
          <w:tcPr>
            <w:tcW w:w="1423" w:type="dxa"/>
            <w:shd w:val="clear" w:color="auto" w:fill="C1F0C7" w:themeFill="accent3" w:themeFillTint="33"/>
            <w:noWrap/>
          </w:tcPr>
          <w:p w14:paraId="7035E12F"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Support scheme for the digital equipment for pupils</w:t>
            </w:r>
          </w:p>
        </w:tc>
        <w:tc>
          <w:tcPr>
            <w:tcW w:w="1558" w:type="dxa"/>
            <w:shd w:val="clear" w:color="auto" w:fill="C1F0C7" w:themeFill="accent3" w:themeFillTint="33"/>
            <w:noWrap/>
          </w:tcPr>
          <w:p w14:paraId="5E0CCAF9"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1130" w:type="dxa"/>
            <w:shd w:val="clear" w:color="auto" w:fill="C1F0C7" w:themeFill="accent3" w:themeFillTint="33"/>
            <w:noWrap/>
          </w:tcPr>
          <w:p w14:paraId="2BD398E3"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Number</w:t>
            </w:r>
          </w:p>
        </w:tc>
        <w:tc>
          <w:tcPr>
            <w:tcW w:w="992" w:type="dxa"/>
            <w:shd w:val="clear" w:color="auto" w:fill="C1F0C7" w:themeFill="accent3" w:themeFillTint="33"/>
            <w:noWrap/>
          </w:tcPr>
          <w:p w14:paraId="6F9CFB8D"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0</w:t>
            </w:r>
          </w:p>
        </w:tc>
        <w:tc>
          <w:tcPr>
            <w:tcW w:w="1280" w:type="dxa"/>
            <w:shd w:val="clear" w:color="auto" w:fill="C1F0C7" w:themeFill="accent3" w:themeFillTint="33"/>
            <w:noWrap/>
          </w:tcPr>
          <w:p w14:paraId="746B4E2D"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15 000</w:t>
            </w:r>
          </w:p>
        </w:tc>
        <w:tc>
          <w:tcPr>
            <w:tcW w:w="885" w:type="dxa"/>
            <w:shd w:val="clear" w:color="auto" w:fill="C1F0C7" w:themeFill="accent3" w:themeFillTint="33"/>
            <w:noWrap/>
          </w:tcPr>
          <w:p w14:paraId="53A2FB39"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Q2</w:t>
            </w:r>
          </w:p>
        </w:tc>
        <w:tc>
          <w:tcPr>
            <w:tcW w:w="992" w:type="dxa"/>
            <w:shd w:val="clear" w:color="auto" w:fill="C1F0C7" w:themeFill="accent3" w:themeFillTint="33"/>
            <w:noWrap/>
          </w:tcPr>
          <w:p w14:paraId="2E8CA2AF"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2026</w:t>
            </w:r>
          </w:p>
        </w:tc>
        <w:tc>
          <w:tcPr>
            <w:tcW w:w="3227" w:type="dxa"/>
            <w:shd w:val="clear" w:color="auto" w:fill="C1F0C7" w:themeFill="accent3" w:themeFillTint="33"/>
            <w:noWrap/>
          </w:tcPr>
          <w:p w14:paraId="6449D968"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 xml:space="preserve">Supply or financial support for the purchase of digital equipment to 15 000 students. </w:t>
            </w:r>
          </w:p>
        </w:tc>
      </w:tr>
      <w:tr w:rsidR="00B3049F" w:rsidRPr="00A22BE7" w14:paraId="4AC0C4F1" w14:textId="77777777" w:rsidTr="003053C5">
        <w:trPr>
          <w:trHeight w:val="990"/>
          <w:jc w:val="center"/>
        </w:trPr>
        <w:tc>
          <w:tcPr>
            <w:tcW w:w="1129" w:type="dxa"/>
            <w:shd w:val="clear" w:color="auto" w:fill="C1F0C7" w:themeFill="accent3" w:themeFillTint="33"/>
            <w:noWrap/>
            <w:hideMark/>
          </w:tcPr>
          <w:p w14:paraId="58CCC64B"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249</w:t>
            </w:r>
          </w:p>
        </w:tc>
        <w:tc>
          <w:tcPr>
            <w:tcW w:w="1560" w:type="dxa"/>
            <w:shd w:val="clear" w:color="auto" w:fill="C1F0C7" w:themeFill="accent3" w:themeFillTint="33"/>
            <w:noWrap/>
            <w:hideMark/>
          </w:tcPr>
          <w:p w14:paraId="42E00889"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C5.1R5</w:t>
            </w:r>
          </w:p>
          <w:p w14:paraId="27B4371A"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E-skills Action Plan – Implementation of specific actions</w:t>
            </w:r>
          </w:p>
        </w:tc>
        <w:tc>
          <w:tcPr>
            <w:tcW w:w="1237" w:type="dxa"/>
            <w:shd w:val="clear" w:color="auto" w:fill="C1F0C7" w:themeFill="accent3" w:themeFillTint="33"/>
            <w:noWrap/>
            <w:hideMark/>
          </w:tcPr>
          <w:p w14:paraId="47B2B749"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Milestone</w:t>
            </w:r>
          </w:p>
        </w:tc>
        <w:tc>
          <w:tcPr>
            <w:tcW w:w="1423" w:type="dxa"/>
            <w:shd w:val="clear" w:color="auto" w:fill="C1F0C7" w:themeFill="accent3" w:themeFillTint="33"/>
            <w:noWrap/>
            <w:hideMark/>
          </w:tcPr>
          <w:p w14:paraId="2E2E595E"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National e-Skills Action Plan is adopted by the Council of Ministers </w:t>
            </w:r>
          </w:p>
        </w:tc>
        <w:tc>
          <w:tcPr>
            <w:tcW w:w="1558" w:type="dxa"/>
            <w:shd w:val="clear" w:color="auto" w:fill="C1F0C7" w:themeFill="accent3" w:themeFillTint="33"/>
            <w:noWrap/>
            <w:hideMark/>
          </w:tcPr>
          <w:p w14:paraId="43272990"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National e-</w:t>
            </w:r>
          </w:p>
          <w:p w14:paraId="50725EEA"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Skills Action Plan is adopted by the Council of Ministers </w:t>
            </w:r>
          </w:p>
          <w:p w14:paraId="4EB01C89" w14:textId="77777777" w:rsidR="00B3049F" w:rsidRPr="00A22BE7" w:rsidRDefault="00B3049F" w:rsidP="00D8670B">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55439254" w14:textId="77777777" w:rsidR="00B3049F" w:rsidRPr="00A22BE7" w:rsidRDefault="00B3049F" w:rsidP="00A8082B">
            <w:pPr>
              <w:spacing w:after="0" w:line="240" w:lineRule="auto"/>
              <w:jc w:val="center"/>
              <w:rPr>
                <w:rFonts w:ascii="Times New Roman" w:hAnsi="Times New Roman" w:cs="Times New Roman"/>
                <w:noProof/>
                <w:sz w:val="18"/>
                <w:szCs w:val="18"/>
              </w:rPr>
            </w:pPr>
          </w:p>
        </w:tc>
        <w:tc>
          <w:tcPr>
            <w:tcW w:w="992" w:type="dxa"/>
            <w:shd w:val="clear" w:color="auto" w:fill="C1F0C7" w:themeFill="accent3" w:themeFillTint="33"/>
            <w:noWrap/>
            <w:hideMark/>
          </w:tcPr>
          <w:p w14:paraId="1C518333" w14:textId="77777777" w:rsidR="00B3049F" w:rsidRPr="00A22BE7" w:rsidRDefault="00B3049F" w:rsidP="00A8082B">
            <w:pPr>
              <w:spacing w:after="0" w:line="240" w:lineRule="auto"/>
              <w:jc w:val="center"/>
              <w:rPr>
                <w:rFonts w:ascii="Times New Roman" w:hAnsi="Times New Roman" w:cs="Times New Roman"/>
                <w:noProof/>
                <w:sz w:val="18"/>
                <w:szCs w:val="18"/>
              </w:rPr>
            </w:pPr>
          </w:p>
        </w:tc>
        <w:tc>
          <w:tcPr>
            <w:tcW w:w="1280" w:type="dxa"/>
            <w:shd w:val="clear" w:color="auto" w:fill="C1F0C7" w:themeFill="accent3" w:themeFillTint="33"/>
            <w:noWrap/>
            <w:hideMark/>
          </w:tcPr>
          <w:p w14:paraId="7E22F777" w14:textId="77777777" w:rsidR="00B3049F" w:rsidRPr="00A22BE7" w:rsidRDefault="00B3049F" w:rsidP="00A8082B">
            <w:pPr>
              <w:spacing w:after="0" w:line="240" w:lineRule="auto"/>
              <w:jc w:val="center"/>
              <w:rPr>
                <w:rFonts w:ascii="Times New Roman" w:hAnsi="Times New Roman" w:cs="Times New Roman"/>
                <w:noProof/>
                <w:sz w:val="18"/>
                <w:szCs w:val="18"/>
              </w:rPr>
            </w:pPr>
          </w:p>
        </w:tc>
        <w:tc>
          <w:tcPr>
            <w:tcW w:w="885" w:type="dxa"/>
            <w:shd w:val="clear" w:color="auto" w:fill="C1F0C7" w:themeFill="accent3" w:themeFillTint="33"/>
            <w:noWrap/>
            <w:hideMark/>
          </w:tcPr>
          <w:p w14:paraId="1E7C9C6C"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Q4</w:t>
            </w:r>
          </w:p>
        </w:tc>
        <w:tc>
          <w:tcPr>
            <w:tcW w:w="992" w:type="dxa"/>
            <w:shd w:val="clear" w:color="auto" w:fill="C1F0C7" w:themeFill="accent3" w:themeFillTint="33"/>
            <w:noWrap/>
            <w:hideMark/>
          </w:tcPr>
          <w:p w14:paraId="2D89AF61"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2021</w:t>
            </w:r>
          </w:p>
        </w:tc>
        <w:tc>
          <w:tcPr>
            <w:tcW w:w="3227" w:type="dxa"/>
            <w:shd w:val="clear" w:color="auto" w:fill="C1F0C7" w:themeFill="accent3" w:themeFillTint="33"/>
            <w:noWrap/>
            <w:hideMark/>
          </w:tcPr>
          <w:p w14:paraId="1619F568"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National e-Skills Action Plan is adopted by the Council of Ministers, which shall include at least:</w:t>
            </w:r>
          </w:p>
          <w:p w14:paraId="7CE85019"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 xml:space="preserve">• development of an e-learning platform, containing a </w:t>
            </w:r>
          </w:p>
          <w:p w14:paraId="7755CD8F"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 xml:space="preserve">self-assessment tool for digital fitness, index of all available skilling programmes, </w:t>
            </w:r>
          </w:p>
          <w:p w14:paraId="31BBD82B"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and content material on digital skills and cross-sectoral competences.</w:t>
            </w:r>
          </w:p>
          <w:p w14:paraId="0E60AEC9"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 xml:space="preserve">• design and delivery of programmes and interventions for professionals within the </w:t>
            </w:r>
          </w:p>
          <w:p w14:paraId="2E1DFB3C"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public sector in areas such as Project management, Microsoft tools, cybersecurity, social media, e-collaboration and productivity tools;</w:t>
            </w:r>
          </w:p>
          <w:p w14:paraId="4F3BF8B3"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 investment in digital infrastructure.</w:t>
            </w:r>
          </w:p>
        </w:tc>
      </w:tr>
      <w:tr w:rsidR="00B3049F" w:rsidRPr="00A22BE7" w14:paraId="3D55F3B0" w14:textId="77777777" w:rsidTr="003053C5">
        <w:trPr>
          <w:trHeight w:val="300"/>
          <w:jc w:val="center"/>
        </w:trPr>
        <w:tc>
          <w:tcPr>
            <w:tcW w:w="1129" w:type="dxa"/>
            <w:shd w:val="clear" w:color="auto" w:fill="C1F0C7" w:themeFill="accent3" w:themeFillTint="33"/>
            <w:noWrap/>
            <w:hideMark/>
          </w:tcPr>
          <w:p w14:paraId="60502A30"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250</w:t>
            </w:r>
          </w:p>
        </w:tc>
        <w:tc>
          <w:tcPr>
            <w:tcW w:w="1560" w:type="dxa"/>
            <w:shd w:val="clear" w:color="auto" w:fill="C1F0C7" w:themeFill="accent3" w:themeFillTint="33"/>
            <w:noWrap/>
            <w:hideMark/>
          </w:tcPr>
          <w:p w14:paraId="7E6F6F11"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C5.1R5</w:t>
            </w:r>
          </w:p>
          <w:p w14:paraId="1404D424"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E-skills Action Plan – Delivery of specific actions</w:t>
            </w:r>
          </w:p>
        </w:tc>
        <w:tc>
          <w:tcPr>
            <w:tcW w:w="1237" w:type="dxa"/>
            <w:shd w:val="clear" w:color="auto" w:fill="C1F0C7" w:themeFill="accent3" w:themeFillTint="33"/>
            <w:noWrap/>
            <w:hideMark/>
          </w:tcPr>
          <w:p w14:paraId="184B3163"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Milestone</w:t>
            </w:r>
          </w:p>
        </w:tc>
        <w:tc>
          <w:tcPr>
            <w:tcW w:w="1423" w:type="dxa"/>
            <w:shd w:val="clear" w:color="auto" w:fill="C1F0C7" w:themeFill="accent3" w:themeFillTint="33"/>
            <w:noWrap/>
            <w:hideMark/>
          </w:tcPr>
          <w:p w14:paraId="17B2614F"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Measures related to the e-Skills Action Plan </w:t>
            </w:r>
          </w:p>
        </w:tc>
        <w:tc>
          <w:tcPr>
            <w:tcW w:w="1558" w:type="dxa"/>
            <w:shd w:val="clear" w:color="auto" w:fill="C1F0C7" w:themeFill="accent3" w:themeFillTint="33"/>
            <w:noWrap/>
            <w:hideMark/>
          </w:tcPr>
          <w:p w14:paraId="314BCBF9"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Programmes organised, approval of a communication plan</w:t>
            </w:r>
          </w:p>
          <w:p w14:paraId="43DCD2BE" w14:textId="77777777" w:rsidR="00B3049F" w:rsidRPr="00A22BE7" w:rsidRDefault="00B3049F" w:rsidP="00D8670B">
            <w:pPr>
              <w:spacing w:after="0" w:line="240" w:lineRule="auto"/>
              <w:rPr>
                <w:rFonts w:ascii="Times New Roman" w:hAnsi="Times New Roman" w:cs="Times New Roman"/>
                <w:noProof/>
                <w:sz w:val="18"/>
                <w:szCs w:val="18"/>
              </w:rPr>
            </w:pPr>
          </w:p>
        </w:tc>
        <w:tc>
          <w:tcPr>
            <w:tcW w:w="1130" w:type="dxa"/>
            <w:shd w:val="clear" w:color="auto" w:fill="C1F0C7" w:themeFill="accent3" w:themeFillTint="33"/>
            <w:noWrap/>
            <w:hideMark/>
          </w:tcPr>
          <w:p w14:paraId="098DA136" w14:textId="27BF78E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992" w:type="dxa"/>
            <w:shd w:val="clear" w:color="auto" w:fill="C1F0C7" w:themeFill="accent3" w:themeFillTint="33"/>
            <w:noWrap/>
            <w:hideMark/>
          </w:tcPr>
          <w:p w14:paraId="196E5475" w14:textId="778E0EDB"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1280" w:type="dxa"/>
            <w:shd w:val="clear" w:color="auto" w:fill="C1F0C7" w:themeFill="accent3" w:themeFillTint="33"/>
            <w:noWrap/>
            <w:hideMark/>
          </w:tcPr>
          <w:p w14:paraId="38AADD0D" w14:textId="1FDCD8B4"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885" w:type="dxa"/>
            <w:shd w:val="clear" w:color="auto" w:fill="C1F0C7" w:themeFill="accent3" w:themeFillTint="33"/>
            <w:noWrap/>
            <w:hideMark/>
          </w:tcPr>
          <w:p w14:paraId="0DEF1FAE"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Q4</w:t>
            </w:r>
          </w:p>
        </w:tc>
        <w:tc>
          <w:tcPr>
            <w:tcW w:w="992" w:type="dxa"/>
            <w:shd w:val="clear" w:color="auto" w:fill="C1F0C7" w:themeFill="accent3" w:themeFillTint="33"/>
            <w:noWrap/>
            <w:hideMark/>
          </w:tcPr>
          <w:p w14:paraId="299F1587"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2025</w:t>
            </w:r>
          </w:p>
        </w:tc>
        <w:tc>
          <w:tcPr>
            <w:tcW w:w="3227" w:type="dxa"/>
            <w:shd w:val="clear" w:color="auto" w:fill="C1F0C7" w:themeFill="accent3" w:themeFillTint="33"/>
            <w:noWrap/>
            <w:hideMark/>
          </w:tcPr>
          <w:p w14:paraId="5709A22D" w14:textId="0585AE83"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w:t>
            </w:r>
            <w:r w:rsidR="00064579" w:rsidRPr="00A22BE7">
              <w:rPr>
                <w:rFonts w:ascii="Times New Roman" w:hAnsi="Times New Roman" w:cs="Times New Roman"/>
                <w:noProof/>
                <w:sz w:val="18"/>
                <w:szCs w:val="18"/>
              </w:rPr>
              <w:t xml:space="preserve"> </w:t>
            </w:r>
            <w:r w:rsidRPr="00A22BE7">
              <w:rPr>
                <w:rFonts w:ascii="Times New Roman" w:hAnsi="Times New Roman" w:cs="Times New Roman"/>
                <w:noProof/>
                <w:sz w:val="18"/>
                <w:szCs w:val="18"/>
              </w:rPr>
              <w:t>Trainings</w:t>
            </w:r>
            <w:r w:rsidR="00A8082B">
              <w:rPr>
                <w:rFonts w:ascii="Times New Roman" w:hAnsi="Times New Roman" w:cs="Times New Roman"/>
                <w:noProof/>
                <w:sz w:val="18"/>
                <w:szCs w:val="18"/>
              </w:rPr>
              <w:t xml:space="preserve"> </w:t>
            </w:r>
            <w:r w:rsidRPr="00A22BE7">
              <w:rPr>
                <w:rFonts w:ascii="Times New Roman" w:hAnsi="Times New Roman" w:cs="Times New Roman"/>
                <w:noProof/>
                <w:sz w:val="18"/>
                <w:szCs w:val="18"/>
              </w:rPr>
              <w:t>targeted at public sector employees for digital skills and</w:t>
            </w:r>
            <w:r w:rsidR="00064579" w:rsidRPr="00A22BE7">
              <w:rPr>
                <w:rFonts w:ascii="Times New Roman" w:hAnsi="Times New Roman" w:cs="Times New Roman"/>
                <w:noProof/>
                <w:sz w:val="18"/>
                <w:szCs w:val="18"/>
              </w:rPr>
              <w:t xml:space="preserve"> </w:t>
            </w:r>
            <w:r w:rsidRPr="00A22BE7">
              <w:rPr>
                <w:rFonts w:ascii="Times New Roman" w:hAnsi="Times New Roman" w:cs="Times New Roman"/>
                <w:noProof/>
                <w:sz w:val="18"/>
                <w:szCs w:val="18"/>
              </w:rPr>
              <w:t>project management.</w:t>
            </w:r>
          </w:p>
          <w:p w14:paraId="279F72CA" w14:textId="77777777" w:rsidR="00B3049F" w:rsidRPr="00A22BE7" w:rsidRDefault="00B3049F" w:rsidP="00A8082B">
            <w:pPr>
              <w:spacing w:after="0" w:line="240" w:lineRule="auto"/>
              <w:jc w:val="both"/>
              <w:rPr>
                <w:rFonts w:ascii="Times New Roman" w:eastAsia="Times New Roman" w:hAnsi="Times New Roman" w:cs="Times New Roman"/>
                <w:noProof/>
                <w:sz w:val="18"/>
                <w:szCs w:val="18"/>
              </w:rPr>
            </w:pPr>
            <w:r w:rsidRPr="00A22BE7">
              <w:rPr>
                <w:rFonts w:ascii="Times New Roman" w:hAnsi="Times New Roman" w:cs="Times New Roman"/>
                <w:noProof/>
                <w:sz w:val="18"/>
                <w:szCs w:val="18"/>
              </w:rPr>
              <w:t>- Receipt of digital equipment (for example laptops, computers).</w:t>
            </w:r>
          </w:p>
          <w:p w14:paraId="2B036C14" w14:textId="7484994D" w:rsidR="00B3049F" w:rsidRPr="00A22BE7" w:rsidRDefault="00B3049F" w:rsidP="00A8082B">
            <w:pPr>
              <w:spacing w:after="0" w:line="240" w:lineRule="auto"/>
              <w:jc w:val="both"/>
              <w:rPr>
                <w:rFonts w:ascii="Times New Roman" w:eastAsia="Times New Roman" w:hAnsi="Times New Roman" w:cs="Times New Roman"/>
                <w:noProof/>
                <w:sz w:val="18"/>
                <w:szCs w:val="18"/>
              </w:rPr>
            </w:pPr>
            <w:r w:rsidRPr="00A22BE7">
              <w:rPr>
                <w:rFonts w:ascii="Times New Roman" w:hAnsi="Times New Roman" w:cs="Times New Roman"/>
                <w:noProof/>
                <w:sz w:val="18"/>
                <w:szCs w:val="18"/>
              </w:rPr>
              <w:t>- Approval of a communication plan</w:t>
            </w:r>
            <w:r w:rsidR="00A8082B">
              <w:rPr>
                <w:rFonts w:ascii="Times New Roman" w:hAnsi="Times New Roman" w:cs="Times New Roman"/>
                <w:noProof/>
                <w:sz w:val="18"/>
                <w:szCs w:val="18"/>
              </w:rPr>
              <w:t xml:space="preserve"> </w:t>
            </w:r>
            <w:r w:rsidRPr="00A22BE7">
              <w:rPr>
                <w:rFonts w:ascii="Times New Roman" w:eastAsia="Arial" w:hAnsi="Times New Roman" w:cs="Times New Roman"/>
                <w:noProof/>
                <w:color w:val="000000" w:themeColor="text1"/>
                <w:sz w:val="18"/>
                <w:szCs w:val="18"/>
              </w:rPr>
              <w:t>for the promotion of digital skills.</w:t>
            </w:r>
          </w:p>
        </w:tc>
      </w:tr>
      <w:tr w:rsidR="00B3049F" w:rsidRPr="00A22BE7" w14:paraId="4D45BB71" w14:textId="77777777" w:rsidTr="003053C5">
        <w:trPr>
          <w:trHeight w:val="300"/>
          <w:jc w:val="center"/>
        </w:trPr>
        <w:tc>
          <w:tcPr>
            <w:tcW w:w="1129" w:type="dxa"/>
            <w:shd w:val="clear" w:color="auto" w:fill="C1F0C7" w:themeFill="accent3" w:themeFillTint="33"/>
            <w:noWrap/>
            <w:hideMark/>
          </w:tcPr>
          <w:p w14:paraId="25727829"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251</w:t>
            </w:r>
          </w:p>
        </w:tc>
        <w:tc>
          <w:tcPr>
            <w:tcW w:w="1560" w:type="dxa"/>
            <w:shd w:val="clear" w:color="auto" w:fill="C1F0C7" w:themeFill="accent3" w:themeFillTint="33"/>
            <w:noWrap/>
            <w:hideMark/>
          </w:tcPr>
          <w:p w14:paraId="337892D7"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C5.1I1</w:t>
            </w:r>
          </w:p>
          <w:p w14:paraId="33A602B2"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Construction of one Model Technical School</w:t>
            </w:r>
          </w:p>
        </w:tc>
        <w:tc>
          <w:tcPr>
            <w:tcW w:w="1237" w:type="dxa"/>
            <w:shd w:val="clear" w:color="auto" w:fill="C1F0C7" w:themeFill="accent3" w:themeFillTint="33"/>
            <w:noWrap/>
            <w:hideMark/>
          </w:tcPr>
          <w:p w14:paraId="02C2302C"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Milestone</w:t>
            </w:r>
          </w:p>
        </w:tc>
        <w:tc>
          <w:tcPr>
            <w:tcW w:w="1423" w:type="dxa"/>
            <w:shd w:val="clear" w:color="auto" w:fill="C1F0C7" w:themeFill="accent3" w:themeFillTint="33"/>
            <w:noWrap/>
            <w:hideMark/>
          </w:tcPr>
          <w:p w14:paraId="6EBEC2BA"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Contract for the construction of one Technical School </w:t>
            </w:r>
          </w:p>
        </w:tc>
        <w:tc>
          <w:tcPr>
            <w:tcW w:w="1558" w:type="dxa"/>
            <w:shd w:val="clear" w:color="auto" w:fill="C1F0C7" w:themeFill="accent3" w:themeFillTint="33"/>
            <w:noWrap/>
            <w:hideMark/>
          </w:tcPr>
          <w:p w14:paraId="27414300"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Contract Signature and initiation of construction</w:t>
            </w:r>
          </w:p>
        </w:tc>
        <w:tc>
          <w:tcPr>
            <w:tcW w:w="1130" w:type="dxa"/>
            <w:shd w:val="clear" w:color="auto" w:fill="C1F0C7" w:themeFill="accent3" w:themeFillTint="33"/>
            <w:noWrap/>
            <w:hideMark/>
          </w:tcPr>
          <w:p w14:paraId="0DB410EC" w14:textId="76722FA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992" w:type="dxa"/>
            <w:shd w:val="clear" w:color="auto" w:fill="C1F0C7" w:themeFill="accent3" w:themeFillTint="33"/>
            <w:noWrap/>
            <w:hideMark/>
          </w:tcPr>
          <w:p w14:paraId="4FF9F0DF" w14:textId="159B17B3"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1280" w:type="dxa"/>
            <w:shd w:val="clear" w:color="auto" w:fill="C1F0C7" w:themeFill="accent3" w:themeFillTint="33"/>
            <w:noWrap/>
            <w:hideMark/>
          </w:tcPr>
          <w:p w14:paraId="429A6B43" w14:textId="79E8F595"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w:t>
            </w:r>
          </w:p>
        </w:tc>
        <w:tc>
          <w:tcPr>
            <w:tcW w:w="885" w:type="dxa"/>
            <w:shd w:val="clear" w:color="auto" w:fill="C1F0C7" w:themeFill="accent3" w:themeFillTint="33"/>
            <w:noWrap/>
            <w:hideMark/>
          </w:tcPr>
          <w:p w14:paraId="3911B16C"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Q4</w:t>
            </w:r>
          </w:p>
        </w:tc>
        <w:tc>
          <w:tcPr>
            <w:tcW w:w="992" w:type="dxa"/>
            <w:shd w:val="clear" w:color="auto" w:fill="C1F0C7" w:themeFill="accent3" w:themeFillTint="33"/>
            <w:noWrap/>
            <w:hideMark/>
          </w:tcPr>
          <w:p w14:paraId="76D04C08"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2022</w:t>
            </w:r>
          </w:p>
        </w:tc>
        <w:tc>
          <w:tcPr>
            <w:tcW w:w="3227" w:type="dxa"/>
            <w:shd w:val="clear" w:color="auto" w:fill="C1F0C7" w:themeFill="accent3" w:themeFillTint="33"/>
            <w:noWrap/>
            <w:hideMark/>
          </w:tcPr>
          <w:p w14:paraId="3001B9E8"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Signing of a contract with the contractor selected under a competitive call for proposals for the construction of one Technical School in Limassol and issue of construction initiation order by the project Engineer.</w:t>
            </w:r>
          </w:p>
        </w:tc>
      </w:tr>
      <w:tr w:rsidR="00B3049F" w:rsidRPr="00A22BE7" w14:paraId="19ADDCDE" w14:textId="77777777" w:rsidTr="003053C5">
        <w:trPr>
          <w:trHeight w:val="300"/>
          <w:jc w:val="center"/>
        </w:trPr>
        <w:tc>
          <w:tcPr>
            <w:tcW w:w="1129" w:type="dxa"/>
            <w:shd w:val="clear" w:color="auto" w:fill="C1F0C7" w:themeFill="accent3" w:themeFillTint="33"/>
            <w:noWrap/>
          </w:tcPr>
          <w:p w14:paraId="0734C6CE"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254</w:t>
            </w:r>
          </w:p>
        </w:tc>
        <w:tc>
          <w:tcPr>
            <w:tcW w:w="1560" w:type="dxa"/>
            <w:shd w:val="clear" w:color="auto" w:fill="C1F0C7" w:themeFill="accent3" w:themeFillTint="33"/>
            <w:noWrap/>
          </w:tcPr>
          <w:p w14:paraId="0EBB7DC4" w14:textId="77777777" w:rsidR="00B3049F" w:rsidRPr="00547ADA" w:rsidRDefault="00B3049F" w:rsidP="00D8670B">
            <w:pPr>
              <w:spacing w:after="0" w:line="240" w:lineRule="auto"/>
              <w:rPr>
                <w:rFonts w:ascii="Times New Roman" w:hAnsi="Times New Roman" w:cs="Times New Roman"/>
                <w:noProof/>
                <w:sz w:val="18"/>
                <w:szCs w:val="18"/>
                <w:lang w:val="da-DK"/>
              </w:rPr>
            </w:pPr>
            <w:r w:rsidRPr="00547ADA">
              <w:rPr>
                <w:rFonts w:ascii="Times New Roman" w:hAnsi="Times New Roman" w:cs="Times New Roman"/>
                <w:noProof/>
                <w:sz w:val="18"/>
                <w:szCs w:val="18"/>
                <w:lang w:val="da-DK"/>
              </w:rPr>
              <w:t>C5.1I2</w:t>
            </w:r>
          </w:p>
          <w:p w14:paraId="49D49322" w14:textId="77777777" w:rsidR="00B3049F" w:rsidRPr="00547ADA" w:rsidRDefault="00B3049F" w:rsidP="00D8670B">
            <w:pPr>
              <w:spacing w:after="0" w:line="240" w:lineRule="auto"/>
              <w:rPr>
                <w:rFonts w:ascii="Times New Roman" w:hAnsi="Times New Roman" w:cs="Times New Roman"/>
                <w:noProof/>
                <w:sz w:val="18"/>
                <w:szCs w:val="18"/>
                <w:lang w:val="da-DK"/>
              </w:rPr>
            </w:pPr>
            <w:r w:rsidRPr="00547ADA">
              <w:rPr>
                <w:rFonts w:ascii="Times New Roman" w:hAnsi="Times New Roman" w:cs="Times New Roman"/>
                <w:noProof/>
                <w:sz w:val="18"/>
                <w:szCs w:val="18"/>
                <w:lang w:val="da-DK"/>
              </w:rPr>
              <w:t xml:space="preserve">Skilling, Reskilling and Upskilling </w:t>
            </w:r>
          </w:p>
        </w:tc>
        <w:tc>
          <w:tcPr>
            <w:tcW w:w="1237" w:type="dxa"/>
            <w:shd w:val="clear" w:color="auto" w:fill="C1F0C7" w:themeFill="accent3" w:themeFillTint="33"/>
            <w:noWrap/>
          </w:tcPr>
          <w:p w14:paraId="7B1D4B67"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Target</w:t>
            </w:r>
          </w:p>
        </w:tc>
        <w:tc>
          <w:tcPr>
            <w:tcW w:w="1423" w:type="dxa"/>
            <w:shd w:val="clear" w:color="auto" w:fill="C1F0C7" w:themeFill="accent3" w:themeFillTint="33"/>
            <w:noWrap/>
          </w:tcPr>
          <w:p w14:paraId="2DE29645" w14:textId="0FC2A892"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Trainings in programmes for digital, green, blue and entrepreneurial skills</w:t>
            </w:r>
            <w:r w:rsidR="00064579" w:rsidRPr="00A22BE7">
              <w:rPr>
                <w:rFonts w:ascii="Times New Roman" w:hAnsi="Times New Roman" w:cs="Times New Roman"/>
                <w:noProof/>
                <w:sz w:val="18"/>
                <w:szCs w:val="18"/>
              </w:rPr>
              <w:t xml:space="preserve"> </w:t>
            </w:r>
          </w:p>
        </w:tc>
        <w:tc>
          <w:tcPr>
            <w:tcW w:w="1558" w:type="dxa"/>
            <w:shd w:val="clear" w:color="auto" w:fill="C1F0C7" w:themeFill="accent3" w:themeFillTint="33"/>
            <w:noWrap/>
          </w:tcPr>
          <w:p w14:paraId="68ABA59D" w14:textId="77777777" w:rsidR="00B3049F" w:rsidRPr="00A22BE7" w:rsidRDefault="00B3049F" w:rsidP="00D8670B">
            <w:pPr>
              <w:spacing w:after="0" w:line="240" w:lineRule="auto"/>
              <w:rPr>
                <w:rFonts w:ascii="Times New Roman" w:hAnsi="Times New Roman" w:cs="Times New Roman"/>
                <w:noProof/>
                <w:sz w:val="18"/>
                <w:szCs w:val="18"/>
              </w:rPr>
            </w:pPr>
            <w:r w:rsidRPr="00A22BE7">
              <w:rPr>
                <w:rFonts w:ascii="Times New Roman" w:hAnsi="Times New Roman" w:cs="Times New Roman"/>
                <w:noProof/>
                <w:sz w:val="18"/>
                <w:szCs w:val="18"/>
              </w:rPr>
              <w:t xml:space="preserve"> -</w:t>
            </w:r>
          </w:p>
        </w:tc>
        <w:tc>
          <w:tcPr>
            <w:tcW w:w="1130" w:type="dxa"/>
            <w:shd w:val="clear" w:color="auto" w:fill="C1F0C7" w:themeFill="accent3" w:themeFillTint="33"/>
            <w:noWrap/>
          </w:tcPr>
          <w:p w14:paraId="1BFD5BFE"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Number</w:t>
            </w:r>
          </w:p>
        </w:tc>
        <w:tc>
          <w:tcPr>
            <w:tcW w:w="992" w:type="dxa"/>
            <w:shd w:val="clear" w:color="auto" w:fill="C1F0C7" w:themeFill="accent3" w:themeFillTint="33"/>
            <w:noWrap/>
          </w:tcPr>
          <w:p w14:paraId="61BEDE96"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0</w:t>
            </w:r>
          </w:p>
        </w:tc>
        <w:tc>
          <w:tcPr>
            <w:tcW w:w="1280" w:type="dxa"/>
            <w:shd w:val="clear" w:color="auto" w:fill="C1F0C7" w:themeFill="accent3" w:themeFillTint="33"/>
            <w:noWrap/>
          </w:tcPr>
          <w:p w14:paraId="726E0CFC" w14:textId="3916FEC1"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25</w:t>
            </w:r>
            <w:r w:rsidR="003053C5">
              <w:rPr>
                <w:rFonts w:ascii="Times New Roman" w:hAnsi="Times New Roman" w:cs="Times New Roman"/>
                <w:noProof/>
                <w:sz w:val="18"/>
                <w:szCs w:val="18"/>
              </w:rPr>
              <w:t> </w:t>
            </w:r>
            <w:r w:rsidRPr="00A22BE7">
              <w:rPr>
                <w:rFonts w:ascii="Times New Roman" w:hAnsi="Times New Roman" w:cs="Times New Roman"/>
                <w:noProof/>
                <w:sz w:val="18"/>
                <w:szCs w:val="18"/>
              </w:rPr>
              <w:t>600</w:t>
            </w:r>
          </w:p>
        </w:tc>
        <w:tc>
          <w:tcPr>
            <w:tcW w:w="885" w:type="dxa"/>
            <w:shd w:val="clear" w:color="auto" w:fill="C1F0C7" w:themeFill="accent3" w:themeFillTint="33"/>
            <w:noWrap/>
          </w:tcPr>
          <w:p w14:paraId="02F5205A"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Q4</w:t>
            </w:r>
          </w:p>
        </w:tc>
        <w:tc>
          <w:tcPr>
            <w:tcW w:w="992" w:type="dxa"/>
            <w:shd w:val="clear" w:color="auto" w:fill="C1F0C7" w:themeFill="accent3" w:themeFillTint="33"/>
            <w:noWrap/>
          </w:tcPr>
          <w:p w14:paraId="10E6D977" w14:textId="77777777" w:rsidR="00B3049F" w:rsidRPr="00A22BE7" w:rsidRDefault="00B3049F" w:rsidP="00A8082B">
            <w:pPr>
              <w:spacing w:after="0" w:line="240" w:lineRule="auto"/>
              <w:jc w:val="center"/>
              <w:rPr>
                <w:rFonts w:ascii="Times New Roman" w:hAnsi="Times New Roman" w:cs="Times New Roman"/>
                <w:noProof/>
                <w:sz w:val="18"/>
                <w:szCs w:val="18"/>
              </w:rPr>
            </w:pPr>
            <w:r w:rsidRPr="00A22BE7">
              <w:rPr>
                <w:rFonts w:ascii="Times New Roman" w:hAnsi="Times New Roman" w:cs="Times New Roman"/>
                <w:noProof/>
                <w:sz w:val="18"/>
                <w:szCs w:val="18"/>
              </w:rPr>
              <w:t>2025</w:t>
            </w:r>
          </w:p>
        </w:tc>
        <w:tc>
          <w:tcPr>
            <w:tcW w:w="3227" w:type="dxa"/>
            <w:shd w:val="clear" w:color="auto" w:fill="C1F0C7" w:themeFill="accent3" w:themeFillTint="33"/>
            <w:noWrap/>
          </w:tcPr>
          <w:p w14:paraId="033169A0" w14:textId="77777777" w:rsidR="00B3049F" w:rsidRPr="00A22BE7" w:rsidRDefault="00B3049F" w:rsidP="00A8082B">
            <w:pPr>
              <w:spacing w:after="0" w:line="240" w:lineRule="auto"/>
              <w:jc w:val="both"/>
              <w:rPr>
                <w:rFonts w:ascii="Times New Roman" w:hAnsi="Times New Roman" w:cs="Times New Roman"/>
                <w:noProof/>
                <w:sz w:val="18"/>
                <w:szCs w:val="18"/>
              </w:rPr>
            </w:pPr>
            <w:r w:rsidRPr="00A22BE7">
              <w:rPr>
                <w:rFonts w:ascii="Times New Roman" w:hAnsi="Times New Roman" w:cs="Times New Roman"/>
                <w:noProof/>
                <w:sz w:val="18"/>
                <w:szCs w:val="18"/>
              </w:rPr>
              <w:t>25 600 participants trained in programmes for digital, green, blue, and entrepreneurial skills.</w:t>
            </w:r>
          </w:p>
        </w:tc>
      </w:tr>
    </w:tbl>
    <w:p w14:paraId="3DFEFDE7" w14:textId="77777777" w:rsidR="00B3049F" w:rsidRPr="000F04FA" w:rsidRDefault="00B3049F" w:rsidP="00D8670B">
      <w:pPr>
        <w:spacing w:before="120" w:after="240" w:line="240" w:lineRule="auto"/>
        <w:jc w:val="both"/>
        <w:rPr>
          <w:noProof/>
        </w:rPr>
      </w:pPr>
    </w:p>
    <w:p w14:paraId="7A5F5BCF" w14:textId="77777777" w:rsidR="00B3049F" w:rsidRPr="000F04FA" w:rsidRDefault="00B3049F">
      <w:pPr>
        <w:rPr>
          <w:noProof/>
        </w:rPr>
        <w:sectPr w:rsidR="00B3049F" w:rsidRPr="000F04FA" w:rsidSect="00B3049F">
          <w:headerReference w:type="default" r:id="rId88"/>
          <w:footerReference w:type="default" r:id="rId89"/>
          <w:pgSz w:w="15840" w:h="12240" w:orient="landscape"/>
          <w:pgMar w:top="1134" w:right="1134" w:bottom="1134" w:left="1134" w:header="720" w:footer="720" w:gutter="0"/>
          <w:cols w:space="720"/>
          <w:docGrid w:linePitch="360"/>
        </w:sectPr>
      </w:pPr>
    </w:p>
    <w:p w14:paraId="37520CAF" w14:textId="77777777" w:rsidR="00B3049F" w:rsidRPr="000F04FA" w:rsidRDefault="00B3049F" w:rsidP="00D8670B">
      <w:pPr>
        <w:keepNext/>
        <w:spacing w:before="360" w:after="120" w:line="240" w:lineRule="auto"/>
        <w:jc w:val="both"/>
        <w:outlineLvl w:val="0"/>
        <w:rPr>
          <w:rFonts w:ascii="Times New Roman" w:hAnsi="Times New Roman"/>
          <w:b/>
          <w:smallCaps/>
          <w:noProof/>
        </w:rPr>
      </w:pPr>
      <w:r w:rsidRPr="000F04FA">
        <w:rPr>
          <w:rFonts w:ascii="Times New Roman" w:hAnsi="Times New Roman"/>
          <w:b/>
          <w:smallCaps/>
          <w:noProof/>
        </w:rPr>
        <w:t>M. COMPONENT 5.2: labour market, social protection and inclusion</w:t>
      </w:r>
    </w:p>
    <w:p w14:paraId="61BD7269"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 xml:space="preserve">This component of the Cypriot Recovery and Resilience plan addresses: (i) inefficiencies and gaps in social protection notably for self-employed and people working in non-standard forms of employment, (ii) the lack of legislation for flexible working arrangements in the form of teleworking, (ii) challenges related to unemployment and youth unemployment and the high level of young people not in employment, education or training (NEETs), (iii) gaps in early childhood education and care (ECEC) and (iv) challenges with respect to social inclusion and welfare, including a high level of people at risk of poverty or social exclusion (AROPE) and increasing needs in long-term care. </w:t>
      </w:r>
    </w:p>
    <w:p w14:paraId="3BDB0202" w14:textId="77777777" w:rsidR="00B3049F" w:rsidRDefault="00B3049F" w:rsidP="00A8082B">
      <w:pPr>
        <w:spacing w:before="120" w:after="120" w:line="278" w:lineRule="auto"/>
        <w:jc w:val="both"/>
        <w:rPr>
          <w:rFonts w:ascii="Times New Roman" w:hAnsi="Times New Roman"/>
          <w:noProof/>
        </w:rPr>
      </w:pPr>
      <w:r w:rsidRPr="000F04FA">
        <w:rPr>
          <w:rFonts w:ascii="Times New Roman" w:hAnsi="Times New Roman"/>
          <w:noProof/>
        </w:rPr>
        <w:t xml:space="preserve">The reforms and investments included in the component address the country-specific recommendations on the public employment services and the education and training system (country specific recommendation 3 of 2019 and country specific recommendation 2 of 2020), providing social protection for all and introducing flexible working arrangements (country specific recommendation 2 of 2020), and improving the efficiency and digitalisation of the public sector (country specific recommendation 1 of 2019 and country specific recommendation 4 of 2020). </w:t>
      </w:r>
    </w:p>
    <w:p w14:paraId="32202F77" w14:textId="77777777" w:rsidR="00A04476" w:rsidRPr="000F04FA" w:rsidRDefault="00A04476" w:rsidP="00A8082B">
      <w:pPr>
        <w:spacing w:before="120" w:after="120" w:line="278" w:lineRule="auto"/>
        <w:jc w:val="both"/>
        <w:rPr>
          <w:rFonts w:ascii="Times New Roman" w:hAnsi="Times New Roman"/>
          <w:noProof/>
        </w:rPr>
      </w:pPr>
    </w:p>
    <w:p w14:paraId="5BE8D4BA" w14:textId="77777777" w:rsidR="00B3049F" w:rsidRPr="000F04FA" w:rsidRDefault="00B3049F" w:rsidP="00D8670B">
      <w:pPr>
        <w:spacing w:before="120" w:after="120" w:line="240" w:lineRule="auto"/>
        <w:jc w:val="both"/>
        <w:rPr>
          <w:rFonts w:ascii="Times New Roman" w:hAnsi="Times New Roman"/>
          <w:b/>
          <w:noProof/>
        </w:rPr>
      </w:pPr>
      <w:r w:rsidRPr="000F04FA">
        <w:rPr>
          <w:rFonts w:ascii="Times New Roman" w:hAnsi="Times New Roman"/>
          <w:b/>
          <w:noProof/>
          <w:u w:val="single"/>
        </w:rPr>
        <w:t xml:space="preserve">M.1. </w:t>
      </w:r>
      <w:r w:rsidRPr="000F04FA">
        <w:rPr>
          <w:noProof/>
        </w:rPr>
        <w:tab/>
      </w:r>
      <w:r w:rsidRPr="000F04FA">
        <w:rPr>
          <w:rFonts w:ascii="Times New Roman" w:hAnsi="Times New Roman"/>
          <w:b/>
          <w:noProof/>
          <w:u w:val="single"/>
        </w:rPr>
        <w:t>Description of the reforms and investments for non-repayable financial support</w:t>
      </w:r>
    </w:p>
    <w:p w14:paraId="0E35C0C9"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Reform 2 (C5.2R2): Flexible work arrangements in the form of telework </w:t>
      </w:r>
    </w:p>
    <w:p w14:paraId="3F3190FF"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 xml:space="preserve">The objective of this reform is to support flexible work arrangements in the form of telework. </w:t>
      </w:r>
    </w:p>
    <w:p w14:paraId="6B946665" w14:textId="14DDF1EA"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This measure consists in the entry into force of a new legal act(s) for flexible work arrangements and a subsidy scheme for employers to hire unemployed persons who will partially telework.</w:t>
      </w:r>
    </w:p>
    <w:p w14:paraId="37290FC7" w14:textId="77777777" w:rsidR="00B3049F" w:rsidRPr="000F04FA" w:rsidRDefault="00B3049F" w:rsidP="00D8670B">
      <w:pPr>
        <w:spacing w:before="120" w:after="120" w:line="240" w:lineRule="auto"/>
        <w:jc w:val="both"/>
        <w:rPr>
          <w:rFonts w:ascii="Times New Roman" w:hAnsi="Times New Roman"/>
          <w:noProof/>
        </w:rPr>
      </w:pPr>
    </w:p>
    <w:p w14:paraId="3D4F0C1A"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Investment 1 (C5.2I1): Supporting the Department of Labour and Public Employment Services (PES) and reinforcing support for young people</w:t>
      </w:r>
    </w:p>
    <w:p w14:paraId="1C900DE0" w14:textId="77777777" w:rsidR="00B3049F" w:rsidRPr="000F04FA" w:rsidRDefault="00B3049F" w:rsidP="00D8670B">
      <w:pPr>
        <w:spacing w:before="120" w:after="120" w:line="240" w:lineRule="auto"/>
        <w:jc w:val="both"/>
        <w:rPr>
          <w:rFonts w:ascii="Times New Roman" w:hAnsi="Times New Roman"/>
          <w:noProof/>
        </w:rPr>
      </w:pPr>
      <w:r w:rsidRPr="000F04FA">
        <w:rPr>
          <w:rFonts w:ascii="Times New Roman" w:hAnsi="Times New Roman"/>
          <w:noProof/>
        </w:rPr>
        <w:t>The objective of this investment is enhancing support for unemployed persons.</w:t>
      </w:r>
    </w:p>
    <w:p w14:paraId="5D710857"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noProof/>
        </w:rPr>
        <w:t>This measure consists in digitilasing the Department of Labour and Public Employment Services (PES) and a grant scheme.</w:t>
      </w:r>
    </w:p>
    <w:p w14:paraId="5459D3C3" w14:textId="77777777" w:rsidR="00B3049F" w:rsidRPr="000F04FA" w:rsidRDefault="00B3049F" w:rsidP="00D8670B">
      <w:pPr>
        <w:spacing w:before="120" w:after="120" w:line="240" w:lineRule="auto"/>
        <w:jc w:val="both"/>
        <w:rPr>
          <w:rFonts w:ascii="Times New Roman" w:hAnsi="Times New Roman"/>
          <w:noProof/>
        </w:rPr>
      </w:pPr>
    </w:p>
    <w:p w14:paraId="151DB7BC"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Investment 2 (C5.2I2): Establishment of Multifunctional Centres and Childcare Centres </w:t>
      </w:r>
    </w:p>
    <w:p w14:paraId="301E5D3F"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The objective of this investment is to increase the labour market participation of carers (often women), and to enhance the availability of quality care and social infrastructure for children.</w:t>
      </w:r>
    </w:p>
    <w:p w14:paraId="17EC0B56" w14:textId="77777777" w:rsidR="00B3049F" w:rsidRPr="000F04FA" w:rsidRDefault="00B3049F" w:rsidP="00A8082B">
      <w:pPr>
        <w:spacing w:before="120" w:after="120" w:line="278" w:lineRule="auto"/>
        <w:jc w:val="both"/>
        <w:rPr>
          <w:rFonts w:ascii="Times New Roman" w:hAnsi="Times New Roman" w:cs="Times New Roman"/>
          <w:noProof/>
        </w:rPr>
      </w:pPr>
      <w:r w:rsidRPr="000F04FA">
        <w:rPr>
          <w:rFonts w:ascii="Times New Roman" w:hAnsi="Times New Roman"/>
          <w:noProof/>
        </w:rPr>
        <w:t xml:space="preserve">This measure consists in a scheme for multifunctional centres and childcare centres. </w:t>
      </w:r>
    </w:p>
    <w:p w14:paraId="557BA6BA" w14:textId="77777777" w:rsidR="00B3049F" w:rsidRPr="000F04FA" w:rsidRDefault="00B3049F" w:rsidP="00D8670B">
      <w:pPr>
        <w:spacing w:before="120" w:after="120" w:line="240" w:lineRule="auto"/>
        <w:jc w:val="both"/>
        <w:rPr>
          <w:rFonts w:ascii="Times New Roman" w:hAnsi="Times New Roman"/>
          <w:noProof/>
        </w:rPr>
      </w:pPr>
    </w:p>
    <w:p w14:paraId="03B8082A"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Investment 3 (C5.2I3): Establishment of home structures for people in need of long-term care </w:t>
      </w:r>
    </w:p>
    <w:p w14:paraId="461DD786"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 xml:space="preserve">The objective of this investment is to address gaps in long-term care services. </w:t>
      </w:r>
    </w:p>
    <w:p w14:paraId="01E2063A"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This measure consists in home structures for people in need of long-term care.</w:t>
      </w:r>
    </w:p>
    <w:p w14:paraId="7076041C"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Investment 4 (C5.2I4): Child centres in municipalities </w:t>
      </w:r>
    </w:p>
    <w:p w14:paraId="7A88A147" w14:textId="77777777" w:rsidR="00B3049F" w:rsidRPr="000F04FA" w:rsidRDefault="00B3049F" w:rsidP="00A8082B">
      <w:pPr>
        <w:spacing w:before="120" w:after="120" w:line="278" w:lineRule="auto"/>
        <w:rPr>
          <w:rFonts w:ascii="Times New Roman" w:hAnsi="Times New Roman"/>
          <w:noProof/>
          <w:color w:val="000000" w:themeColor="text1"/>
        </w:rPr>
      </w:pPr>
      <w:r w:rsidRPr="000F04FA">
        <w:rPr>
          <w:rFonts w:ascii="Times New Roman" w:hAnsi="Times New Roman"/>
          <w:noProof/>
        </w:rPr>
        <w:t xml:space="preserve">The objective of this investment is to facilitate the participation of workers with caring responsibilities, in the labour market, </w:t>
      </w:r>
      <w:r w:rsidRPr="000F04FA">
        <w:rPr>
          <w:rFonts w:ascii="Times New Roman" w:hAnsi="Times New Roman" w:cs="Times New Roman"/>
          <w:noProof/>
        </w:rPr>
        <w:t>and to enhance</w:t>
      </w:r>
      <w:r w:rsidRPr="000F04FA">
        <w:rPr>
          <w:rFonts w:ascii="Times New Roman" w:hAnsi="Times New Roman"/>
          <w:noProof/>
        </w:rPr>
        <w:t xml:space="preserve"> the social inclusion of children from disadvantaged and/or migrant background.</w:t>
      </w:r>
    </w:p>
    <w:p w14:paraId="66A00B6A"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This measure consists in the construction of four (4) childcare centres.</w:t>
      </w:r>
    </w:p>
    <w:p w14:paraId="24E2CDA2" w14:textId="77777777" w:rsidR="00B3049F" w:rsidRPr="000F04FA" w:rsidRDefault="00B3049F" w:rsidP="00D8670B">
      <w:pPr>
        <w:spacing w:before="120" w:after="120" w:line="240" w:lineRule="auto"/>
        <w:jc w:val="both"/>
        <w:rPr>
          <w:rFonts w:ascii="Times New Roman" w:hAnsi="Times New Roman"/>
          <w:noProof/>
        </w:rPr>
      </w:pPr>
    </w:p>
    <w:p w14:paraId="2BF77773"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Investment 5 (C5.2I5): Construction of two model special education schools </w:t>
      </w:r>
    </w:p>
    <w:p w14:paraId="4FAE4813"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 xml:space="preserve">The objective of this investment is to enhance the school environment for pupils with disabilities or other special educational needs and support them academically and socially. </w:t>
      </w:r>
    </w:p>
    <w:p w14:paraId="6C0FDDD0" w14:textId="77777777" w:rsidR="00B3049F" w:rsidRPr="000F04FA" w:rsidRDefault="00B3049F" w:rsidP="00A8082B">
      <w:pPr>
        <w:spacing w:before="120" w:after="120" w:line="278" w:lineRule="auto"/>
        <w:jc w:val="both"/>
        <w:textAlignment w:val="baseline"/>
        <w:rPr>
          <w:rFonts w:ascii="Times New Roman" w:hAnsi="Times New Roman"/>
          <w:noProof/>
        </w:rPr>
      </w:pPr>
      <w:r w:rsidRPr="000F04FA">
        <w:rPr>
          <w:rFonts w:ascii="Times New Roman" w:hAnsi="Times New Roman"/>
          <w:noProof/>
        </w:rPr>
        <w:t xml:space="preserve">This measure consists in the construction of two special education schools in the Limassol district. </w:t>
      </w:r>
    </w:p>
    <w:p w14:paraId="37BD5765" w14:textId="77777777" w:rsidR="00B3049F" w:rsidRPr="000F04FA" w:rsidRDefault="00B3049F" w:rsidP="00D8670B">
      <w:pPr>
        <w:spacing w:before="120" w:after="120" w:line="240" w:lineRule="auto"/>
        <w:jc w:val="both"/>
        <w:rPr>
          <w:rFonts w:ascii="Times New Roman" w:hAnsi="Times New Roman"/>
          <w:noProof/>
        </w:rPr>
      </w:pPr>
    </w:p>
    <w:p w14:paraId="75CE87A5" w14:textId="77777777" w:rsidR="00B3049F" w:rsidRPr="000F04FA" w:rsidRDefault="00B3049F" w:rsidP="00D8670B">
      <w:pPr>
        <w:spacing w:before="120" w:after="120" w:line="240" w:lineRule="auto"/>
        <w:jc w:val="both"/>
        <w:rPr>
          <w:rFonts w:ascii="Times New Roman" w:hAnsi="Times New Roman"/>
          <w:noProof/>
          <w:u w:val="single"/>
        </w:rPr>
      </w:pPr>
      <w:r w:rsidRPr="000F04FA">
        <w:rPr>
          <w:rFonts w:ascii="Times New Roman" w:hAnsi="Times New Roman"/>
          <w:noProof/>
          <w:u w:val="single"/>
        </w:rPr>
        <w:t xml:space="preserve">Reform 1 (C5.2R1): Reform of the Social Insurance System and Restructuring of the Social Insurance Services </w:t>
      </w:r>
    </w:p>
    <w:p w14:paraId="0F36A980"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 xml:space="preserve">The objective of this reform is to widen access to social protection and to support the Social Insurance Services. </w:t>
      </w:r>
    </w:p>
    <w:p w14:paraId="3F113DFC" w14:textId="77777777" w:rsidR="00B3049F" w:rsidRPr="000F04FA" w:rsidRDefault="00B3049F" w:rsidP="00A8082B">
      <w:pPr>
        <w:spacing w:before="120" w:after="120" w:line="278" w:lineRule="auto"/>
        <w:jc w:val="both"/>
        <w:rPr>
          <w:rFonts w:ascii="Times New Roman" w:hAnsi="Times New Roman"/>
          <w:noProof/>
        </w:rPr>
      </w:pPr>
      <w:r w:rsidRPr="000F04FA">
        <w:rPr>
          <w:rFonts w:ascii="Times New Roman" w:hAnsi="Times New Roman"/>
          <w:noProof/>
        </w:rPr>
        <w:t xml:space="preserve">This measure consists in the extension of social insurance coverage as well as adding services to the Integrated Social Insurance Information System. </w:t>
      </w:r>
    </w:p>
    <w:p w14:paraId="1383C604" w14:textId="77777777" w:rsidR="00B3049F" w:rsidRPr="000F04FA" w:rsidRDefault="00B3049F" w:rsidP="00D8670B">
      <w:pPr>
        <w:spacing w:before="120" w:after="120" w:line="240" w:lineRule="auto"/>
        <w:jc w:val="both"/>
        <w:rPr>
          <w:rFonts w:ascii="Times New Roman" w:hAnsi="Times New Roman"/>
          <w:noProof/>
        </w:rPr>
      </w:pPr>
    </w:p>
    <w:p w14:paraId="41503649" w14:textId="77777777" w:rsidR="00B3049F" w:rsidRPr="000F04FA" w:rsidRDefault="00B3049F">
      <w:pPr>
        <w:rPr>
          <w:noProof/>
        </w:rPr>
        <w:sectPr w:rsidR="00B3049F" w:rsidRPr="000F04FA" w:rsidSect="00B3049F">
          <w:headerReference w:type="default" r:id="rId90"/>
          <w:footerReference w:type="default" r:id="rId91"/>
          <w:pgSz w:w="12240" w:h="15840"/>
          <w:pgMar w:top="1134" w:right="1134" w:bottom="1134" w:left="1134" w:header="720" w:footer="720" w:gutter="0"/>
          <w:cols w:space="720"/>
          <w:docGrid w:linePitch="360"/>
        </w:sectPr>
      </w:pPr>
    </w:p>
    <w:p w14:paraId="41D8E285" w14:textId="17C9B64F" w:rsidR="00B3049F" w:rsidRPr="000F04FA" w:rsidRDefault="00B3049F" w:rsidP="00A04476">
      <w:pPr>
        <w:spacing w:before="120" w:after="120" w:line="240" w:lineRule="auto"/>
        <w:jc w:val="center"/>
        <w:rPr>
          <w:rFonts w:ascii="Times New Roman" w:hAnsi="Times New Roman"/>
          <w:noProof/>
        </w:rPr>
      </w:pPr>
      <w:r w:rsidRPr="000F04FA">
        <w:rPr>
          <w:rFonts w:ascii="Times New Roman" w:hAnsi="Times New Roman"/>
          <w:b/>
          <w:noProof/>
          <w:u w:val="single"/>
        </w:rPr>
        <w:t xml:space="preserve">M.2. </w:t>
      </w:r>
      <w:r w:rsidRPr="000F04FA">
        <w:rPr>
          <w:noProof/>
        </w:rPr>
        <w:tab/>
      </w:r>
      <w:r w:rsidRPr="000F04FA">
        <w:rPr>
          <w:rFonts w:ascii="Times New Roman" w:hAnsi="Times New Roman"/>
          <w:b/>
          <w:noProof/>
          <w:u w:val="single"/>
        </w:rPr>
        <w:t>Milestones, targets, indicators, and timetable for monitoring and implementation for non-repayable financial support</w:t>
      </w:r>
    </w:p>
    <w:tbl>
      <w:tblPr>
        <w:tblW w:w="15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0"/>
        <w:gridCol w:w="1559"/>
        <w:gridCol w:w="1135"/>
        <w:gridCol w:w="1701"/>
        <w:gridCol w:w="1414"/>
        <w:gridCol w:w="993"/>
        <w:gridCol w:w="993"/>
        <w:gridCol w:w="711"/>
        <w:gridCol w:w="993"/>
        <w:gridCol w:w="705"/>
        <w:gridCol w:w="4102"/>
      </w:tblGrid>
      <w:tr w:rsidR="009A3C2E" w:rsidRPr="009A3C2E" w14:paraId="3096F014" w14:textId="77777777" w:rsidTr="00061F73">
        <w:trPr>
          <w:trHeight w:val="927"/>
          <w:tblHeader/>
          <w:jc w:val="center"/>
        </w:trPr>
        <w:tc>
          <w:tcPr>
            <w:tcW w:w="375" w:type="pct"/>
            <w:vMerge w:val="restart"/>
            <w:shd w:val="clear" w:color="auto" w:fill="BDD7EE"/>
            <w:vAlign w:val="center"/>
            <w:hideMark/>
          </w:tcPr>
          <w:p w14:paraId="3876E5AE"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Sequential Number</w:t>
            </w:r>
          </w:p>
        </w:tc>
        <w:tc>
          <w:tcPr>
            <w:tcW w:w="504" w:type="pct"/>
            <w:vMerge w:val="restart"/>
            <w:shd w:val="clear" w:color="auto" w:fill="BDD7EE"/>
            <w:vAlign w:val="center"/>
            <w:hideMark/>
          </w:tcPr>
          <w:p w14:paraId="44560420"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Related Measure (Reform or Investment)</w:t>
            </w:r>
          </w:p>
        </w:tc>
        <w:tc>
          <w:tcPr>
            <w:tcW w:w="367" w:type="pct"/>
            <w:vMerge w:val="restart"/>
            <w:shd w:val="clear" w:color="auto" w:fill="BDD7EE"/>
            <w:vAlign w:val="center"/>
            <w:hideMark/>
          </w:tcPr>
          <w:p w14:paraId="32E91724"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Milestone / Target</w:t>
            </w:r>
          </w:p>
        </w:tc>
        <w:tc>
          <w:tcPr>
            <w:tcW w:w="550" w:type="pct"/>
            <w:vMerge w:val="restart"/>
            <w:shd w:val="clear" w:color="auto" w:fill="BDD7EE"/>
            <w:vAlign w:val="center"/>
            <w:hideMark/>
          </w:tcPr>
          <w:p w14:paraId="33299FEA"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Name</w:t>
            </w:r>
          </w:p>
        </w:tc>
        <w:tc>
          <w:tcPr>
            <w:tcW w:w="457" w:type="pct"/>
            <w:vMerge w:val="restart"/>
            <w:shd w:val="clear" w:color="auto" w:fill="BDD7EE"/>
            <w:vAlign w:val="center"/>
            <w:hideMark/>
          </w:tcPr>
          <w:p w14:paraId="5EE893B2" w14:textId="04C2F9EF"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Qualitative indicators</w:t>
            </w:r>
            <w:r w:rsidR="00064579" w:rsidRPr="009A3C2E">
              <w:rPr>
                <w:rFonts w:ascii="Times New Roman" w:hAnsi="Times New Roman" w:cs="Times New Roman"/>
                <w:b/>
                <w:noProof/>
                <w:sz w:val="18"/>
                <w:szCs w:val="18"/>
              </w:rPr>
              <w:t xml:space="preserve"> </w:t>
            </w:r>
            <w:r w:rsidRPr="009A3C2E">
              <w:rPr>
                <w:rFonts w:ascii="Times New Roman" w:hAnsi="Times New Roman" w:cs="Times New Roman"/>
                <w:noProof/>
                <w:sz w:val="18"/>
                <w:szCs w:val="18"/>
              </w:rPr>
              <w:br/>
            </w:r>
            <w:r w:rsidRPr="009A3C2E">
              <w:rPr>
                <w:rFonts w:ascii="Times New Roman" w:hAnsi="Times New Roman" w:cs="Times New Roman"/>
                <w:b/>
                <w:noProof/>
                <w:sz w:val="18"/>
                <w:szCs w:val="18"/>
              </w:rPr>
              <w:t>(for milestones)</w:t>
            </w:r>
          </w:p>
        </w:tc>
        <w:tc>
          <w:tcPr>
            <w:tcW w:w="872" w:type="pct"/>
            <w:gridSpan w:val="3"/>
            <w:shd w:val="clear" w:color="auto" w:fill="BDD7EE"/>
            <w:vAlign w:val="center"/>
            <w:hideMark/>
          </w:tcPr>
          <w:p w14:paraId="1B76FCA4" w14:textId="24633A59"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Quantitative indicators</w:t>
            </w:r>
            <w:r w:rsidR="00064579" w:rsidRPr="009A3C2E">
              <w:rPr>
                <w:rFonts w:ascii="Times New Roman" w:hAnsi="Times New Roman" w:cs="Times New Roman"/>
                <w:b/>
                <w:noProof/>
                <w:sz w:val="18"/>
                <w:szCs w:val="18"/>
              </w:rPr>
              <w:t xml:space="preserve"> </w:t>
            </w:r>
            <w:r w:rsidRPr="009A3C2E">
              <w:rPr>
                <w:rFonts w:ascii="Times New Roman" w:hAnsi="Times New Roman" w:cs="Times New Roman"/>
                <w:noProof/>
                <w:sz w:val="18"/>
                <w:szCs w:val="18"/>
              </w:rPr>
              <w:br/>
            </w:r>
            <w:r w:rsidRPr="009A3C2E">
              <w:rPr>
                <w:rFonts w:ascii="Times New Roman" w:hAnsi="Times New Roman" w:cs="Times New Roman"/>
                <w:b/>
                <w:noProof/>
                <w:sz w:val="18"/>
                <w:szCs w:val="18"/>
              </w:rPr>
              <w:t>(for targets)</w:t>
            </w:r>
          </w:p>
        </w:tc>
        <w:tc>
          <w:tcPr>
            <w:tcW w:w="549" w:type="pct"/>
            <w:gridSpan w:val="2"/>
            <w:shd w:val="clear" w:color="auto" w:fill="BDD7EE"/>
            <w:vAlign w:val="center"/>
            <w:hideMark/>
          </w:tcPr>
          <w:p w14:paraId="3EC6E569"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Indicative timeline for completion</w:t>
            </w:r>
          </w:p>
        </w:tc>
        <w:tc>
          <w:tcPr>
            <w:tcW w:w="1326" w:type="pct"/>
            <w:vMerge w:val="restart"/>
            <w:shd w:val="clear" w:color="auto" w:fill="BDD7EE"/>
            <w:vAlign w:val="center"/>
            <w:hideMark/>
          </w:tcPr>
          <w:p w14:paraId="6F5BD212"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Description of each milestone and target</w:t>
            </w:r>
          </w:p>
        </w:tc>
      </w:tr>
      <w:tr w:rsidR="009A3C2E" w:rsidRPr="009A3C2E" w14:paraId="277E9A48" w14:textId="77777777" w:rsidTr="00061F73">
        <w:trPr>
          <w:trHeight w:val="623"/>
          <w:tblHeader/>
          <w:jc w:val="center"/>
        </w:trPr>
        <w:tc>
          <w:tcPr>
            <w:tcW w:w="375" w:type="pct"/>
            <w:vMerge/>
            <w:hideMark/>
          </w:tcPr>
          <w:p w14:paraId="29850CB4" w14:textId="77777777" w:rsidR="00B3049F" w:rsidRPr="009A3C2E" w:rsidRDefault="00B3049F" w:rsidP="00061F73">
            <w:pPr>
              <w:spacing w:after="0" w:line="240" w:lineRule="auto"/>
              <w:rPr>
                <w:rFonts w:ascii="Times New Roman" w:hAnsi="Times New Roman" w:cs="Times New Roman"/>
                <w:b/>
                <w:noProof/>
                <w:sz w:val="18"/>
                <w:szCs w:val="18"/>
              </w:rPr>
            </w:pPr>
          </w:p>
        </w:tc>
        <w:tc>
          <w:tcPr>
            <w:tcW w:w="504" w:type="pct"/>
            <w:vMerge/>
            <w:hideMark/>
          </w:tcPr>
          <w:p w14:paraId="70451C45" w14:textId="77777777" w:rsidR="00B3049F" w:rsidRPr="009A3C2E" w:rsidRDefault="00B3049F" w:rsidP="00061F73">
            <w:pPr>
              <w:spacing w:after="0" w:line="240" w:lineRule="auto"/>
              <w:rPr>
                <w:rFonts w:ascii="Times New Roman" w:hAnsi="Times New Roman" w:cs="Times New Roman"/>
                <w:b/>
                <w:noProof/>
                <w:sz w:val="18"/>
                <w:szCs w:val="18"/>
              </w:rPr>
            </w:pPr>
          </w:p>
        </w:tc>
        <w:tc>
          <w:tcPr>
            <w:tcW w:w="367" w:type="pct"/>
            <w:vMerge/>
            <w:hideMark/>
          </w:tcPr>
          <w:p w14:paraId="265A7CD4" w14:textId="77777777" w:rsidR="00B3049F" w:rsidRPr="009A3C2E" w:rsidRDefault="00B3049F" w:rsidP="00061F73">
            <w:pPr>
              <w:spacing w:after="0" w:line="240" w:lineRule="auto"/>
              <w:rPr>
                <w:rFonts w:ascii="Times New Roman" w:hAnsi="Times New Roman" w:cs="Times New Roman"/>
                <w:b/>
                <w:noProof/>
                <w:sz w:val="18"/>
                <w:szCs w:val="18"/>
              </w:rPr>
            </w:pPr>
          </w:p>
        </w:tc>
        <w:tc>
          <w:tcPr>
            <w:tcW w:w="550" w:type="pct"/>
            <w:vMerge/>
            <w:hideMark/>
          </w:tcPr>
          <w:p w14:paraId="78738AEF" w14:textId="77777777" w:rsidR="00B3049F" w:rsidRPr="009A3C2E" w:rsidRDefault="00B3049F" w:rsidP="00061F73">
            <w:pPr>
              <w:spacing w:after="0" w:line="240" w:lineRule="auto"/>
              <w:rPr>
                <w:rFonts w:ascii="Times New Roman" w:hAnsi="Times New Roman" w:cs="Times New Roman"/>
                <w:b/>
                <w:noProof/>
                <w:sz w:val="18"/>
                <w:szCs w:val="18"/>
              </w:rPr>
            </w:pPr>
          </w:p>
        </w:tc>
        <w:tc>
          <w:tcPr>
            <w:tcW w:w="457" w:type="pct"/>
            <w:vMerge/>
            <w:hideMark/>
          </w:tcPr>
          <w:p w14:paraId="03A5DC54" w14:textId="77777777" w:rsidR="00B3049F" w:rsidRPr="009A3C2E" w:rsidRDefault="00B3049F" w:rsidP="00061F73">
            <w:pPr>
              <w:spacing w:after="0" w:line="240" w:lineRule="auto"/>
              <w:rPr>
                <w:rFonts w:ascii="Times New Roman" w:hAnsi="Times New Roman" w:cs="Times New Roman"/>
                <w:b/>
                <w:noProof/>
                <w:sz w:val="18"/>
                <w:szCs w:val="18"/>
              </w:rPr>
            </w:pPr>
          </w:p>
        </w:tc>
        <w:tc>
          <w:tcPr>
            <w:tcW w:w="321" w:type="pct"/>
            <w:shd w:val="clear" w:color="auto" w:fill="BDD7EE"/>
            <w:vAlign w:val="center"/>
            <w:hideMark/>
          </w:tcPr>
          <w:p w14:paraId="0D022C67"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Unit of measure</w:t>
            </w:r>
          </w:p>
        </w:tc>
        <w:tc>
          <w:tcPr>
            <w:tcW w:w="321" w:type="pct"/>
            <w:shd w:val="clear" w:color="auto" w:fill="BDD7EE"/>
            <w:vAlign w:val="center"/>
            <w:hideMark/>
          </w:tcPr>
          <w:p w14:paraId="276E3380"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Baseline</w:t>
            </w:r>
          </w:p>
        </w:tc>
        <w:tc>
          <w:tcPr>
            <w:tcW w:w="230" w:type="pct"/>
            <w:shd w:val="clear" w:color="auto" w:fill="BDD7EE"/>
            <w:vAlign w:val="center"/>
            <w:hideMark/>
          </w:tcPr>
          <w:p w14:paraId="49BA854C"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Goal</w:t>
            </w:r>
          </w:p>
        </w:tc>
        <w:tc>
          <w:tcPr>
            <w:tcW w:w="321" w:type="pct"/>
            <w:shd w:val="clear" w:color="auto" w:fill="BDD7EE"/>
            <w:vAlign w:val="center"/>
            <w:hideMark/>
          </w:tcPr>
          <w:p w14:paraId="13989F9C"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Quarter</w:t>
            </w:r>
          </w:p>
        </w:tc>
        <w:tc>
          <w:tcPr>
            <w:tcW w:w="228" w:type="pct"/>
            <w:shd w:val="clear" w:color="auto" w:fill="BDD7EE"/>
            <w:vAlign w:val="center"/>
            <w:hideMark/>
          </w:tcPr>
          <w:p w14:paraId="612FE5D5" w14:textId="77777777" w:rsidR="00B3049F" w:rsidRPr="009A3C2E" w:rsidRDefault="00B3049F" w:rsidP="00061F73">
            <w:pPr>
              <w:spacing w:after="0" w:line="240" w:lineRule="auto"/>
              <w:jc w:val="center"/>
              <w:rPr>
                <w:rFonts w:ascii="Times New Roman" w:hAnsi="Times New Roman" w:cs="Times New Roman"/>
                <w:b/>
                <w:noProof/>
                <w:sz w:val="18"/>
                <w:szCs w:val="18"/>
              </w:rPr>
            </w:pPr>
            <w:r w:rsidRPr="009A3C2E">
              <w:rPr>
                <w:rFonts w:ascii="Times New Roman" w:hAnsi="Times New Roman" w:cs="Times New Roman"/>
                <w:b/>
                <w:noProof/>
                <w:sz w:val="18"/>
                <w:szCs w:val="18"/>
              </w:rPr>
              <w:t>Year</w:t>
            </w:r>
          </w:p>
        </w:tc>
        <w:tc>
          <w:tcPr>
            <w:tcW w:w="1326" w:type="pct"/>
            <w:vMerge/>
            <w:hideMark/>
          </w:tcPr>
          <w:p w14:paraId="05910522" w14:textId="77777777" w:rsidR="00B3049F" w:rsidRPr="009A3C2E" w:rsidRDefault="00B3049F" w:rsidP="00061F73">
            <w:pPr>
              <w:spacing w:after="0" w:line="240" w:lineRule="auto"/>
              <w:jc w:val="both"/>
              <w:rPr>
                <w:rFonts w:ascii="Times New Roman" w:hAnsi="Times New Roman" w:cs="Times New Roman"/>
                <w:b/>
                <w:noProof/>
                <w:sz w:val="18"/>
                <w:szCs w:val="18"/>
              </w:rPr>
            </w:pPr>
          </w:p>
        </w:tc>
      </w:tr>
      <w:tr w:rsidR="009A3C2E" w:rsidRPr="009A3C2E" w14:paraId="1338DE77" w14:textId="77777777" w:rsidTr="00061F73">
        <w:trPr>
          <w:trHeight w:val="1262"/>
          <w:jc w:val="center"/>
        </w:trPr>
        <w:tc>
          <w:tcPr>
            <w:tcW w:w="375" w:type="pct"/>
            <w:shd w:val="clear" w:color="auto" w:fill="C6EFCE"/>
            <w:noWrap/>
            <w:hideMark/>
          </w:tcPr>
          <w:p w14:paraId="3EF18716"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255</w:t>
            </w:r>
          </w:p>
        </w:tc>
        <w:tc>
          <w:tcPr>
            <w:tcW w:w="504" w:type="pct"/>
            <w:shd w:val="clear" w:color="auto" w:fill="C6EFCE"/>
            <w:noWrap/>
          </w:tcPr>
          <w:p w14:paraId="52D8230B"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C5.2R2</w:t>
            </w:r>
          </w:p>
          <w:p w14:paraId="48C544D9"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Flexible Work Arrangements in the Form of Telework</w:t>
            </w:r>
          </w:p>
        </w:tc>
        <w:tc>
          <w:tcPr>
            <w:tcW w:w="367" w:type="pct"/>
            <w:shd w:val="clear" w:color="auto" w:fill="C6EFCE"/>
            <w:noWrap/>
            <w:hideMark/>
          </w:tcPr>
          <w:p w14:paraId="52EF093B"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550" w:type="pct"/>
            <w:shd w:val="clear" w:color="auto" w:fill="C6EFCE"/>
            <w:noWrap/>
            <w:hideMark/>
          </w:tcPr>
          <w:p w14:paraId="3741F274"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Entry into force of the law for flexible work arrangements in the form of telework</w:t>
            </w:r>
          </w:p>
        </w:tc>
        <w:tc>
          <w:tcPr>
            <w:tcW w:w="457" w:type="pct"/>
            <w:shd w:val="clear" w:color="auto" w:fill="C6EFCE"/>
            <w:noWrap/>
            <w:hideMark/>
          </w:tcPr>
          <w:p w14:paraId="77FF13B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Provision in the law indicating the entry into force of the law for the flexible work arrangements in the form of telework </w:t>
            </w:r>
          </w:p>
        </w:tc>
        <w:tc>
          <w:tcPr>
            <w:tcW w:w="321" w:type="pct"/>
            <w:shd w:val="clear" w:color="auto" w:fill="C6EFCE"/>
            <w:noWrap/>
            <w:hideMark/>
          </w:tcPr>
          <w:p w14:paraId="0FA37F6A"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hideMark/>
          </w:tcPr>
          <w:p w14:paraId="0E5BC0C8"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230" w:type="pct"/>
            <w:shd w:val="clear" w:color="auto" w:fill="C6EFCE"/>
            <w:noWrap/>
            <w:hideMark/>
          </w:tcPr>
          <w:p w14:paraId="70FF5FC4"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hideMark/>
          </w:tcPr>
          <w:p w14:paraId="1009DB5E" w14:textId="29176A55"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228" w:type="pct"/>
            <w:shd w:val="clear" w:color="auto" w:fill="C6EFCE"/>
            <w:noWrap/>
            <w:hideMark/>
          </w:tcPr>
          <w:p w14:paraId="65314DAF"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2023</w:t>
            </w:r>
          </w:p>
        </w:tc>
        <w:tc>
          <w:tcPr>
            <w:tcW w:w="1326" w:type="pct"/>
            <w:shd w:val="clear" w:color="auto" w:fill="C6EFCE"/>
            <w:noWrap/>
            <w:hideMark/>
          </w:tcPr>
          <w:p w14:paraId="2F7E16AE"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Entry into force of a new law which shall regulate flexible work arrangements in the form of telework. The law shall include a definition of telework, description of the economic activities where telework is applicable, the conditions for taking up telework and the rights and obligations of employers and employees.</w:t>
            </w:r>
          </w:p>
        </w:tc>
      </w:tr>
      <w:tr w:rsidR="009A3C2E" w:rsidRPr="009A3C2E" w14:paraId="0805B9DA" w14:textId="77777777" w:rsidTr="00061F73">
        <w:trPr>
          <w:trHeight w:val="309"/>
          <w:jc w:val="center"/>
        </w:trPr>
        <w:tc>
          <w:tcPr>
            <w:tcW w:w="375" w:type="pct"/>
            <w:shd w:val="clear" w:color="auto" w:fill="C6EFCE"/>
            <w:noWrap/>
            <w:hideMark/>
          </w:tcPr>
          <w:p w14:paraId="07BB3920"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256</w:t>
            </w:r>
          </w:p>
        </w:tc>
        <w:tc>
          <w:tcPr>
            <w:tcW w:w="504" w:type="pct"/>
            <w:shd w:val="clear" w:color="auto" w:fill="C6EFCE"/>
            <w:noWrap/>
            <w:hideMark/>
          </w:tcPr>
          <w:p w14:paraId="348B3573" w14:textId="77777777" w:rsidR="00B3049F" w:rsidRPr="009A3C2E" w:rsidRDefault="00B3049F" w:rsidP="00061F73">
            <w:pPr>
              <w:keepNext/>
              <w:keepLines/>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C5.2R2</w:t>
            </w:r>
          </w:p>
          <w:p w14:paraId="5B8E58CA"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Flexible Work Arrangements in the Form of Telework</w:t>
            </w:r>
          </w:p>
        </w:tc>
        <w:tc>
          <w:tcPr>
            <w:tcW w:w="367" w:type="pct"/>
            <w:shd w:val="clear" w:color="auto" w:fill="C6EFCE"/>
            <w:noWrap/>
            <w:hideMark/>
          </w:tcPr>
          <w:p w14:paraId="7EF11951"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550" w:type="pct"/>
            <w:shd w:val="clear" w:color="auto" w:fill="C6EFCE"/>
            <w:noWrap/>
          </w:tcPr>
          <w:p w14:paraId="026533C3" w14:textId="21966352"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Grants disbursed to employers for hiring at least 300 persons </w:t>
            </w:r>
          </w:p>
        </w:tc>
        <w:tc>
          <w:tcPr>
            <w:tcW w:w="457" w:type="pct"/>
            <w:shd w:val="clear" w:color="auto" w:fill="C6EFCE"/>
            <w:noWrap/>
            <w:hideMark/>
          </w:tcPr>
          <w:p w14:paraId="7F7F72B6"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hideMark/>
          </w:tcPr>
          <w:p w14:paraId="5760BD22"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321" w:type="pct"/>
            <w:shd w:val="clear" w:color="auto" w:fill="C6EFCE"/>
            <w:noWrap/>
            <w:hideMark/>
          </w:tcPr>
          <w:p w14:paraId="3544AC6D"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230" w:type="pct"/>
            <w:shd w:val="clear" w:color="auto" w:fill="C6EFCE"/>
            <w:noWrap/>
            <w:hideMark/>
          </w:tcPr>
          <w:p w14:paraId="26979ABB" w14:textId="245004D4"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300</w:t>
            </w:r>
          </w:p>
        </w:tc>
        <w:tc>
          <w:tcPr>
            <w:tcW w:w="321" w:type="pct"/>
            <w:shd w:val="clear" w:color="auto" w:fill="C6EFCE"/>
            <w:noWrap/>
            <w:hideMark/>
          </w:tcPr>
          <w:p w14:paraId="2117B634" w14:textId="0256F86E"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Q3</w:t>
            </w:r>
          </w:p>
        </w:tc>
        <w:tc>
          <w:tcPr>
            <w:tcW w:w="228" w:type="pct"/>
            <w:shd w:val="clear" w:color="auto" w:fill="C6EFCE"/>
            <w:noWrap/>
            <w:hideMark/>
          </w:tcPr>
          <w:p w14:paraId="25B59A32" w14:textId="5D853441"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2025</w:t>
            </w:r>
          </w:p>
        </w:tc>
        <w:tc>
          <w:tcPr>
            <w:tcW w:w="1326" w:type="pct"/>
            <w:shd w:val="clear" w:color="auto" w:fill="C6EFCE"/>
            <w:noWrap/>
            <w:hideMark/>
          </w:tcPr>
          <w:p w14:paraId="42E93792" w14:textId="420D5356"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Grants disbursed to employers for hiring, for at least 6 months, at least 300 previously unemployed </w:t>
            </w:r>
            <w:r w:rsidRPr="009A3C2E">
              <w:rPr>
                <w:rFonts w:ascii="Times New Roman" w:hAnsi="Times New Roman" w:cs="Times New Roman"/>
                <w:noProof/>
                <w:color w:val="000000" w:themeColor="text1"/>
                <w:sz w:val="18"/>
                <w:szCs w:val="18"/>
              </w:rPr>
              <w:t xml:space="preserve">persons </w:t>
            </w:r>
            <w:r w:rsidRPr="009A3C2E">
              <w:rPr>
                <w:rFonts w:ascii="Times New Roman" w:hAnsi="Times New Roman" w:cs="Times New Roman"/>
                <w:noProof/>
                <w:color w:val="000000" w:themeColor="text1"/>
                <w:sz w:val="18"/>
                <w:szCs w:val="18"/>
                <w:u w:val="single"/>
              </w:rPr>
              <w:t>(</w:t>
            </w:r>
            <w:r w:rsidRPr="009A3C2E">
              <w:rPr>
                <w:rFonts w:ascii="Times New Roman" w:hAnsi="Times New Roman" w:cs="Times New Roman"/>
                <w:noProof/>
                <w:color w:val="000000" w:themeColor="text1"/>
                <w:sz w:val="18"/>
                <w:szCs w:val="18"/>
              </w:rPr>
              <w:t xml:space="preserve">including at least </w:t>
            </w:r>
            <w:r w:rsidRPr="009A3C2E">
              <w:rPr>
                <w:rFonts w:ascii="Times New Roman" w:eastAsia="Times New Roman" w:hAnsi="Times New Roman" w:cs="Times New Roman"/>
                <w:noProof/>
                <w:color w:val="000000" w:themeColor="text1"/>
                <w:sz w:val="18"/>
                <w:szCs w:val="18"/>
              </w:rPr>
              <w:t>140</w:t>
            </w:r>
            <w:r w:rsidRPr="009A3C2E">
              <w:rPr>
                <w:rFonts w:ascii="Times New Roman" w:hAnsi="Times New Roman" w:cs="Times New Roman"/>
                <w:noProof/>
                <w:color w:val="000000" w:themeColor="text1"/>
                <w:sz w:val="18"/>
                <w:szCs w:val="18"/>
              </w:rPr>
              <w:t xml:space="preserve"> women)</w:t>
            </w:r>
            <w:r w:rsidRPr="009A3C2E">
              <w:rPr>
                <w:rFonts w:ascii="Times New Roman" w:hAnsi="Times New Roman" w:cs="Times New Roman"/>
                <w:noProof/>
                <w:sz w:val="18"/>
                <w:szCs w:val="18"/>
              </w:rPr>
              <w:t>, including telework.</w:t>
            </w:r>
          </w:p>
        </w:tc>
      </w:tr>
      <w:tr w:rsidR="009A3C2E" w:rsidRPr="009A3C2E" w14:paraId="39F008ED" w14:textId="77777777" w:rsidTr="00061F7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EB7A38E"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258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460A63BD"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C5.2I1</w:t>
            </w:r>
          </w:p>
          <w:p w14:paraId="17A12BBE"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Supporting the Department of Labour and Public Employment Services and reinforcing support for young people </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D17E8F3"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39506C59" w14:textId="77777777" w:rsidR="00B3049F" w:rsidRPr="009A3C2E" w:rsidRDefault="00B3049F" w:rsidP="00061F73">
            <w:pPr>
              <w:spacing w:after="0" w:line="240" w:lineRule="auto"/>
              <w:rPr>
                <w:rFonts w:ascii="Times New Roman" w:eastAsia="Times New Roman" w:hAnsi="Times New Roman" w:cs="Times New Roman"/>
                <w:noProof/>
                <w:sz w:val="18"/>
                <w:szCs w:val="18"/>
              </w:rPr>
            </w:pPr>
            <w:r w:rsidRPr="009A3C2E">
              <w:rPr>
                <w:rFonts w:ascii="Times New Roman" w:hAnsi="Times New Roman" w:cs="Times New Roman"/>
                <w:noProof/>
                <w:sz w:val="18"/>
                <w:szCs w:val="18"/>
              </w:rPr>
              <w:t>Platform and systems accessible</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D596367"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94754C9"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08C9236"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3BD210BD"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3</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4D8E473"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0FC0D5B0"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73D28678"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Platform and systems accessible for:</w:t>
            </w:r>
          </w:p>
          <w:p w14:paraId="6E7D9902"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(1) hiring schemes of the Department of Labour, </w:t>
            </w:r>
          </w:p>
          <w:p w14:paraId="6363E5D3"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(2) Performance Management System for the Public Employment Services and </w:t>
            </w:r>
          </w:p>
          <w:p w14:paraId="0A74B27D"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(3) an early warning and tracking system for young people (aged 15-29) not in education, employment, or training (NEETs) for the Public Employment Services, </w:t>
            </w:r>
          </w:p>
        </w:tc>
      </w:tr>
      <w:tr w:rsidR="009A3C2E" w:rsidRPr="009A3C2E" w14:paraId="6F00DC02" w14:textId="77777777" w:rsidTr="00061F73">
        <w:trPr>
          <w:trHeight w:val="309"/>
          <w:jc w:val="center"/>
        </w:trPr>
        <w:tc>
          <w:tcPr>
            <w:tcW w:w="375" w:type="pct"/>
            <w:shd w:val="clear" w:color="auto" w:fill="C6EFCE"/>
            <w:noWrap/>
          </w:tcPr>
          <w:p w14:paraId="489349AF"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259</w:t>
            </w:r>
          </w:p>
        </w:tc>
        <w:tc>
          <w:tcPr>
            <w:tcW w:w="504" w:type="pct"/>
            <w:shd w:val="clear" w:color="auto" w:fill="C6EFCE"/>
            <w:noWrap/>
          </w:tcPr>
          <w:p w14:paraId="557E9364"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C5.2I1</w:t>
            </w:r>
          </w:p>
          <w:p w14:paraId="73E954D7"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Supporting the Department of Labour and Public Employment Services and reinforcing support for young people </w:t>
            </w:r>
          </w:p>
        </w:tc>
        <w:tc>
          <w:tcPr>
            <w:tcW w:w="367" w:type="pct"/>
            <w:shd w:val="clear" w:color="auto" w:fill="C6EFCE"/>
            <w:noWrap/>
          </w:tcPr>
          <w:p w14:paraId="5968C36D"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550" w:type="pct"/>
            <w:shd w:val="clear" w:color="auto" w:fill="C6EFCE"/>
            <w:noWrap/>
          </w:tcPr>
          <w:p w14:paraId="231E083D"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Grants disbursed to employers for hiring at least 450 young people not in employment or in education or training (NEETs) </w:t>
            </w:r>
          </w:p>
        </w:tc>
        <w:tc>
          <w:tcPr>
            <w:tcW w:w="457" w:type="pct"/>
            <w:shd w:val="clear" w:color="auto" w:fill="C6EFCE"/>
            <w:noWrap/>
          </w:tcPr>
          <w:p w14:paraId="522EC541"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tcPr>
          <w:p w14:paraId="6752382F"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321" w:type="pct"/>
            <w:shd w:val="clear" w:color="auto" w:fill="C6EFCE"/>
            <w:noWrap/>
          </w:tcPr>
          <w:p w14:paraId="584260A7"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230" w:type="pct"/>
            <w:shd w:val="clear" w:color="auto" w:fill="C6EFCE"/>
            <w:noWrap/>
          </w:tcPr>
          <w:p w14:paraId="0582D0FF"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450</w:t>
            </w:r>
          </w:p>
        </w:tc>
        <w:tc>
          <w:tcPr>
            <w:tcW w:w="321" w:type="pct"/>
            <w:shd w:val="clear" w:color="auto" w:fill="C6EFCE"/>
            <w:noWrap/>
          </w:tcPr>
          <w:p w14:paraId="06987073" w14:textId="5A328678"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228" w:type="pct"/>
            <w:shd w:val="clear" w:color="auto" w:fill="C6EFCE"/>
            <w:noWrap/>
          </w:tcPr>
          <w:p w14:paraId="211EACE4"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2025</w:t>
            </w:r>
          </w:p>
        </w:tc>
        <w:tc>
          <w:tcPr>
            <w:tcW w:w="1326" w:type="pct"/>
            <w:shd w:val="clear" w:color="auto" w:fill="C6EFCE"/>
            <w:noWrap/>
          </w:tcPr>
          <w:p w14:paraId="30DB7AC0" w14:textId="1442D459"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Grants disbursed for hiring at least 450 young people (aged 15-29) not in employment, education, or training (NEETs), for at least 6-month period.</w:t>
            </w:r>
          </w:p>
        </w:tc>
      </w:tr>
      <w:tr w:rsidR="009A3C2E" w:rsidRPr="009A3C2E" w14:paraId="0324AC8F" w14:textId="77777777" w:rsidTr="00061F7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F0524C7"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261</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5360971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C5.2I2</w:t>
            </w:r>
          </w:p>
          <w:p w14:paraId="3B9070E5"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Establishment of multifunctional centres and childcare centres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2F47D57D"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71D5DD25"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Adoption of a national strategy on early childhood education and care (ECEC) and action plan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3491D23F"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Adoption of a national strategy on ECEC and an action plan</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93B93D3"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DA2F6CB"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4FE2AE39"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642B0CD"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07857820"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265E1A53"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A national strategy and an action plan on enhancing early childhood education and care (ECEC) have been adopted by the Council of Ministers.</w:t>
            </w:r>
          </w:p>
        </w:tc>
      </w:tr>
      <w:tr w:rsidR="009A3C2E" w:rsidRPr="009A3C2E" w14:paraId="6719F32A" w14:textId="77777777" w:rsidTr="00061F73">
        <w:trPr>
          <w:trHeight w:val="309"/>
          <w:jc w:val="center"/>
        </w:trPr>
        <w:tc>
          <w:tcPr>
            <w:tcW w:w="375" w:type="pct"/>
            <w:shd w:val="clear" w:color="auto" w:fill="C6EFCE"/>
            <w:noWrap/>
          </w:tcPr>
          <w:p w14:paraId="30FCAB96"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263</w:t>
            </w:r>
          </w:p>
        </w:tc>
        <w:tc>
          <w:tcPr>
            <w:tcW w:w="504" w:type="pct"/>
            <w:shd w:val="clear" w:color="auto" w:fill="C6EFCE"/>
            <w:noWrap/>
          </w:tcPr>
          <w:p w14:paraId="684F77D4"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C5.2I2</w:t>
            </w:r>
          </w:p>
          <w:p w14:paraId="4BB4E4CB"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Establishment of multifunctional centres and childcare centres</w:t>
            </w:r>
          </w:p>
        </w:tc>
        <w:tc>
          <w:tcPr>
            <w:tcW w:w="367" w:type="pct"/>
            <w:shd w:val="clear" w:color="auto" w:fill="C6EFCE"/>
            <w:noWrap/>
          </w:tcPr>
          <w:p w14:paraId="75BA2559"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550" w:type="pct"/>
            <w:shd w:val="clear" w:color="auto" w:fill="C6EFCE"/>
            <w:noWrap/>
          </w:tcPr>
          <w:p w14:paraId="0137ACDD"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Grant disbursed to at least 9 local authorities/ Non-Governmental Organisations for Multifunctional Centres or Childcare Centres</w:t>
            </w:r>
          </w:p>
        </w:tc>
        <w:tc>
          <w:tcPr>
            <w:tcW w:w="457" w:type="pct"/>
            <w:shd w:val="clear" w:color="auto" w:fill="C6EFCE"/>
            <w:noWrap/>
          </w:tcPr>
          <w:p w14:paraId="4FEF528E"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tcPr>
          <w:p w14:paraId="2B3EFB3D"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321" w:type="pct"/>
            <w:shd w:val="clear" w:color="auto" w:fill="C6EFCE"/>
            <w:noWrap/>
          </w:tcPr>
          <w:p w14:paraId="2A391673"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230" w:type="pct"/>
            <w:shd w:val="clear" w:color="auto" w:fill="C6EFCE"/>
            <w:noWrap/>
          </w:tcPr>
          <w:p w14:paraId="6B1EF199" w14:textId="2CD601FF"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9</w:t>
            </w:r>
          </w:p>
        </w:tc>
        <w:tc>
          <w:tcPr>
            <w:tcW w:w="321" w:type="pct"/>
            <w:shd w:val="clear" w:color="auto" w:fill="C6EFCE"/>
            <w:noWrap/>
          </w:tcPr>
          <w:p w14:paraId="1D2760C9"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228" w:type="pct"/>
            <w:shd w:val="clear" w:color="auto" w:fill="C6EFCE"/>
            <w:noWrap/>
          </w:tcPr>
          <w:p w14:paraId="0AB8CF92"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2026</w:t>
            </w:r>
          </w:p>
        </w:tc>
        <w:tc>
          <w:tcPr>
            <w:tcW w:w="1326" w:type="pct"/>
            <w:shd w:val="clear" w:color="auto" w:fill="C6EFCE"/>
            <w:noWrap/>
          </w:tcPr>
          <w:p w14:paraId="6EFFD1A1"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Grant disbursed to at least 9 local authorities/ Non-Governmental Organisations for Multifunctional Centres or Childcare Centres.</w:t>
            </w:r>
          </w:p>
        </w:tc>
      </w:tr>
      <w:tr w:rsidR="009A3C2E" w:rsidRPr="009A3C2E" w14:paraId="55E32CFE" w14:textId="77777777" w:rsidTr="00061F73">
        <w:trPr>
          <w:trHeight w:val="309"/>
          <w:jc w:val="center"/>
        </w:trPr>
        <w:tc>
          <w:tcPr>
            <w:tcW w:w="375" w:type="pct"/>
            <w:shd w:val="clear" w:color="auto" w:fill="C6EFCE"/>
            <w:noWrap/>
          </w:tcPr>
          <w:p w14:paraId="69927ED4"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264</w:t>
            </w:r>
          </w:p>
        </w:tc>
        <w:tc>
          <w:tcPr>
            <w:tcW w:w="504" w:type="pct"/>
            <w:shd w:val="clear" w:color="auto" w:fill="C6EFCE"/>
            <w:noWrap/>
          </w:tcPr>
          <w:p w14:paraId="34186C6C"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C5.2I3</w:t>
            </w:r>
          </w:p>
          <w:p w14:paraId="28044A2C"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Establishment of Home structures for people in need of long-term care (LTC)</w:t>
            </w:r>
          </w:p>
        </w:tc>
        <w:tc>
          <w:tcPr>
            <w:tcW w:w="367" w:type="pct"/>
            <w:shd w:val="clear" w:color="auto" w:fill="C6EFCE"/>
            <w:noWrap/>
          </w:tcPr>
          <w:p w14:paraId="479E32C8"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550" w:type="pct"/>
            <w:shd w:val="clear" w:color="auto" w:fill="C6EFCE"/>
            <w:noWrap/>
          </w:tcPr>
          <w:p w14:paraId="1B0EF05C"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Home structures for people in need of long-term care </w:t>
            </w:r>
          </w:p>
        </w:tc>
        <w:tc>
          <w:tcPr>
            <w:tcW w:w="457" w:type="pct"/>
            <w:shd w:val="clear" w:color="auto" w:fill="C6EFCE"/>
            <w:noWrap/>
          </w:tcPr>
          <w:p w14:paraId="2727BAC3"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 -</w:t>
            </w:r>
          </w:p>
        </w:tc>
        <w:tc>
          <w:tcPr>
            <w:tcW w:w="321" w:type="pct"/>
            <w:shd w:val="clear" w:color="auto" w:fill="C6EFCE"/>
            <w:noWrap/>
          </w:tcPr>
          <w:p w14:paraId="3A348D4D"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321" w:type="pct"/>
            <w:shd w:val="clear" w:color="auto" w:fill="C6EFCE"/>
            <w:noWrap/>
          </w:tcPr>
          <w:p w14:paraId="0D1DA13C"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230" w:type="pct"/>
            <w:shd w:val="clear" w:color="auto" w:fill="C6EFCE"/>
            <w:noWrap/>
          </w:tcPr>
          <w:p w14:paraId="44BF419B"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4</w:t>
            </w:r>
          </w:p>
        </w:tc>
        <w:tc>
          <w:tcPr>
            <w:tcW w:w="321" w:type="pct"/>
            <w:shd w:val="clear" w:color="auto" w:fill="C6EFCE"/>
            <w:noWrap/>
          </w:tcPr>
          <w:p w14:paraId="7844A3BB" w14:textId="5F5D86CE"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228" w:type="pct"/>
            <w:shd w:val="clear" w:color="auto" w:fill="C6EFCE"/>
            <w:noWrap/>
          </w:tcPr>
          <w:p w14:paraId="7C4A479F"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2026</w:t>
            </w:r>
          </w:p>
        </w:tc>
        <w:tc>
          <w:tcPr>
            <w:tcW w:w="1326" w:type="pct"/>
            <w:shd w:val="clear" w:color="auto" w:fill="C6EFCE"/>
            <w:noWrap/>
          </w:tcPr>
          <w:p w14:paraId="48AAA75B"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Completion certificate of at least 4 home structures for people in need of long-term care.</w:t>
            </w:r>
          </w:p>
        </w:tc>
      </w:tr>
      <w:tr w:rsidR="009A3C2E" w:rsidRPr="009A3C2E" w14:paraId="2C13C92E" w14:textId="77777777" w:rsidTr="00061F7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741EB70"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266</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06F1CF07"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C5.2I4</w:t>
            </w:r>
          </w:p>
          <w:p w14:paraId="05A000E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Child Centres in Municipalities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664EA090"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7172929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Construction of at least one child centre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36DD835"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80C5C1F"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D36D632"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4BC41A33"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1</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D2DEECB" w14:textId="2209652E"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262EBA8A"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2022</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69B6FCF9"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Completion of construction and issue of taking-over certificate of at least one child centre in one of the following municipalities: Ayios Athanasios, Ayia Napa, Paralimni and Yermasoyia.</w:t>
            </w:r>
          </w:p>
        </w:tc>
      </w:tr>
      <w:tr w:rsidR="009A3C2E" w:rsidRPr="009A3C2E" w14:paraId="76F5DF3A" w14:textId="77777777" w:rsidTr="00061F7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0E19B2B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267</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0AE906FF"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C5.2I4</w:t>
            </w:r>
          </w:p>
          <w:p w14:paraId="28BE1E2F"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Child Centres in Municipalities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2098B7BC"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1DCD65CA" w14:textId="62D92675"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Construction of at least three child centres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6BC6BC97"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23DCE43"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581EBF46"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1</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2E9CBF97" w14:textId="3FA54553"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4</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4E6ED18E" w14:textId="5D7B4F1B"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0C6A1C4A"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5DCC0558" w14:textId="438FBDDC"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Issuing of taking-over certificates of three child centres (one child centre in Amathounta, one in Ayia Napa and one in Paralimni -Deryneia). </w:t>
            </w:r>
          </w:p>
        </w:tc>
      </w:tr>
      <w:tr w:rsidR="009A3C2E" w:rsidRPr="009A3C2E" w14:paraId="54D03251" w14:textId="77777777" w:rsidTr="00061F73">
        <w:trPr>
          <w:trHeight w:val="658"/>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181A13D"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268</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75139406"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C5.2I5</w:t>
            </w:r>
          </w:p>
          <w:p w14:paraId="0B22957B"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Construction of Two Model Special Education Schools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48CD475B"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06374654"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Signing of contract with the selected tenderer (contractor) </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1191B6F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The contract shall be signed with the selected tenderer (contractor)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1E241EC2"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6ABCBED5"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65F1E0B8"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B46EFE7" w14:textId="5E969DE4"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3B6E2A77"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2022</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0C5FDDE4"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Signing of contract with the selected tenderer(s) (contractor (s)) selected under a competitive call for proposals for the construction of two model schools in Limassol - the Special Education School of Apostolos Loucas and the Red Cross Recovery Special Needs School.</w:t>
            </w:r>
          </w:p>
        </w:tc>
      </w:tr>
      <w:tr w:rsidR="009A3C2E" w:rsidRPr="009A3C2E" w14:paraId="47A2F735" w14:textId="77777777" w:rsidTr="00061F73">
        <w:trPr>
          <w:trHeight w:val="309"/>
          <w:jc w:val="center"/>
        </w:trPr>
        <w:tc>
          <w:tcPr>
            <w:tcW w:w="375" w:type="pct"/>
            <w:shd w:val="clear" w:color="auto" w:fill="C6EFCE"/>
            <w:noWrap/>
          </w:tcPr>
          <w:p w14:paraId="522739FF"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269</w:t>
            </w:r>
          </w:p>
        </w:tc>
        <w:tc>
          <w:tcPr>
            <w:tcW w:w="504" w:type="pct"/>
            <w:shd w:val="clear" w:color="auto" w:fill="C6EFCE"/>
            <w:noWrap/>
          </w:tcPr>
          <w:p w14:paraId="45E8CD0B"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C5.2I5</w:t>
            </w:r>
          </w:p>
          <w:p w14:paraId="0F0EFDEF"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Construction of Two Model Special Education Schools</w:t>
            </w:r>
          </w:p>
        </w:tc>
        <w:tc>
          <w:tcPr>
            <w:tcW w:w="367" w:type="pct"/>
            <w:shd w:val="clear" w:color="auto" w:fill="C6EFCE"/>
            <w:noWrap/>
          </w:tcPr>
          <w:p w14:paraId="4D30729F"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550" w:type="pct"/>
            <w:shd w:val="clear" w:color="auto" w:fill="C6EFCE"/>
            <w:noWrap/>
          </w:tcPr>
          <w:p w14:paraId="56AA0B76" w14:textId="7C738446"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Construction of two Special Education Schools</w:t>
            </w:r>
          </w:p>
        </w:tc>
        <w:tc>
          <w:tcPr>
            <w:tcW w:w="457" w:type="pct"/>
            <w:shd w:val="clear" w:color="auto" w:fill="C6EFCE"/>
            <w:noWrap/>
          </w:tcPr>
          <w:p w14:paraId="54869591"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Taking-over certificates </w:t>
            </w:r>
          </w:p>
          <w:p w14:paraId="03962592" w14:textId="77777777" w:rsidR="00B3049F" w:rsidRPr="009A3C2E" w:rsidRDefault="00B3049F" w:rsidP="00061F73">
            <w:pPr>
              <w:spacing w:after="0" w:line="240" w:lineRule="auto"/>
              <w:rPr>
                <w:rFonts w:ascii="Times New Roman" w:hAnsi="Times New Roman" w:cs="Times New Roman"/>
                <w:noProof/>
                <w:sz w:val="18"/>
                <w:szCs w:val="18"/>
              </w:rPr>
            </w:pPr>
          </w:p>
        </w:tc>
        <w:tc>
          <w:tcPr>
            <w:tcW w:w="321" w:type="pct"/>
            <w:shd w:val="clear" w:color="auto" w:fill="C6EFCE"/>
            <w:noWrap/>
          </w:tcPr>
          <w:p w14:paraId="322C1780"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tcPr>
          <w:p w14:paraId="608E4B96"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230" w:type="pct"/>
            <w:shd w:val="clear" w:color="auto" w:fill="C6EFCE"/>
            <w:noWrap/>
          </w:tcPr>
          <w:p w14:paraId="4DF69B46"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tcPr>
          <w:p w14:paraId="08AFA7D9" w14:textId="533420EC"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228" w:type="pct"/>
            <w:shd w:val="clear" w:color="auto" w:fill="C6EFCE"/>
            <w:noWrap/>
          </w:tcPr>
          <w:p w14:paraId="55C6D405"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2025</w:t>
            </w:r>
          </w:p>
        </w:tc>
        <w:tc>
          <w:tcPr>
            <w:tcW w:w="1326" w:type="pct"/>
            <w:shd w:val="clear" w:color="auto" w:fill="C6EFCE"/>
            <w:noWrap/>
          </w:tcPr>
          <w:p w14:paraId="47C0B9C1" w14:textId="76A66C16"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Taking-over certificates of two Special Education Schools in Limassol. </w:t>
            </w:r>
          </w:p>
        </w:tc>
      </w:tr>
      <w:tr w:rsidR="009A3C2E" w:rsidRPr="009A3C2E" w14:paraId="38CA66A5" w14:textId="77777777" w:rsidTr="00061F73">
        <w:trPr>
          <w:trHeight w:val="309"/>
          <w:jc w:val="center"/>
        </w:trPr>
        <w:tc>
          <w:tcPr>
            <w:tcW w:w="375" w:type="pct"/>
            <w:tcBorders>
              <w:top w:val="single" w:sz="4" w:space="0" w:color="auto"/>
              <w:left w:val="single" w:sz="4" w:space="0" w:color="auto"/>
              <w:bottom w:val="single" w:sz="4" w:space="0" w:color="auto"/>
              <w:right w:val="single" w:sz="4" w:space="0" w:color="auto"/>
            </w:tcBorders>
            <w:shd w:val="clear" w:color="auto" w:fill="C6EFCE"/>
            <w:noWrap/>
          </w:tcPr>
          <w:p w14:paraId="51F27AC7"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270</w:t>
            </w:r>
          </w:p>
        </w:tc>
        <w:tc>
          <w:tcPr>
            <w:tcW w:w="504" w:type="pct"/>
            <w:tcBorders>
              <w:top w:val="single" w:sz="4" w:space="0" w:color="auto"/>
              <w:left w:val="single" w:sz="4" w:space="0" w:color="auto"/>
              <w:bottom w:val="single" w:sz="4" w:space="0" w:color="auto"/>
              <w:right w:val="single" w:sz="4" w:space="0" w:color="auto"/>
            </w:tcBorders>
            <w:shd w:val="clear" w:color="auto" w:fill="C6EFCE"/>
            <w:noWrap/>
          </w:tcPr>
          <w:p w14:paraId="5E5D0BEB"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C5.2R1</w:t>
            </w:r>
          </w:p>
          <w:p w14:paraId="329F183B"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Reform of the Social Insurance System and Restructuring of the Social Insurance Services</w:t>
            </w:r>
          </w:p>
        </w:tc>
        <w:tc>
          <w:tcPr>
            <w:tcW w:w="367" w:type="pct"/>
            <w:tcBorders>
              <w:top w:val="single" w:sz="4" w:space="0" w:color="auto"/>
              <w:left w:val="single" w:sz="4" w:space="0" w:color="auto"/>
              <w:bottom w:val="single" w:sz="4" w:space="0" w:color="auto"/>
              <w:right w:val="single" w:sz="4" w:space="0" w:color="auto"/>
            </w:tcBorders>
            <w:shd w:val="clear" w:color="auto" w:fill="C6EFCE"/>
            <w:noWrap/>
          </w:tcPr>
          <w:p w14:paraId="1C714B74"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550" w:type="pct"/>
            <w:tcBorders>
              <w:top w:val="single" w:sz="4" w:space="0" w:color="auto"/>
              <w:left w:val="single" w:sz="4" w:space="0" w:color="auto"/>
              <w:bottom w:val="single" w:sz="4" w:space="0" w:color="auto"/>
              <w:right w:val="single" w:sz="4" w:space="0" w:color="auto"/>
            </w:tcBorders>
            <w:shd w:val="clear" w:color="auto" w:fill="C6EFCE"/>
            <w:noWrap/>
          </w:tcPr>
          <w:p w14:paraId="41686793" w14:textId="71EEA31A"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Entry into force of </w:t>
            </w:r>
            <w:r w:rsidR="1B53FF19" w:rsidRPr="009A3C2E">
              <w:rPr>
                <w:rFonts w:ascii="Times New Roman" w:hAnsi="Times New Roman" w:cs="Times New Roman"/>
                <w:noProof/>
                <w:sz w:val="18"/>
                <w:szCs w:val="18"/>
              </w:rPr>
              <w:t>the revised Social Insurance Law</w:t>
            </w:r>
          </w:p>
        </w:tc>
        <w:tc>
          <w:tcPr>
            <w:tcW w:w="457" w:type="pct"/>
            <w:tcBorders>
              <w:top w:val="single" w:sz="4" w:space="0" w:color="auto"/>
              <w:left w:val="single" w:sz="4" w:space="0" w:color="auto"/>
              <w:bottom w:val="single" w:sz="4" w:space="0" w:color="auto"/>
              <w:right w:val="single" w:sz="4" w:space="0" w:color="auto"/>
            </w:tcBorders>
            <w:shd w:val="clear" w:color="auto" w:fill="C6EFCE"/>
            <w:noWrap/>
          </w:tcPr>
          <w:p w14:paraId="5D5A4259"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Provision in the amending law indicating the entry into force of the revisions to the Social Insurance Law </w:t>
            </w: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6AB04944" w14:textId="77777777" w:rsidR="00B3049F" w:rsidRPr="009A3C2E" w:rsidRDefault="00B3049F" w:rsidP="00061F73">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07F795FD" w14:textId="77777777" w:rsidR="00B3049F" w:rsidRPr="009A3C2E" w:rsidRDefault="00B3049F" w:rsidP="00061F73">
            <w:pPr>
              <w:spacing w:after="0" w:line="240" w:lineRule="auto"/>
              <w:jc w:val="center"/>
              <w:rPr>
                <w:rFonts w:ascii="Times New Roman" w:hAnsi="Times New Roman" w:cs="Times New Roman"/>
                <w:noProof/>
                <w:sz w:val="18"/>
                <w:szCs w:val="18"/>
              </w:rPr>
            </w:pPr>
          </w:p>
        </w:tc>
        <w:tc>
          <w:tcPr>
            <w:tcW w:w="230" w:type="pct"/>
            <w:tcBorders>
              <w:top w:val="single" w:sz="4" w:space="0" w:color="auto"/>
              <w:left w:val="single" w:sz="4" w:space="0" w:color="auto"/>
              <w:bottom w:val="single" w:sz="4" w:space="0" w:color="auto"/>
              <w:right w:val="single" w:sz="4" w:space="0" w:color="auto"/>
            </w:tcBorders>
            <w:shd w:val="clear" w:color="auto" w:fill="C6EFCE"/>
            <w:noWrap/>
          </w:tcPr>
          <w:p w14:paraId="4041CE0C" w14:textId="77777777" w:rsidR="00B3049F" w:rsidRPr="009A3C2E" w:rsidRDefault="00B3049F" w:rsidP="00061F73">
            <w:pPr>
              <w:spacing w:after="0" w:line="240" w:lineRule="auto"/>
              <w:jc w:val="center"/>
              <w:rPr>
                <w:rFonts w:ascii="Times New Roman" w:hAnsi="Times New Roman" w:cs="Times New Roman"/>
                <w:noProof/>
                <w:sz w:val="18"/>
                <w:szCs w:val="18"/>
              </w:rPr>
            </w:pPr>
          </w:p>
        </w:tc>
        <w:tc>
          <w:tcPr>
            <w:tcW w:w="321" w:type="pct"/>
            <w:tcBorders>
              <w:top w:val="single" w:sz="4" w:space="0" w:color="auto"/>
              <w:left w:val="single" w:sz="4" w:space="0" w:color="auto"/>
              <w:bottom w:val="single" w:sz="4" w:space="0" w:color="auto"/>
              <w:right w:val="single" w:sz="4" w:space="0" w:color="auto"/>
            </w:tcBorders>
            <w:shd w:val="clear" w:color="auto" w:fill="C6EFCE"/>
            <w:noWrap/>
          </w:tcPr>
          <w:p w14:paraId="378A729C"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228" w:type="pct"/>
            <w:tcBorders>
              <w:top w:val="single" w:sz="4" w:space="0" w:color="auto"/>
              <w:left w:val="single" w:sz="4" w:space="0" w:color="auto"/>
              <w:bottom w:val="single" w:sz="4" w:space="0" w:color="auto"/>
              <w:right w:val="single" w:sz="4" w:space="0" w:color="auto"/>
            </w:tcBorders>
            <w:shd w:val="clear" w:color="auto" w:fill="C6EFCE"/>
            <w:noWrap/>
          </w:tcPr>
          <w:p w14:paraId="555B92C0"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2024</w:t>
            </w:r>
          </w:p>
        </w:tc>
        <w:tc>
          <w:tcPr>
            <w:tcW w:w="1326" w:type="pct"/>
            <w:tcBorders>
              <w:top w:val="single" w:sz="4" w:space="0" w:color="auto"/>
              <w:left w:val="single" w:sz="4" w:space="0" w:color="auto"/>
              <w:bottom w:val="single" w:sz="4" w:space="0" w:color="auto"/>
              <w:right w:val="single" w:sz="4" w:space="0" w:color="auto"/>
            </w:tcBorders>
            <w:shd w:val="clear" w:color="auto" w:fill="C6EFCE"/>
            <w:noWrap/>
          </w:tcPr>
          <w:p w14:paraId="3519C5EA" w14:textId="3243BABF" w:rsidR="00B3049F" w:rsidRPr="009A3C2E" w:rsidDel="00104489"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Entry into force of the revised Social Insurance Law, which shall incorporate the extension of the social insurance coverage to self-employed. </w:t>
            </w:r>
          </w:p>
        </w:tc>
      </w:tr>
      <w:tr w:rsidR="009A3C2E" w:rsidRPr="009A3C2E" w14:paraId="42EC3FB7" w14:textId="77777777" w:rsidTr="00061F73">
        <w:trPr>
          <w:trHeight w:val="309"/>
          <w:jc w:val="center"/>
        </w:trPr>
        <w:tc>
          <w:tcPr>
            <w:tcW w:w="375" w:type="pct"/>
            <w:shd w:val="clear" w:color="auto" w:fill="C6EFCE"/>
            <w:noWrap/>
          </w:tcPr>
          <w:p w14:paraId="47D08A1A"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271</w:t>
            </w:r>
          </w:p>
        </w:tc>
        <w:tc>
          <w:tcPr>
            <w:tcW w:w="504" w:type="pct"/>
            <w:shd w:val="clear" w:color="auto" w:fill="C6EFCE"/>
            <w:noWrap/>
          </w:tcPr>
          <w:p w14:paraId="264EF03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C5.2R1</w:t>
            </w:r>
          </w:p>
          <w:p w14:paraId="3D618575"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Reform of the Social Insurance System and Restructuring of the Social Insurance Services </w:t>
            </w:r>
          </w:p>
        </w:tc>
        <w:tc>
          <w:tcPr>
            <w:tcW w:w="367" w:type="pct"/>
            <w:shd w:val="clear" w:color="auto" w:fill="C6EFCE"/>
            <w:noWrap/>
          </w:tcPr>
          <w:p w14:paraId="6149A46E"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550" w:type="pct"/>
            <w:shd w:val="clear" w:color="auto" w:fill="C6EFCE"/>
            <w:noWrap/>
          </w:tcPr>
          <w:p w14:paraId="61360260" w14:textId="6B5FF08D"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Integrated Social Insurance Information System</w:t>
            </w:r>
            <w:r w:rsidRPr="009A3C2E">
              <w:rPr>
                <w:rStyle w:val="eop"/>
                <w:rFonts w:ascii="Times New Roman" w:hAnsi="Times New Roman" w:cs="Times New Roman"/>
                <w:noProof/>
                <w:color w:val="000000"/>
                <w:sz w:val="18"/>
                <w:szCs w:val="18"/>
                <w:shd w:val="clear" w:color="auto" w:fill="FFFFFF"/>
              </w:rPr>
              <w:t xml:space="preserve"> </w:t>
            </w:r>
          </w:p>
        </w:tc>
        <w:tc>
          <w:tcPr>
            <w:tcW w:w="457" w:type="pct"/>
            <w:shd w:val="clear" w:color="auto" w:fill="C6EFCE"/>
            <w:noWrap/>
          </w:tcPr>
          <w:p w14:paraId="700604B9"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Deliverables including a study, strategy, trainings, system generated reports </w:t>
            </w:r>
          </w:p>
        </w:tc>
        <w:tc>
          <w:tcPr>
            <w:tcW w:w="321" w:type="pct"/>
            <w:shd w:val="clear" w:color="auto" w:fill="C6EFCE"/>
            <w:noWrap/>
          </w:tcPr>
          <w:p w14:paraId="31F023F8"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tcPr>
          <w:p w14:paraId="64A0B72F"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230" w:type="pct"/>
            <w:shd w:val="clear" w:color="auto" w:fill="C6EFCE"/>
            <w:noWrap/>
          </w:tcPr>
          <w:p w14:paraId="04A07AF7"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321" w:type="pct"/>
            <w:shd w:val="clear" w:color="auto" w:fill="C6EFCE"/>
            <w:noWrap/>
          </w:tcPr>
          <w:p w14:paraId="1B9A16FF"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228" w:type="pct"/>
            <w:shd w:val="clear" w:color="auto" w:fill="C6EFCE"/>
            <w:noWrap/>
          </w:tcPr>
          <w:p w14:paraId="0170F022"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2026</w:t>
            </w:r>
          </w:p>
        </w:tc>
        <w:tc>
          <w:tcPr>
            <w:tcW w:w="1326" w:type="pct"/>
            <w:shd w:val="clear" w:color="auto" w:fill="C6EFCE"/>
            <w:noWrap/>
          </w:tcPr>
          <w:p w14:paraId="64B9045E" w14:textId="77777777" w:rsidR="00B3049F" w:rsidRPr="009A3C2E" w:rsidRDefault="00B3049F" w:rsidP="00061F73">
            <w:pPr>
              <w:spacing w:after="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Integrated Social Insurance Information System including:</w:t>
            </w:r>
          </w:p>
          <w:p w14:paraId="28E976F2" w14:textId="77777777" w:rsidR="00B3049F" w:rsidRPr="009A3C2E" w:rsidRDefault="00B3049F" w:rsidP="00061F73">
            <w:pPr>
              <w:pStyle w:val="ListParagraph"/>
              <w:numPr>
                <w:ilvl w:val="0"/>
                <w:numId w:val="10"/>
              </w:numPr>
              <w:spacing w:after="0" w:line="240" w:lineRule="auto"/>
              <w:jc w:val="both"/>
              <w:rPr>
                <w:rFonts w:ascii="Times New Roman" w:hAnsi="Times New Roman" w:cs="Times New Roman"/>
                <w:noProof/>
                <w:sz w:val="18"/>
                <w:szCs w:val="18"/>
                <w:lang w:val="en-US"/>
              </w:rPr>
            </w:pPr>
            <w:r w:rsidRPr="009A3C2E">
              <w:rPr>
                <w:rFonts w:ascii="Times New Roman" w:hAnsi="Times New Roman" w:cs="Times New Roman"/>
                <w:noProof/>
                <w:sz w:val="18"/>
                <w:szCs w:val="18"/>
                <w:lang w:val="en-US"/>
              </w:rPr>
              <w:t>a study on the current IT system, identifying the existing gaps,</w:t>
            </w:r>
          </w:p>
          <w:p w14:paraId="1F84FD54" w14:textId="77777777" w:rsidR="00B3049F" w:rsidRPr="009A3C2E" w:rsidRDefault="00B3049F" w:rsidP="00061F73">
            <w:pPr>
              <w:pStyle w:val="ListParagraph"/>
              <w:numPr>
                <w:ilvl w:val="0"/>
                <w:numId w:val="10"/>
              </w:numPr>
              <w:spacing w:after="0" w:line="240" w:lineRule="auto"/>
              <w:jc w:val="both"/>
              <w:rPr>
                <w:rFonts w:ascii="Times New Roman" w:hAnsi="Times New Roman" w:cs="Times New Roman"/>
                <w:noProof/>
                <w:sz w:val="18"/>
                <w:szCs w:val="18"/>
                <w:lang w:val="en-US"/>
              </w:rPr>
            </w:pPr>
            <w:r w:rsidRPr="009A3C2E">
              <w:rPr>
                <w:rFonts w:ascii="Times New Roman" w:hAnsi="Times New Roman" w:cs="Times New Roman"/>
                <w:noProof/>
                <w:sz w:val="18"/>
                <w:szCs w:val="18"/>
                <w:lang w:val="en-US"/>
              </w:rPr>
              <w:t xml:space="preserve">reengineered business processes of the Social Insurance Services (SIS), </w:t>
            </w:r>
          </w:p>
          <w:p w14:paraId="4BF74A12" w14:textId="386C9C0D" w:rsidR="00B3049F" w:rsidRPr="009A3C2E" w:rsidRDefault="009A3C2E" w:rsidP="00061F73">
            <w:pPr>
              <w:pStyle w:val="ListParagraph"/>
              <w:numPr>
                <w:ilvl w:val="0"/>
                <w:numId w:val="10"/>
              </w:numPr>
              <w:spacing w:after="0" w:line="240" w:lineRule="auto"/>
              <w:jc w:val="both"/>
              <w:rPr>
                <w:rFonts w:ascii="Times New Roman" w:hAnsi="Times New Roman" w:cs="Times New Roman"/>
                <w:noProof/>
                <w:sz w:val="18"/>
                <w:szCs w:val="18"/>
                <w:lang w:val="en-US"/>
              </w:rPr>
            </w:pPr>
            <w:r w:rsidRPr="009A3C2E">
              <w:rPr>
                <w:rFonts w:ascii="Times New Roman" w:hAnsi="Times New Roman" w:cs="Times New Roman"/>
                <w:noProof/>
                <w:sz w:val="18"/>
                <w:szCs w:val="18"/>
                <w:lang w:val="en-US"/>
              </w:rPr>
              <w:t>interconnection</w:t>
            </w:r>
            <w:r w:rsidR="00B3049F" w:rsidRPr="009A3C2E">
              <w:rPr>
                <w:rFonts w:ascii="Times New Roman" w:hAnsi="Times New Roman" w:cs="Times New Roman"/>
                <w:noProof/>
                <w:sz w:val="18"/>
                <w:szCs w:val="18"/>
                <w:lang w:val="en-US"/>
              </w:rPr>
              <w:t>(</w:t>
            </w:r>
            <w:r w:rsidR="00B3049F" w:rsidRPr="009A3C2E" w:rsidDel="00947163">
              <w:rPr>
                <w:rFonts w:ascii="Times New Roman" w:hAnsi="Times New Roman" w:cs="Times New Roman"/>
                <w:noProof/>
                <w:sz w:val="18"/>
                <w:szCs w:val="18"/>
                <w:lang w:val="en-US"/>
              </w:rPr>
              <w:t>s</w:t>
            </w:r>
            <w:r w:rsidR="00B3049F" w:rsidRPr="009A3C2E">
              <w:rPr>
                <w:rFonts w:ascii="Times New Roman" w:hAnsi="Times New Roman" w:cs="Times New Roman"/>
                <w:noProof/>
                <w:sz w:val="18"/>
                <w:szCs w:val="18"/>
                <w:lang w:val="en-US"/>
              </w:rPr>
              <w:t xml:space="preserve">) with other systems </w:t>
            </w:r>
          </w:p>
          <w:p w14:paraId="68E1641C" w14:textId="77777777" w:rsidR="00B3049F" w:rsidRPr="009A3C2E" w:rsidRDefault="00B3049F" w:rsidP="00061F73">
            <w:pPr>
              <w:pStyle w:val="ListParagraph"/>
              <w:numPr>
                <w:ilvl w:val="0"/>
                <w:numId w:val="10"/>
              </w:numPr>
              <w:spacing w:after="0" w:line="240" w:lineRule="auto"/>
              <w:jc w:val="both"/>
              <w:rPr>
                <w:rFonts w:ascii="Times New Roman" w:hAnsi="Times New Roman" w:cs="Times New Roman"/>
                <w:noProof/>
                <w:sz w:val="18"/>
                <w:szCs w:val="18"/>
                <w:lang w:val="en-US"/>
              </w:rPr>
            </w:pPr>
            <w:r w:rsidRPr="009A3C2E">
              <w:rPr>
                <w:rFonts w:ascii="Times New Roman" w:hAnsi="Times New Roman" w:cs="Times New Roman"/>
                <w:noProof/>
                <w:sz w:val="18"/>
                <w:szCs w:val="18"/>
                <w:lang w:val="en-US"/>
              </w:rPr>
              <w:t xml:space="preserve">digital services for the upgraded SIS IT System </w:t>
            </w:r>
          </w:p>
          <w:p w14:paraId="29CA82A1" w14:textId="77777777" w:rsidR="00B3049F" w:rsidRPr="009A3C2E" w:rsidRDefault="00B3049F" w:rsidP="00061F73">
            <w:pPr>
              <w:pStyle w:val="ListParagraph"/>
              <w:numPr>
                <w:ilvl w:val="0"/>
                <w:numId w:val="10"/>
              </w:numPr>
              <w:spacing w:after="0" w:line="240" w:lineRule="auto"/>
              <w:jc w:val="both"/>
              <w:rPr>
                <w:rFonts w:ascii="Times New Roman" w:hAnsi="Times New Roman" w:cs="Times New Roman"/>
                <w:noProof/>
                <w:sz w:val="18"/>
                <w:szCs w:val="18"/>
                <w:lang w:val="en-US"/>
              </w:rPr>
            </w:pPr>
            <w:r w:rsidRPr="009A3C2E">
              <w:rPr>
                <w:rFonts w:ascii="Times New Roman" w:hAnsi="Times New Roman" w:cs="Times New Roman"/>
                <w:noProof/>
                <w:sz w:val="18"/>
                <w:szCs w:val="18"/>
                <w:lang w:val="en-US"/>
              </w:rPr>
              <w:t xml:space="preserve">Business Intelligence (BI) for Data Insights, Fraud Prevention/Detection (MIS System) </w:t>
            </w:r>
          </w:p>
          <w:p w14:paraId="59022903" w14:textId="5A86FB4A" w:rsidR="00B3049F" w:rsidRPr="009A3C2E" w:rsidDel="00104489" w:rsidRDefault="00B3049F" w:rsidP="00061F73">
            <w:pPr>
              <w:pStyle w:val="ListParagraph"/>
              <w:numPr>
                <w:ilvl w:val="0"/>
                <w:numId w:val="10"/>
              </w:numPr>
              <w:spacing w:after="0" w:line="240" w:lineRule="auto"/>
              <w:jc w:val="both"/>
              <w:rPr>
                <w:rFonts w:ascii="Times New Roman" w:hAnsi="Times New Roman" w:cs="Times New Roman"/>
                <w:noProof/>
                <w:sz w:val="18"/>
                <w:szCs w:val="18"/>
                <w:lang w:val="en-US"/>
              </w:rPr>
            </w:pPr>
            <w:r w:rsidRPr="009A3C2E">
              <w:rPr>
                <w:rFonts w:ascii="Times New Roman" w:hAnsi="Times New Roman" w:cs="Times New Roman"/>
                <w:noProof/>
                <w:sz w:val="18"/>
                <w:szCs w:val="18"/>
                <w:lang w:val="en-US"/>
              </w:rPr>
              <w:t xml:space="preserve">strategy </w:t>
            </w:r>
            <w:r w:rsidR="7431484E" w:rsidRPr="009A3C2E">
              <w:rPr>
                <w:rFonts w:ascii="Times New Roman" w:hAnsi="Times New Roman" w:cs="Times New Roman"/>
                <w:noProof/>
                <w:sz w:val="18"/>
                <w:szCs w:val="18"/>
                <w:lang w:val="en-US"/>
              </w:rPr>
              <w:t>paper for the SIS</w:t>
            </w:r>
            <w:r w:rsidRPr="009A3C2E">
              <w:rPr>
                <w:rFonts w:ascii="Times New Roman" w:hAnsi="Times New Roman" w:cs="Times New Roman"/>
                <w:noProof/>
                <w:sz w:val="18"/>
                <w:szCs w:val="18"/>
                <w:lang w:val="en-US"/>
              </w:rPr>
              <w:t xml:space="preserve"> and trainings.</w:t>
            </w:r>
          </w:p>
        </w:tc>
      </w:tr>
    </w:tbl>
    <w:p w14:paraId="7C553155" w14:textId="77777777" w:rsidR="00B3049F" w:rsidRPr="000F04FA" w:rsidRDefault="00B3049F">
      <w:pPr>
        <w:rPr>
          <w:noProof/>
        </w:rPr>
      </w:pPr>
    </w:p>
    <w:p w14:paraId="6B52929F" w14:textId="77777777" w:rsidR="00B3049F" w:rsidRPr="000F04FA" w:rsidRDefault="00B3049F">
      <w:pPr>
        <w:rPr>
          <w:noProof/>
        </w:rPr>
        <w:sectPr w:rsidR="00B3049F" w:rsidRPr="000F04FA" w:rsidSect="00B3049F">
          <w:headerReference w:type="default" r:id="rId92"/>
          <w:footerReference w:type="default" r:id="rId93"/>
          <w:pgSz w:w="15840" w:h="12240" w:orient="landscape"/>
          <w:pgMar w:top="1134" w:right="1134" w:bottom="1134" w:left="1134" w:header="720" w:footer="720" w:gutter="0"/>
          <w:cols w:space="720"/>
          <w:docGrid w:linePitch="360"/>
        </w:sectPr>
      </w:pPr>
    </w:p>
    <w:p w14:paraId="59CFCAA2" w14:textId="77777777" w:rsidR="00B3049F" w:rsidRPr="000F04FA" w:rsidRDefault="00B3049F" w:rsidP="00D8670B">
      <w:pPr>
        <w:keepNext/>
        <w:tabs>
          <w:tab w:val="left" w:pos="850"/>
        </w:tabs>
        <w:spacing w:before="360" w:after="120" w:line="240" w:lineRule="auto"/>
        <w:ind w:left="850" w:hanging="850"/>
        <w:jc w:val="both"/>
        <w:outlineLvl w:val="0"/>
        <w:rPr>
          <w:rFonts w:ascii="Times New Roman" w:hAnsi="Times New Roman"/>
          <w:b/>
          <w:smallCaps/>
          <w:noProof/>
        </w:rPr>
      </w:pPr>
      <w:r w:rsidRPr="000F04FA">
        <w:rPr>
          <w:rFonts w:ascii="Times New Roman" w:hAnsi="Times New Roman"/>
          <w:b/>
          <w:smallCaps/>
          <w:noProof/>
        </w:rPr>
        <w:t>N. COMPONENT 6.1: REPowerEU</w:t>
      </w:r>
    </w:p>
    <w:p w14:paraId="139D7FD9" w14:textId="77777777" w:rsidR="00B3049F" w:rsidRPr="009A3C2E" w:rsidRDefault="00B3049F" w:rsidP="009A3C2E">
      <w:pPr>
        <w:spacing w:before="120" w:after="120" w:line="278" w:lineRule="auto"/>
        <w:jc w:val="both"/>
        <w:textAlignment w:val="baseline"/>
        <w:rPr>
          <w:rFonts w:ascii="Times New Roman" w:hAnsi="Times New Roman"/>
          <w:noProof/>
        </w:rPr>
      </w:pPr>
      <w:r w:rsidRPr="009A3C2E">
        <w:rPr>
          <w:rFonts w:ascii="Times New Roman" w:hAnsi="Times New Roman"/>
          <w:noProof/>
        </w:rPr>
        <w:t xml:space="preserve">The REPowerEU chapter addresses the challenge of reducing reliance on fossil fuels. The objectives of the component are to strongly reduce Cyprus’ dependence from imported fossil fuels in general. The new RePowerEU chapter contributes to the achievement of Cyprus’s energy efficiency obligations and targets set for 2030, under the National Energy and Climate Plan. In order to limit its energy dependence, Cyprus shall further invest in energy efficiency </w:t>
      </w:r>
      <w:r w:rsidRPr="009A3C2E" w:rsidDel="4CD04EF9">
        <w:rPr>
          <w:rFonts w:ascii="Times New Roman" w:hAnsi="Times New Roman"/>
          <w:noProof/>
        </w:rPr>
        <w:t>improvements</w:t>
      </w:r>
      <w:r w:rsidRPr="009A3C2E">
        <w:rPr>
          <w:rFonts w:ascii="Times New Roman" w:hAnsi="Times New Roman"/>
          <w:noProof/>
        </w:rPr>
        <w:t xml:space="preserve"> in buildings and road transport and accelerate the deployment of renewables.</w:t>
      </w:r>
    </w:p>
    <w:p w14:paraId="1C3E56E4" w14:textId="77777777" w:rsidR="00B3049F" w:rsidRPr="009A3C2E" w:rsidRDefault="00B3049F" w:rsidP="009A3C2E">
      <w:pPr>
        <w:spacing w:before="120" w:after="120" w:line="278" w:lineRule="auto"/>
        <w:jc w:val="both"/>
        <w:textAlignment w:val="baseline"/>
        <w:rPr>
          <w:noProof/>
        </w:rPr>
      </w:pPr>
    </w:p>
    <w:p w14:paraId="1E981F01" w14:textId="77777777" w:rsidR="00B3049F" w:rsidRPr="009A3C2E" w:rsidRDefault="00B3049F" w:rsidP="009A3C2E">
      <w:pPr>
        <w:spacing w:before="120" w:after="120" w:line="278" w:lineRule="auto"/>
        <w:jc w:val="both"/>
        <w:textAlignment w:val="baseline"/>
        <w:rPr>
          <w:rFonts w:ascii="Times New Roman" w:hAnsi="Times New Roman"/>
          <w:noProof/>
        </w:rPr>
      </w:pPr>
      <w:r w:rsidRPr="009A3C2E">
        <w:rPr>
          <w:rFonts w:ascii="Times New Roman" w:hAnsi="Times New Roman"/>
          <w:noProof/>
        </w:rPr>
        <w:t>The measures included in the REPowerEU chapter</w:t>
      </w:r>
      <w:r w:rsidRPr="009A3C2E">
        <w:rPr>
          <w:rFonts w:ascii="Times New Roman" w:hAnsi="Times New Roman"/>
          <w:b/>
          <w:noProof/>
        </w:rPr>
        <w:t xml:space="preserve"> </w:t>
      </w:r>
      <w:r w:rsidRPr="009A3C2E">
        <w:rPr>
          <w:rFonts w:ascii="Times New Roman" w:hAnsi="Times New Roman"/>
          <w:noProof/>
        </w:rPr>
        <w:t>address most aspects of recent country-specific recommendations in the field of energy, as they shall foster research and innovation in the field of green transition and energy production, storage, transmission and distribution solutions, promote renewables and accelerate energy efficiency measures in various buildings in the public and private sector, enhance the regulatory framework for the operation of Energy Communities, and promote widespread use of Electric Vehicles.</w:t>
      </w:r>
    </w:p>
    <w:p w14:paraId="4CEA295A" w14:textId="77777777" w:rsidR="00B3049F" w:rsidRPr="009A3C2E" w:rsidRDefault="00B3049F" w:rsidP="009A3C2E">
      <w:pPr>
        <w:spacing w:before="120" w:after="120" w:line="278" w:lineRule="auto"/>
        <w:jc w:val="both"/>
        <w:textAlignment w:val="baseline"/>
        <w:rPr>
          <w:noProof/>
        </w:rPr>
      </w:pPr>
    </w:p>
    <w:p w14:paraId="4E41402E" w14:textId="77777777" w:rsidR="00B3049F" w:rsidRPr="009A3C2E" w:rsidRDefault="00B3049F" w:rsidP="009A3C2E">
      <w:pPr>
        <w:spacing w:before="120" w:after="120" w:line="278" w:lineRule="auto"/>
        <w:jc w:val="both"/>
        <w:rPr>
          <w:rFonts w:ascii="Times New Roman" w:hAnsi="Times New Roman" w:cs="Times New Roman"/>
          <w:noProof/>
        </w:rPr>
      </w:pPr>
      <w:r w:rsidRPr="009A3C2E">
        <w:rPr>
          <w:rFonts w:ascii="Times New Roman" w:hAnsi="Times New Roman" w:cs="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848006D" w14:textId="77777777" w:rsidR="00B3049F" w:rsidRPr="009A3C2E" w:rsidRDefault="00B3049F" w:rsidP="009A3C2E">
      <w:pPr>
        <w:spacing w:before="120" w:after="120" w:line="278" w:lineRule="auto"/>
        <w:jc w:val="both"/>
        <w:rPr>
          <w:rFonts w:ascii="Times New Roman" w:hAnsi="Times New Roman" w:cs="Times New Roman"/>
          <w:noProof/>
        </w:rPr>
      </w:pPr>
    </w:p>
    <w:p w14:paraId="3D4515A9" w14:textId="77777777" w:rsidR="00B3049F" w:rsidRPr="009A3C2E" w:rsidRDefault="00B3049F" w:rsidP="009A3C2E">
      <w:pPr>
        <w:spacing w:before="120" w:after="120" w:line="278" w:lineRule="auto"/>
        <w:jc w:val="both"/>
        <w:rPr>
          <w:rFonts w:ascii="Times New Roman" w:hAnsi="Times New Roman" w:cs="Times New Roman"/>
          <w:noProof/>
        </w:rPr>
      </w:pPr>
      <w:r w:rsidRPr="009A3C2E">
        <w:rPr>
          <w:rFonts w:ascii="Times New Roman" w:hAnsi="Times New Roman" w:cs="Times New Roman"/>
          <w:noProof/>
        </w:rPr>
        <w:t xml:space="preserve">The </w:t>
      </w:r>
      <w:r w:rsidRPr="009A3C2E" w:rsidDel="4CD04EF9">
        <w:rPr>
          <w:rFonts w:ascii="Times New Roman" w:hAnsi="Times New Roman" w:cs="Times New Roman"/>
          <w:noProof/>
        </w:rPr>
        <w:t xml:space="preserve">implementation of the </w:t>
      </w:r>
      <w:r w:rsidRPr="009A3C2E">
        <w:rPr>
          <w:rFonts w:ascii="Times New Roman" w:hAnsi="Times New Roman" w:cs="Times New Roman"/>
          <w:noProof/>
        </w:rPr>
        <w:t xml:space="preserve">measures is expected to contribute to reducing dependency on fossil fuels. Increasing the share of renewable energy sources has a cross-border and multi-country dimension because it contributes to securing the energy supply in the Union as a whole. </w:t>
      </w:r>
    </w:p>
    <w:p w14:paraId="50C8D00A" w14:textId="77777777" w:rsidR="009A3C2E" w:rsidRPr="000F04FA" w:rsidRDefault="009A3C2E" w:rsidP="009A3C2E">
      <w:pPr>
        <w:spacing w:before="120" w:after="120" w:line="278" w:lineRule="auto"/>
        <w:jc w:val="both"/>
        <w:rPr>
          <w:rFonts w:ascii="Times New Roman" w:hAnsi="Times New Roman" w:cs="Times New Roman"/>
          <w:noProof/>
        </w:rPr>
      </w:pPr>
    </w:p>
    <w:p w14:paraId="1E5CD9DA" w14:textId="77777777" w:rsidR="00B3049F" w:rsidRPr="000F04FA" w:rsidRDefault="00B3049F" w:rsidP="00D8670B">
      <w:pPr>
        <w:spacing w:before="120" w:after="120" w:line="240" w:lineRule="auto"/>
        <w:jc w:val="both"/>
        <w:rPr>
          <w:rFonts w:ascii="Times New Roman" w:hAnsi="Times New Roman" w:cs="Times New Roman"/>
          <w:b/>
          <w:noProof/>
          <w:u w:val="single"/>
        </w:rPr>
      </w:pPr>
      <w:r w:rsidRPr="000F04FA">
        <w:rPr>
          <w:rFonts w:ascii="Times New Roman" w:hAnsi="Times New Roman" w:cs="Times New Roman"/>
          <w:b/>
          <w:noProof/>
          <w:u w:val="single"/>
        </w:rPr>
        <w:t xml:space="preserve">N.1. </w:t>
      </w:r>
      <w:r w:rsidRPr="000F04FA">
        <w:rPr>
          <w:rFonts w:ascii="Times New Roman" w:hAnsi="Times New Roman" w:cs="Times New Roman"/>
          <w:noProof/>
        </w:rPr>
        <w:tab/>
      </w:r>
      <w:r w:rsidRPr="000F04FA">
        <w:rPr>
          <w:rFonts w:ascii="Times New Roman" w:hAnsi="Times New Roman" w:cs="Times New Roman"/>
          <w:b/>
          <w:noProof/>
          <w:u w:val="single"/>
        </w:rPr>
        <w:t>Description of the reforms and investments for non-repayable financial support</w:t>
      </w:r>
    </w:p>
    <w:p w14:paraId="6B1E316C" w14:textId="77777777" w:rsidR="00B3049F" w:rsidRPr="000F04FA" w:rsidRDefault="00B3049F" w:rsidP="00D8670B">
      <w:pPr>
        <w:spacing w:before="120" w:after="120"/>
        <w:jc w:val="both"/>
        <w:rPr>
          <w:rFonts w:ascii="Times New Roman" w:hAnsi="Times New Roman" w:cs="Times New Roman"/>
          <w:noProof/>
          <w:u w:val="single"/>
        </w:rPr>
      </w:pPr>
      <w:r w:rsidRPr="000F04FA">
        <w:rPr>
          <w:rFonts w:ascii="Times New Roman" w:hAnsi="Times New Roman" w:cs="Times New Roman"/>
          <w:noProof/>
          <w:u w:val="single"/>
        </w:rPr>
        <w:t xml:space="preserve">Reform 1 (C6.1R1) Regulating and facilitating the participation of citizens in the electricity market </w:t>
      </w:r>
    </w:p>
    <w:p w14:paraId="005AE30A" w14:textId="77777777" w:rsidR="00B3049F" w:rsidRPr="000F04FA" w:rsidRDefault="00B3049F" w:rsidP="009A3C2E">
      <w:pPr>
        <w:spacing w:before="120" w:after="120" w:line="278" w:lineRule="auto"/>
        <w:jc w:val="both"/>
        <w:rPr>
          <w:rFonts w:ascii="Times New Roman" w:hAnsi="Times New Roman" w:cs="Times New Roman"/>
          <w:noProof/>
        </w:rPr>
      </w:pPr>
      <w:r w:rsidRPr="000F04FA">
        <w:rPr>
          <w:rFonts w:ascii="Times New Roman" w:hAnsi="Times New Roman" w:cs="Times New Roman"/>
          <w:noProof/>
        </w:rPr>
        <w:t xml:space="preserve">The objective of this reform is the participation of citizens in the national energy market. </w:t>
      </w:r>
    </w:p>
    <w:p w14:paraId="39C4B234" w14:textId="77777777" w:rsidR="00B3049F" w:rsidRPr="000F04FA" w:rsidRDefault="00B3049F" w:rsidP="009A3C2E">
      <w:pPr>
        <w:spacing w:before="120" w:after="120" w:line="278" w:lineRule="auto"/>
        <w:jc w:val="both"/>
        <w:rPr>
          <w:rFonts w:ascii="Times New Roman" w:hAnsi="Times New Roman" w:cs="Times New Roman"/>
          <w:noProof/>
        </w:rPr>
      </w:pPr>
      <w:r w:rsidRPr="000F04FA">
        <w:rPr>
          <w:rFonts w:ascii="Times New Roman" w:hAnsi="Times New Roman" w:cs="Times New Roman"/>
          <w:noProof/>
        </w:rPr>
        <w:t xml:space="preserve">This measure consists in creating a contact point for citizens to participate in the electricity market. </w:t>
      </w:r>
    </w:p>
    <w:p w14:paraId="49F537E1" w14:textId="77777777" w:rsidR="00B3049F" w:rsidRPr="000F04FA" w:rsidRDefault="00B3049F" w:rsidP="00D8670B">
      <w:pPr>
        <w:jc w:val="both"/>
        <w:rPr>
          <w:rFonts w:ascii="Times New Roman" w:hAnsi="Times New Roman" w:cs="Times New Roman"/>
          <w:noProof/>
        </w:rPr>
      </w:pPr>
    </w:p>
    <w:p w14:paraId="5F6D836F" w14:textId="77777777" w:rsidR="00B3049F" w:rsidRPr="000F04FA" w:rsidRDefault="00B3049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Reform 2 (C6.1R2) Introduction of regulatory framework for the connection of EV recharging points to the distribution network</w:t>
      </w:r>
    </w:p>
    <w:p w14:paraId="07582B38" w14:textId="77777777" w:rsidR="00B3049F" w:rsidRPr="000F04FA" w:rsidRDefault="00B3049F" w:rsidP="00D8670B">
      <w:pPr>
        <w:jc w:val="both"/>
        <w:rPr>
          <w:rFonts w:ascii="Times New Roman" w:hAnsi="Times New Roman" w:cs="Times New Roman"/>
          <w:noProof/>
        </w:rPr>
      </w:pPr>
      <w:r w:rsidRPr="000F04FA">
        <w:rPr>
          <w:rFonts w:ascii="Times New Roman" w:hAnsi="Times New Roman" w:cs="Times New Roman"/>
          <w:noProof/>
        </w:rPr>
        <w:t xml:space="preserve">The objective of this reform is to provide the regulatory framework for the procurement of flexibility services by the DSO as well as the connection of EV Charging Points to the Distribution Network. </w:t>
      </w:r>
    </w:p>
    <w:p w14:paraId="5C7EBA6A" w14:textId="77777777" w:rsidR="00B3049F" w:rsidRPr="000F04FA" w:rsidRDefault="00B3049F" w:rsidP="00D8670B">
      <w:pPr>
        <w:jc w:val="both"/>
        <w:rPr>
          <w:rFonts w:ascii="Times New Roman" w:hAnsi="Times New Roman" w:cs="Times New Roman"/>
          <w:noProof/>
        </w:rPr>
      </w:pPr>
      <w:r w:rsidRPr="000F04FA">
        <w:rPr>
          <w:rFonts w:ascii="Times New Roman" w:hAnsi="Times New Roman" w:cs="Times New Roman"/>
          <w:noProof/>
        </w:rPr>
        <w:t xml:space="preserve">This measure consists in the entry into force of regulatory decision(s) for EV charging points. </w:t>
      </w:r>
    </w:p>
    <w:p w14:paraId="04C261C2" w14:textId="77777777" w:rsidR="00B3049F" w:rsidRPr="000F04FA" w:rsidRDefault="00B3049F" w:rsidP="00D8670B">
      <w:pPr>
        <w:spacing w:before="120" w:after="120" w:line="240" w:lineRule="auto"/>
        <w:jc w:val="both"/>
        <w:rPr>
          <w:rFonts w:ascii="Times New Roman" w:hAnsi="Times New Roman" w:cs="Times New Roman"/>
          <w:noProof/>
          <w:u w:val="single"/>
        </w:rPr>
      </w:pPr>
    </w:p>
    <w:p w14:paraId="302CFC82" w14:textId="77777777" w:rsidR="00B3049F" w:rsidRPr="000F04FA" w:rsidRDefault="00B3049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 xml:space="preserve">Investment 1 (C6.1I1). Scaled-up measure: Renewables and individual energy efficiency measures in dwellings </w:t>
      </w:r>
    </w:p>
    <w:p w14:paraId="48DFE76F" w14:textId="77777777" w:rsidR="00B3049F" w:rsidRPr="000F04FA" w:rsidRDefault="00B3049F" w:rsidP="00D8670B">
      <w:pPr>
        <w:jc w:val="both"/>
        <w:rPr>
          <w:rFonts w:ascii="Times New Roman" w:hAnsi="Times New Roman" w:cs="Times New Roman"/>
          <w:noProof/>
        </w:rPr>
      </w:pPr>
      <w:r w:rsidRPr="000F04FA">
        <w:rPr>
          <w:rFonts w:ascii="Times New Roman" w:hAnsi="Times New Roman" w:cs="Times New Roman"/>
          <w:noProof/>
        </w:rPr>
        <w:t xml:space="preserve">The objective of this investment is to scale up Investment C2.1I2: Promoting renewables and individual energy efficiency measures in dwellings and tackling energy poverty, including in households with vulnerable electricity consumers under Component 2.1. </w:t>
      </w:r>
    </w:p>
    <w:p w14:paraId="50BE6FDB" w14:textId="77777777" w:rsidR="00B3049F" w:rsidRPr="000F04FA" w:rsidRDefault="00B3049F" w:rsidP="00D8670B">
      <w:pPr>
        <w:jc w:val="both"/>
        <w:rPr>
          <w:rFonts w:ascii="Times New Roman" w:eastAsia="Times New Roman" w:hAnsi="Times New Roman" w:cs="Times New Roman"/>
          <w:noProof/>
        </w:rPr>
      </w:pPr>
      <w:r w:rsidRPr="000F04FA">
        <w:rPr>
          <w:rFonts w:ascii="Times New Roman" w:hAnsi="Times New Roman" w:cs="Times New Roman"/>
          <w:noProof/>
        </w:rPr>
        <w:t>The scaled-up part of this measure consists in increasing the number of dwellings that invested in their energy performance.</w:t>
      </w:r>
    </w:p>
    <w:p w14:paraId="34D5F8EE" w14:textId="77777777" w:rsidR="00B3049F" w:rsidRPr="000F04FA" w:rsidRDefault="00B3049F" w:rsidP="00D8670B">
      <w:pPr>
        <w:spacing w:before="120" w:after="120" w:line="240" w:lineRule="auto"/>
        <w:jc w:val="both"/>
        <w:rPr>
          <w:rFonts w:ascii="Times New Roman" w:eastAsia="Times New Roman" w:hAnsi="Times New Roman" w:cs="Times New Roman"/>
          <w:noProof/>
        </w:rPr>
      </w:pPr>
    </w:p>
    <w:p w14:paraId="0FBB8A2C" w14:textId="77777777" w:rsidR="00B3049F" w:rsidRPr="000F04FA" w:rsidRDefault="00B3049F" w:rsidP="00D8670B">
      <w:pPr>
        <w:keepNext/>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 xml:space="preserve">Investment 3 (C6.1I3) Promoting extensive energy renovations of dwellings </w:t>
      </w:r>
    </w:p>
    <w:p w14:paraId="28B066F1" w14:textId="77777777" w:rsidR="00B3049F" w:rsidRPr="000F04FA" w:rsidRDefault="00B3049F" w:rsidP="00D8670B">
      <w:pPr>
        <w:jc w:val="both"/>
        <w:rPr>
          <w:rStyle w:val="normaltextrun"/>
          <w:rFonts w:ascii="Times New Roman" w:hAnsi="Times New Roman" w:cs="Times New Roman"/>
          <w:noProof/>
          <w:color w:val="000000" w:themeColor="text1"/>
        </w:rPr>
      </w:pPr>
      <w:r w:rsidRPr="000F04FA">
        <w:rPr>
          <w:rStyle w:val="normaltextrun"/>
          <w:rFonts w:ascii="Times New Roman" w:hAnsi="Times New Roman" w:cs="Times New Roman"/>
          <w:noProof/>
          <w:color w:val="000000" w:themeColor="text1"/>
        </w:rPr>
        <w:t xml:space="preserve">The objective of this investment is to reduce energy consumption and CO2 emissions in dwellings. </w:t>
      </w:r>
    </w:p>
    <w:p w14:paraId="126A04CB" w14:textId="77777777" w:rsidR="00B3049F" w:rsidRPr="000F04FA" w:rsidDel="00E452D9" w:rsidRDefault="00B3049F" w:rsidP="00D8670B">
      <w:pPr>
        <w:jc w:val="both"/>
        <w:rPr>
          <w:rStyle w:val="normaltextrun"/>
          <w:rFonts w:ascii="Times New Roman" w:hAnsi="Times New Roman" w:cs="Times New Roman"/>
          <w:noProof/>
          <w:color w:val="000000" w:themeColor="text1"/>
        </w:rPr>
      </w:pPr>
      <w:r w:rsidRPr="000F04FA">
        <w:rPr>
          <w:rStyle w:val="normaltextrun"/>
          <w:rFonts w:ascii="Times New Roman" w:hAnsi="Times New Roman" w:cs="Times New Roman"/>
          <w:noProof/>
          <w:color w:val="000000" w:themeColor="text1"/>
        </w:rPr>
        <w:t>This measure consists in energy renovations in at least 800 dwellings.</w:t>
      </w:r>
    </w:p>
    <w:p w14:paraId="0846A00A" w14:textId="77777777" w:rsidR="00B3049F" w:rsidRPr="000F04FA" w:rsidDel="00E452D9" w:rsidRDefault="00B3049F" w:rsidP="00D8670B">
      <w:pPr>
        <w:tabs>
          <w:tab w:val="left" w:pos="1341"/>
        </w:tabs>
        <w:spacing w:before="182" w:after="0" w:line="254" w:lineRule="auto"/>
        <w:jc w:val="both"/>
        <w:rPr>
          <w:rStyle w:val="normaltextrun"/>
          <w:rFonts w:ascii="Times New Roman" w:hAnsi="Times New Roman" w:cs="Times New Roman"/>
          <w:noProof/>
        </w:rPr>
      </w:pPr>
    </w:p>
    <w:p w14:paraId="18764D44" w14:textId="77777777" w:rsidR="00B3049F" w:rsidRPr="000F04FA" w:rsidRDefault="00B3049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5 (C6.1I5).</w:t>
      </w:r>
      <w:r w:rsidRPr="000F04FA">
        <w:rPr>
          <w:rFonts w:ascii="Times New Roman" w:hAnsi="Times New Roman" w:cs="Times New Roman"/>
          <w:noProof/>
          <w:color w:val="006100"/>
          <w:u w:val="single"/>
        </w:rPr>
        <w:t xml:space="preserve"> </w:t>
      </w:r>
      <w:r w:rsidRPr="000F04FA">
        <w:rPr>
          <w:rFonts w:ascii="Times New Roman" w:hAnsi="Times New Roman" w:cs="Times New Roman"/>
          <w:noProof/>
          <w:u w:val="single"/>
        </w:rPr>
        <w:t>Scaled-up measure: Scheme for the competitiveness and the energy efficiency of large enterprises in Cyprus</w:t>
      </w:r>
    </w:p>
    <w:p w14:paraId="0D7EF4EF" w14:textId="77777777" w:rsidR="00B3049F" w:rsidRPr="000F04FA" w:rsidRDefault="00B3049F" w:rsidP="00D8670B">
      <w:pPr>
        <w:tabs>
          <w:tab w:val="left" w:pos="1341"/>
        </w:tabs>
        <w:spacing w:before="182" w:after="0" w:line="254" w:lineRule="auto"/>
        <w:jc w:val="both"/>
        <w:rPr>
          <w:rFonts w:ascii="Times New Roman" w:hAnsi="Times New Roman" w:cs="Times New Roman"/>
          <w:noProof/>
        </w:rPr>
      </w:pPr>
      <w:r w:rsidRPr="000F04FA">
        <w:rPr>
          <w:rFonts w:ascii="Times New Roman" w:hAnsi="Times New Roman" w:cs="Times New Roman"/>
          <w:noProof/>
        </w:rPr>
        <w:t xml:space="preserve">The objective of this investment is to scale up Investment </w:t>
      </w:r>
      <w:r w:rsidRPr="000F04FA">
        <w:rPr>
          <w:rStyle w:val="markedcontent"/>
          <w:rFonts w:ascii="Times New Roman" w:hAnsi="Times New Roman" w:cs="Times New Roman"/>
          <w:noProof/>
        </w:rPr>
        <w:t>C3.1I7</w:t>
      </w:r>
      <w:r w:rsidRPr="000F04FA">
        <w:rPr>
          <w:rFonts w:ascii="Times New Roman" w:hAnsi="Times New Roman" w:cs="Times New Roman"/>
          <w:noProof/>
        </w:rPr>
        <w:t xml:space="preserve">: Scheme for the competitiveness and/or the energy efficiency of large enterprises in Cyprus, under Component 3.1. </w:t>
      </w:r>
    </w:p>
    <w:p w14:paraId="5A873663" w14:textId="77777777" w:rsidR="00B3049F" w:rsidRPr="000F04FA" w:rsidRDefault="00B3049F" w:rsidP="00D8670B">
      <w:pPr>
        <w:tabs>
          <w:tab w:val="left" w:pos="1341"/>
        </w:tabs>
        <w:spacing w:before="182" w:after="0" w:line="254" w:lineRule="auto"/>
        <w:jc w:val="both"/>
        <w:rPr>
          <w:rFonts w:ascii="Times New Roman" w:hAnsi="Times New Roman" w:cs="Times New Roman"/>
          <w:noProof/>
        </w:rPr>
      </w:pPr>
      <w:r w:rsidRPr="000F04FA">
        <w:rPr>
          <w:rFonts w:ascii="Times New Roman" w:hAnsi="Times New Roman" w:cs="Times New Roman"/>
          <w:noProof/>
        </w:rPr>
        <w:t>This measure consists in providing support to large enterprises undertaking energy efficiency investments.</w:t>
      </w:r>
    </w:p>
    <w:p w14:paraId="103E4B56" w14:textId="77777777" w:rsidR="00B3049F" w:rsidRPr="000F04FA" w:rsidRDefault="00B3049F" w:rsidP="00D8670B">
      <w:pPr>
        <w:tabs>
          <w:tab w:val="left" w:pos="1341"/>
        </w:tabs>
        <w:spacing w:before="182" w:after="0" w:line="254" w:lineRule="auto"/>
        <w:jc w:val="both"/>
        <w:rPr>
          <w:rFonts w:ascii="Times New Roman" w:hAnsi="Times New Roman" w:cs="Times New Roman"/>
          <w:noProof/>
        </w:rPr>
      </w:pPr>
    </w:p>
    <w:p w14:paraId="40DCCDC7" w14:textId="77777777" w:rsidR="00B3049F" w:rsidRPr="000F04FA" w:rsidRDefault="00B3049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6 (C6.1I6).</w:t>
      </w:r>
      <w:r w:rsidRPr="000F04FA">
        <w:rPr>
          <w:rFonts w:ascii="Times New Roman" w:hAnsi="Times New Roman" w:cs="Times New Roman"/>
          <w:noProof/>
          <w:color w:val="006100"/>
          <w:u w:val="single"/>
        </w:rPr>
        <w:t xml:space="preserve"> </w:t>
      </w:r>
      <w:r w:rsidRPr="000F04FA">
        <w:rPr>
          <w:rFonts w:ascii="Times New Roman" w:hAnsi="Times New Roman" w:cs="Times New Roman"/>
          <w:noProof/>
          <w:u w:val="single"/>
        </w:rPr>
        <w:t>Scaled-up measure: Thematic research and innovation funding program on green transition</w:t>
      </w:r>
    </w:p>
    <w:p w14:paraId="71CF1339"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this investment is to scale up Investment C3.2I3: R&amp;I funding program on green transition, under Component 3.2. </w:t>
      </w:r>
    </w:p>
    <w:p w14:paraId="302159EF"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The scaled-up part of this measure consists in projects on green transition R&amp;I activities.</w:t>
      </w:r>
    </w:p>
    <w:p w14:paraId="0A83F2C7" w14:textId="77777777" w:rsidR="00B3049F" w:rsidRPr="000F04FA" w:rsidRDefault="00B3049F" w:rsidP="00D8670B">
      <w:pPr>
        <w:spacing w:before="120" w:after="120" w:line="240" w:lineRule="auto"/>
        <w:jc w:val="both"/>
        <w:rPr>
          <w:rFonts w:ascii="Times New Roman" w:hAnsi="Times New Roman" w:cs="Times New Roman"/>
          <w:noProof/>
        </w:rPr>
      </w:pPr>
    </w:p>
    <w:p w14:paraId="030584AE" w14:textId="77777777" w:rsidR="00B3049F" w:rsidRPr="000F04FA" w:rsidRDefault="00B3049F" w:rsidP="00D8670B">
      <w:pPr>
        <w:spacing w:before="120" w:after="120" w:line="240" w:lineRule="auto"/>
        <w:jc w:val="both"/>
        <w:rPr>
          <w:rFonts w:ascii="Times New Roman" w:hAnsi="Times New Roman" w:cs="Times New Roman"/>
          <w:noProof/>
          <w:u w:val="single"/>
        </w:rPr>
      </w:pPr>
      <w:r w:rsidRPr="000F04FA">
        <w:rPr>
          <w:rFonts w:ascii="Times New Roman" w:hAnsi="Times New Roman" w:cs="Times New Roman"/>
          <w:noProof/>
          <w:u w:val="single"/>
        </w:rPr>
        <w:t>Investment 7 (C6.1I7). Thematic research in enterprises for energy production, storage, transmission, and distribution solutions</w:t>
      </w:r>
    </w:p>
    <w:p w14:paraId="05BFA629"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 xml:space="preserve">The objective of this investment is to find solutions to bottlenecks identified in energy production, storage, transmission, and distribution. </w:t>
      </w:r>
    </w:p>
    <w:p w14:paraId="2456270D" w14:textId="77777777" w:rsidR="00B3049F" w:rsidRPr="000F04FA" w:rsidRDefault="00B3049F" w:rsidP="00D8670B">
      <w:pPr>
        <w:spacing w:before="120" w:after="120" w:line="240" w:lineRule="auto"/>
        <w:jc w:val="both"/>
        <w:rPr>
          <w:rFonts w:ascii="Times New Roman" w:hAnsi="Times New Roman" w:cs="Times New Roman"/>
          <w:noProof/>
        </w:rPr>
      </w:pPr>
      <w:r w:rsidRPr="000F04FA">
        <w:rPr>
          <w:rFonts w:ascii="Times New Roman" w:hAnsi="Times New Roman" w:cs="Times New Roman"/>
          <w:noProof/>
        </w:rPr>
        <w:t>This measure consists in projects on energy production, storage, transmission and distribution solutions R&amp;I activities.</w:t>
      </w:r>
    </w:p>
    <w:p w14:paraId="1824D204" w14:textId="77777777" w:rsidR="00B3049F" w:rsidRPr="000F04FA" w:rsidRDefault="00B3049F" w:rsidP="00D8670B">
      <w:pPr>
        <w:spacing w:before="120" w:after="120" w:line="240" w:lineRule="auto"/>
        <w:jc w:val="both"/>
        <w:rPr>
          <w:rFonts w:ascii="Times New Roman" w:hAnsi="Times New Roman" w:cs="Times New Roman"/>
          <w:noProof/>
        </w:rPr>
      </w:pPr>
    </w:p>
    <w:p w14:paraId="5799A5CD" w14:textId="77777777" w:rsidR="00B3049F" w:rsidRPr="000F04FA" w:rsidRDefault="00B3049F" w:rsidP="00D8670B">
      <w:pPr>
        <w:spacing w:before="120" w:after="120" w:line="240" w:lineRule="auto"/>
        <w:jc w:val="both"/>
        <w:rPr>
          <w:rFonts w:ascii="Times New Roman" w:hAnsi="Times New Roman"/>
          <w:noProof/>
          <w:u w:val="single"/>
        </w:rPr>
      </w:pPr>
    </w:p>
    <w:p w14:paraId="3C7A9076" w14:textId="77777777" w:rsidR="00B3049F" w:rsidRPr="000F04FA" w:rsidRDefault="00B3049F" w:rsidP="00D8670B">
      <w:pPr>
        <w:spacing w:before="120" w:after="120" w:line="240" w:lineRule="auto"/>
        <w:jc w:val="both"/>
        <w:rPr>
          <w:rFonts w:ascii="Calibri" w:hAnsi="Calibri"/>
          <w:noProof/>
        </w:rPr>
      </w:pPr>
    </w:p>
    <w:p w14:paraId="4504DF13" w14:textId="77777777" w:rsidR="00B3049F" w:rsidRPr="000F04FA" w:rsidRDefault="00B3049F">
      <w:pPr>
        <w:rPr>
          <w:noProof/>
        </w:rPr>
        <w:sectPr w:rsidR="00B3049F" w:rsidRPr="000F04FA" w:rsidSect="00681B1C">
          <w:headerReference w:type="default" r:id="rId94"/>
          <w:footerReference w:type="default" r:id="rId95"/>
          <w:pgSz w:w="12240" w:h="15840"/>
          <w:pgMar w:top="1134" w:right="1134" w:bottom="1134" w:left="1134" w:header="720" w:footer="720" w:gutter="0"/>
          <w:cols w:space="720"/>
          <w:docGrid w:linePitch="360"/>
        </w:sectPr>
      </w:pPr>
    </w:p>
    <w:p w14:paraId="700C7CB1" w14:textId="547F1595" w:rsidR="00B3049F" w:rsidRPr="009A3C2E" w:rsidRDefault="007A2DC8" w:rsidP="007A2DC8">
      <w:pPr>
        <w:spacing w:before="120" w:after="120" w:line="240" w:lineRule="auto"/>
        <w:jc w:val="center"/>
        <w:rPr>
          <w:rFonts w:ascii="Times New Roman" w:hAnsi="Times New Roman"/>
          <w:b/>
          <w:noProof/>
        </w:rPr>
      </w:pPr>
      <w:r>
        <w:rPr>
          <w:rFonts w:ascii="Times New Roman" w:hAnsi="Times New Roman"/>
          <w:b/>
          <w:noProof/>
          <w:u w:val="single"/>
        </w:rPr>
        <w:t>N.2.</w:t>
      </w:r>
      <w:r>
        <w:rPr>
          <w:rFonts w:ascii="Times New Roman" w:hAnsi="Times New Roman"/>
          <w:b/>
          <w:noProof/>
          <w:u w:val="single"/>
        </w:rPr>
        <w:tab/>
      </w:r>
      <w:r w:rsidR="00B3049F" w:rsidRPr="000F04FA">
        <w:rPr>
          <w:rFonts w:ascii="Times New Roman" w:hAnsi="Times New Roman"/>
          <w:b/>
          <w:noProof/>
          <w:u w:val="single"/>
        </w:rPr>
        <w:t>Milestones, targets, indicators, and timetable for monitoring and implementation for non-repayable financial support</w:t>
      </w:r>
    </w:p>
    <w:tbl>
      <w:tblPr>
        <w:tblW w:w="15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572"/>
        <w:gridCol w:w="1134"/>
        <w:gridCol w:w="1452"/>
        <w:gridCol w:w="1383"/>
        <w:gridCol w:w="1004"/>
        <w:gridCol w:w="1122"/>
        <w:gridCol w:w="992"/>
        <w:gridCol w:w="992"/>
        <w:gridCol w:w="972"/>
        <w:gridCol w:w="3564"/>
      </w:tblGrid>
      <w:tr w:rsidR="00B3049F" w:rsidRPr="009A3C2E" w14:paraId="7ACBD1CE" w14:textId="77777777" w:rsidTr="00061F73">
        <w:trPr>
          <w:trHeight w:val="945"/>
          <w:tblHeader/>
          <w:jc w:val="center"/>
        </w:trPr>
        <w:tc>
          <w:tcPr>
            <w:tcW w:w="1421" w:type="dxa"/>
            <w:vMerge w:val="restart"/>
            <w:shd w:val="clear" w:color="auto" w:fill="BDD7EE"/>
            <w:tcMar>
              <w:left w:w="108" w:type="dxa"/>
              <w:right w:w="108" w:type="dxa"/>
            </w:tcMar>
            <w:vAlign w:val="center"/>
          </w:tcPr>
          <w:p w14:paraId="2A18805F"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Sequential Number</w:t>
            </w:r>
          </w:p>
        </w:tc>
        <w:tc>
          <w:tcPr>
            <w:tcW w:w="1572" w:type="dxa"/>
            <w:vMerge w:val="restart"/>
            <w:shd w:val="clear" w:color="auto" w:fill="BDD7EE"/>
            <w:tcMar>
              <w:left w:w="108" w:type="dxa"/>
              <w:right w:w="108" w:type="dxa"/>
            </w:tcMar>
            <w:vAlign w:val="center"/>
          </w:tcPr>
          <w:p w14:paraId="09018FE9"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Related Measure (Reform or Investment)</w:t>
            </w:r>
          </w:p>
        </w:tc>
        <w:tc>
          <w:tcPr>
            <w:tcW w:w="1134" w:type="dxa"/>
            <w:vMerge w:val="restart"/>
            <w:shd w:val="clear" w:color="auto" w:fill="BDD7EE"/>
            <w:tcMar>
              <w:left w:w="108" w:type="dxa"/>
              <w:right w:w="108" w:type="dxa"/>
            </w:tcMar>
            <w:vAlign w:val="center"/>
          </w:tcPr>
          <w:p w14:paraId="1BFA977E"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Milestone / Target</w:t>
            </w:r>
          </w:p>
        </w:tc>
        <w:tc>
          <w:tcPr>
            <w:tcW w:w="1452" w:type="dxa"/>
            <w:vMerge w:val="restart"/>
            <w:shd w:val="clear" w:color="auto" w:fill="BDD7EE"/>
            <w:tcMar>
              <w:left w:w="108" w:type="dxa"/>
              <w:right w:w="108" w:type="dxa"/>
            </w:tcMar>
            <w:vAlign w:val="center"/>
          </w:tcPr>
          <w:p w14:paraId="779278F0"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Name</w:t>
            </w:r>
          </w:p>
        </w:tc>
        <w:tc>
          <w:tcPr>
            <w:tcW w:w="1383" w:type="dxa"/>
            <w:vMerge w:val="restart"/>
            <w:shd w:val="clear" w:color="auto" w:fill="BDD7EE"/>
            <w:tcMar>
              <w:left w:w="108" w:type="dxa"/>
              <w:right w:w="108" w:type="dxa"/>
            </w:tcMar>
            <w:vAlign w:val="center"/>
          </w:tcPr>
          <w:p w14:paraId="493689EB" w14:textId="6AF3C2E5"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Qualitative indicators</w:t>
            </w:r>
            <w:r w:rsidR="00064579" w:rsidRPr="009A3C2E">
              <w:rPr>
                <w:rFonts w:ascii="Times New Roman" w:hAnsi="Times New Roman" w:cs="Times New Roman"/>
                <w:b/>
                <w:noProof/>
                <w:color w:val="000000" w:themeColor="text1"/>
                <w:sz w:val="18"/>
                <w:szCs w:val="18"/>
              </w:rPr>
              <w:t xml:space="preserve"> </w:t>
            </w:r>
            <w:r w:rsidRPr="009A3C2E">
              <w:rPr>
                <w:rFonts w:ascii="Times New Roman" w:hAnsi="Times New Roman" w:cs="Times New Roman"/>
                <w:noProof/>
                <w:sz w:val="18"/>
                <w:szCs w:val="18"/>
              </w:rPr>
              <w:br/>
            </w:r>
            <w:r w:rsidRPr="009A3C2E">
              <w:rPr>
                <w:rFonts w:ascii="Times New Roman" w:hAnsi="Times New Roman" w:cs="Times New Roman"/>
                <w:b/>
                <w:noProof/>
                <w:color w:val="000000" w:themeColor="text1"/>
                <w:sz w:val="18"/>
                <w:szCs w:val="18"/>
              </w:rPr>
              <w:t>(for milestones)</w:t>
            </w:r>
          </w:p>
        </w:tc>
        <w:tc>
          <w:tcPr>
            <w:tcW w:w="3118" w:type="dxa"/>
            <w:gridSpan w:val="3"/>
            <w:shd w:val="clear" w:color="auto" w:fill="BDD7EE"/>
            <w:tcMar>
              <w:left w:w="108" w:type="dxa"/>
              <w:right w:w="108" w:type="dxa"/>
            </w:tcMar>
            <w:vAlign w:val="center"/>
          </w:tcPr>
          <w:p w14:paraId="4C55EA97" w14:textId="2C29B34F"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Quantitative indicators</w:t>
            </w:r>
            <w:r w:rsidR="00064579" w:rsidRPr="009A3C2E">
              <w:rPr>
                <w:rFonts w:ascii="Times New Roman" w:hAnsi="Times New Roman" w:cs="Times New Roman"/>
                <w:b/>
                <w:noProof/>
                <w:color w:val="000000" w:themeColor="text1"/>
                <w:sz w:val="18"/>
                <w:szCs w:val="18"/>
              </w:rPr>
              <w:t xml:space="preserve"> </w:t>
            </w:r>
            <w:r w:rsidRPr="009A3C2E">
              <w:rPr>
                <w:rFonts w:ascii="Times New Roman" w:hAnsi="Times New Roman" w:cs="Times New Roman"/>
                <w:noProof/>
                <w:sz w:val="18"/>
                <w:szCs w:val="18"/>
              </w:rPr>
              <w:br/>
            </w:r>
            <w:r w:rsidRPr="009A3C2E">
              <w:rPr>
                <w:rFonts w:ascii="Times New Roman" w:hAnsi="Times New Roman" w:cs="Times New Roman"/>
                <w:b/>
                <w:noProof/>
                <w:color w:val="000000" w:themeColor="text1"/>
                <w:sz w:val="18"/>
                <w:szCs w:val="18"/>
              </w:rPr>
              <w:t>(for targets)</w:t>
            </w:r>
          </w:p>
        </w:tc>
        <w:tc>
          <w:tcPr>
            <w:tcW w:w="1964" w:type="dxa"/>
            <w:gridSpan w:val="2"/>
            <w:shd w:val="clear" w:color="auto" w:fill="BDD7EE"/>
            <w:tcMar>
              <w:left w:w="108" w:type="dxa"/>
              <w:right w:w="108" w:type="dxa"/>
            </w:tcMar>
            <w:vAlign w:val="center"/>
          </w:tcPr>
          <w:p w14:paraId="1715841D"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Indicative timeline for completion</w:t>
            </w:r>
          </w:p>
        </w:tc>
        <w:tc>
          <w:tcPr>
            <w:tcW w:w="3564" w:type="dxa"/>
            <w:vMerge w:val="restart"/>
            <w:shd w:val="clear" w:color="auto" w:fill="BDD7EE"/>
            <w:tcMar>
              <w:left w:w="108" w:type="dxa"/>
              <w:right w:w="108" w:type="dxa"/>
            </w:tcMar>
            <w:vAlign w:val="center"/>
          </w:tcPr>
          <w:p w14:paraId="2F7A1D89" w14:textId="77777777" w:rsidR="00B3049F" w:rsidRPr="009A3C2E" w:rsidRDefault="00B3049F" w:rsidP="00061F73">
            <w:pPr>
              <w:spacing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Description of each milestone and target</w:t>
            </w:r>
          </w:p>
        </w:tc>
      </w:tr>
      <w:tr w:rsidR="00B3049F" w:rsidRPr="009A3C2E" w14:paraId="749102CA" w14:textId="77777777" w:rsidTr="00061F73">
        <w:trPr>
          <w:trHeight w:val="780"/>
          <w:jc w:val="center"/>
        </w:trPr>
        <w:tc>
          <w:tcPr>
            <w:tcW w:w="1421" w:type="dxa"/>
            <w:vMerge/>
            <w:vAlign w:val="center"/>
          </w:tcPr>
          <w:p w14:paraId="783CBF26" w14:textId="77777777" w:rsidR="00B3049F" w:rsidRPr="009A3C2E" w:rsidRDefault="00B3049F" w:rsidP="00061F73">
            <w:pPr>
              <w:spacing w:line="240" w:lineRule="auto"/>
              <w:jc w:val="center"/>
              <w:rPr>
                <w:rFonts w:ascii="Times New Roman" w:hAnsi="Times New Roman" w:cs="Times New Roman"/>
                <w:noProof/>
                <w:sz w:val="18"/>
                <w:szCs w:val="18"/>
              </w:rPr>
            </w:pPr>
          </w:p>
        </w:tc>
        <w:tc>
          <w:tcPr>
            <w:tcW w:w="1572" w:type="dxa"/>
            <w:vMerge/>
            <w:vAlign w:val="center"/>
          </w:tcPr>
          <w:p w14:paraId="4D7E03A0" w14:textId="77777777" w:rsidR="00B3049F" w:rsidRPr="009A3C2E" w:rsidRDefault="00B3049F" w:rsidP="00061F73">
            <w:pPr>
              <w:spacing w:line="240" w:lineRule="auto"/>
              <w:jc w:val="center"/>
              <w:rPr>
                <w:rFonts w:ascii="Times New Roman" w:hAnsi="Times New Roman" w:cs="Times New Roman"/>
                <w:noProof/>
                <w:sz w:val="18"/>
                <w:szCs w:val="18"/>
              </w:rPr>
            </w:pPr>
          </w:p>
        </w:tc>
        <w:tc>
          <w:tcPr>
            <w:tcW w:w="1134" w:type="dxa"/>
            <w:vMerge/>
            <w:vAlign w:val="center"/>
          </w:tcPr>
          <w:p w14:paraId="765DDD79" w14:textId="77777777" w:rsidR="00B3049F" w:rsidRPr="009A3C2E" w:rsidRDefault="00B3049F" w:rsidP="00061F73">
            <w:pPr>
              <w:spacing w:line="240" w:lineRule="auto"/>
              <w:jc w:val="center"/>
              <w:rPr>
                <w:rFonts w:ascii="Times New Roman" w:hAnsi="Times New Roman" w:cs="Times New Roman"/>
                <w:noProof/>
                <w:sz w:val="18"/>
                <w:szCs w:val="18"/>
              </w:rPr>
            </w:pPr>
          </w:p>
        </w:tc>
        <w:tc>
          <w:tcPr>
            <w:tcW w:w="1452" w:type="dxa"/>
            <w:vMerge/>
            <w:vAlign w:val="center"/>
          </w:tcPr>
          <w:p w14:paraId="0A066EAF" w14:textId="77777777" w:rsidR="00B3049F" w:rsidRPr="009A3C2E" w:rsidRDefault="00B3049F" w:rsidP="00061F73">
            <w:pPr>
              <w:spacing w:line="240" w:lineRule="auto"/>
              <w:jc w:val="center"/>
              <w:rPr>
                <w:rFonts w:ascii="Times New Roman" w:hAnsi="Times New Roman" w:cs="Times New Roman"/>
                <w:noProof/>
                <w:sz w:val="18"/>
                <w:szCs w:val="18"/>
              </w:rPr>
            </w:pPr>
          </w:p>
        </w:tc>
        <w:tc>
          <w:tcPr>
            <w:tcW w:w="1383" w:type="dxa"/>
            <w:vMerge/>
            <w:vAlign w:val="center"/>
          </w:tcPr>
          <w:p w14:paraId="33D0EFA4" w14:textId="77777777" w:rsidR="00B3049F" w:rsidRPr="009A3C2E" w:rsidRDefault="00B3049F" w:rsidP="00061F73">
            <w:pPr>
              <w:spacing w:line="240" w:lineRule="auto"/>
              <w:jc w:val="center"/>
              <w:rPr>
                <w:rFonts w:ascii="Times New Roman" w:hAnsi="Times New Roman" w:cs="Times New Roman"/>
                <w:noProof/>
                <w:sz w:val="18"/>
                <w:szCs w:val="18"/>
              </w:rPr>
            </w:pPr>
          </w:p>
        </w:tc>
        <w:tc>
          <w:tcPr>
            <w:tcW w:w="1004" w:type="dxa"/>
            <w:shd w:val="clear" w:color="auto" w:fill="BDD7EE"/>
            <w:tcMar>
              <w:left w:w="108" w:type="dxa"/>
              <w:right w:w="108" w:type="dxa"/>
            </w:tcMar>
            <w:vAlign w:val="center"/>
          </w:tcPr>
          <w:p w14:paraId="718625AA"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Unit of measure</w:t>
            </w:r>
          </w:p>
        </w:tc>
        <w:tc>
          <w:tcPr>
            <w:tcW w:w="1122" w:type="dxa"/>
            <w:shd w:val="clear" w:color="auto" w:fill="BDD7EE"/>
            <w:tcMar>
              <w:left w:w="108" w:type="dxa"/>
              <w:right w:w="108" w:type="dxa"/>
            </w:tcMar>
            <w:vAlign w:val="center"/>
          </w:tcPr>
          <w:p w14:paraId="425FE8B6"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Baseline</w:t>
            </w:r>
          </w:p>
        </w:tc>
        <w:tc>
          <w:tcPr>
            <w:tcW w:w="992" w:type="dxa"/>
            <w:shd w:val="clear" w:color="auto" w:fill="BDD7EE"/>
            <w:tcMar>
              <w:left w:w="108" w:type="dxa"/>
              <w:right w:w="108" w:type="dxa"/>
            </w:tcMar>
            <w:vAlign w:val="center"/>
          </w:tcPr>
          <w:p w14:paraId="746F74FE"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Goal</w:t>
            </w:r>
          </w:p>
        </w:tc>
        <w:tc>
          <w:tcPr>
            <w:tcW w:w="992" w:type="dxa"/>
            <w:shd w:val="clear" w:color="auto" w:fill="BDD7EE"/>
            <w:tcMar>
              <w:left w:w="108" w:type="dxa"/>
              <w:right w:w="108" w:type="dxa"/>
            </w:tcMar>
            <w:vAlign w:val="center"/>
          </w:tcPr>
          <w:p w14:paraId="72E81D2C"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Quarter</w:t>
            </w:r>
          </w:p>
        </w:tc>
        <w:tc>
          <w:tcPr>
            <w:tcW w:w="972" w:type="dxa"/>
            <w:shd w:val="clear" w:color="auto" w:fill="BDD7EE"/>
            <w:tcMar>
              <w:left w:w="108" w:type="dxa"/>
              <w:right w:w="108" w:type="dxa"/>
            </w:tcMar>
            <w:vAlign w:val="center"/>
          </w:tcPr>
          <w:p w14:paraId="4DB40636" w14:textId="77777777" w:rsidR="00B3049F" w:rsidRPr="009A3C2E" w:rsidRDefault="00B3049F" w:rsidP="00061F73">
            <w:pPr>
              <w:spacing w:before="120" w:after="120" w:line="240" w:lineRule="auto"/>
              <w:jc w:val="center"/>
              <w:rPr>
                <w:rFonts w:ascii="Times New Roman" w:hAnsi="Times New Roman" w:cs="Times New Roman"/>
                <w:b/>
                <w:noProof/>
                <w:color w:val="000000" w:themeColor="text1"/>
                <w:sz w:val="18"/>
                <w:szCs w:val="18"/>
              </w:rPr>
            </w:pPr>
            <w:r w:rsidRPr="009A3C2E">
              <w:rPr>
                <w:rFonts w:ascii="Times New Roman" w:hAnsi="Times New Roman" w:cs="Times New Roman"/>
                <w:b/>
                <w:noProof/>
                <w:color w:val="000000" w:themeColor="text1"/>
                <w:sz w:val="18"/>
                <w:szCs w:val="18"/>
              </w:rPr>
              <w:t>Year</w:t>
            </w:r>
          </w:p>
        </w:tc>
        <w:tc>
          <w:tcPr>
            <w:tcW w:w="3564" w:type="dxa"/>
            <w:vMerge/>
            <w:vAlign w:val="center"/>
          </w:tcPr>
          <w:p w14:paraId="0E5F2EBF" w14:textId="77777777" w:rsidR="00B3049F" w:rsidRPr="009A3C2E" w:rsidRDefault="00B3049F" w:rsidP="00061F73">
            <w:pPr>
              <w:spacing w:line="240" w:lineRule="auto"/>
              <w:jc w:val="both"/>
              <w:rPr>
                <w:rFonts w:ascii="Times New Roman" w:hAnsi="Times New Roman" w:cs="Times New Roman"/>
                <w:noProof/>
                <w:sz w:val="18"/>
                <w:szCs w:val="18"/>
              </w:rPr>
            </w:pPr>
          </w:p>
        </w:tc>
      </w:tr>
      <w:tr w:rsidR="00B3049F" w:rsidRPr="009A3C2E" w14:paraId="04D46647" w14:textId="77777777" w:rsidTr="00061F73">
        <w:trPr>
          <w:trHeight w:val="315"/>
          <w:jc w:val="center"/>
        </w:trPr>
        <w:tc>
          <w:tcPr>
            <w:tcW w:w="1421" w:type="dxa"/>
            <w:shd w:val="clear" w:color="auto" w:fill="C6EFCE"/>
            <w:tcMar>
              <w:left w:w="108" w:type="dxa"/>
              <w:right w:w="108" w:type="dxa"/>
            </w:tcMar>
          </w:tcPr>
          <w:p w14:paraId="7A25026E"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272</w:t>
            </w:r>
          </w:p>
        </w:tc>
        <w:tc>
          <w:tcPr>
            <w:tcW w:w="1572" w:type="dxa"/>
            <w:shd w:val="clear" w:color="auto" w:fill="C6EFCE"/>
            <w:tcMar>
              <w:left w:w="108" w:type="dxa"/>
              <w:right w:w="108" w:type="dxa"/>
            </w:tcMar>
          </w:tcPr>
          <w:p w14:paraId="78DB2A5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C6.1R1 </w:t>
            </w:r>
            <w:r w:rsidRPr="009A3C2E">
              <w:rPr>
                <w:rFonts w:ascii="Times New Roman" w:hAnsi="Times New Roman" w:cs="Times New Roman"/>
                <w:noProof/>
                <w:color w:val="000000" w:themeColor="text1"/>
                <w:sz w:val="18"/>
                <w:szCs w:val="18"/>
              </w:rPr>
              <w:t>Regulating and f</w:t>
            </w:r>
            <w:r w:rsidRPr="009A3C2E">
              <w:rPr>
                <w:rFonts w:ascii="Times New Roman" w:hAnsi="Times New Roman" w:cs="Times New Roman"/>
                <w:noProof/>
                <w:sz w:val="18"/>
                <w:szCs w:val="18"/>
              </w:rPr>
              <w:t>acilitating the participation of citizens in the electricity market</w:t>
            </w:r>
          </w:p>
        </w:tc>
        <w:tc>
          <w:tcPr>
            <w:tcW w:w="1134" w:type="dxa"/>
            <w:shd w:val="clear" w:color="auto" w:fill="C6EFCE"/>
            <w:tcMar>
              <w:left w:w="108" w:type="dxa"/>
              <w:right w:w="108" w:type="dxa"/>
            </w:tcMar>
          </w:tcPr>
          <w:p w14:paraId="0AF38F71"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1452" w:type="dxa"/>
            <w:shd w:val="clear" w:color="auto" w:fill="C6EFCE"/>
            <w:tcMar>
              <w:left w:w="108" w:type="dxa"/>
              <w:right w:w="108" w:type="dxa"/>
            </w:tcMar>
          </w:tcPr>
          <w:p w14:paraId="3CD29B12"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Single contact point for the participation of citizens in the electricity market </w:t>
            </w:r>
          </w:p>
        </w:tc>
        <w:tc>
          <w:tcPr>
            <w:tcW w:w="1383" w:type="dxa"/>
            <w:shd w:val="clear" w:color="auto" w:fill="C6EFCE"/>
            <w:tcMar>
              <w:left w:w="108" w:type="dxa"/>
              <w:right w:w="108" w:type="dxa"/>
            </w:tcMar>
          </w:tcPr>
          <w:p w14:paraId="7693E424"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Publication of Council of Ministers’ Decision in the official gazette</w:t>
            </w:r>
          </w:p>
        </w:tc>
        <w:tc>
          <w:tcPr>
            <w:tcW w:w="1004" w:type="dxa"/>
            <w:shd w:val="clear" w:color="auto" w:fill="C6EFCE"/>
            <w:tcMar>
              <w:left w:w="108" w:type="dxa"/>
              <w:right w:w="108" w:type="dxa"/>
            </w:tcMar>
          </w:tcPr>
          <w:p w14:paraId="22A43AC8"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1122" w:type="dxa"/>
            <w:shd w:val="clear" w:color="auto" w:fill="C6EFCE"/>
            <w:tcMar>
              <w:left w:w="108" w:type="dxa"/>
              <w:right w:w="108" w:type="dxa"/>
            </w:tcMar>
          </w:tcPr>
          <w:p w14:paraId="116FCE52"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992" w:type="dxa"/>
            <w:shd w:val="clear" w:color="auto" w:fill="C6EFCE"/>
            <w:tcMar>
              <w:left w:w="108" w:type="dxa"/>
              <w:right w:w="108" w:type="dxa"/>
            </w:tcMar>
          </w:tcPr>
          <w:p w14:paraId="094AD418"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992" w:type="dxa"/>
            <w:shd w:val="clear" w:color="auto" w:fill="C6EFCE"/>
            <w:tcMar>
              <w:left w:w="108" w:type="dxa"/>
              <w:right w:w="108" w:type="dxa"/>
            </w:tcMar>
          </w:tcPr>
          <w:p w14:paraId="16B747F5"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972" w:type="dxa"/>
            <w:shd w:val="clear" w:color="auto" w:fill="C6EFCE"/>
            <w:tcMar>
              <w:left w:w="108" w:type="dxa"/>
              <w:right w:w="108" w:type="dxa"/>
            </w:tcMar>
          </w:tcPr>
          <w:p w14:paraId="10502E11"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2025</w:t>
            </w:r>
          </w:p>
        </w:tc>
        <w:tc>
          <w:tcPr>
            <w:tcW w:w="3564" w:type="dxa"/>
            <w:shd w:val="clear" w:color="auto" w:fill="C6EFCE"/>
            <w:tcMar>
              <w:left w:w="108" w:type="dxa"/>
              <w:right w:w="108" w:type="dxa"/>
            </w:tcMar>
          </w:tcPr>
          <w:p w14:paraId="6F03EE28" w14:textId="77777777" w:rsidR="00B3049F" w:rsidRPr="009A3C2E" w:rsidRDefault="00B3049F" w:rsidP="00061F73">
            <w:pPr>
              <w:spacing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Publication in the official gazette of decision on the participation of renewable and citizens communities, active customers, and renewable self-consumers in the electricity market. </w:t>
            </w:r>
          </w:p>
        </w:tc>
      </w:tr>
      <w:tr w:rsidR="00B3049F" w:rsidRPr="009A3C2E" w14:paraId="2312E98C" w14:textId="77777777" w:rsidTr="00061F73">
        <w:trPr>
          <w:trHeight w:val="315"/>
          <w:jc w:val="center"/>
        </w:trPr>
        <w:tc>
          <w:tcPr>
            <w:tcW w:w="1421" w:type="dxa"/>
            <w:shd w:val="clear" w:color="auto" w:fill="C6EFCE"/>
            <w:tcMar>
              <w:left w:w="108" w:type="dxa"/>
              <w:right w:w="108" w:type="dxa"/>
            </w:tcMar>
          </w:tcPr>
          <w:p w14:paraId="63645B14"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273</w:t>
            </w:r>
          </w:p>
        </w:tc>
        <w:tc>
          <w:tcPr>
            <w:tcW w:w="1572" w:type="dxa"/>
            <w:shd w:val="clear" w:color="auto" w:fill="C6EFCE"/>
            <w:tcMar>
              <w:left w:w="108" w:type="dxa"/>
              <w:right w:w="108" w:type="dxa"/>
            </w:tcMar>
          </w:tcPr>
          <w:p w14:paraId="1C06EB54" w14:textId="77777777" w:rsidR="00B3049F" w:rsidRPr="009A3C2E" w:rsidDel="00D22940"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C6.1R2 Establishment of the regulatory framework for the connection of EV charging points </w:t>
            </w:r>
          </w:p>
        </w:tc>
        <w:tc>
          <w:tcPr>
            <w:tcW w:w="1134" w:type="dxa"/>
            <w:shd w:val="clear" w:color="auto" w:fill="C6EFCE"/>
            <w:tcMar>
              <w:left w:w="108" w:type="dxa"/>
              <w:right w:w="108" w:type="dxa"/>
            </w:tcMar>
          </w:tcPr>
          <w:p w14:paraId="507EBFEB" w14:textId="77777777" w:rsidR="00B3049F" w:rsidRPr="009A3C2E" w:rsidRDefault="00B3049F" w:rsidP="00061F73">
            <w:pPr>
              <w:spacing w:before="120"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1452" w:type="dxa"/>
            <w:shd w:val="clear" w:color="auto" w:fill="C6EFCE"/>
            <w:tcMar>
              <w:left w:w="108" w:type="dxa"/>
              <w:right w:w="108" w:type="dxa"/>
            </w:tcMar>
          </w:tcPr>
          <w:p w14:paraId="29958260" w14:textId="77777777" w:rsidR="00B3049F" w:rsidRPr="009A3C2E" w:rsidRDefault="00B3049F" w:rsidP="00061F73">
            <w:pPr>
              <w:spacing w:before="120"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Entry into force of Regulatory Decision/s on the connection of EV charging points </w:t>
            </w:r>
          </w:p>
        </w:tc>
        <w:tc>
          <w:tcPr>
            <w:tcW w:w="1383" w:type="dxa"/>
            <w:shd w:val="clear" w:color="auto" w:fill="C6EFCE"/>
            <w:tcMar>
              <w:left w:w="108" w:type="dxa"/>
              <w:right w:w="108" w:type="dxa"/>
            </w:tcMar>
          </w:tcPr>
          <w:p w14:paraId="67B754D8" w14:textId="77777777" w:rsidR="00B3049F" w:rsidRPr="009A3C2E" w:rsidRDefault="00B3049F" w:rsidP="00061F73">
            <w:pPr>
              <w:spacing w:before="120"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Publication of Regulatory Decision/s in the official gazette</w:t>
            </w:r>
          </w:p>
        </w:tc>
        <w:tc>
          <w:tcPr>
            <w:tcW w:w="1004" w:type="dxa"/>
            <w:shd w:val="clear" w:color="auto" w:fill="C6EFCE"/>
            <w:tcMar>
              <w:left w:w="108" w:type="dxa"/>
              <w:right w:w="108" w:type="dxa"/>
            </w:tcMar>
          </w:tcPr>
          <w:p w14:paraId="7F3ED69B" w14:textId="77777777" w:rsidR="00B3049F" w:rsidRPr="009A3C2E" w:rsidRDefault="00B3049F" w:rsidP="00061F73">
            <w:pPr>
              <w:spacing w:before="120"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1122" w:type="dxa"/>
            <w:shd w:val="clear" w:color="auto" w:fill="C6EFCE"/>
            <w:tcMar>
              <w:left w:w="108" w:type="dxa"/>
              <w:right w:w="108" w:type="dxa"/>
            </w:tcMar>
          </w:tcPr>
          <w:p w14:paraId="28BBE6FB" w14:textId="77777777" w:rsidR="00B3049F" w:rsidRPr="009A3C2E" w:rsidRDefault="00B3049F" w:rsidP="00061F73">
            <w:pPr>
              <w:spacing w:before="120"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992" w:type="dxa"/>
            <w:shd w:val="clear" w:color="auto" w:fill="C6EFCE"/>
            <w:tcMar>
              <w:left w:w="108" w:type="dxa"/>
              <w:right w:w="108" w:type="dxa"/>
            </w:tcMar>
          </w:tcPr>
          <w:p w14:paraId="4B98E999" w14:textId="77777777" w:rsidR="00B3049F" w:rsidRPr="009A3C2E" w:rsidRDefault="00B3049F" w:rsidP="00061F73">
            <w:pPr>
              <w:spacing w:before="120"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992" w:type="dxa"/>
            <w:shd w:val="clear" w:color="auto" w:fill="C6EFCE"/>
            <w:tcMar>
              <w:left w:w="108" w:type="dxa"/>
              <w:right w:w="108" w:type="dxa"/>
            </w:tcMar>
          </w:tcPr>
          <w:p w14:paraId="4446782F" w14:textId="77777777" w:rsidR="00B3049F" w:rsidRPr="009A3C2E" w:rsidRDefault="00B3049F" w:rsidP="00061F73">
            <w:pPr>
              <w:spacing w:before="120"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Q4</w:t>
            </w:r>
          </w:p>
        </w:tc>
        <w:tc>
          <w:tcPr>
            <w:tcW w:w="972" w:type="dxa"/>
            <w:shd w:val="clear" w:color="auto" w:fill="C6EFCE"/>
            <w:tcMar>
              <w:left w:w="108" w:type="dxa"/>
              <w:right w:w="108" w:type="dxa"/>
            </w:tcMar>
          </w:tcPr>
          <w:p w14:paraId="5E7D889A" w14:textId="77777777" w:rsidR="00B3049F" w:rsidRPr="009A3C2E" w:rsidRDefault="00B3049F" w:rsidP="00061F73">
            <w:pPr>
              <w:spacing w:before="120"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2025</w:t>
            </w:r>
          </w:p>
        </w:tc>
        <w:tc>
          <w:tcPr>
            <w:tcW w:w="3564" w:type="dxa"/>
            <w:shd w:val="clear" w:color="auto" w:fill="C6EFCE"/>
            <w:tcMar>
              <w:left w:w="108" w:type="dxa"/>
              <w:right w:w="108" w:type="dxa"/>
            </w:tcMar>
          </w:tcPr>
          <w:p w14:paraId="10EE5A82" w14:textId="77777777" w:rsidR="00B3049F" w:rsidRPr="009A3C2E" w:rsidRDefault="00B3049F" w:rsidP="00061F73">
            <w:pPr>
              <w:spacing w:before="120" w:after="12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 xml:space="preserve">Entry into force of regulatory decision issued by CERA for the connection of Electric Vehicle Charging Points to the Distribution Network. Publication of the regulatory decision on procurement of flexibility services by the DSO. </w:t>
            </w:r>
          </w:p>
        </w:tc>
      </w:tr>
      <w:tr w:rsidR="00B3049F" w:rsidRPr="009A3C2E" w14:paraId="72793966" w14:textId="77777777" w:rsidTr="00061F73">
        <w:trPr>
          <w:trHeight w:val="315"/>
          <w:jc w:val="center"/>
        </w:trPr>
        <w:tc>
          <w:tcPr>
            <w:tcW w:w="1421" w:type="dxa"/>
            <w:shd w:val="clear" w:color="auto" w:fill="C6EFCE"/>
            <w:tcMar>
              <w:left w:w="108" w:type="dxa"/>
              <w:right w:w="108" w:type="dxa"/>
            </w:tcMar>
          </w:tcPr>
          <w:p w14:paraId="27965BCE"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29b</w:t>
            </w:r>
          </w:p>
        </w:tc>
        <w:tc>
          <w:tcPr>
            <w:tcW w:w="1572" w:type="dxa"/>
            <w:shd w:val="clear" w:color="auto" w:fill="C6EFCE"/>
          </w:tcPr>
          <w:p w14:paraId="4E4CAD4D" w14:textId="1D5DBA7E"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C6.1I1 Scaled-up measure: renewables and individual energy efficiency measures in dwellings</w:t>
            </w:r>
            <w:r w:rsidR="00064579" w:rsidRPr="009A3C2E">
              <w:rPr>
                <w:rFonts w:ascii="Times New Roman" w:hAnsi="Times New Roman" w:cs="Times New Roman"/>
                <w:noProof/>
                <w:sz w:val="18"/>
                <w:szCs w:val="18"/>
              </w:rPr>
              <w:t xml:space="preserve"> </w:t>
            </w:r>
            <w:r w:rsidRPr="009A3C2E">
              <w:rPr>
                <w:rFonts w:ascii="Times New Roman" w:hAnsi="Times New Roman" w:cs="Times New Roman"/>
                <w:noProof/>
                <w:sz w:val="18"/>
                <w:szCs w:val="18"/>
              </w:rPr>
              <w:t xml:space="preserve"> </w:t>
            </w:r>
          </w:p>
        </w:tc>
        <w:tc>
          <w:tcPr>
            <w:tcW w:w="1134" w:type="dxa"/>
            <w:shd w:val="clear" w:color="auto" w:fill="C6EFCE"/>
            <w:tcMar>
              <w:left w:w="108" w:type="dxa"/>
              <w:right w:w="108" w:type="dxa"/>
            </w:tcMar>
          </w:tcPr>
          <w:p w14:paraId="6EA1370A"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1452" w:type="dxa"/>
            <w:shd w:val="clear" w:color="auto" w:fill="C6EFCE"/>
            <w:tcMar>
              <w:left w:w="108" w:type="dxa"/>
              <w:right w:w="108" w:type="dxa"/>
            </w:tcMar>
          </w:tcPr>
          <w:p w14:paraId="39C97331"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Energy efficiency measures in dwellings and tackling energy poverty</w:t>
            </w:r>
          </w:p>
        </w:tc>
        <w:tc>
          <w:tcPr>
            <w:tcW w:w="1383" w:type="dxa"/>
            <w:shd w:val="clear" w:color="auto" w:fill="C6EFCE"/>
            <w:tcMar>
              <w:left w:w="108" w:type="dxa"/>
              <w:right w:w="108" w:type="dxa"/>
            </w:tcMar>
          </w:tcPr>
          <w:p w14:paraId="005502AF" w14:textId="77777777" w:rsidR="00B3049F" w:rsidRPr="009A3C2E" w:rsidRDefault="00B3049F" w:rsidP="00061F73">
            <w:pPr>
              <w:spacing w:after="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1004" w:type="dxa"/>
            <w:shd w:val="clear" w:color="auto" w:fill="C6EFCE"/>
            <w:tcMar>
              <w:left w:w="108" w:type="dxa"/>
              <w:right w:w="108" w:type="dxa"/>
            </w:tcMar>
          </w:tcPr>
          <w:p w14:paraId="5854ABEB"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1122" w:type="dxa"/>
            <w:shd w:val="clear" w:color="auto" w:fill="C6EFCE"/>
            <w:tcMar>
              <w:left w:w="108" w:type="dxa"/>
              <w:right w:w="108" w:type="dxa"/>
            </w:tcMar>
          </w:tcPr>
          <w:p w14:paraId="435446FD" w14:textId="2FA3631D"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w:t>
            </w:r>
            <w:r w:rsidR="00F06B3A" w:rsidRPr="009A3C2E">
              <w:rPr>
                <w:rFonts w:ascii="Times New Roman" w:hAnsi="Times New Roman" w:cs="Times New Roman"/>
                <w:noProof/>
                <w:sz w:val="18"/>
                <w:szCs w:val="18"/>
              </w:rPr>
              <w:t>9</w:t>
            </w:r>
            <w:r w:rsidR="003053C5">
              <w:rPr>
                <w:rFonts w:ascii="Times New Roman" w:hAnsi="Times New Roman" w:cs="Times New Roman"/>
                <w:noProof/>
                <w:sz w:val="18"/>
                <w:szCs w:val="18"/>
              </w:rPr>
              <w:t> </w:t>
            </w:r>
            <w:r w:rsidR="005F7739" w:rsidRPr="009A3C2E">
              <w:rPr>
                <w:rFonts w:ascii="Times New Roman" w:hAnsi="Times New Roman" w:cs="Times New Roman"/>
                <w:noProof/>
                <w:sz w:val="18"/>
                <w:szCs w:val="18"/>
              </w:rPr>
              <w:t>30</w:t>
            </w:r>
            <w:r w:rsidRPr="009A3C2E">
              <w:rPr>
                <w:rFonts w:ascii="Times New Roman" w:hAnsi="Times New Roman" w:cs="Times New Roman"/>
                <w:noProof/>
                <w:sz w:val="18"/>
                <w:szCs w:val="18"/>
              </w:rPr>
              <w:t>0</w:t>
            </w:r>
          </w:p>
        </w:tc>
        <w:tc>
          <w:tcPr>
            <w:tcW w:w="992" w:type="dxa"/>
            <w:shd w:val="clear" w:color="auto" w:fill="C6EFCE"/>
            <w:tcMar>
              <w:left w:w="108" w:type="dxa"/>
              <w:right w:w="108" w:type="dxa"/>
            </w:tcMar>
          </w:tcPr>
          <w:p w14:paraId="1334405D" w14:textId="5DD64B35"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50</w:t>
            </w:r>
            <w:r w:rsidR="003053C5">
              <w:rPr>
                <w:rFonts w:ascii="Times New Roman" w:hAnsi="Times New Roman" w:cs="Times New Roman"/>
                <w:noProof/>
                <w:sz w:val="18"/>
                <w:szCs w:val="18"/>
              </w:rPr>
              <w:t> </w:t>
            </w:r>
            <w:r w:rsidRPr="009A3C2E">
              <w:rPr>
                <w:rFonts w:ascii="Times New Roman" w:hAnsi="Times New Roman" w:cs="Times New Roman"/>
                <w:noProof/>
                <w:sz w:val="18"/>
                <w:szCs w:val="18"/>
              </w:rPr>
              <w:t>000</w:t>
            </w:r>
          </w:p>
        </w:tc>
        <w:tc>
          <w:tcPr>
            <w:tcW w:w="992" w:type="dxa"/>
            <w:shd w:val="clear" w:color="auto" w:fill="C6EFCE"/>
            <w:tcMar>
              <w:left w:w="108" w:type="dxa"/>
              <w:right w:w="108" w:type="dxa"/>
            </w:tcMar>
          </w:tcPr>
          <w:p w14:paraId="5695EB34"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972" w:type="dxa"/>
            <w:shd w:val="clear" w:color="auto" w:fill="C6EFCE"/>
            <w:tcMar>
              <w:left w:w="108" w:type="dxa"/>
              <w:right w:w="108" w:type="dxa"/>
            </w:tcMar>
          </w:tcPr>
          <w:p w14:paraId="506D054D" w14:textId="77777777" w:rsidR="00B3049F" w:rsidRPr="009A3C2E" w:rsidRDefault="00B3049F" w:rsidP="00061F73">
            <w:pPr>
              <w:spacing w:after="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2026</w:t>
            </w:r>
          </w:p>
        </w:tc>
        <w:tc>
          <w:tcPr>
            <w:tcW w:w="3564" w:type="dxa"/>
            <w:shd w:val="clear" w:color="auto" w:fill="C6EFCE"/>
            <w:tcMar>
              <w:left w:w="108" w:type="dxa"/>
              <w:right w:w="108" w:type="dxa"/>
            </w:tcMar>
          </w:tcPr>
          <w:p w14:paraId="01714BE5" w14:textId="0EC76043" w:rsidR="00B3049F" w:rsidRPr="009A3C2E" w:rsidRDefault="00B3049F" w:rsidP="00061F73">
            <w:pPr>
              <w:spacing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Reducing primary energy demand on average by at least 30% for 50</w:t>
            </w:r>
            <w:r w:rsidR="007A2DC8">
              <w:rPr>
                <w:rFonts w:ascii="Times New Roman" w:hAnsi="Times New Roman" w:cs="Times New Roman"/>
                <w:noProof/>
                <w:sz w:val="18"/>
                <w:szCs w:val="18"/>
              </w:rPr>
              <w:t> </w:t>
            </w:r>
            <w:r w:rsidRPr="009A3C2E">
              <w:rPr>
                <w:rFonts w:ascii="Times New Roman" w:hAnsi="Times New Roman" w:cs="Times New Roman"/>
                <w:noProof/>
                <w:sz w:val="18"/>
                <w:szCs w:val="18"/>
              </w:rPr>
              <w:t>000</w:t>
            </w:r>
            <w:r w:rsidR="00BC27EC" w:rsidRPr="009A3C2E">
              <w:rPr>
                <w:rFonts w:ascii="Times New Roman" w:hAnsi="Times New Roman" w:cs="Times New Roman"/>
                <w:noProof/>
                <w:sz w:val="18"/>
                <w:szCs w:val="18"/>
              </w:rPr>
              <w:t xml:space="preserve"> </w:t>
            </w:r>
            <w:r w:rsidRPr="009A3C2E">
              <w:rPr>
                <w:rFonts w:ascii="Times New Roman" w:hAnsi="Times New Roman" w:cs="Times New Roman"/>
                <w:noProof/>
                <w:sz w:val="18"/>
                <w:szCs w:val="18"/>
              </w:rPr>
              <w:t>dwellings, including 7</w:t>
            </w:r>
            <w:r w:rsidR="007A2DC8">
              <w:rPr>
                <w:rFonts w:ascii="Times New Roman" w:hAnsi="Times New Roman" w:cs="Times New Roman"/>
                <w:noProof/>
                <w:sz w:val="18"/>
                <w:szCs w:val="18"/>
              </w:rPr>
              <w:t> </w:t>
            </w:r>
            <w:r w:rsidR="005F7739" w:rsidRPr="009A3C2E">
              <w:rPr>
                <w:rFonts w:ascii="Times New Roman" w:hAnsi="Times New Roman" w:cs="Times New Roman"/>
                <w:noProof/>
                <w:sz w:val="18"/>
                <w:szCs w:val="18"/>
              </w:rPr>
              <w:t>10</w:t>
            </w:r>
            <w:r w:rsidRPr="009A3C2E">
              <w:rPr>
                <w:rFonts w:ascii="Times New Roman" w:hAnsi="Times New Roman" w:cs="Times New Roman"/>
                <w:noProof/>
                <w:sz w:val="18"/>
                <w:szCs w:val="18"/>
              </w:rPr>
              <w:t>0 vulnerable electricity consumers households.</w:t>
            </w:r>
          </w:p>
        </w:tc>
      </w:tr>
      <w:tr w:rsidR="00B3049F" w:rsidRPr="009A3C2E" w14:paraId="4D845DA6" w14:textId="77777777" w:rsidTr="00061F73">
        <w:trPr>
          <w:trHeight w:val="315"/>
          <w:jc w:val="center"/>
        </w:trPr>
        <w:tc>
          <w:tcPr>
            <w:tcW w:w="1421" w:type="dxa"/>
            <w:shd w:val="clear" w:color="auto" w:fill="C6EFCE"/>
            <w:tcMar>
              <w:left w:w="108" w:type="dxa"/>
              <w:right w:w="108" w:type="dxa"/>
            </w:tcMar>
          </w:tcPr>
          <w:p w14:paraId="2F9BFA83"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274</w:t>
            </w:r>
          </w:p>
        </w:tc>
        <w:tc>
          <w:tcPr>
            <w:tcW w:w="1572" w:type="dxa"/>
            <w:shd w:val="clear" w:color="auto" w:fill="C6EFCE"/>
            <w:tcMar>
              <w:left w:w="108" w:type="dxa"/>
              <w:right w:w="108" w:type="dxa"/>
            </w:tcMar>
          </w:tcPr>
          <w:p w14:paraId="0DE64DBB"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C6.1I3 Promoting extensive energy renovations of dwellings</w:t>
            </w:r>
          </w:p>
        </w:tc>
        <w:tc>
          <w:tcPr>
            <w:tcW w:w="1134" w:type="dxa"/>
            <w:shd w:val="clear" w:color="auto" w:fill="C6EFCE"/>
            <w:tcMar>
              <w:left w:w="108" w:type="dxa"/>
              <w:right w:w="108" w:type="dxa"/>
            </w:tcMar>
          </w:tcPr>
          <w:p w14:paraId="5740C61D"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Milestone</w:t>
            </w:r>
          </w:p>
        </w:tc>
        <w:tc>
          <w:tcPr>
            <w:tcW w:w="1452" w:type="dxa"/>
            <w:shd w:val="clear" w:color="auto" w:fill="C6EFCE"/>
            <w:tcMar>
              <w:left w:w="108" w:type="dxa"/>
              <w:right w:w="108" w:type="dxa"/>
            </w:tcMar>
          </w:tcPr>
          <w:p w14:paraId="6AFD35CD"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Support scheme for energy upgrading of dwellings</w:t>
            </w:r>
          </w:p>
        </w:tc>
        <w:tc>
          <w:tcPr>
            <w:tcW w:w="1383" w:type="dxa"/>
            <w:shd w:val="clear" w:color="auto" w:fill="C6EFCE"/>
            <w:tcMar>
              <w:left w:w="108" w:type="dxa"/>
              <w:right w:w="108" w:type="dxa"/>
            </w:tcMar>
          </w:tcPr>
          <w:p w14:paraId="0F05EF90"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Publication of call for proposals for the support scheme</w:t>
            </w:r>
          </w:p>
        </w:tc>
        <w:tc>
          <w:tcPr>
            <w:tcW w:w="1004" w:type="dxa"/>
            <w:shd w:val="clear" w:color="auto" w:fill="C6EFCE"/>
            <w:tcMar>
              <w:left w:w="108" w:type="dxa"/>
              <w:right w:w="108" w:type="dxa"/>
            </w:tcMar>
          </w:tcPr>
          <w:p w14:paraId="71C424FA"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1122" w:type="dxa"/>
            <w:shd w:val="clear" w:color="auto" w:fill="C6EFCE"/>
            <w:tcMar>
              <w:left w:w="108" w:type="dxa"/>
              <w:right w:w="108" w:type="dxa"/>
            </w:tcMar>
          </w:tcPr>
          <w:p w14:paraId="0CCB7778"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992" w:type="dxa"/>
            <w:shd w:val="clear" w:color="auto" w:fill="C6EFCE"/>
            <w:tcMar>
              <w:left w:w="108" w:type="dxa"/>
              <w:right w:w="108" w:type="dxa"/>
            </w:tcMar>
          </w:tcPr>
          <w:p w14:paraId="74B2F8C1"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992" w:type="dxa"/>
            <w:shd w:val="clear" w:color="auto" w:fill="C6EFCE"/>
            <w:tcMar>
              <w:left w:w="108" w:type="dxa"/>
              <w:right w:w="108" w:type="dxa"/>
            </w:tcMar>
          </w:tcPr>
          <w:p w14:paraId="10FDECDE"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Q1</w:t>
            </w:r>
          </w:p>
        </w:tc>
        <w:tc>
          <w:tcPr>
            <w:tcW w:w="972" w:type="dxa"/>
            <w:shd w:val="clear" w:color="auto" w:fill="C6EFCE"/>
            <w:tcMar>
              <w:left w:w="108" w:type="dxa"/>
              <w:right w:w="108" w:type="dxa"/>
            </w:tcMar>
          </w:tcPr>
          <w:p w14:paraId="7874B1B9"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2024</w:t>
            </w:r>
          </w:p>
        </w:tc>
        <w:tc>
          <w:tcPr>
            <w:tcW w:w="3564" w:type="dxa"/>
            <w:shd w:val="clear" w:color="auto" w:fill="C6EFCE"/>
            <w:tcMar>
              <w:left w:w="108" w:type="dxa"/>
              <w:right w:w="108" w:type="dxa"/>
            </w:tcMar>
          </w:tcPr>
          <w:p w14:paraId="2FD30570" w14:textId="77777777" w:rsidR="00B3049F" w:rsidRPr="009A3C2E" w:rsidRDefault="00B3049F" w:rsidP="00061F73">
            <w:pPr>
              <w:spacing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Publication of the call for proposals for the support scheme for promoting extensive energy upgrading of</w:t>
            </w:r>
            <w:r w:rsidRPr="009A3C2E" w:rsidDel="00A40D7D">
              <w:rPr>
                <w:rFonts w:ascii="Times New Roman" w:hAnsi="Times New Roman" w:cs="Times New Roman"/>
                <w:noProof/>
                <w:sz w:val="18"/>
                <w:szCs w:val="18"/>
              </w:rPr>
              <w:t xml:space="preserve"> </w:t>
            </w:r>
            <w:r w:rsidRPr="009A3C2E">
              <w:rPr>
                <w:rFonts w:ascii="Times New Roman" w:hAnsi="Times New Roman" w:cs="Times New Roman"/>
                <w:noProof/>
                <w:sz w:val="18"/>
                <w:szCs w:val="18"/>
              </w:rPr>
              <w:t>dwellings, following Council of Ministers decision approving the scheme objectives, with the aim to achieve at least a 30% primary energy demand reduction.</w:t>
            </w:r>
          </w:p>
        </w:tc>
      </w:tr>
      <w:tr w:rsidR="00B3049F" w:rsidRPr="009A3C2E" w14:paraId="3C6F4329" w14:textId="77777777" w:rsidTr="00061F73">
        <w:trPr>
          <w:trHeight w:val="315"/>
          <w:jc w:val="center"/>
        </w:trPr>
        <w:tc>
          <w:tcPr>
            <w:tcW w:w="1421" w:type="dxa"/>
            <w:shd w:val="clear" w:color="auto" w:fill="C6EFCE"/>
            <w:tcMar>
              <w:left w:w="108" w:type="dxa"/>
              <w:right w:w="108" w:type="dxa"/>
            </w:tcMar>
          </w:tcPr>
          <w:p w14:paraId="6A09797A"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275</w:t>
            </w:r>
          </w:p>
        </w:tc>
        <w:tc>
          <w:tcPr>
            <w:tcW w:w="1572" w:type="dxa"/>
            <w:shd w:val="clear" w:color="auto" w:fill="C6EFCE"/>
          </w:tcPr>
          <w:p w14:paraId="088624CD" w14:textId="77777777" w:rsidR="00B3049F" w:rsidRPr="009A3C2E" w:rsidRDefault="00B3049F" w:rsidP="00061F73">
            <w:pPr>
              <w:spacing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C6.1I3 Promoting energy renovations of dwellings</w:t>
            </w:r>
          </w:p>
        </w:tc>
        <w:tc>
          <w:tcPr>
            <w:tcW w:w="1134" w:type="dxa"/>
            <w:shd w:val="clear" w:color="auto" w:fill="C6EFCE"/>
            <w:tcMar>
              <w:left w:w="108" w:type="dxa"/>
              <w:right w:w="108" w:type="dxa"/>
            </w:tcMar>
          </w:tcPr>
          <w:p w14:paraId="1D3E7A08"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Target </w:t>
            </w:r>
          </w:p>
        </w:tc>
        <w:tc>
          <w:tcPr>
            <w:tcW w:w="1452" w:type="dxa"/>
            <w:shd w:val="clear" w:color="auto" w:fill="C6EFCE"/>
            <w:tcMar>
              <w:left w:w="108" w:type="dxa"/>
              <w:right w:w="108" w:type="dxa"/>
            </w:tcMar>
          </w:tcPr>
          <w:p w14:paraId="00DC492C"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Improving energy performance of dwellings</w:t>
            </w:r>
          </w:p>
        </w:tc>
        <w:tc>
          <w:tcPr>
            <w:tcW w:w="1383" w:type="dxa"/>
            <w:shd w:val="clear" w:color="auto" w:fill="C6EFCE"/>
            <w:tcMar>
              <w:left w:w="108" w:type="dxa"/>
              <w:right w:w="108" w:type="dxa"/>
            </w:tcMar>
          </w:tcPr>
          <w:p w14:paraId="1DEFBC4F"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1004" w:type="dxa"/>
            <w:shd w:val="clear" w:color="auto" w:fill="C6EFCE"/>
            <w:tcMar>
              <w:left w:w="108" w:type="dxa"/>
              <w:right w:w="108" w:type="dxa"/>
            </w:tcMar>
          </w:tcPr>
          <w:p w14:paraId="1117D355" w14:textId="48845E48"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1122" w:type="dxa"/>
            <w:shd w:val="clear" w:color="auto" w:fill="C6EFCE"/>
            <w:tcMar>
              <w:left w:w="108" w:type="dxa"/>
              <w:right w:w="108" w:type="dxa"/>
            </w:tcMar>
          </w:tcPr>
          <w:p w14:paraId="5A131E6F"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992" w:type="dxa"/>
            <w:shd w:val="clear" w:color="auto" w:fill="C6EFCE"/>
            <w:tcMar>
              <w:left w:w="108" w:type="dxa"/>
              <w:right w:w="108" w:type="dxa"/>
            </w:tcMar>
          </w:tcPr>
          <w:p w14:paraId="2A837383"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800</w:t>
            </w:r>
          </w:p>
        </w:tc>
        <w:tc>
          <w:tcPr>
            <w:tcW w:w="992" w:type="dxa"/>
            <w:shd w:val="clear" w:color="auto" w:fill="C6EFCE"/>
            <w:tcMar>
              <w:left w:w="108" w:type="dxa"/>
              <w:right w:w="108" w:type="dxa"/>
            </w:tcMar>
          </w:tcPr>
          <w:p w14:paraId="0FF32908"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972" w:type="dxa"/>
            <w:shd w:val="clear" w:color="auto" w:fill="C6EFCE"/>
            <w:tcMar>
              <w:left w:w="108" w:type="dxa"/>
              <w:right w:w="108" w:type="dxa"/>
            </w:tcMar>
          </w:tcPr>
          <w:p w14:paraId="7E79D379"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2026</w:t>
            </w:r>
          </w:p>
        </w:tc>
        <w:tc>
          <w:tcPr>
            <w:tcW w:w="3564" w:type="dxa"/>
            <w:shd w:val="clear" w:color="auto" w:fill="C6EFCE"/>
            <w:tcMar>
              <w:left w:w="108" w:type="dxa"/>
              <w:right w:w="108" w:type="dxa"/>
            </w:tcMar>
          </w:tcPr>
          <w:p w14:paraId="22B2B24F" w14:textId="77777777" w:rsidR="00B3049F" w:rsidRPr="009A3C2E" w:rsidRDefault="00B3049F" w:rsidP="00061F73">
            <w:pPr>
              <w:spacing w:after="120"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Energy Performance certificates for 800 energy renovated dwellings, with the objective to achieve at least a 30% primary energy demand reduction on average, have been issued.</w:t>
            </w:r>
          </w:p>
        </w:tc>
      </w:tr>
      <w:tr w:rsidR="00B3049F" w:rsidRPr="009A3C2E" w14:paraId="53E72C39" w14:textId="77777777" w:rsidTr="00061F73">
        <w:trPr>
          <w:trHeight w:val="315"/>
          <w:jc w:val="center"/>
        </w:trPr>
        <w:tc>
          <w:tcPr>
            <w:tcW w:w="1421" w:type="dxa"/>
            <w:shd w:val="clear" w:color="auto" w:fill="C6EFCE"/>
            <w:tcMar>
              <w:left w:w="108" w:type="dxa"/>
              <w:right w:w="108" w:type="dxa"/>
            </w:tcMar>
          </w:tcPr>
          <w:p w14:paraId="13705A28"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102b</w:t>
            </w:r>
          </w:p>
        </w:tc>
        <w:tc>
          <w:tcPr>
            <w:tcW w:w="1572" w:type="dxa"/>
            <w:shd w:val="clear" w:color="auto" w:fill="C6EFCE"/>
          </w:tcPr>
          <w:p w14:paraId="583F7756" w14:textId="77777777" w:rsidR="00B3049F" w:rsidRPr="009A3C2E" w:rsidRDefault="00B3049F" w:rsidP="00061F73">
            <w:pPr>
              <w:spacing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C6.1I5 Scaled-up measure: Scheme for the competitiveness and the energy efficiency of large enterprises in Cyprus</w:t>
            </w:r>
          </w:p>
        </w:tc>
        <w:tc>
          <w:tcPr>
            <w:tcW w:w="1134" w:type="dxa"/>
            <w:shd w:val="clear" w:color="auto" w:fill="C6EFCE"/>
            <w:tcMar>
              <w:left w:w="108" w:type="dxa"/>
              <w:right w:w="108" w:type="dxa"/>
            </w:tcMar>
          </w:tcPr>
          <w:p w14:paraId="15D21109"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 xml:space="preserve">Target </w:t>
            </w:r>
          </w:p>
        </w:tc>
        <w:tc>
          <w:tcPr>
            <w:tcW w:w="1452" w:type="dxa"/>
            <w:shd w:val="clear" w:color="auto" w:fill="C6EFCE"/>
            <w:tcMar>
              <w:left w:w="108" w:type="dxa"/>
              <w:right w:w="108" w:type="dxa"/>
            </w:tcMar>
          </w:tcPr>
          <w:p w14:paraId="36E4443C"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Signature of grants with 12 enterprises</w:t>
            </w:r>
          </w:p>
        </w:tc>
        <w:tc>
          <w:tcPr>
            <w:tcW w:w="1383" w:type="dxa"/>
            <w:shd w:val="clear" w:color="auto" w:fill="C6EFCE"/>
            <w:tcMar>
              <w:left w:w="108" w:type="dxa"/>
              <w:right w:w="108" w:type="dxa"/>
            </w:tcMar>
          </w:tcPr>
          <w:p w14:paraId="6E1A93F3"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1004" w:type="dxa"/>
            <w:shd w:val="clear" w:color="auto" w:fill="C6EFCE"/>
            <w:tcMar>
              <w:left w:w="108" w:type="dxa"/>
              <w:right w:w="108" w:type="dxa"/>
            </w:tcMar>
          </w:tcPr>
          <w:p w14:paraId="0CAACF89"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1122" w:type="dxa"/>
            <w:shd w:val="clear" w:color="auto" w:fill="C6EFCE"/>
            <w:tcMar>
              <w:left w:w="108" w:type="dxa"/>
              <w:right w:w="108" w:type="dxa"/>
            </w:tcMar>
          </w:tcPr>
          <w:p w14:paraId="0FE870CC"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992" w:type="dxa"/>
            <w:shd w:val="clear" w:color="auto" w:fill="C6EFCE"/>
            <w:tcMar>
              <w:left w:w="108" w:type="dxa"/>
              <w:right w:w="108" w:type="dxa"/>
            </w:tcMar>
          </w:tcPr>
          <w:p w14:paraId="633BF429"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12</w:t>
            </w:r>
          </w:p>
        </w:tc>
        <w:tc>
          <w:tcPr>
            <w:tcW w:w="992" w:type="dxa"/>
            <w:shd w:val="clear" w:color="auto" w:fill="C6EFCE"/>
            <w:tcMar>
              <w:left w:w="108" w:type="dxa"/>
              <w:right w:w="108" w:type="dxa"/>
            </w:tcMar>
          </w:tcPr>
          <w:p w14:paraId="0E12AFA0"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972" w:type="dxa"/>
            <w:shd w:val="clear" w:color="auto" w:fill="C6EFCE"/>
            <w:tcMar>
              <w:left w:w="108" w:type="dxa"/>
              <w:right w:w="108" w:type="dxa"/>
            </w:tcMar>
          </w:tcPr>
          <w:p w14:paraId="7DE841B9"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2026</w:t>
            </w:r>
          </w:p>
        </w:tc>
        <w:tc>
          <w:tcPr>
            <w:tcW w:w="3564" w:type="dxa"/>
            <w:shd w:val="clear" w:color="auto" w:fill="C6EFCE"/>
            <w:tcMar>
              <w:left w:w="108" w:type="dxa"/>
              <w:right w:w="108" w:type="dxa"/>
            </w:tcMar>
          </w:tcPr>
          <w:p w14:paraId="522E43AD" w14:textId="77777777" w:rsidR="00B3049F" w:rsidRPr="009A3C2E" w:rsidRDefault="00B3049F" w:rsidP="00061F73">
            <w:pPr>
              <w:spacing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Signature of grant agreements with at least 12 enterprises. The projects shall be selected in a call that requires compliance with the ‘Do no significant harm’ Technical Guidance (2021/C58/01)</w:t>
            </w:r>
            <w:r w:rsidRPr="009A3C2E">
              <w:rPr>
                <w:rFonts w:ascii="Times New Roman" w:eastAsia="Times New Roman" w:hAnsi="Times New Roman" w:cs="Times New Roman"/>
                <w:noProof/>
                <w:sz w:val="18"/>
                <w:szCs w:val="18"/>
              </w:rPr>
              <w:t xml:space="preserve"> through the use of an exclusion list excluding notably </w:t>
            </w:r>
            <w:bookmarkStart w:id="6" w:name="_Hlk213778635"/>
            <w:r w:rsidRPr="009A3C2E">
              <w:rPr>
                <w:rFonts w:ascii="Times New Roman" w:eastAsia="Times New Roman" w:hAnsi="Times New Roman" w:cs="Times New Roman"/>
                <w:noProof/>
                <w:sz w:val="18"/>
                <w:szCs w:val="18"/>
              </w:rPr>
              <w:t xml:space="preserve">activities </w:t>
            </w:r>
            <w:bookmarkEnd w:id="6"/>
            <w:r w:rsidRPr="009A3C2E">
              <w:rPr>
                <w:rFonts w:ascii="Times New Roman" w:eastAsia="Times New Roman" w:hAnsi="Times New Roman" w:cs="Times New Roman"/>
                <w:noProof/>
                <w:sz w:val="18"/>
                <w:szCs w:val="18"/>
              </w:rPr>
              <w:t>related to fossil fuels, including</w:t>
            </w:r>
            <w:r w:rsidRPr="009A3C2E">
              <w:rPr>
                <w:rFonts w:ascii="Times New Roman" w:hAnsi="Times New Roman" w:cs="Times New Roman"/>
                <w:noProof/>
                <w:sz w:val="18"/>
                <w:szCs w:val="18"/>
              </w:rPr>
              <w:br/>
            </w:r>
            <w:r w:rsidRPr="009A3C2E">
              <w:rPr>
                <w:rFonts w:ascii="Times New Roman" w:eastAsia="Times New Roman" w:hAnsi="Times New Roman" w:cs="Times New Roman"/>
                <w:noProof/>
                <w:sz w:val="18"/>
                <w:szCs w:val="18"/>
              </w:rPr>
              <w:t>downstream use.</w:t>
            </w:r>
          </w:p>
        </w:tc>
      </w:tr>
      <w:tr w:rsidR="00B3049F" w:rsidRPr="009A3C2E" w14:paraId="404802C9" w14:textId="77777777" w:rsidTr="00061F73">
        <w:trPr>
          <w:trHeight w:val="315"/>
          <w:jc w:val="center"/>
        </w:trPr>
        <w:tc>
          <w:tcPr>
            <w:tcW w:w="1421" w:type="dxa"/>
            <w:shd w:val="clear" w:color="auto" w:fill="C6EFCE"/>
            <w:tcMar>
              <w:left w:w="108" w:type="dxa"/>
              <w:right w:w="108" w:type="dxa"/>
            </w:tcMar>
          </w:tcPr>
          <w:p w14:paraId="66986185"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131b</w:t>
            </w:r>
          </w:p>
        </w:tc>
        <w:tc>
          <w:tcPr>
            <w:tcW w:w="1572" w:type="dxa"/>
            <w:shd w:val="clear" w:color="auto" w:fill="C6EFCE"/>
            <w:tcMar>
              <w:left w:w="108" w:type="dxa"/>
              <w:right w:w="108" w:type="dxa"/>
            </w:tcMar>
            <w:vAlign w:val="bottom"/>
          </w:tcPr>
          <w:p w14:paraId="7EE20AD9"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C6.1I6 Scaled-up measure: Thematic research and innovation funding program on green transition</w:t>
            </w:r>
          </w:p>
        </w:tc>
        <w:tc>
          <w:tcPr>
            <w:tcW w:w="1134" w:type="dxa"/>
            <w:shd w:val="clear" w:color="auto" w:fill="C6EFCE"/>
            <w:tcMar>
              <w:left w:w="108" w:type="dxa"/>
              <w:right w:w="108" w:type="dxa"/>
            </w:tcMar>
          </w:tcPr>
          <w:p w14:paraId="40C71760"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1452" w:type="dxa"/>
            <w:shd w:val="clear" w:color="auto" w:fill="C6EFCE"/>
            <w:tcMar>
              <w:left w:w="108" w:type="dxa"/>
              <w:right w:w="108" w:type="dxa"/>
            </w:tcMar>
          </w:tcPr>
          <w:p w14:paraId="30D8911F"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Projects on green transition R&amp;I activities</w:t>
            </w:r>
          </w:p>
        </w:tc>
        <w:tc>
          <w:tcPr>
            <w:tcW w:w="1383" w:type="dxa"/>
            <w:shd w:val="clear" w:color="auto" w:fill="C6EFCE"/>
            <w:tcMar>
              <w:left w:w="108" w:type="dxa"/>
              <w:right w:w="108" w:type="dxa"/>
            </w:tcMar>
          </w:tcPr>
          <w:p w14:paraId="7F442488"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1004" w:type="dxa"/>
            <w:shd w:val="clear" w:color="auto" w:fill="C6EFCE"/>
            <w:tcMar>
              <w:left w:w="108" w:type="dxa"/>
              <w:right w:w="108" w:type="dxa"/>
            </w:tcMar>
          </w:tcPr>
          <w:p w14:paraId="743A602D" w14:textId="77777777" w:rsidR="00B3049F" w:rsidRPr="009A3C2E" w:rsidRDefault="00B3049F" w:rsidP="00061F73">
            <w:pPr>
              <w:spacing w:after="120" w:line="240" w:lineRule="auto"/>
              <w:jc w:val="center"/>
              <w:rPr>
                <w:rFonts w:ascii="Times New Roman" w:hAnsi="Times New Roman" w:cs="Times New Roman"/>
                <w:noProof/>
                <w:sz w:val="18"/>
                <w:szCs w:val="18"/>
              </w:rPr>
            </w:pPr>
          </w:p>
        </w:tc>
        <w:tc>
          <w:tcPr>
            <w:tcW w:w="1122" w:type="dxa"/>
            <w:shd w:val="clear" w:color="auto" w:fill="C6EFCE"/>
            <w:tcMar>
              <w:left w:w="108" w:type="dxa"/>
              <w:right w:w="108" w:type="dxa"/>
            </w:tcMar>
          </w:tcPr>
          <w:p w14:paraId="7E889867"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10</w:t>
            </w:r>
          </w:p>
        </w:tc>
        <w:tc>
          <w:tcPr>
            <w:tcW w:w="992" w:type="dxa"/>
            <w:shd w:val="clear" w:color="auto" w:fill="C6EFCE"/>
            <w:tcMar>
              <w:left w:w="108" w:type="dxa"/>
              <w:right w:w="108" w:type="dxa"/>
            </w:tcMar>
          </w:tcPr>
          <w:p w14:paraId="594BA393" w14:textId="1AD0F042"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19</w:t>
            </w:r>
          </w:p>
        </w:tc>
        <w:tc>
          <w:tcPr>
            <w:tcW w:w="992" w:type="dxa"/>
            <w:shd w:val="clear" w:color="auto" w:fill="C6EFCE"/>
            <w:tcMar>
              <w:left w:w="108" w:type="dxa"/>
              <w:right w:w="108" w:type="dxa"/>
            </w:tcMar>
          </w:tcPr>
          <w:p w14:paraId="45CF177E"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972" w:type="dxa"/>
            <w:shd w:val="clear" w:color="auto" w:fill="C6EFCE"/>
            <w:tcMar>
              <w:left w:w="108" w:type="dxa"/>
              <w:right w:w="108" w:type="dxa"/>
            </w:tcMar>
          </w:tcPr>
          <w:p w14:paraId="34C5157D"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2026</w:t>
            </w:r>
          </w:p>
        </w:tc>
        <w:tc>
          <w:tcPr>
            <w:tcW w:w="3564" w:type="dxa"/>
            <w:shd w:val="clear" w:color="auto" w:fill="C6EFCE"/>
            <w:tcMar>
              <w:left w:w="108" w:type="dxa"/>
              <w:right w:w="108" w:type="dxa"/>
            </w:tcMar>
          </w:tcPr>
          <w:p w14:paraId="07D638A7" w14:textId="2D668E64" w:rsidR="00B3049F" w:rsidRPr="009A3C2E" w:rsidRDefault="00B3049F" w:rsidP="00061F73">
            <w:pPr>
              <w:spacing w:line="240" w:lineRule="auto"/>
              <w:jc w:val="both"/>
              <w:rPr>
                <w:rFonts w:ascii="Times New Roman" w:hAnsi="Times New Roman" w:cs="Times New Roman"/>
                <w:noProof/>
                <w:sz w:val="18"/>
                <w:szCs w:val="18"/>
              </w:rPr>
            </w:pPr>
            <w:r w:rsidRPr="009A3C2E">
              <w:rPr>
                <w:rFonts w:ascii="Times New Roman" w:hAnsi="Times New Roman" w:cs="Times New Roman"/>
                <w:noProof/>
                <w:sz w:val="18"/>
                <w:szCs w:val="18"/>
              </w:rPr>
              <w:t>Reports issued by the RIF for at least 19 projects on green transition R&amp;I activities.</w:t>
            </w:r>
          </w:p>
        </w:tc>
      </w:tr>
      <w:tr w:rsidR="00B3049F" w:rsidRPr="009A3C2E" w14:paraId="3642AECA" w14:textId="77777777" w:rsidTr="00061F73">
        <w:trPr>
          <w:trHeight w:val="315"/>
          <w:jc w:val="center"/>
        </w:trPr>
        <w:tc>
          <w:tcPr>
            <w:tcW w:w="1421" w:type="dxa"/>
            <w:shd w:val="clear" w:color="auto" w:fill="C6EFCE"/>
            <w:tcMar>
              <w:left w:w="108" w:type="dxa"/>
              <w:right w:w="108" w:type="dxa"/>
            </w:tcMar>
          </w:tcPr>
          <w:p w14:paraId="259FA1A1"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277</w:t>
            </w:r>
          </w:p>
        </w:tc>
        <w:tc>
          <w:tcPr>
            <w:tcW w:w="1572" w:type="dxa"/>
            <w:shd w:val="clear" w:color="auto" w:fill="C6EFCE"/>
          </w:tcPr>
          <w:p w14:paraId="78085156" w14:textId="77777777" w:rsidR="00B3049F" w:rsidRPr="009A3C2E" w:rsidRDefault="00B3049F" w:rsidP="00061F73">
            <w:pPr>
              <w:spacing w:line="240" w:lineRule="auto"/>
              <w:rPr>
                <w:rFonts w:ascii="Times New Roman" w:hAnsi="Times New Roman" w:cs="Times New Roman"/>
                <w:noProof/>
                <w:sz w:val="18"/>
                <w:szCs w:val="18"/>
              </w:rPr>
            </w:pPr>
            <w:r w:rsidRPr="009A3C2E">
              <w:rPr>
                <w:rFonts w:ascii="Times New Roman" w:hAnsi="Times New Roman" w:cs="Times New Roman"/>
                <w:noProof/>
                <w:sz w:val="18"/>
                <w:szCs w:val="18"/>
              </w:rPr>
              <w:t>C6.1I7 Thematic research in enterprises for energy production, storage, transmission, and distribution solutions</w:t>
            </w:r>
          </w:p>
        </w:tc>
        <w:tc>
          <w:tcPr>
            <w:tcW w:w="1134" w:type="dxa"/>
            <w:shd w:val="clear" w:color="auto" w:fill="C6EFCE"/>
            <w:tcMar>
              <w:left w:w="108" w:type="dxa"/>
              <w:right w:w="108" w:type="dxa"/>
            </w:tcMar>
          </w:tcPr>
          <w:p w14:paraId="722544C1"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Target</w:t>
            </w:r>
          </w:p>
        </w:tc>
        <w:tc>
          <w:tcPr>
            <w:tcW w:w="1452" w:type="dxa"/>
            <w:shd w:val="clear" w:color="auto" w:fill="C6EFCE"/>
            <w:tcMar>
              <w:left w:w="108" w:type="dxa"/>
              <w:right w:w="108" w:type="dxa"/>
            </w:tcMar>
          </w:tcPr>
          <w:p w14:paraId="1ACB8B57" w14:textId="77777777" w:rsidR="00B3049F" w:rsidRPr="009A3C2E" w:rsidRDefault="00B3049F" w:rsidP="00061F73">
            <w:pPr>
              <w:spacing w:after="120" w:line="240" w:lineRule="auto"/>
              <w:rPr>
                <w:rFonts w:ascii="Times New Roman" w:hAnsi="Times New Roman" w:cs="Times New Roman"/>
                <w:noProof/>
                <w:color w:val="000000" w:themeColor="text1"/>
                <w:sz w:val="18"/>
                <w:szCs w:val="18"/>
              </w:rPr>
            </w:pPr>
            <w:r w:rsidRPr="009A3C2E">
              <w:rPr>
                <w:rFonts w:ascii="Times New Roman" w:hAnsi="Times New Roman" w:cs="Times New Roman"/>
                <w:noProof/>
                <w:sz w:val="18"/>
                <w:szCs w:val="18"/>
              </w:rPr>
              <w:t xml:space="preserve">Projects on </w:t>
            </w:r>
            <w:r w:rsidRPr="009A3C2E">
              <w:rPr>
                <w:rFonts w:ascii="Times New Roman" w:hAnsi="Times New Roman" w:cs="Times New Roman"/>
                <w:noProof/>
                <w:color w:val="000000" w:themeColor="text1"/>
                <w:sz w:val="18"/>
                <w:szCs w:val="18"/>
              </w:rPr>
              <w:t>energy production, storage, transmission, and distribution solutions R&amp;I activities</w:t>
            </w:r>
          </w:p>
        </w:tc>
        <w:tc>
          <w:tcPr>
            <w:tcW w:w="1383" w:type="dxa"/>
            <w:shd w:val="clear" w:color="auto" w:fill="C6EFCE"/>
            <w:tcMar>
              <w:left w:w="108" w:type="dxa"/>
              <w:right w:w="108" w:type="dxa"/>
            </w:tcMar>
          </w:tcPr>
          <w:p w14:paraId="0DAD3963" w14:textId="77777777" w:rsidR="00B3049F" w:rsidRPr="009A3C2E" w:rsidRDefault="00B3049F" w:rsidP="00061F73">
            <w:pPr>
              <w:spacing w:after="120" w:line="240" w:lineRule="auto"/>
              <w:rPr>
                <w:rFonts w:ascii="Times New Roman" w:hAnsi="Times New Roman" w:cs="Times New Roman"/>
                <w:noProof/>
                <w:sz w:val="18"/>
                <w:szCs w:val="18"/>
              </w:rPr>
            </w:pPr>
            <w:r w:rsidRPr="009A3C2E">
              <w:rPr>
                <w:rFonts w:ascii="Times New Roman" w:hAnsi="Times New Roman" w:cs="Times New Roman"/>
                <w:noProof/>
                <w:sz w:val="18"/>
                <w:szCs w:val="18"/>
              </w:rPr>
              <w:t>-</w:t>
            </w:r>
          </w:p>
        </w:tc>
        <w:tc>
          <w:tcPr>
            <w:tcW w:w="1004" w:type="dxa"/>
            <w:shd w:val="clear" w:color="auto" w:fill="C6EFCE"/>
            <w:tcMar>
              <w:left w:w="108" w:type="dxa"/>
              <w:right w:w="108" w:type="dxa"/>
            </w:tcMar>
          </w:tcPr>
          <w:p w14:paraId="497F47F5"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Number</w:t>
            </w:r>
          </w:p>
        </w:tc>
        <w:tc>
          <w:tcPr>
            <w:tcW w:w="1122" w:type="dxa"/>
            <w:shd w:val="clear" w:color="auto" w:fill="C6EFCE"/>
            <w:tcMar>
              <w:left w:w="108" w:type="dxa"/>
              <w:right w:w="108" w:type="dxa"/>
            </w:tcMar>
          </w:tcPr>
          <w:p w14:paraId="32F8564D"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0</w:t>
            </w:r>
          </w:p>
        </w:tc>
        <w:tc>
          <w:tcPr>
            <w:tcW w:w="992" w:type="dxa"/>
            <w:shd w:val="clear" w:color="auto" w:fill="C6EFCE"/>
            <w:tcMar>
              <w:left w:w="108" w:type="dxa"/>
              <w:right w:w="108" w:type="dxa"/>
            </w:tcMar>
          </w:tcPr>
          <w:p w14:paraId="7C1388B5"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w:t>
            </w:r>
          </w:p>
        </w:tc>
        <w:tc>
          <w:tcPr>
            <w:tcW w:w="992" w:type="dxa"/>
            <w:shd w:val="clear" w:color="auto" w:fill="C6EFCE"/>
            <w:tcMar>
              <w:left w:w="108" w:type="dxa"/>
              <w:right w:w="108" w:type="dxa"/>
            </w:tcMar>
          </w:tcPr>
          <w:p w14:paraId="14708590"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Q2</w:t>
            </w:r>
          </w:p>
        </w:tc>
        <w:tc>
          <w:tcPr>
            <w:tcW w:w="972" w:type="dxa"/>
            <w:shd w:val="clear" w:color="auto" w:fill="C6EFCE"/>
            <w:tcMar>
              <w:left w:w="108" w:type="dxa"/>
              <w:right w:w="108" w:type="dxa"/>
            </w:tcMar>
          </w:tcPr>
          <w:p w14:paraId="3BC097E4" w14:textId="77777777" w:rsidR="00B3049F" w:rsidRPr="009A3C2E" w:rsidRDefault="00B3049F" w:rsidP="00061F73">
            <w:pPr>
              <w:spacing w:after="120" w:line="240" w:lineRule="auto"/>
              <w:jc w:val="center"/>
              <w:rPr>
                <w:rFonts w:ascii="Times New Roman" w:hAnsi="Times New Roman" w:cs="Times New Roman"/>
                <w:noProof/>
                <w:sz w:val="18"/>
                <w:szCs w:val="18"/>
              </w:rPr>
            </w:pPr>
            <w:r w:rsidRPr="009A3C2E">
              <w:rPr>
                <w:rFonts w:ascii="Times New Roman" w:hAnsi="Times New Roman" w:cs="Times New Roman"/>
                <w:noProof/>
                <w:sz w:val="18"/>
                <w:szCs w:val="18"/>
              </w:rPr>
              <w:t>2026</w:t>
            </w:r>
          </w:p>
        </w:tc>
        <w:tc>
          <w:tcPr>
            <w:tcW w:w="3564" w:type="dxa"/>
            <w:shd w:val="clear" w:color="auto" w:fill="C6EFCE"/>
            <w:tcMar>
              <w:left w:w="108" w:type="dxa"/>
              <w:right w:w="108" w:type="dxa"/>
            </w:tcMar>
          </w:tcPr>
          <w:p w14:paraId="668FD09B" w14:textId="77777777" w:rsidR="00B3049F" w:rsidRPr="009A3C2E" w:rsidRDefault="00B3049F" w:rsidP="00061F73">
            <w:pPr>
              <w:spacing w:line="240" w:lineRule="auto"/>
              <w:jc w:val="both"/>
              <w:rPr>
                <w:rFonts w:ascii="Times New Roman" w:hAnsi="Times New Roman" w:cs="Times New Roman"/>
                <w:noProof/>
                <w:color w:val="000000" w:themeColor="text1"/>
                <w:sz w:val="18"/>
                <w:szCs w:val="18"/>
              </w:rPr>
            </w:pPr>
            <w:r w:rsidRPr="009A3C2E">
              <w:rPr>
                <w:rFonts w:ascii="Times New Roman" w:eastAsia="Times New Roman" w:hAnsi="Times New Roman" w:cs="Times New Roman"/>
                <w:noProof/>
                <w:color w:val="000000" w:themeColor="text1"/>
                <w:sz w:val="18"/>
                <w:szCs w:val="18"/>
              </w:rPr>
              <w:t>Reports issued by the RIF for at</w:t>
            </w:r>
            <w:r w:rsidRPr="009A3C2E">
              <w:rPr>
                <w:rFonts w:ascii="Times New Roman" w:hAnsi="Times New Roman" w:cs="Times New Roman"/>
                <w:noProof/>
                <w:color w:val="000000" w:themeColor="text1"/>
                <w:sz w:val="18"/>
                <w:szCs w:val="18"/>
              </w:rPr>
              <w:t xml:space="preserve"> least</w:t>
            </w:r>
            <w:r w:rsidRPr="009A3C2E">
              <w:rPr>
                <w:rFonts w:ascii="Times New Roman" w:eastAsia="Times New Roman" w:hAnsi="Times New Roman" w:cs="Times New Roman"/>
                <w:noProof/>
                <w:color w:val="000000" w:themeColor="text1"/>
                <w:sz w:val="18"/>
                <w:szCs w:val="18"/>
              </w:rPr>
              <w:t xml:space="preserve"> </w:t>
            </w:r>
            <w:r w:rsidRPr="009A3C2E">
              <w:rPr>
                <w:rFonts w:ascii="Times New Roman" w:hAnsi="Times New Roman" w:cs="Times New Roman"/>
                <w:noProof/>
                <w:color w:val="000000" w:themeColor="text1"/>
                <w:sz w:val="18"/>
                <w:szCs w:val="18"/>
              </w:rPr>
              <w:t>20 projects on energy production, storage, transmission, and distribution solutions R&amp;I activities. The respective calls shall comply with the ‘Do Not Significant Harm’ Technical Guidance (2021/C58/01) through the use of an exclusion list.</w:t>
            </w:r>
          </w:p>
        </w:tc>
      </w:tr>
    </w:tbl>
    <w:p w14:paraId="3738451D" w14:textId="77777777" w:rsidR="00B3049F" w:rsidRPr="000F04FA" w:rsidRDefault="00B3049F" w:rsidP="00D8670B">
      <w:pPr>
        <w:rPr>
          <w:noProof/>
        </w:rPr>
      </w:pPr>
    </w:p>
    <w:p w14:paraId="04C03930" w14:textId="77777777" w:rsidR="00B3049F" w:rsidRPr="000F04FA" w:rsidRDefault="00B3049F" w:rsidP="00D8670B">
      <w:pPr>
        <w:tabs>
          <w:tab w:val="left" w:pos="2780"/>
        </w:tabs>
        <w:rPr>
          <w:noProof/>
        </w:rPr>
        <w:sectPr w:rsidR="00B3049F" w:rsidRPr="000F04FA" w:rsidSect="00B3049F">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r w:rsidRPr="000F04FA">
        <w:rPr>
          <w:noProof/>
        </w:rPr>
        <w:tab/>
      </w:r>
    </w:p>
    <w:p w14:paraId="11BF121F" w14:textId="034D2FB0" w:rsidR="00B3049F" w:rsidRPr="000F04FA" w:rsidRDefault="00B3049F" w:rsidP="00D8670B">
      <w:pPr>
        <w:keepNext/>
        <w:tabs>
          <w:tab w:val="left" w:pos="850"/>
        </w:tabs>
        <w:spacing w:before="360" w:after="120" w:line="240" w:lineRule="auto"/>
        <w:ind w:left="850" w:hanging="850"/>
        <w:jc w:val="both"/>
        <w:outlineLvl w:val="0"/>
        <w:rPr>
          <w:noProof/>
        </w:rPr>
      </w:pPr>
      <w:r w:rsidRPr="000F04FA">
        <w:rPr>
          <w:rFonts w:ascii="Times New Roman" w:hAnsi="Times New Roman"/>
          <w:b/>
          <w:smallCaps/>
          <w:noProof/>
        </w:rPr>
        <w:t>O. COMPONENT 7.1:</w:t>
      </w:r>
      <w:r w:rsidR="00064579">
        <w:rPr>
          <w:rFonts w:ascii="Times New Roman" w:hAnsi="Times New Roman"/>
          <w:b/>
          <w:smallCaps/>
          <w:noProof/>
        </w:rPr>
        <w:t xml:space="preserve"> </w:t>
      </w:r>
      <w:r w:rsidRPr="000F04FA">
        <w:rPr>
          <w:rFonts w:ascii="Times New Roman" w:hAnsi="Times New Roman"/>
          <w:b/>
          <w:smallCaps/>
          <w:noProof/>
        </w:rPr>
        <w:t>Audit and control</w:t>
      </w:r>
      <w:r w:rsidRPr="000F04FA">
        <w:rPr>
          <w:noProof/>
        </w:rPr>
        <w:t xml:space="preserve"> </w:t>
      </w:r>
    </w:p>
    <w:p w14:paraId="6A26F0E6" w14:textId="4D05F94D" w:rsidR="00B3049F" w:rsidRPr="000F04FA" w:rsidRDefault="00B3049F" w:rsidP="00F7283F">
      <w:pPr>
        <w:spacing w:before="120" w:after="120" w:line="278" w:lineRule="auto"/>
        <w:jc w:val="both"/>
        <w:rPr>
          <w:rFonts w:ascii="Times New Roman" w:hAnsi="Times New Roman"/>
          <w:noProof/>
        </w:rPr>
      </w:pPr>
      <w:r w:rsidRPr="000F04FA">
        <w:rPr>
          <w:rFonts w:ascii="Times New Roman" w:hAnsi="Times New Roman"/>
          <w:noProof/>
        </w:rPr>
        <w:t xml:space="preserve">This component aims to ensure that the control framework of the Cypriot </w:t>
      </w:r>
      <w:r w:rsidR="00F7283F">
        <w:rPr>
          <w:rFonts w:ascii="Times New Roman" w:hAnsi="Times New Roman"/>
          <w:noProof/>
        </w:rPr>
        <w:t>r</w:t>
      </w:r>
      <w:r w:rsidRPr="000F04FA">
        <w:rPr>
          <w:rFonts w:ascii="Times New Roman" w:hAnsi="Times New Roman"/>
          <w:noProof/>
        </w:rPr>
        <w:t xml:space="preserve">ecovery and </w:t>
      </w:r>
      <w:r w:rsidR="00F7283F">
        <w:rPr>
          <w:rFonts w:ascii="Times New Roman" w:hAnsi="Times New Roman"/>
          <w:noProof/>
        </w:rPr>
        <w:t>r</w:t>
      </w:r>
      <w:r w:rsidRPr="000F04FA">
        <w:rPr>
          <w:rFonts w:ascii="Times New Roman" w:hAnsi="Times New Roman"/>
          <w:noProof/>
        </w:rPr>
        <w:t xml:space="preserve">esilience </w:t>
      </w:r>
      <w:r w:rsidR="00F7283F">
        <w:rPr>
          <w:rFonts w:ascii="Times New Roman" w:hAnsi="Times New Roman"/>
          <w:noProof/>
        </w:rPr>
        <w:t>p</w:t>
      </w:r>
      <w:r w:rsidRPr="000F04FA">
        <w:rPr>
          <w:rFonts w:ascii="Times New Roman" w:hAnsi="Times New Roman"/>
          <w:noProof/>
        </w:rPr>
        <w:t xml:space="preserve">lan prevents, detects and corrects corruption, fraud and conflicts of interests when using the funds provided under the Recovery and Resilience Facility Regulation (RRF Regulation), as well as ensuring adequate arrangements to effectively avoid double funding under the RRF Regulation and other Union programmes. </w:t>
      </w:r>
    </w:p>
    <w:p w14:paraId="72F485E3" w14:textId="77777777" w:rsidR="00B3049F" w:rsidRPr="000F04FA" w:rsidRDefault="00B3049F" w:rsidP="00D8670B">
      <w:pPr>
        <w:spacing w:before="120" w:after="120" w:line="240" w:lineRule="auto"/>
        <w:jc w:val="both"/>
        <w:rPr>
          <w:rFonts w:ascii="Times New Roman" w:hAnsi="Times New Roman"/>
          <w:b/>
          <w:noProof/>
          <w:u w:val="single"/>
        </w:rPr>
      </w:pPr>
    </w:p>
    <w:p w14:paraId="29C1499B" w14:textId="77777777" w:rsidR="00B3049F" w:rsidRPr="000F04FA" w:rsidRDefault="00B3049F" w:rsidP="00D8670B">
      <w:pPr>
        <w:spacing w:before="120" w:after="120" w:line="240" w:lineRule="auto"/>
        <w:jc w:val="both"/>
        <w:rPr>
          <w:rFonts w:ascii="Times New Roman" w:hAnsi="Times New Roman" w:cs="Times New Roman"/>
          <w:b/>
          <w:noProof/>
          <w:u w:val="single"/>
        </w:rPr>
      </w:pPr>
      <w:r w:rsidRPr="000F04FA">
        <w:rPr>
          <w:rFonts w:ascii="Times New Roman" w:hAnsi="Times New Roman"/>
          <w:b/>
          <w:noProof/>
          <w:u w:val="single"/>
        </w:rPr>
        <w:t>O.1. Description of the reforms and investments for non-repayable financial support</w:t>
      </w:r>
    </w:p>
    <w:p w14:paraId="773187C3" w14:textId="77777777" w:rsidR="00B3049F" w:rsidRPr="000F04FA" w:rsidRDefault="00B3049F" w:rsidP="00D8670B">
      <w:pPr>
        <w:spacing w:before="120" w:after="120" w:line="240" w:lineRule="auto"/>
        <w:jc w:val="both"/>
        <w:rPr>
          <w:rFonts w:ascii="Times New Roman" w:hAnsi="Times New Roman" w:cs="Times New Roman"/>
          <w:noProof/>
          <w:u w:val="single"/>
        </w:rPr>
      </w:pPr>
      <w:r w:rsidRPr="000F04FA">
        <w:rPr>
          <w:rFonts w:ascii="Times New Roman" w:hAnsi="Times New Roman"/>
          <w:noProof/>
          <w:u w:val="single"/>
        </w:rPr>
        <w:t>Reform 1 (C7.1R1): Arrangements for the control framework of the Recovery and Resilience Plan</w:t>
      </w:r>
    </w:p>
    <w:p w14:paraId="4232367B" w14:textId="77777777" w:rsidR="00B3049F" w:rsidRPr="000F04FA" w:rsidRDefault="00B3049F" w:rsidP="00F7283F">
      <w:pPr>
        <w:spacing w:before="120" w:after="120" w:line="278" w:lineRule="auto"/>
        <w:jc w:val="both"/>
        <w:rPr>
          <w:rFonts w:ascii="Times New Roman" w:hAnsi="Times New Roman" w:cs="Times New Roman"/>
          <w:noProof/>
        </w:rPr>
      </w:pPr>
      <w:bookmarkStart w:id="7" w:name="_Hlk150338328"/>
      <w:r w:rsidRPr="000F04FA">
        <w:rPr>
          <w:rFonts w:ascii="Times New Roman" w:hAnsi="Times New Roman"/>
          <w:noProof/>
        </w:rPr>
        <w:t xml:space="preserve">The objective of the measure is to improve the control framework of the Cypriot Recovery and Resilience Plan. To ensure an effective implementation of proportionate measures for the protection of the financial interests of the Union (PFIU) according to the Article 22 of the RRF Regulation, </w:t>
      </w:r>
    </w:p>
    <w:p w14:paraId="1B60E33A" w14:textId="77777777" w:rsidR="00B3049F" w:rsidRPr="000F04FA" w:rsidRDefault="00B3049F" w:rsidP="00F7283F">
      <w:pPr>
        <w:spacing w:before="120" w:after="120" w:line="278" w:lineRule="auto"/>
        <w:jc w:val="both"/>
        <w:rPr>
          <w:rFonts w:ascii="Times New Roman" w:hAnsi="Times New Roman" w:cs="Times New Roman"/>
          <w:noProof/>
        </w:rPr>
      </w:pPr>
      <w:r w:rsidRPr="000F04FA">
        <w:rPr>
          <w:rFonts w:ascii="Times New Roman" w:hAnsi="Times New Roman"/>
          <w:noProof/>
        </w:rPr>
        <w:t xml:space="preserve">The Council of Ministers shall adopt mandatory instructions prepared by the Coordination Authority and distributed upon their adoption to all relevant bodies. </w:t>
      </w:r>
      <w:bookmarkStart w:id="8" w:name="_Hlk150338194"/>
    </w:p>
    <w:bookmarkEnd w:id="8"/>
    <w:p w14:paraId="6EF9FA0A" w14:textId="77777777" w:rsidR="00B3049F" w:rsidRPr="000F04FA" w:rsidRDefault="00B3049F" w:rsidP="00F7283F">
      <w:pPr>
        <w:spacing w:before="120" w:after="120" w:line="278" w:lineRule="auto"/>
        <w:jc w:val="both"/>
        <w:rPr>
          <w:rStyle w:val="eop"/>
          <w:noProof/>
          <w:shd w:val="clear" w:color="auto" w:fill="FFFFFF"/>
        </w:rPr>
      </w:pPr>
      <w:r w:rsidRPr="000F04FA">
        <w:rPr>
          <w:rFonts w:ascii="Times New Roman" w:hAnsi="Times New Roman" w:cs="Times New Roman"/>
          <w:noProof/>
        </w:rPr>
        <w:t>The milestone under this measure shall be fulfilled by the time of submission of the next payment request to the Commission following the adoption of this Implementing Decision and shall be a prerequisite for any future payment</w:t>
      </w:r>
      <w:r w:rsidRPr="000F04FA">
        <w:rPr>
          <w:rStyle w:val="normaltextrun"/>
          <w:noProof/>
          <w:shd w:val="clear" w:color="auto" w:fill="FFFFFF"/>
        </w:rPr>
        <w:t>.</w:t>
      </w:r>
      <w:r w:rsidRPr="000F04FA">
        <w:rPr>
          <w:rStyle w:val="eop"/>
          <w:noProof/>
          <w:shd w:val="clear" w:color="auto" w:fill="FFFFFF"/>
        </w:rPr>
        <w:t> </w:t>
      </w:r>
    </w:p>
    <w:p w14:paraId="06FA46E6" w14:textId="69A3E03D" w:rsidR="00B3049F" w:rsidRPr="000F04FA" w:rsidRDefault="00B3049F" w:rsidP="00F7283F">
      <w:pPr>
        <w:spacing w:before="120" w:after="120" w:line="278" w:lineRule="auto"/>
        <w:jc w:val="both"/>
        <w:rPr>
          <w:rFonts w:ascii="Times New Roman" w:hAnsi="Times New Roman" w:cs="Times New Roman"/>
          <w:noProof/>
        </w:rPr>
      </w:pPr>
      <w:r w:rsidRPr="000F04FA">
        <w:rPr>
          <w:rFonts w:ascii="Times New Roman" w:hAnsi="Times New Roman"/>
          <w:noProof/>
        </w:rPr>
        <w:t>The reform shall be completed by 31</w:t>
      </w:r>
      <w:r w:rsidR="00F7283F">
        <w:rPr>
          <w:rFonts w:ascii="Times New Roman" w:hAnsi="Times New Roman"/>
          <w:noProof/>
        </w:rPr>
        <w:t> </w:t>
      </w:r>
      <w:r w:rsidRPr="000F04FA">
        <w:rPr>
          <w:rFonts w:ascii="Times New Roman" w:hAnsi="Times New Roman"/>
          <w:noProof/>
        </w:rPr>
        <w:t>December</w:t>
      </w:r>
      <w:r w:rsidR="00F7283F">
        <w:rPr>
          <w:rFonts w:ascii="Times New Roman" w:hAnsi="Times New Roman"/>
          <w:noProof/>
        </w:rPr>
        <w:t> </w:t>
      </w:r>
      <w:r w:rsidRPr="000F04FA">
        <w:rPr>
          <w:rFonts w:ascii="Times New Roman" w:hAnsi="Times New Roman"/>
          <w:noProof/>
        </w:rPr>
        <w:t>2023.</w:t>
      </w:r>
    </w:p>
    <w:bookmarkEnd w:id="7"/>
    <w:p w14:paraId="7AEFB4CF" w14:textId="77777777" w:rsidR="00B3049F" w:rsidRPr="000F04FA" w:rsidRDefault="00B3049F" w:rsidP="00D8670B">
      <w:pPr>
        <w:rPr>
          <w:noProof/>
        </w:rPr>
      </w:pPr>
    </w:p>
    <w:p w14:paraId="58F86F05" w14:textId="77777777" w:rsidR="00B3049F" w:rsidRPr="000F04FA" w:rsidRDefault="00B3049F" w:rsidP="00D8670B">
      <w:pPr>
        <w:rPr>
          <w:noProof/>
        </w:rPr>
        <w:sectPr w:rsidR="00B3049F" w:rsidRPr="000F04FA" w:rsidSect="00B3049F">
          <w:headerReference w:type="default" r:id="rId102"/>
          <w:footerReference w:type="default" r:id="rId103"/>
          <w:pgSz w:w="11907" w:h="16839"/>
          <w:pgMar w:top="1134" w:right="1134" w:bottom="1134" w:left="1134" w:header="567" w:footer="567" w:gutter="0"/>
          <w:cols w:space="720"/>
          <w:docGrid w:linePitch="360"/>
        </w:sectPr>
      </w:pPr>
    </w:p>
    <w:p w14:paraId="0C301F4A" w14:textId="4EDE6411" w:rsidR="00B3049F" w:rsidRPr="000F04FA" w:rsidRDefault="00B3049F" w:rsidP="007A2DC8">
      <w:pPr>
        <w:spacing w:before="120" w:after="120" w:line="240" w:lineRule="auto"/>
        <w:jc w:val="center"/>
        <w:rPr>
          <w:rFonts w:ascii="Times New Roman" w:hAnsi="Times New Roman" w:cs="Times New Roman"/>
          <w:b/>
          <w:bCs/>
          <w:noProof/>
        </w:rPr>
      </w:pPr>
      <w:r w:rsidRPr="000F04FA">
        <w:rPr>
          <w:rFonts w:ascii="Times New Roman" w:hAnsi="Times New Roman"/>
          <w:b/>
          <w:noProof/>
        </w:rPr>
        <w:t>O.2. Milestones, targets, indicators, and timetable for monitoring and implementation for non-repayable financial support</w:t>
      </w:r>
    </w:p>
    <w:tbl>
      <w:tblPr>
        <w:tblW w:w="15309" w:type="dxa"/>
        <w:jc w:val="center"/>
        <w:tblLayout w:type="fixed"/>
        <w:tblLook w:val="04A0" w:firstRow="1" w:lastRow="0" w:firstColumn="1" w:lastColumn="0" w:noHBand="0" w:noVBand="1"/>
      </w:tblPr>
      <w:tblGrid>
        <w:gridCol w:w="1219"/>
        <w:gridCol w:w="1534"/>
        <w:gridCol w:w="1069"/>
        <w:gridCol w:w="1369"/>
        <w:gridCol w:w="1555"/>
        <w:gridCol w:w="992"/>
        <w:gridCol w:w="995"/>
        <w:gridCol w:w="707"/>
        <w:gridCol w:w="995"/>
        <w:gridCol w:w="707"/>
        <w:gridCol w:w="4167"/>
      </w:tblGrid>
      <w:tr w:rsidR="00B3049F" w:rsidRPr="00F7283F" w14:paraId="1B8C890C" w14:textId="77777777" w:rsidTr="000345F8">
        <w:trPr>
          <w:tblHeader/>
          <w:jc w:val="center"/>
        </w:trPr>
        <w:tc>
          <w:tcPr>
            <w:tcW w:w="39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D2D159A" w14:textId="77777777" w:rsidR="00B3049F" w:rsidRPr="00F7283F" w:rsidRDefault="00B3049F" w:rsidP="00D8670B">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Sequential Number</w:t>
            </w:r>
          </w:p>
        </w:tc>
        <w:tc>
          <w:tcPr>
            <w:tcW w:w="50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5A285DE" w14:textId="77777777" w:rsidR="00B3049F" w:rsidRPr="00F7283F" w:rsidRDefault="00B3049F" w:rsidP="00D8670B">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Related Measure (Reform or Investment)</w:t>
            </w:r>
          </w:p>
        </w:tc>
        <w:tc>
          <w:tcPr>
            <w:tcW w:w="349"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6F67615" w14:textId="77777777" w:rsidR="00B3049F" w:rsidRPr="00F7283F" w:rsidRDefault="00B3049F" w:rsidP="00D8670B">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Milestone / Target</w:t>
            </w:r>
          </w:p>
        </w:tc>
        <w:tc>
          <w:tcPr>
            <w:tcW w:w="447"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81CD4B4" w14:textId="77777777" w:rsidR="00B3049F" w:rsidRPr="00F7283F" w:rsidRDefault="00B3049F" w:rsidP="00D8670B">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Name</w:t>
            </w:r>
          </w:p>
        </w:tc>
        <w:tc>
          <w:tcPr>
            <w:tcW w:w="508"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518C565" w14:textId="6AB25391" w:rsidR="00B3049F" w:rsidRPr="00F7283F" w:rsidRDefault="00B3049F" w:rsidP="00D8670B">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Qualitative indicators</w:t>
            </w:r>
            <w:r w:rsidR="00064579" w:rsidRPr="00F7283F">
              <w:rPr>
                <w:rFonts w:ascii="Times New Roman" w:hAnsi="Times New Roman" w:cs="Times New Roman"/>
                <w:b/>
                <w:noProof/>
                <w:sz w:val="18"/>
                <w:szCs w:val="18"/>
              </w:rPr>
              <w:t xml:space="preserve"> </w:t>
            </w:r>
            <w:r w:rsidRPr="00F7283F">
              <w:rPr>
                <w:rFonts w:ascii="Times New Roman" w:hAnsi="Times New Roman" w:cs="Times New Roman"/>
                <w:noProof/>
                <w:sz w:val="18"/>
                <w:szCs w:val="18"/>
              </w:rPr>
              <w:br/>
            </w:r>
            <w:r w:rsidRPr="00F7283F">
              <w:rPr>
                <w:rFonts w:ascii="Times New Roman" w:hAnsi="Times New Roman" w:cs="Times New Roman"/>
                <w:b/>
                <w:noProof/>
                <w:sz w:val="18"/>
                <w:szCs w:val="18"/>
              </w:rPr>
              <w:t>(for milestones)</w:t>
            </w:r>
          </w:p>
        </w:tc>
        <w:tc>
          <w:tcPr>
            <w:tcW w:w="880" w:type="pct"/>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259A2E2" w14:textId="7587AAE1" w:rsidR="00B3049F" w:rsidRPr="00F7283F" w:rsidRDefault="00B3049F" w:rsidP="00F7283F">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Quantitative indicators</w:t>
            </w:r>
            <w:r w:rsidR="00064579" w:rsidRPr="00F7283F">
              <w:rPr>
                <w:rFonts w:ascii="Times New Roman" w:hAnsi="Times New Roman" w:cs="Times New Roman"/>
                <w:b/>
                <w:noProof/>
                <w:sz w:val="18"/>
                <w:szCs w:val="18"/>
              </w:rPr>
              <w:t xml:space="preserve"> </w:t>
            </w:r>
            <w:r w:rsidRPr="00F7283F">
              <w:rPr>
                <w:rFonts w:ascii="Times New Roman" w:hAnsi="Times New Roman" w:cs="Times New Roman"/>
                <w:noProof/>
                <w:sz w:val="18"/>
                <w:szCs w:val="18"/>
              </w:rPr>
              <w:br/>
            </w:r>
            <w:r w:rsidRPr="00F7283F">
              <w:rPr>
                <w:rFonts w:ascii="Times New Roman" w:hAnsi="Times New Roman" w:cs="Times New Roman"/>
                <w:b/>
                <w:noProof/>
                <w:sz w:val="18"/>
                <w:szCs w:val="18"/>
              </w:rPr>
              <w:t>(for targets)</w:t>
            </w:r>
          </w:p>
        </w:tc>
        <w:tc>
          <w:tcPr>
            <w:tcW w:w="556" w:type="pct"/>
            <w:gridSpan w:val="2"/>
            <w:tcBorders>
              <w:top w:val="single" w:sz="4" w:space="0" w:color="auto"/>
              <w:left w:val="nil"/>
              <w:bottom w:val="single" w:sz="4" w:space="0" w:color="auto"/>
              <w:right w:val="single" w:sz="4" w:space="0" w:color="auto"/>
            </w:tcBorders>
            <w:shd w:val="clear" w:color="auto" w:fill="BDD7EE"/>
            <w:vAlign w:val="center"/>
            <w:hideMark/>
          </w:tcPr>
          <w:p w14:paraId="53CAA738" w14:textId="77777777" w:rsidR="00B3049F" w:rsidRPr="00F7283F" w:rsidRDefault="00B3049F" w:rsidP="00F7283F">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Indicative timeline for completion</w:t>
            </w:r>
          </w:p>
        </w:tc>
        <w:tc>
          <w:tcPr>
            <w:tcW w:w="1361" w:type="pct"/>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07DF77F" w14:textId="77777777" w:rsidR="00B3049F" w:rsidRPr="00F7283F" w:rsidRDefault="00B3049F" w:rsidP="00F7283F">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Description of each milestone</w:t>
            </w:r>
          </w:p>
        </w:tc>
      </w:tr>
      <w:tr w:rsidR="00B3049F" w:rsidRPr="00F7283F" w14:paraId="24264595" w14:textId="77777777" w:rsidTr="000345F8">
        <w:trPr>
          <w:tblHeader/>
          <w:jc w:val="center"/>
        </w:trPr>
        <w:tc>
          <w:tcPr>
            <w:tcW w:w="398" w:type="pct"/>
            <w:vMerge/>
            <w:tcBorders>
              <w:top w:val="single" w:sz="4" w:space="0" w:color="auto"/>
              <w:left w:val="single" w:sz="4" w:space="0" w:color="auto"/>
              <w:bottom w:val="single" w:sz="4" w:space="0" w:color="000000" w:themeColor="text1"/>
              <w:right w:val="single" w:sz="4" w:space="0" w:color="auto"/>
            </w:tcBorders>
            <w:hideMark/>
          </w:tcPr>
          <w:p w14:paraId="797256E4" w14:textId="77777777" w:rsidR="00B3049F" w:rsidRPr="00F7283F" w:rsidRDefault="00B3049F" w:rsidP="00D8670B">
            <w:pPr>
              <w:spacing w:after="0" w:line="240" w:lineRule="auto"/>
              <w:rPr>
                <w:rFonts w:ascii="Times New Roman" w:eastAsia="Times New Roman" w:hAnsi="Times New Roman" w:cs="Times New Roman"/>
                <w:b/>
                <w:bCs/>
                <w:noProof/>
                <w:sz w:val="18"/>
                <w:szCs w:val="18"/>
                <w:lang w:eastAsia="en-GB"/>
              </w:rPr>
            </w:pPr>
          </w:p>
        </w:tc>
        <w:tc>
          <w:tcPr>
            <w:tcW w:w="501" w:type="pct"/>
            <w:vMerge/>
            <w:tcBorders>
              <w:top w:val="single" w:sz="4" w:space="0" w:color="auto"/>
              <w:left w:val="single" w:sz="4" w:space="0" w:color="auto"/>
              <w:bottom w:val="single" w:sz="4" w:space="0" w:color="000000" w:themeColor="text1"/>
              <w:right w:val="single" w:sz="4" w:space="0" w:color="auto"/>
            </w:tcBorders>
            <w:hideMark/>
          </w:tcPr>
          <w:p w14:paraId="327C583F" w14:textId="77777777" w:rsidR="00B3049F" w:rsidRPr="00F7283F" w:rsidRDefault="00B3049F" w:rsidP="00D8670B">
            <w:pPr>
              <w:spacing w:after="0" w:line="240" w:lineRule="auto"/>
              <w:rPr>
                <w:rFonts w:ascii="Times New Roman" w:eastAsia="Times New Roman" w:hAnsi="Times New Roman" w:cs="Times New Roman"/>
                <w:b/>
                <w:bCs/>
                <w:noProof/>
                <w:sz w:val="18"/>
                <w:szCs w:val="18"/>
                <w:lang w:eastAsia="en-GB"/>
              </w:rPr>
            </w:pPr>
          </w:p>
        </w:tc>
        <w:tc>
          <w:tcPr>
            <w:tcW w:w="349" w:type="pct"/>
            <w:vMerge/>
            <w:tcBorders>
              <w:top w:val="single" w:sz="4" w:space="0" w:color="auto"/>
              <w:left w:val="single" w:sz="4" w:space="0" w:color="auto"/>
              <w:bottom w:val="single" w:sz="4" w:space="0" w:color="000000" w:themeColor="text1"/>
              <w:right w:val="single" w:sz="4" w:space="0" w:color="auto"/>
            </w:tcBorders>
            <w:hideMark/>
          </w:tcPr>
          <w:p w14:paraId="6752469F" w14:textId="77777777" w:rsidR="00B3049F" w:rsidRPr="00F7283F" w:rsidRDefault="00B3049F" w:rsidP="00D8670B">
            <w:pPr>
              <w:spacing w:after="0" w:line="240" w:lineRule="auto"/>
              <w:rPr>
                <w:rFonts w:ascii="Times New Roman" w:eastAsia="Times New Roman" w:hAnsi="Times New Roman" w:cs="Times New Roman"/>
                <w:b/>
                <w:bCs/>
                <w:noProof/>
                <w:sz w:val="18"/>
                <w:szCs w:val="18"/>
                <w:lang w:eastAsia="en-GB"/>
              </w:rPr>
            </w:pPr>
          </w:p>
        </w:tc>
        <w:tc>
          <w:tcPr>
            <w:tcW w:w="447" w:type="pct"/>
            <w:vMerge/>
            <w:tcBorders>
              <w:top w:val="single" w:sz="4" w:space="0" w:color="auto"/>
              <w:left w:val="single" w:sz="4" w:space="0" w:color="auto"/>
              <w:bottom w:val="single" w:sz="4" w:space="0" w:color="000000" w:themeColor="text1"/>
              <w:right w:val="single" w:sz="4" w:space="0" w:color="auto"/>
            </w:tcBorders>
            <w:hideMark/>
          </w:tcPr>
          <w:p w14:paraId="5A6C2484" w14:textId="77777777" w:rsidR="00B3049F" w:rsidRPr="00F7283F" w:rsidRDefault="00B3049F" w:rsidP="00D8670B">
            <w:pPr>
              <w:spacing w:after="0" w:line="240" w:lineRule="auto"/>
              <w:rPr>
                <w:rFonts w:ascii="Times New Roman" w:eastAsia="Times New Roman" w:hAnsi="Times New Roman" w:cs="Times New Roman"/>
                <w:b/>
                <w:bCs/>
                <w:noProof/>
                <w:sz w:val="18"/>
                <w:szCs w:val="18"/>
                <w:lang w:eastAsia="en-GB"/>
              </w:rPr>
            </w:pPr>
          </w:p>
        </w:tc>
        <w:tc>
          <w:tcPr>
            <w:tcW w:w="508" w:type="pct"/>
            <w:vMerge/>
            <w:tcBorders>
              <w:top w:val="single" w:sz="4" w:space="0" w:color="auto"/>
              <w:left w:val="single" w:sz="4" w:space="0" w:color="auto"/>
              <w:bottom w:val="single" w:sz="4" w:space="0" w:color="000000" w:themeColor="text1"/>
            </w:tcBorders>
            <w:hideMark/>
          </w:tcPr>
          <w:p w14:paraId="01C1C53B" w14:textId="77777777" w:rsidR="00B3049F" w:rsidRPr="00F7283F" w:rsidRDefault="00B3049F" w:rsidP="00D8670B">
            <w:pPr>
              <w:spacing w:after="0" w:line="240" w:lineRule="auto"/>
              <w:rPr>
                <w:rFonts w:ascii="Times New Roman" w:eastAsia="Times New Roman" w:hAnsi="Times New Roman" w:cs="Times New Roman"/>
                <w:b/>
                <w:bCs/>
                <w:noProof/>
                <w:sz w:val="18"/>
                <w:szCs w:val="18"/>
                <w:lang w:eastAsia="en-GB"/>
              </w:rPr>
            </w:pPr>
          </w:p>
        </w:tc>
        <w:tc>
          <w:tcPr>
            <w:tcW w:w="324"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01B823C8" w14:textId="77777777" w:rsidR="00B3049F" w:rsidRPr="00F7283F" w:rsidRDefault="00B3049F" w:rsidP="00F7283F">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Unit of measure</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10415DBE" w14:textId="77777777" w:rsidR="00B3049F" w:rsidRPr="00F7283F" w:rsidRDefault="00B3049F" w:rsidP="00F7283F">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Baseline</w:t>
            </w:r>
          </w:p>
        </w:tc>
        <w:tc>
          <w:tcPr>
            <w:tcW w:w="231"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36B60156" w14:textId="77777777" w:rsidR="00B3049F" w:rsidRPr="00F7283F" w:rsidRDefault="00B3049F" w:rsidP="00F7283F">
            <w:pPr>
              <w:spacing w:after="0" w:line="240" w:lineRule="auto"/>
              <w:jc w:val="center"/>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Goal</w:t>
            </w:r>
          </w:p>
        </w:tc>
        <w:tc>
          <w:tcPr>
            <w:tcW w:w="32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7F5DFEBF" w14:textId="77777777" w:rsidR="00B3049F" w:rsidRPr="00F7283F" w:rsidRDefault="00B3049F" w:rsidP="00F7283F">
            <w:pPr>
              <w:spacing w:after="0" w:line="240" w:lineRule="auto"/>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Quarter</w:t>
            </w:r>
          </w:p>
        </w:tc>
        <w:tc>
          <w:tcPr>
            <w:tcW w:w="231"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5402F074" w14:textId="77777777" w:rsidR="00B3049F" w:rsidRPr="00F7283F" w:rsidRDefault="00B3049F" w:rsidP="00F7283F">
            <w:pPr>
              <w:spacing w:after="0" w:line="240" w:lineRule="auto"/>
              <w:rPr>
                <w:rFonts w:ascii="Times New Roman" w:eastAsia="Times New Roman" w:hAnsi="Times New Roman" w:cs="Times New Roman"/>
                <w:b/>
                <w:bCs/>
                <w:noProof/>
                <w:sz w:val="18"/>
                <w:szCs w:val="18"/>
              </w:rPr>
            </w:pPr>
            <w:r w:rsidRPr="00F7283F">
              <w:rPr>
                <w:rFonts w:ascii="Times New Roman" w:hAnsi="Times New Roman" w:cs="Times New Roman"/>
                <w:b/>
                <w:noProof/>
                <w:sz w:val="18"/>
                <w:szCs w:val="18"/>
              </w:rPr>
              <w:t>Year</w:t>
            </w:r>
          </w:p>
        </w:tc>
        <w:tc>
          <w:tcPr>
            <w:tcW w:w="1361" w:type="pct"/>
            <w:vMerge/>
            <w:tcBorders>
              <w:bottom w:val="single" w:sz="4" w:space="0" w:color="000000" w:themeColor="text1"/>
              <w:right w:val="single" w:sz="4" w:space="0" w:color="auto"/>
            </w:tcBorders>
            <w:hideMark/>
          </w:tcPr>
          <w:p w14:paraId="0FCF70C7" w14:textId="77777777" w:rsidR="00B3049F" w:rsidRPr="00F7283F" w:rsidRDefault="00B3049F" w:rsidP="00F7283F">
            <w:pPr>
              <w:spacing w:after="0" w:line="240" w:lineRule="auto"/>
              <w:jc w:val="both"/>
              <w:rPr>
                <w:rFonts w:ascii="Times New Roman" w:eastAsia="Times New Roman" w:hAnsi="Times New Roman" w:cs="Times New Roman"/>
                <w:b/>
                <w:bCs/>
                <w:noProof/>
                <w:sz w:val="18"/>
                <w:szCs w:val="18"/>
                <w:lang w:eastAsia="en-GB"/>
              </w:rPr>
            </w:pPr>
          </w:p>
        </w:tc>
      </w:tr>
      <w:tr w:rsidR="00B3049F" w:rsidRPr="00F7283F" w14:paraId="526C7BF6" w14:textId="77777777" w:rsidTr="000345F8">
        <w:trPr>
          <w:jc w:val="center"/>
        </w:trPr>
        <w:tc>
          <w:tcPr>
            <w:tcW w:w="398" w:type="pct"/>
            <w:tcBorders>
              <w:top w:val="single" w:sz="4" w:space="0" w:color="000000" w:themeColor="text1"/>
              <w:left w:val="single" w:sz="4" w:space="0" w:color="auto"/>
              <w:bottom w:val="single" w:sz="4" w:space="0" w:color="auto"/>
              <w:right w:val="single" w:sz="4" w:space="0" w:color="auto"/>
            </w:tcBorders>
            <w:shd w:val="clear" w:color="auto" w:fill="C6EFCE"/>
            <w:noWrap/>
          </w:tcPr>
          <w:p w14:paraId="6B481CF3" w14:textId="77777777" w:rsidR="00B3049F" w:rsidRPr="00F7283F" w:rsidRDefault="00B3049F"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278</w:t>
            </w:r>
          </w:p>
        </w:tc>
        <w:tc>
          <w:tcPr>
            <w:tcW w:w="501" w:type="pct"/>
            <w:tcBorders>
              <w:top w:val="single" w:sz="4" w:space="0" w:color="000000" w:themeColor="text1"/>
              <w:left w:val="nil"/>
              <w:bottom w:val="single" w:sz="4" w:space="0" w:color="auto"/>
              <w:right w:val="single" w:sz="4" w:space="0" w:color="auto"/>
            </w:tcBorders>
            <w:shd w:val="clear" w:color="auto" w:fill="C6EFCE"/>
            <w:noWrap/>
          </w:tcPr>
          <w:p w14:paraId="488B7C7B" w14:textId="77777777" w:rsidR="00B3049F" w:rsidRPr="00F7283F" w:rsidRDefault="00B3049F"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 xml:space="preserve">C7.1R1 </w:t>
            </w:r>
          </w:p>
          <w:p w14:paraId="2A334B3C" w14:textId="77777777" w:rsidR="00B3049F" w:rsidRPr="00F7283F" w:rsidRDefault="00B3049F"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Arrangements for the control framework of the Recovery and Resilience Plan</w:t>
            </w:r>
          </w:p>
        </w:tc>
        <w:tc>
          <w:tcPr>
            <w:tcW w:w="349" w:type="pct"/>
            <w:tcBorders>
              <w:top w:val="single" w:sz="4" w:space="0" w:color="000000" w:themeColor="text1"/>
              <w:left w:val="nil"/>
              <w:bottom w:val="single" w:sz="4" w:space="0" w:color="auto"/>
              <w:right w:val="single" w:sz="4" w:space="0" w:color="auto"/>
            </w:tcBorders>
            <w:shd w:val="clear" w:color="auto" w:fill="C6EFCE"/>
            <w:noWrap/>
          </w:tcPr>
          <w:p w14:paraId="0CD9FA64" w14:textId="77777777" w:rsidR="00B3049F" w:rsidRPr="00F7283F" w:rsidRDefault="00B3049F"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447" w:type="pct"/>
            <w:tcBorders>
              <w:top w:val="single" w:sz="4" w:space="0" w:color="000000" w:themeColor="text1"/>
              <w:left w:val="nil"/>
              <w:bottom w:val="single" w:sz="4" w:space="0" w:color="auto"/>
              <w:right w:val="single" w:sz="4" w:space="0" w:color="auto"/>
            </w:tcBorders>
            <w:shd w:val="clear" w:color="auto" w:fill="C6EFCE"/>
            <w:noWrap/>
          </w:tcPr>
          <w:p w14:paraId="21678DA5" w14:textId="77777777" w:rsidR="00B3049F" w:rsidRPr="00F7283F" w:rsidRDefault="00B3049F"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 xml:space="preserve">Clear delimination between control and implementation duties </w:t>
            </w:r>
          </w:p>
        </w:tc>
        <w:tc>
          <w:tcPr>
            <w:tcW w:w="508" w:type="pct"/>
            <w:tcBorders>
              <w:top w:val="single" w:sz="4" w:space="0" w:color="000000" w:themeColor="text1"/>
              <w:left w:val="nil"/>
              <w:bottom w:val="single" w:sz="4" w:space="0" w:color="auto"/>
              <w:right w:val="single" w:sz="4" w:space="0" w:color="auto"/>
            </w:tcBorders>
            <w:shd w:val="clear" w:color="auto" w:fill="C6EFCE"/>
            <w:noWrap/>
          </w:tcPr>
          <w:p w14:paraId="1CB1B914" w14:textId="77777777" w:rsidR="00B3049F" w:rsidRPr="00F7283F" w:rsidRDefault="00B3049F"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Adopted instructions and proof of dissemination to all Implementing Bodies.</w:t>
            </w:r>
          </w:p>
        </w:tc>
        <w:tc>
          <w:tcPr>
            <w:tcW w:w="324" w:type="pct"/>
            <w:tcBorders>
              <w:top w:val="single" w:sz="4" w:space="0" w:color="000000" w:themeColor="text1"/>
              <w:left w:val="nil"/>
              <w:bottom w:val="single" w:sz="4" w:space="0" w:color="auto"/>
              <w:right w:val="single" w:sz="4" w:space="0" w:color="auto"/>
            </w:tcBorders>
            <w:shd w:val="clear" w:color="auto" w:fill="C6EFCE"/>
            <w:noWrap/>
          </w:tcPr>
          <w:p w14:paraId="6915E857" w14:textId="77777777" w:rsidR="00B3049F" w:rsidRPr="00F7283F" w:rsidRDefault="00B3049F" w:rsidP="00F7283F">
            <w:pPr>
              <w:spacing w:after="0" w:line="240" w:lineRule="auto"/>
              <w:jc w:val="center"/>
              <w:rPr>
                <w:rFonts w:ascii="Times New Roman" w:eastAsia="Times New Roman" w:hAnsi="Times New Roman" w:cs="Times New Roman"/>
                <w:noProof/>
                <w:sz w:val="18"/>
                <w:szCs w:val="18"/>
              </w:rPr>
            </w:pPr>
            <w:r w:rsidRPr="00F7283F">
              <w:rPr>
                <w:rFonts w:ascii="Times New Roman" w:eastAsia="Times New Roman" w:hAnsi="Times New Roman" w:cs="Times New Roman"/>
                <w:noProof/>
                <w:sz w:val="18"/>
                <w:szCs w:val="18"/>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087F34AA" w14:textId="77777777" w:rsidR="00B3049F" w:rsidRPr="00F7283F" w:rsidRDefault="00B3049F" w:rsidP="00F7283F">
            <w:pPr>
              <w:spacing w:after="0" w:line="240" w:lineRule="auto"/>
              <w:jc w:val="center"/>
              <w:rPr>
                <w:rFonts w:ascii="Times New Roman" w:eastAsia="Times New Roman" w:hAnsi="Times New Roman" w:cs="Times New Roman"/>
                <w:noProof/>
                <w:sz w:val="18"/>
                <w:szCs w:val="18"/>
              </w:rPr>
            </w:pPr>
            <w:r w:rsidRPr="00F7283F">
              <w:rPr>
                <w:rFonts w:ascii="Times New Roman" w:eastAsia="Times New Roman" w:hAnsi="Times New Roman" w:cs="Times New Roman"/>
                <w:noProof/>
                <w:sz w:val="18"/>
                <w:szCs w:val="18"/>
              </w:rPr>
              <w:t>-</w:t>
            </w:r>
          </w:p>
        </w:tc>
        <w:tc>
          <w:tcPr>
            <w:tcW w:w="231" w:type="pct"/>
            <w:tcBorders>
              <w:top w:val="single" w:sz="4" w:space="0" w:color="000000" w:themeColor="text1"/>
              <w:left w:val="nil"/>
              <w:bottom w:val="single" w:sz="4" w:space="0" w:color="auto"/>
              <w:right w:val="single" w:sz="4" w:space="0" w:color="auto"/>
            </w:tcBorders>
            <w:shd w:val="clear" w:color="auto" w:fill="C6EFCE"/>
            <w:noWrap/>
          </w:tcPr>
          <w:p w14:paraId="1314162F" w14:textId="77777777" w:rsidR="00B3049F" w:rsidRPr="00F7283F" w:rsidRDefault="00B3049F" w:rsidP="00F7283F">
            <w:pPr>
              <w:spacing w:after="0" w:line="240" w:lineRule="auto"/>
              <w:jc w:val="center"/>
              <w:rPr>
                <w:rFonts w:ascii="Times New Roman" w:eastAsia="Times New Roman" w:hAnsi="Times New Roman" w:cs="Times New Roman"/>
                <w:noProof/>
                <w:sz w:val="18"/>
                <w:szCs w:val="18"/>
              </w:rPr>
            </w:pPr>
            <w:r w:rsidRPr="00F7283F">
              <w:rPr>
                <w:rFonts w:ascii="Times New Roman" w:eastAsia="Times New Roman" w:hAnsi="Times New Roman" w:cs="Times New Roman"/>
                <w:noProof/>
                <w:sz w:val="18"/>
                <w:szCs w:val="18"/>
              </w:rPr>
              <w:t>-</w:t>
            </w:r>
          </w:p>
        </w:tc>
        <w:tc>
          <w:tcPr>
            <w:tcW w:w="325" w:type="pct"/>
            <w:tcBorders>
              <w:top w:val="single" w:sz="4" w:space="0" w:color="000000" w:themeColor="text1"/>
              <w:left w:val="nil"/>
              <w:bottom w:val="single" w:sz="4" w:space="0" w:color="auto"/>
              <w:right w:val="single" w:sz="4" w:space="0" w:color="auto"/>
            </w:tcBorders>
            <w:shd w:val="clear" w:color="auto" w:fill="C6EFCE"/>
            <w:noWrap/>
          </w:tcPr>
          <w:p w14:paraId="04A3B3F0" w14:textId="77777777" w:rsidR="00B3049F" w:rsidRPr="00F7283F" w:rsidRDefault="00B3049F" w:rsidP="00F7283F">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Q4</w:t>
            </w:r>
          </w:p>
        </w:tc>
        <w:tc>
          <w:tcPr>
            <w:tcW w:w="231" w:type="pct"/>
            <w:tcBorders>
              <w:top w:val="single" w:sz="4" w:space="0" w:color="000000" w:themeColor="text1"/>
              <w:left w:val="nil"/>
              <w:bottom w:val="single" w:sz="4" w:space="0" w:color="auto"/>
              <w:right w:val="single" w:sz="4" w:space="0" w:color="auto"/>
            </w:tcBorders>
            <w:shd w:val="clear" w:color="auto" w:fill="C6EFCE"/>
            <w:noWrap/>
          </w:tcPr>
          <w:p w14:paraId="173AADC5" w14:textId="77777777" w:rsidR="00B3049F" w:rsidRPr="00F7283F" w:rsidRDefault="00B3049F" w:rsidP="00F7283F">
            <w:pP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2023</w:t>
            </w:r>
          </w:p>
        </w:tc>
        <w:tc>
          <w:tcPr>
            <w:tcW w:w="1361" w:type="pct"/>
            <w:tcBorders>
              <w:top w:val="single" w:sz="4" w:space="0" w:color="000000" w:themeColor="text1"/>
              <w:left w:val="nil"/>
              <w:bottom w:val="single" w:sz="4" w:space="0" w:color="auto"/>
              <w:right w:val="single" w:sz="4" w:space="0" w:color="auto"/>
            </w:tcBorders>
            <w:shd w:val="clear" w:color="auto" w:fill="C6EFCE"/>
            <w:noWrap/>
          </w:tcPr>
          <w:p w14:paraId="41291F28" w14:textId="77777777" w:rsidR="00B3049F" w:rsidRPr="00F7283F" w:rsidRDefault="00B3049F" w:rsidP="00F7283F">
            <w:pPr>
              <w:spacing w:line="240"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The Council of Ministers shall adopt mandatory instructions prepared by the Coordinating Authority which shall cover at least the following areas: </w:t>
            </w:r>
          </w:p>
          <w:p w14:paraId="619D0B09" w14:textId="77777777" w:rsidR="00B3049F" w:rsidRPr="00F7283F" w:rsidRDefault="00B3049F" w:rsidP="00F7283F">
            <w:pPr>
              <w:numPr>
                <w:ilvl w:val="0"/>
                <w:numId w:val="11"/>
              </w:numPr>
              <w:spacing w:after="0" w:line="240" w:lineRule="auto"/>
              <w:ind w:left="517"/>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The risk assessment methodology to be applied for all verification types (administrative and on the spot),</w:t>
            </w:r>
          </w:p>
          <w:p w14:paraId="60BD3960" w14:textId="2C3813E4" w:rsidR="00B3049F" w:rsidRPr="00F7283F" w:rsidRDefault="00B3049F" w:rsidP="00F7283F">
            <w:pPr>
              <w:numPr>
                <w:ilvl w:val="0"/>
                <w:numId w:val="11"/>
              </w:numPr>
              <w:spacing w:after="0" w:line="240" w:lineRule="auto"/>
              <w:ind w:left="517"/>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Verifications for double funding and procedures for its avoidance,</w:t>
            </w:r>
            <w:r w:rsidR="00064579" w:rsidRPr="00F7283F">
              <w:rPr>
                <w:rFonts w:ascii="Times New Roman" w:hAnsi="Times New Roman" w:cs="Times New Roman"/>
                <w:noProof/>
                <w:sz w:val="18"/>
                <w:szCs w:val="18"/>
              </w:rPr>
              <w:t xml:space="preserve"> </w:t>
            </w:r>
          </w:p>
          <w:p w14:paraId="564F014C" w14:textId="3F2BE473" w:rsidR="00B3049F" w:rsidRPr="00F7283F" w:rsidRDefault="00B3049F" w:rsidP="00F7283F">
            <w:pPr>
              <w:numPr>
                <w:ilvl w:val="0"/>
                <w:numId w:val="11"/>
              </w:numPr>
              <w:spacing w:after="0" w:line="240" w:lineRule="auto"/>
              <w:ind w:left="517"/>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The treatment of irregularities and the whistle blowing process followed for interventions (projects or schemes) funded by the Union,</w:t>
            </w:r>
            <w:r w:rsidR="00064579" w:rsidRPr="00F7283F">
              <w:rPr>
                <w:rFonts w:ascii="Times New Roman" w:hAnsi="Times New Roman" w:cs="Times New Roman"/>
                <w:noProof/>
                <w:sz w:val="18"/>
                <w:szCs w:val="18"/>
              </w:rPr>
              <w:t xml:space="preserve"> </w:t>
            </w:r>
          </w:p>
          <w:p w14:paraId="2FF1B041" w14:textId="02F652E9" w:rsidR="00B3049F" w:rsidRPr="00F7283F" w:rsidRDefault="00B3049F" w:rsidP="00F7283F">
            <w:pPr>
              <w:numPr>
                <w:ilvl w:val="0"/>
                <w:numId w:val="11"/>
              </w:numPr>
              <w:spacing w:after="0" w:line="240" w:lineRule="auto"/>
              <w:ind w:left="517"/>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Requirements for audit trail</w:t>
            </w:r>
            <w:r w:rsidR="007A2DC8">
              <w:rPr>
                <w:rFonts w:ascii="Times New Roman" w:hAnsi="Times New Roman" w:cs="Times New Roman"/>
                <w:noProof/>
                <w:sz w:val="18"/>
                <w:szCs w:val="18"/>
              </w:rPr>
              <w:t>,</w:t>
            </w:r>
          </w:p>
          <w:p w14:paraId="660379D0" w14:textId="77777777" w:rsidR="00B3049F" w:rsidRPr="00F7283F" w:rsidRDefault="00B3049F" w:rsidP="00F7283F">
            <w:pPr>
              <w:numPr>
                <w:ilvl w:val="0"/>
                <w:numId w:val="11"/>
              </w:numPr>
              <w:spacing w:after="0" w:line="240" w:lineRule="auto"/>
              <w:ind w:left="517"/>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A central fraud risk assessment for all contracting authorities, taking into consideration all the elements outlined in the Guidance Note on Fraud Risk Assessment and Effective and Proportionate Anti-Fraud Measures for ESIF 2014-2020. Each contracting authority functioning under the RRP is mandated to comply with the action plan devised by the central fraud risk assessment team.</w:t>
            </w:r>
          </w:p>
          <w:p w14:paraId="2E65165A" w14:textId="0AD18EDD" w:rsidR="00B3049F" w:rsidRPr="00F7283F" w:rsidRDefault="00B3049F" w:rsidP="00F7283F">
            <w:pPr>
              <w:numPr>
                <w:ilvl w:val="0"/>
                <w:numId w:val="11"/>
              </w:numPr>
              <w:spacing w:after="0" w:line="240" w:lineRule="auto"/>
              <w:ind w:left="517"/>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Establishment of</w:t>
            </w:r>
            <w:r w:rsidR="00064579" w:rsidRPr="00F7283F">
              <w:rPr>
                <w:rFonts w:ascii="Times New Roman" w:hAnsi="Times New Roman" w:cs="Times New Roman"/>
                <w:noProof/>
                <w:sz w:val="18"/>
                <w:szCs w:val="18"/>
              </w:rPr>
              <w:t xml:space="preserve"> </w:t>
            </w:r>
            <w:r w:rsidRPr="00F7283F">
              <w:rPr>
                <w:rFonts w:ascii="Times New Roman" w:hAnsi="Times New Roman" w:cs="Times New Roman"/>
                <w:noProof/>
                <w:sz w:val="18"/>
                <w:szCs w:val="18"/>
              </w:rPr>
              <w:t>specific functions for PFIU, dedicated to tackling issues related to fraud, corruption, and conflicts of interest in Implementing Bodies implementing aid schemes under the RRP.</w:t>
            </w:r>
          </w:p>
          <w:p w14:paraId="771742D9" w14:textId="77777777" w:rsidR="00B3049F" w:rsidRPr="00F7283F" w:rsidRDefault="00B3049F" w:rsidP="00F7283F">
            <w:pPr>
              <w:spacing w:line="240"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The instructions shall be distributed to all entities involved in the implementation, monitoring and control of the RRP and shall clearly segregate their responsibilities, ensuring a clear separation between control and implementation duties and shall require that controls are conducted in alignment with them.</w:t>
            </w:r>
          </w:p>
        </w:tc>
      </w:tr>
    </w:tbl>
    <w:p w14:paraId="26DC7365" w14:textId="77777777" w:rsidR="00B3049F" w:rsidRPr="000F04FA" w:rsidRDefault="00B3049F">
      <w:pPr>
        <w:rPr>
          <w:noProof/>
        </w:rPr>
      </w:pPr>
    </w:p>
    <w:p w14:paraId="6BF4EE34" w14:textId="77777777" w:rsidR="003734A7" w:rsidRPr="000F04FA" w:rsidRDefault="003734A7" w:rsidP="7DCC22BF">
      <w:pPr>
        <w:rPr>
          <w:noProof/>
        </w:rPr>
        <w:sectPr w:rsidR="003734A7" w:rsidRPr="000F04FA" w:rsidSect="00B3049F">
          <w:headerReference w:type="default" r:id="rId104"/>
          <w:footerReference w:type="default" r:id="rId105"/>
          <w:pgSz w:w="16838" w:h="11906" w:orient="landscape"/>
          <w:pgMar w:top="1440" w:right="1440" w:bottom="1440" w:left="1440" w:header="720" w:footer="720" w:gutter="0"/>
          <w:cols w:space="720"/>
          <w:docGrid w:linePitch="360"/>
        </w:sectPr>
      </w:pPr>
    </w:p>
    <w:p w14:paraId="632C0D4F" w14:textId="77777777" w:rsidR="003734A7" w:rsidRPr="000F04FA" w:rsidRDefault="003734A7" w:rsidP="00D8670B">
      <w:pPr>
        <w:pStyle w:val="NumPar1"/>
        <w:tabs>
          <w:tab w:val="num" w:pos="850"/>
        </w:tabs>
        <w:ind w:left="850" w:hanging="850"/>
        <w:rPr>
          <w:b/>
          <w:bCs/>
          <w:noProof/>
          <w:lang w:val="en-US"/>
        </w:rPr>
      </w:pPr>
      <w:r w:rsidRPr="000F04FA">
        <w:rPr>
          <w:b/>
          <w:bCs/>
          <w:noProof/>
          <w:lang w:val="en-US"/>
        </w:rPr>
        <w:t>Estimated total cost of the recovery and resilience plan</w:t>
      </w:r>
    </w:p>
    <w:p w14:paraId="2C076ABD" w14:textId="6979FC83" w:rsidR="003734A7" w:rsidRPr="000F04FA" w:rsidRDefault="003734A7" w:rsidP="00F7283F">
      <w:pPr>
        <w:pStyle w:val="Text1"/>
        <w:spacing w:line="240" w:lineRule="auto"/>
        <w:ind w:left="0"/>
        <w:rPr>
          <w:noProof/>
          <w:lang w:val="en-US"/>
        </w:rPr>
      </w:pPr>
      <w:r w:rsidRPr="000F04FA">
        <w:rPr>
          <w:noProof/>
          <w:lang w:val="en-US"/>
        </w:rPr>
        <w:t>The estimated total cost of the recovery and resilience plan of Cyprus is EUR 1 02</w:t>
      </w:r>
      <w:r w:rsidR="007B6776" w:rsidRPr="000F04FA">
        <w:rPr>
          <w:noProof/>
          <w:lang w:val="en-US"/>
        </w:rPr>
        <w:t>2</w:t>
      </w:r>
      <w:r w:rsidRPr="000F04FA">
        <w:rPr>
          <w:noProof/>
          <w:lang w:val="en-US"/>
        </w:rPr>
        <w:t> </w:t>
      </w:r>
      <w:r w:rsidR="002727BE" w:rsidRPr="000F04FA">
        <w:rPr>
          <w:noProof/>
          <w:lang w:val="en-US"/>
        </w:rPr>
        <w:t>123</w:t>
      </w:r>
      <w:r w:rsidRPr="000F04FA">
        <w:rPr>
          <w:noProof/>
          <w:lang w:val="en-US"/>
        </w:rPr>
        <w:t> </w:t>
      </w:r>
      <w:r w:rsidR="006F2922" w:rsidRPr="000F04FA">
        <w:rPr>
          <w:noProof/>
          <w:lang w:val="en-US"/>
        </w:rPr>
        <w:t>510</w:t>
      </w:r>
      <w:r w:rsidRPr="000F04FA">
        <w:rPr>
          <w:noProof/>
          <w:lang w:val="en-US"/>
        </w:rPr>
        <w:t>.</w:t>
      </w:r>
    </w:p>
    <w:p w14:paraId="3396A2BD" w14:textId="1573F17A" w:rsidR="003734A7" w:rsidRPr="000F04FA" w:rsidRDefault="003734A7" w:rsidP="00F7283F">
      <w:pPr>
        <w:pStyle w:val="Text1"/>
        <w:spacing w:line="240" w:lineRule="auto"/>
        <w:ind w:left="0"/>
        <w:rPr>
          <w:noProof/>
          <w:lang w:val="en-US"/>
        </w:rPr>
      </w:pPr>
      <w:r w:rsidRPr="000F04FA">
        <w:rPr>
          <w:noProof/>
          <w:lang w:val="en-US"/>
        </w:rPr>
        <w:t>The estimated total cost of the REPowerEU chapter is EUR</w:t>
      </w:r>
      <w:r w:rsidR="007A2DC8" w:rsidRPr="000F04FA">
        <w:rPr>
          <w:noProof/>
          <w:lang w:val="en-US"/>
        </w:rPr>
        <w:t> </w:t>
      </w:r>
      <w:r w:rsidRPr="000F04FA">
        <w:rPr>
          <w:noProof/>
          <w:lang w:val="en-US"/>
        </w:rPr>
        <w:t>104 580 000. In particular, the estimated total costs of the measures referred to in Article 21c(3), point (a) of Regulation (EU) 2023/435 is EUR</w:t>
      </w:r>
      <w:r w:rsidR="007A2DC8" w:rsidRPr="000F04FA">
        <w:rPr>
          <w:noProof/>
          <w:lang w:val="en-US"/>
        </w:rPr>
        <w:t> </w:t>
      </w:r>
      <w:r w:rsidRPr="000F04FA">
        <w:rPr>
          <w:noProof/>
          <w:lang w:val="en-US"/>
        </w:rPr>
        <w:t>0 whilst the costs of the other measures in the REPowerEU chapter is EUR</w:t>
      </w:r>
      <w:r w:rsidR="007A2DC8" w:rsidRPr="000F04FA">
        <w:rPr>
          <w:noProof/>
          <w:lang w:val="en-US"/>
        </w:rPr>
        <w:t> </w:t>
      </w:r>
      <w:r w:rsidRPr="000F04FA">
        <w:rPr>
          <w:noProof/>
          <w:lang w:val="en-US"/>
        </w:rPr>
        <w:t>104 580 000.</w:t>
      </w:r>
    </w:p>
    <w:p w14:paraId="26491E8B" w14:textId="20D83546" w:rsidR="003734A7" w:rsidRPr="00F7283F" w:rsidRDefault="003734A7" w:rsidP="00F7283F">
      <w:pPr>
        <w:keepNext/>
        <w:spacing w:before="360" w:after="120" w:line="240" w:lineRule="auto"/>
        <w:jc w:val="both"/>
        <w:outlineLvl w:val="0"/>
        <w:rPr>
          <w:rFonts w:ascii="Times New Roman" w:hAnsi="Times New Roman" w:cs="Times New Roman"/>
          <w:b/>
          <w:smallCaps/>
          <w:noProof/>
        </w:rPr>
      </w:pPr>
      <w:r w:rsidRPr="000F04FA">
        <w:rPr>
          <w:rFonts w:ascii="Times New Roman" w:hAnsi="Times New Roman"/>
          <w:b/>
          <w:smallCaps/>
          <w:noProof/>
        </w:rPr>
        <w:t>SECTION 2: FINANCIAL SUPPORT</w:t>
      </w:r>
    </w:p>
    <w:p w14:paraId="5E257444" w14:textId="77777777" w:rsidR="003734A7" w:rsidRPr="000F04FA" w:rsidRDefault="003734A7" w:rsidP="003734A7">
      <w:pPr>
        <w:pStyle w:val="NumPar1"/>
        <w:numPr>
          <w:ilvl w:val="0"/>
          <w:numId w:val="34"/>
        </w:numPr>
        <w:rPr>
          <w:b/>
          <w:noProof/>
          <w:lang w:val="en-US"/>
        </w:rPr>
      </w:pPr>
      <w:r w:rsidRPr="000F04FA">
        <w:rPr>
          <w:b/>
          <w:noProof/>
          <w:lang w:val="en-US"/>
        </w:rPr>
        <w:t xml:space="preserve">Financial contribution </w:t>
      </w:r>
    </w:p>
    <w:p w14:paraId="5DEA3044" w14:textId="5BD97123" w:rsidR="003734A7" w:rsidRPr="000F04FA" w:rsidRDefault="003734A7" w:rsidP="00D8670B">
      <w:pPr>
        <w:pStyle w:val="Text1"/>
        <w:rPr>
          <w:noProof/>
          <w:lang w:val="en-US"/>
        </w:rPr>
      </w:pPr>
      <w:r w:rsidRPr="000F04FA">
        <w:rPr>
          <w:noProof/>
          <w:lang w:val="en-US"/>
        </w:rPr>
        <w:t>The instalments referred to in Article 2(2) shall be organised in the following manner:</w:t>
      </w:r>
    </w:p>
    <w:p w14:paraId="7C4A7931" w14:textId="77777777" w:rsidR="003734A7" w:rsidRPr="000F04FA" w:rsidRDefault="003734A7" w:rsidP="00D8670B">
      <w:pPr>
        <w:pStyle w:val="NumPar2"/>
        <w:tabs>
          <w:tab w:val="num" w:pos="850"/>
        </w:tabs>
        <w:ind w:left="850" w:hanging="850"/>
        <w:rPr>
          <w:noProof/>
          <w:lang w:val="en-US"/>
        </w:rPr>
      </w:pPr>
      <w:r w:rsidRPr="000F04FA">
        <w:rPr>
          <w:noProof/>
          <w:lang w:val="en-US"/>
        </w:rPr>
        <w:t xml:space="preserve">First Instalment (non-repayable support): </w:t>
      </w:r>
    </w:p>
    <w:tbl>
      <w:tblPr>
        <w:tblW w:w="10063" w:type="dxa"/>
        <w:tblInd w:w="-431"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536"/>
        <w:gridCol w:w="2691"/>
      </w:tblGrid>
      <w:tr w:rsidR="003734A7" w:rsidRPr="00F7283F" w14:paraId="1E96C760" w14:textId="77777777" w:rsidTr="003053C5">
        <w:trPr>
          <w:cantSplit/>
          <w:trHeight w:val="509"/>
          <w:tblHeader/>
        </w:trPr>
        <w:tc>
          <w:tcPr>
            <w:tcW w:w="1702" w:type="dxa"/>
            <w:vMerge w:val="restart"/>
            <w:tcBorders>
              <w:top w:val="single" w:sz="4" w:space="0" w:color="auto"/>
            </w:tcBorders>
            <w:shd w:val="clear" w:color="auto" w:fill="BDD7EE"/>
            <w:vAlign w:val="center"/>
            <w:hideMark/>
          </w:tcPr>
          <w:p w14:paraId="50183A7F" w14:textId="77777777" w:rsidR="003734A7" w:rsidRPr="00F7283F" w:rsidRDefault="003734A7" w:rsidP="00D8670B">
            <w:pPr>
              <w:spacing w:after="0"/>
              <w:jc w:val="center"/>
              <w:rPr>
                <w:rFonts w:ascii="Times New Roman" w:eastAsia="Times New Roman" w:hAnsi="Times New Roman" w:cs="Times New Roman"/>
                <w:b/>
                <w:noProof/>
                <w:sz w:val="18"/>
                <w:szCs w:val="18"/>
              </w:rPr>
            </w:pPr>
            <w:r w:rsidRPr="00F7283F">
              <w:rPr>
                <w:rFonts w:ascii="Times New Roman" w:hAnsi="Times New Roman" w:cs="Times New Roman"/>
                <w:b/>
                <w:noProof/>
                <w:sz w:val="18"/>
                <w:szCs w:val="18"/>
              </w:rPr>
              <w:t>Sequential Number</w:t>
            </w:r>
          </w:p>
        </w:tc>
        <w:tc>
          <w:tcPr>
            <w:tcW w:w="4536" w:type="dxa"/>
            <w:vMerge w:val="restart"/>
            <w:tcBorders>
              <w:top w:val="single" w:sz="4" w:space="0" w:color="auto"/>
            </w:tcBorders>
            <w:shd w:val="clear" w:color="auto" w:fill="BDD7EE"/>
            <w:vAlign w:val="center"/>
            <w:hideMark/>
          </w:tcPr>
          <w:p w14:paraId="4C88F0FA" w14:textId="77777777" w:rsidR="003734A7" w:rsidRPr="00F7283F" w:rsidRDefault="003734A7" w:rsidP="00D8670B">
            <w:pPr>
              <w:spacing w:after="0"/>
              <w:jc w:val="center"/>
              <w:rPr>
                <w:rFonts w:ascii="Times New Roman" w:eastAsia="Times New Roman" w:hAnsi="Times New Roman" w:cs="Times New Roman"/>
                <w:b/>
                <w:noProof/>
                <w:sz w:val="18"/>
                <w:szCs w:val="18"/>
              </w:rPr>
            </w:pPr>
            <w:r w:rsidRPr="00F7283F">
              <w:rPr>
                <w:rFonts w:ascii="Times New Roman" w:hAnsi="Times New Roman" w:cs="Times New Roman"/>
                <w:b/>
                <w:noProof/>
                <w:sz w:val="18"/>
                <w:szCs w:val="18"/>
              </w:rPr>
              <w:t>Related Measure (Reform or Investment)</w:t>
            </w:r>
          </w:p>
        </w:tc>
        <w:tc>
          <w:tcPr>
            <w:tcW w:w="1134" w:type="dxa"/>
            <w:vMerge w:val="restart"/>
            <w:tcBorders>
              <w:top w:val="single" w:sz="4" w:space="0" w:color="auto"/>
            </w:tcBorders>
            <w:shd w:val="clear" w:color="auto" w:fill="BDD7EE"/>
            <w:vAlign w:val="center"/>
            <w:hideMark/>
          </w:tcPr>
          <w:p w14:paraId="3C9194AA" w14:textId="51360E2A" w:rsidR="003734A7" w:rsidRPr="00F7283F" w:rsidRDefault="003734A7" w:rsidP="006C30BE">
            <w:pPr>
              <w:spacing w:after="0"/>
              <w:jc w:val="center"/>
              <w:rPr>
                <w:rFonts w:ascii="Times New Roman" w:eastAsia="Times New Roman" w:hAnsi="Times New Roman" w:cs="Times New Roman"/>
                <w:b/>
                <w:noProof/>
                <w:sz w:val="18"/>
                <w:szCs w:val="18"/>
              </w:rPr>
            </w:pPr>
            <w:r w:rsidRPr="00F7283F">
              <w:rPr>
                <w:rFonts w:ascii="Times New Roman" w:hAnsi="Times New Roman" w:cs="Times New Roman"/>
                <w:b/>
                <w:noProof/>
                <w:sz w:val="18"/>
                <w:szCs w:val="18"/>
              </w:rPr>
              <w:t>Milestone/Target</w:t>
            </w:r>
          </w:p>
        </w:tc>
        <w:tc>
          <w:tcPr>
            <w:tcW w:w="2691" w:type="dxa"/>
            <w:vMerge w:val="restart"/>
            <w:tcBorders>
              <w:top w:val="single" w:sz="4" w:space="0" w:color="auto"/>
            </w:tcBorders>
            <w:shd w:val="clear" w:color="auto" w:fill="BDD7EE"/>
            <w:vAlign w:val="center"/>
            <w:hideMark/>
          </w:tcPr>
          <w:p w14:paraId="3801228A" w14:textId="77777777" w:rsidR="003734A7" w:rsidRPr="00F7283F" w:rsidRDefault="003734A7" w:rsidP="006C30BE">
            <w:pPr>
              <w:spacing w:after="0"/>
              <w:jc w:val="center"/>
              <w:rPr>
                <w:rFonts w:ascii="Times New Roman" w:eastAsia="Times New Roman" w:hAnsi="Times New Roman" w:cs="Times New Roman"/>
                <w:b/>
                <w:noProof/>
                <w:sz w:val="18"/>
                <w:szCs w:val="18"/>
              </w:rPr>
            </w:pPr>
            <w:r w:rsidRPr="00F7283F">
              <w:rPr>
                <w:rFonts w:ascii="Times New Roman" w:hAnsi="Times New Roman" w:cs="Times New Roman"/>
                <w:b/>
                <w:noProof/>
                <w:sz w:val="18"/>
                <w:szCs w:val="18"/>
              </w:rPr>
              <w:t>Name</w:t>
            </w:r>
          </w:p>
        </w:tc>
      </w:tr>
      <w:tr w:rsidR="003734A7" w:rsidRPr="00F7283F" w14:paraId="676D3CBC" w14:textId="77777777" w:rsidTr="003053C5">
        <w:trPr>
          <w:cantSplit/>
          <w:trHeight w:val="509"/>
          <w:tblHeader/>
        </w:trPr>
        <w:tc>
          <w:tcPr>
            <w:tcW w:w="1702" w:type="dxa"/>
            <w:vMerge/>
            <w:tcBorders>
              <w:top w:val="single" w:sz="4" w:space="0" w:color="auto"/>
            </w:tcBorders>
            <w:vAlign w:val="center"/>
            <w:hideMark/>
          </w:tcPr>
          <w:p w14:paraId="196B6D0B" w14:textId="77777777" w:rsidR="003734A7" w:rsidRPr="00F7283F" w:rsidRDefault="003734A7" w:rsidP="00D8670B">
            <w:pPr>
              <w:spacing w:after="0"/>
              <w:rPr>
                <w:rFonts w:ascii="Times New Roman" w:eastAsia="Times New Roman" w:hAnsi="Times New Roman" w:cs="Times New Roman"/>
                <w:b/>
                <w:noProof/>
                <w:sz w:val="18"/>
                <w:szCs w:val="18"/>
                <w:lang w:eastAsia="en-GB"/>
              </w:rPr>
            </w:pPr>
          </w:p>
        </w:tc>
        <w:tc>
          <w:tcPr>
            <w:tcW w:w="4536" w:type="dxa"/>
            <w:vMerge/>
            <w:tcBorders>
              <w:top w:val="single" w:sz="4" w:space="0" w:color="auto"/>
            </w:tcBorders>
            <w:vAlign w:val="center"/>
            <w:hideMark/>
          </w:tcPr>
          <w:p w14:paraId="4942F731" w14:textId="77777777" w:rsidR="003734A7" w:rsidRPr="00F7283F" w:rsidRDefault="003734A7" w:rsidP="00D8670B">
            <w:pPr>
              <w:spacing w:after="0"/>
              <w:rPr>
                <w:rFonts w:ascii="Times New Roman" w:eastAsia="Times New Roman" w:hAnsi="Times New Roman" w:cs="Times New Roman"/>
                <w:b/>
                <w:noProof/>
                <w:sz w:val="18"/>
                <w:szCs w:val="18"/>
                <w:lang w:eastAsia="en-GB"/>
              </w:rPr>
            </w:pPr>
          </w:p>
        </w:tc>
        <w:tc>
          <w:tcPr>
            <w:tcW w:w="1134" w:type="dxa"/>
            <w:vMerge/>
            <w:tcBorders>
              <w:top w:val="single" w:sz="4" w:space="0" w:color="auto"/>
            </w:tcBorders>
            <w:vAlign w:val="center"/>
            <w:hideMark/>
          </w:tcPr>
          <w:p w14:paraId="2911F57C" w14:textId="77777777" w:rsidR="003734A7" w:rsidRPr="00F7283F" w:rsidRDefault="003734A7" w:rsidP="006C30BE">
            <w:pPr>
              <w:spacing w:after="0"/>
              <w:jc w:val="center"/>
              <w:rPr>
                <w:rFonts w:ascii="Times New Roman" w:eastAsia="Times New Roman" w:hAnsi="Times New Roman" w:cs="Times New Roman"/>
                <w:b/>
                <w:noProof/>
                <w:sz w:val="18"/>
                <w:szCs w:val="18"/>
                <w:lang w:eastAsia="en-GB"/>
              </w:rPr>
            </w:pPr>
          </w:p>
        </w:tc>
        <w:tc>
          <w:tcPr>
            <w:tcW w:w="2691" w:type="dxa"/>
            <w:vMerge/>
            <w:tcBorders>
              <w:top w:val="single" w:sz="4" w:space="0" w:color="auto"/>
            </w:tcBorders>
            <w:vAlign w:val="center"/>
            <w:hideMark/>
          </w:tcPr>
          <w:p w14:paraId="310351FE" w14:textId="77777777" w:rsidR="003734A7" w:rsidRPr="00F7283F" w:rsidRDefault="003734A7" w:rsidP="006C30BE">
            <w:pPr>
              <w:spacing w:after="0"/>
              <w:jc w:val="both"/>
              <w:rPr>
                <w:rFonts w:ascii="Times New Roman" w:eastAsia="Times New Roman" w:hAnsi="Times New Roman" w:cs="Times New Roman"/>
                <w:b/>
                <w:noProof/>
                <w:sz w:val="18"/>
                <w:szCs w:val="18"/>
                <w:lang w:eastAsia="en-GB"/>
              </w:rPr>
            </w:pPr>
          </w:p>
        </w:tc>
      </w:tr>
      <w:tr w:rsidR="003734A7" w:rsidRPr="00F7283F" w14:paraId="3DD0E3B6" w14:textId="77777777" w:rsidTr="003053C5">
        <w:trPr>
          <w:cantSplit/>
          <w:trHeight w:val="302"/>
        </w:trPr>
        <w:tc>
          <w:tcPr>
            <w:tcW w:w="1702" w:type="dxa"/>
            <w:shd w:val="clear" w:color="auto" w:fill="C6EFCE"/>
            <w:noWrap/>
          </w:tcPr>
          <w:p w14:paraId="64BFF2BA" w14:textId="77777777" w:rsidR="003734A7" w:rsidRPr="00F7283F" w:rsidRDefault="003734A7" w:rsidP="00D8670B">
            <w:pPr>
              <w:spacing w:after="0"/>
              <w:jc w:val="cente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21</w:t>
            </w:r>
          </w:p>
        </w:tc>
        <w:tc>
          <w:tcPr>
            <w:tcW w:w="4536" w:type="dxa"/>
            <w:shd w:val="clear" w:color="auto" w:fill="C6EFCE"/>
            <w:noWrap/>
          </w:tcPr>
          <w:p w14:paraId="32CFC222"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C2.1R2</w:t>
            </w:r>
          </w:p>
          <w:p w14:paraId="67574FCA" w14:textId="77777777" w:rsidR="003734A7" w:rsidRPr="00F7283F" w:rsidRDefault="003734A7" w:rsidP="00D8670B">
            <w:pP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Independence of Cyprus Transmission System Operator (TSOC) from the incumbent Electricity Authority of Cyprus</w:t>
            </w:r>
          </w:p>
        </w:tc>
        <w:tc>
          <w:tcPr>
            <w:tcW w:w="1134" w:type="dxa"/>
            <w:shd w:val="clear" w:color="auto" w:fill="C6EFCE"/>
            <w:noWrap/>
          </w:tcPr>
          <w:p w14:paraId="1B9CF67D"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6FA8E7C8"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Law for the Regulation of the Electricity Market of 2021</w:t>
            </w:r>
          </w:p>
        </w:tc>
      </w:tr>
      <w:tr w:rsidR="003734A7" w:rsidRPr="00F7283F" w14:paraId="71E4CB53" w14:textId="77777777" w:rsidTr="003053C5">
        <w:trPr>
          <w:cantSplit/>
          <w:trHeight w:val="302"/>
        </w:trPr>
        <w:tc>
          <w:tcPr>
            <w:tcW w:w="1702" w:type="dxa"/>
            <w:shd w:val="clear" w:color="auto" w:fill="C6EFCE"/>
            <w:noWrap/>
          </w:tcPr>
          <w:p w14:paraId="11BC80EE" w14:textId="77777777" w:rsidR="003734A7" w:rsidRPr="00F7283F" w:rsidRDefault="003734A7" w:rsidP="00D8670B">
            <w:pPr>
              <w:spacing w:after="0"/>
              <w:jc w:val="cente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23</w:t>
            </w:r>
          </w:p>
        </w:tc>
        <w:tc>
          <w:tcPr>
            <w:tcW w:w="4536" w:type="dxa"/>
            <w:shd w:val="clear" w:color="auto" w:fill="C6EFCE"/>
            <w:noWrap/>
          </w:tcPr>
          <w:p w14:paraId="07AAECB4"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C2.1R4</w:t>
            </w:r>
          </w:p>
          <w:p w14:paraId="43475862" w14:textId="77777777" w:rsidR="003734A7" w:rsidRPr="00F7283F" w:rsidRDefault="003734A7" w:rsidP="00D8670B">
            <w:pP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Energy Storage Regulatory Framework</w:t>
            </w:r>
          </w:p>
        </w:tc>
        <w:tc>
          <w:tcPr>
            <w:tcW w:w="1134" w:type="dxa"/>
            <w:shd w:val="clear" w:color="auto" w:fill="C6EFCE"/>
            <w:noWrap/>
          </w:tcPr>
          <w:p w14:paraId="23167AC6"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3070C93C"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 xml:space="preserve">Amendment of the Transmission and Distribution Rules (TDRs) and Trading and Settlement Rules (TSRs) </w:t>
            </w:r>
          </w:p>
        </w:tc>
      </w:tr>
      <w:tr w:rsidR="003734A7" w:rsidRPr="00F7283F" w14:paraId="3D53C80E" w14:textId="77777777" w:rsidTr="003053C5">
        <w:trPr>
          <w:cantSplit/>
          <w:trHeight w:val="302"/>
        </w:trPr>
        <w:tc>
          <w:tcPr>
            <w:tcW w:w="1702" w:type="dxa"/>
            <w:shd w:val="clear" w:color="auto" w:fill="C6EFCE"/>
            <w:noWrap/>
          </w:tcPr>
          <w:p w14:paraId="715928C2" w14:textId="77777777" w:rsidR="003734A7" w:rsidRPr="00F7283F" w:rsidRDefault="003734A7" w:rsidP="00D8670B">
            <w:pPr>
              <w:spacing w:after="0"/>
              <w:jc w:val="cente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24</w:t>
            </w:r>
          </w:p>
        </w:tc>
        <w:tc>
          <w:tcPr>
            <w:tcW w:w="4536" w:type="dxa"/>
            <w:shd w:val="clear" w:color="auto" w:fill="C6EFCE"/>
            <w:noWrap/>
          </w:tcPr>
          <w:p w14:paraId="047D9331"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C2.1I1</w:t>
            </w:r>
          </w:p>
          <w:p w14:paraId="608463E3" w14:textId="77777777" w:rsidR="003734A7" w:rsidRPr="00F7283F" w:rsidRDefault="003734A7" w:rsidP="00D8670B">
            <w:pP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Promoting energy efficiency investments in SMEs and non-profit organisations</w:t>
            </w:r>
          </w:p>
        </w:tc>
        <w:tc>
          <w:tcPr>
            <w:tcW w:w="1134" w:type="dxa"/>
            <w:shd w:val="clear" w:color="auto" w:fill="C6EFCE"/>
            <w:noWrap/>
          </w:tcPr>
          <w:p w14:paraId="51F8F84B"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575A469D"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Support scheme for Promoting energy efficiency investments in SME and non-profit organisations</w:t>
            </w:r>
          </w:p>
        </w:tc>
      </w:tr>
      <w:tr w:rsidR="003734A7" w:rsidRPr="00F7283F" w14:paraId="7B17EE10" w14:textId="77777777" w:rsidTr="003053C5">
        <w:trPr>
          <w:cantSplit/>
          <w:trHeight w:val="302"/>
        </w:trPr>
        <w:tc>
          <w:tcPr>
            <w:tcW w:w="1702" w:type="dxa"/>
            <w:shd w:val="clear" w:color="auto" w:fill="C6EFCE"/>
            <w:noWrap/>
          </w:tcPr>
          <w:p w14:paraId="522EA4D1"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27</w:t>
            </w:r>
          </w:p>
        </w:tc>
        <w:tc>
          <w:tcPr>
            <w:tcW w:w="4536" w:type="dxa"/>
            <w:shd w:val="clear" w:color="auto" w:fill="C6EFCE"/>
            <w:noWrap/>
          </w:tcPr>
          <w:p w14:paraId="6275B6B2"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C2.1I2</w:t>
            </w:r>
          </w:p>
          <w:p w14:paraId="58EEC386"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Promoting renewables and individual energy efficiency measures in dwellings and tackling energy poverty in households with vulnerable electricity consumers</w:t>
            </w:r>
          </w:p>
        </w:tc>
        <w:tc>
          <w:tcPr>
            <w:tcW w:w="1134" w:type="dxa"/>
            <w:shd w:val="clear" w:color="auto" w:fill="C6EFCE"/>
            <w:noWrap/>
          </w:tcPr>
          <w:p w14:paraId="5ACFC4FE"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6FC531E4"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 xml:space="preserve">First call for proposals for Promoting renewables and individual energy efficiency measures in dwellings </w:t>
            </w:r>
          </w:p>
        </w:tc>
      </w:tr>
      <w:tr w:rsidR="003734A7" w:rsidRPr="00F7283F" w14:paraId="0C81298A" w14:textId="77777777" w:rsidTr="003053C5">
        <w:trPr>
          <w:cantSplit/>
          <w:trHeight w:val="302"/>
        </w:trPr>
        <w:tc>
          <w:tcPr>
            <w:tcW w:w="1702" w:type="dxa"/>
            <w:shd w:val="clear" w:color="auto" w:fill="C6EFCE"/>
            <w:noWrap/>
          </w:tcPr>
          <w:p w14:paraId="6014CDED"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30</w:t>
            </w:r>
          </w:p>
        </w:tc>
        <w:tc>
          <w:tcPr>
            <w:tcW w:w="4536" w:type="dxa"/>
            <w:shd w:val="clear" w:color="auto" w:fill="C6EFCE"/>
            <w:noWrap/>
          </w:tcPr>
          <w:p w14:paraId="192CEF84"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C2.1I3</w:t>
            </w:r>
          </w:p>
          <w:p w14:paraId="6BED5C70"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Encouraging the use of renewables and energy savings by local/wider public authorities and facilitating the transition of local communities towards climate mitigation &amp; adaptation</w:t>
            </w:r>
          </w:p>
        </w:tc>
        <w:tc>
          <w:tcPr>
            <w:tcW w:w="1134" w:type="dxa"/>
            <w:shd w:val="clear" w:color="auto" w:fill="C6EFCE"/>
            <w:noWrap/>
          </w:tcPr>
          <w:p w14:paraId="0C002B74"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7D8FB0DE"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 xml:space="preserve">First call for proposals to support local authorities in energy efficiency measures </w:t>
            </w:r>
          </w:p>
        </w:tc>
      </w:tr>
      <w:tr w:rsidR="003734A7" w:rsidRPr="00F7283F" w14:paraId="7366FA35" w14:textId="77777777" w:rsidTr="003053C5">
        <w:trPr>
          <w:cantSplit/>
          <w:trHeight w:val="302"/>
        </w:trPr>
        <w:tc>
          <w:tcPr>
            <w:tcW w:w="1702" w:type="dxa"/>
            <w:shd w:val="clear" w:color="auto" w:fill="C6EFCE"/>
            <w:noWrap/>
          </w:tcPr>
          <w:p w14:paraId="52235465"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93</w:t>
            </w:r>
          </w:p>
        </w:tc>
        <w:tc>
          <w:tcPr>
            <w:tcW w:w="4536" w:type="dxa"/>
            <w:shd w:val="clear" w:color="auto" w:fill="C6EFCE"/>
            <w:noWrap/>
          </w:tcPr>
          <w:p w14:paraId="3069888D"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C3.1I2</w:t>
            </w:r>
          </w:p>
          <w:p w14:paraId="5BA8453D"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Enhancement of isotopic database of traditional Cypriot products.</w:t>
            </w:r>
          </w:p>
        </w:tc>
        <w:tc>
          <w:tcPr>
            <w:tcW w:w="1134" w:type="dxa"/>
            <w:shd w:val="clear" w:color="auto" w:fill="C6EFCE"/>
            <w:noWrap/>
          </w:tcPr>
          <w:p w14:paraId="617521F4"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65A483F3"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Liquid Chromatography- Isotopic Ratio Mass Spectrometer (LC-IRMS) equipment</w:t>
            </w:r>
          </w:p>
        </w:tc>
      </w:tr>
      <w:tr w:rsidR="003734A7" w:rsidRPr="00F7283F" w14:paraId="4EC125A5" w14:textId="77777777" w:rsidTr="003053C5">
        <w:trPr>
          <w:cantSplit/>
          <w:trHeight w:val="302"/>
        </w:trPr>
        <w:tc>
          <w:tcPr>
            <w:tcW w:w="1702" w:type="dxa"/>
            <w:shd w:val="clear" w:color="auto" w:fill="C6EFCE"/>
            <w:noWrap/>
          </w:tcPr>
          <w:p w14:paraId="5099C9E6"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109</w:t>
            </w:r>
          </w:p>
        </w:tc>
        <w:tc>
          <w:tcPr>
            <w:tcW w:w="4536" w:type="dxa"/>
            <w:shd w:val="clear" w:color="auto" w:fill="C6EFCE"/>
            <w:noWrap/>
          </w:tcPr>
          <w:p w14:paraId="36E36621"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C3.1R4</w:t>
            </w:r>
          </w:p>
          <w:p w14:paraId="4CD1D734"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Enhancement of circular economy in the Industry</w:t>
            </w:r>
          </w:p>
        </w:tc>
        <w:tc>
          <w:tcPr>
            <w:tcW w:w="1134" w:type="dxa"/>
            <w:shd w:val="clear" w:color="auto" w:fill="C6EFCE"/>
            <w:noWrap/>
          </w:tcPr>
          <w:p w14:paraId="2939D037"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29F59E28"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 xml:space="preserve">Approval of the National Action Plan for the Enhancement of Circular Economy in Cyprus </w:t>
            </w:r>
          </w:p>
        </w:tc>
      </w:tr>
      <w:tr w:rsidR="003734A7" w:rsidRPr="00F7283F" w14:paraId="51FD7C6C" w14:textId="77777777" w:rsidTr="003053C5">
        <w:trPr>
          <w:cantSplit/>
          <w:trHeight w:val="302"/>
        </w:trPr>
        <w:tc>
          <w:tcPr>
            <w:tcW w:w="1702" w:type="dxa"/>
            <w:shd w:val="clear" w:color="auto" w:fill="C6EFCE"/>
            <w:noWrap/>
          </w:tcPr>
          <w:p w14:paraId="62CDFEDC"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160</w:t>
            </w:r>
          </w:p>
        </w:tc>
        <w:tc>
          <w:tcPr>
            <w:tcW w:w="4536" w:type="dxa"/>
            <w:shd w:val="clear" w:color="auto" w:fill="C6EFCE"/>
            <w:noWrap/>
          </w:tcPr>
          <w:p w14:paraId="13B7288C"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C3.4R3</w:t>
            </w:r>
          </w:p>
          <w:p w14:paraId="749B488A"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Introduce new framework for evaluation and selection process for filling public service vacancies and new regulations for the evaluation of employees’ performance</w:t>
            </w:r>
          </w:p>
        </w:tc>
        <w:tc>
          <w:tcPr>
            <w:tcW w:w="1134" w:type="dxa"/>
            <w:shd w:val="clear" w:color="auto" w:fill="C6EFCE"/>
            <w:noWrap/>
          </w:tcPr>
          <w:p w14:paraId="043AD37E"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5FD037E7"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 xml:space="preserve">Entry into force of legislation for the evaluation and selection process for public service vacancies and regulations for employees’ performance evaluation. </w:t>
            </w:r>
          </w:p>
        </w:tc>
      </w:tr>
      <w:tr w:rsidR="003734A7" w:rsidRPr="00F7283F" w14:paraId="570FB11D" w14:textId="77777777" w:rsidTr="003053C5">
        <w:trPr>
          <w:cantSplit/>
          <w:trHeight w:val="302"/>
        </w:trPr>
        <w:tc>
          <w:tcPr>
            <w:tcW w:w="1702" w:type="dxa"/>
            <w:shd w:val="clear" w:color="auto" w:fill="C6EFCE"/>
            <w:noWrap/>
          </w:tcPr>
          <w:p w14:paraId="049B1D78"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186</w:t>
            </w:r>
          </w:p>
        </w:tc>
        <w:tc>
          <w:tcPr>
            <w:tcW w:w="4536" w:type="dxa"/>
            <w:shd w:val="clear" w:color="auto" w:fill="C6EFCE"/>
            <w:noWrap/>
          </w:tcPr>
          <w:p w14:paraId="4DC63D17"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C3.4I8</w:t>
            </w:r>
          </w:p>
          <w:p w14:paraId="4922738C"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Upgrading the infrastructure of courts</w:t>
            </w:r>
          </w:p>
        </w:tc>
        <w:tc>
          <w:tcPr>
            <w:tcW w:w="1134" w:type="dxa"/>
            <w:shd w:val="clear" w:color="auto" w:fill="C6EFCE"/>
            <w:noWrap/>
          </w:tcPr>
          <w:p w14:paraId="49B793AE"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22A9618A"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Extension of the Famagusta District Court</w:t>
            </w:r>
          </w:p>
        </w:tc>
      </w:tr>
      <w:tr w:rsidR="003734A7" w:rsidRPr="00F7283F" w14:paraId="570457B7" w14:textId="77777777" w:rsidTr="003053C5">
        <w:trPr>
          <w:cantSplit/>
          <w:trHeight w:val="302"/>
        </w:trPr>
        <w:tc>
          <w:tcPr>
            <w:tcW w:w="1702" w:type="dxa"/>
            <w:shd w:val="clear" w:color="auto" w:fill="C6EFCE"/>
            <w:noWrap/>
          </w:tcPr>
          <w:p w14:paraId="100A9867"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188</w:t>
            </w:r>
          </w:p>
        </w:tc>
        <w:tc>
          <w:tcPr>
            <w:tcW w:w="4536" w:type="dxa"/>
            <w:shd w:val="clear" w:color="auto" w:fill="C6EFCE"/>
            <w:noWrap/>
          </w:tcPr>
          <w:p w14:paraId="01856C5B"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C3.4R10</w:t>
            </w:r>
          </w:p>
          <w:p w14:paraId="769A96BA"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Improving the legal and institutional framework for fighting corruption</w:t>
            </w:r>
          </w:p>
        </w:tc>
        <w:tc>
          <w:tcPr>
            <w:tcW w:w="1134" w:type="dxa"/>
            <w:shd w:val="clear" w:color="auto" w:fill="C6EFCE"/>
            <w:noWrap/>
          </w:tcPr>
          <w:p w14:paraId="23955C34"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33FEF4DB"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Entry into force of the law on Transparency in Decision-Making and Related Matters</w:t>
            </w:r>
          </w:p>
        </w:tc>
      </w:tr>
      <w:tr w:rsidR="003734A7" w:rsidRPr="00F7283F" w14:paraId="11BEFA6E" w14:textId="77777777" w:rsidTr="003053C5">
        <w:trPr>
          <w:cantSplit/>
          <w:trHeight w:val="302"/>
        </w:trPr>
        <w:tc>
          <w:tcPr>
            <w:tcW w:w="1702" w:type="dxa"/>
            <w:shd w:val="clear" w:color="auto" w:fill="C6EFCE"/>
            <w:noWrap/>
          </w:tcPr>
          <w:p w14:paraId="5CA5DF5F"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189</w:t>
            </w:r>
          </w:p>
        </w:tc>
        <w:tc>
          <w:tcPr>
            <w:tcW w:w="4536" w:type="dxa"/>
            <w:shd w:val="clear" w:color="auto" w:fill="C6EFCE"/>
            <w:noWrap/>
          </w:tcPr>
          <w:p w14:paraId="62771BD2"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C3.4R10</w:t>
            </w:r>
          </w:p>
          <w:p w14:paraId="0E733F1A"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Improving the legal and institutional framework for fighting corruption</w:t>
            </w:r>
          </w:p>
        </w:tc>
        <w:tc>
          <w:tcPr>
            <w:tcW w:w="1134" w:type="dxa"/>
            <w:shd w:val="clear" w:color="auto" w:fill="C6EFCE"/>
            <w:noWrap/>
          </w:tcPr>
          <w:p w14:paraId="76488CED"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5853610C"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Entry into force of the law to protect whistle-blowers</w:t>
            </w:r>
          </w:p>
        </w:tc>
      </w:tr>
      <w:tr w:rsidR="003734A7" w:rsidRPr="00F7283F" w14:paraId="056CC44C" w14:textId="77777777" w:rsidTr="003053C5">
        <w:trPr>
          <w:cantSplit/>
          <w:trHeight w:val="302"/>
        </w:trPr>
        <w:tc>
          <w:tcPr>
            <w:tcW w:w="1702" w:type="dxa"/>
            <w:shd w:val="clear" w:color="auto" w:fill="C6EFCE"/>
            <w:noWrap/>
          </w:tcPr>
          <w:p w14:paraId="669A051B"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192</w:t>
            </w:r>
          </w:p>
        </w:tc>
        <w:tc>
          <w:tcPr>
            <w:tcW w:w="4536" w:type="dxa"/>
            <w:shd w:val="clear" w:color="auto" w:fill="C6EFCE"/>
            <w:noWrap/>
          </w:tcPr>
          <w:p w14:paraId="3DC2D106" w14:textId="70559CF0"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C3.5R2</w:t>
            </w:r>
            <w:r w:rsidR="00064579" w:rsidRPr="00F7283F">
              <w:rPr>
                <w:rFonts w:ascii="Times New Roman" w:hAnsi="Times New Roman" w:cs="Times New Roman"/>
                <w:noProof/>
                <w:sz w:val="18"/>
                <w:szCs w:val="18"/>
              </w:rPr>
              <w:t xml:space="preserve"> </w:t>
            </w:r>
            <w:r w:rsidRPr="00F7283F">
              <w:rPr>
                <w:rFonts w:ascii="Times New Roman" w:hAnsi="Times New Roman" w:cs="Times New Roman"/>
                <w:noProof/>
                <w:sz w:val="18"/>
                <w:szCs w:val="18"/>
              </w:rPr>
              <w:br/>
              <w:t>Framework and Action Plan for addressing NPLs</w:t>
            </w:r>
          </w:p>
        </w:tc>
        <w:tc>
          <w:tcPr>
            <w:tcW w:w="1134" w:type="dxa"/>
            <w:shd w:val="clear" w:color="auto" w:fill="C6EFCE"/>
            <w:noWrap/>
          </w:tcPr>
          <w:p w14:paraId="75D9A273"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393A1CB9"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Entry into force of the package of amending laws regarding credit acquiring companies (CAC) and credit servicers to improve the working environment for non-performing loans management</w:t>
            </w:r>
          </w:p>
        </w:tc>
      </w:tr>
      <w:tr w:rsidR="003734A7" w:rsidRPr="00F7283F" w14:paraId="0793FB3C" w14:textId="77777777" w:rsidTr="003053C5">
        <w:trPr>
          <w:cantSplit/>
          <w:trHeight w:val="302"/>
        </w:trPr>
        <w:tc>
          <w:tcPr>
            <w:tcW w:w="1702" w:type="dxa"/>
            <w:shd w:val="clear" w:color="auto" w:fill="C6EFCE"/>
            <w:noWrap/>
          </w:tcPr>
          <w:p w14:paraId="38B337FB"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232</w:t>
            </w:r>
          </w:p>
        </w:tc>
        <w:tc>
          <w:tcPr>
            <w:tcW w:w="4536" w:type="dxa"/>
            <w:shd w:val="clear" w:color="auto" w:fill="C6EFCE"/>
            <w:noWrap/>
          </w:tcPr>
          <w:p w14:paraId="4E775DA4"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C4.2I1</w:t>
            </w:r>
          </w:p>
          <w:p w14:paraId="54504507"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Digitalisation in various Central Government Ministries – Services</w:t>
            </w:r>
          </w:p>
        </w:tc>
        <w:tc>
          <w:tcPr>
            <w:tcW w:w="1134" w:type="dxa"/>
            <w:shd w:val="clear" w:color="auto" w:fill="C6EFCE"/>
            <w:noWrap/>
          </w:tcPr>
          <w:p w14:paraId="2674FF54"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7173EE90"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Repository system for audit and control: information for monitoring implementation of RRF</w:t>
            </w:r>
          </w:p>
        </w:tc>
      </w:tr>
      <w:tr w:rsidR="003734A7" w:rsidRPr="00F7283F" w14:paraId="0C447289" w14:textId="77777777" w:rsidTr="003053C5">
        <w:trPr>
          <w:cantSplit/>
          <w:trHeight w:val="302"/>
        </w:trPr>
        <w:tc>
          <w:tcPr>
            <w:tcW w:w="1702" w:type="dxa"/>
            <w:shd w:val="clear" w:color="auto" w:fill="C6EFCE"/>
            <w:noWrap/>
          </w:tcPr>
          <w:p w14:paraId="5319D615"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249</w:t>
            </w:r>
          </w:p>
        </w:tc>
        <w:tc>
          <w:tcPr>
            <w:tcW w:w="4536" w:type="dxa"/>
            <w:shd w:val="clear" w:color="auto" w:fill="C6EFCE"/>
            <w:noWrap/>
          </w:tcPr>
          <w:p w14:paraId="2136C0B1"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C5.1R5</w:t>
            </w:r>
          </w:p>
          <w:p w14:paraId="4C8B10B4"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E-skills Action Plan – Implementation of specific actions</w:t>
            </w:r>
          </w:p>
        </w:tc>
        <w:tc>
          <w:tcPr>
            <w:tcW w:w="1134" w:type="dxa"/>
            <w:shd w:val="clear" w:color="auto" w:fill="C6EFCE"/>
            <w:noWrap/>
          </w:tcPr>
          <w:p w14:paraId="0E0CB165"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691" w:type="dxa"/>
            <w:shd w:val="clear" w:color="auto" w:fill="C6EFCE"/>
            <w:noWrap/>
          </w:tcPr>
          <w:p w14:paraId="17FE27AA"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 xml:space="preserve">National e-Skills Action Plan is adopted by the Council of Ministers </w:t>
            </w:r>
          </w:p>
        </w:tc>
      </w:tr>
      <w:tr w:rsidR="003734A7" w:rsidRPr="00F7283F" w14:paraId="626B70B6" w14:textId="77777777" w:rsidTr="003053C5">
        <w:trPr>
          <w:cantSplit/>
          <w:trHeight w:val="302"/>
        </w:trPr>
        <w:tc>
          <w:tcPr>
            <w:tcW w:w="1702" w:type="dxa"/>
            <w:shd w:val="clear" w:color="auto" w:fill="C6EFCE"/>
            <w:noWrap/>
            <w:vAlign w:val="bottom"/>
          </w:tcPr>
          <w:p w14:paraId="38EABA13" w14:textId="77777777" w:rsidR="003734A7" w:rsidRPr="00F7283F" w:rsidRDefault="003734A7" w:rsidP="00D8670B">
            <w:pPr>
              <w:spacing w:after="0"/>
              <w:jc w:val="center"/>
              <w:rPr>
                <w:rFonts w:ascii="Times New Roman" w:eastAsia="Times New Roman" w:hAnsi="Times New Roman" w:cs="Times New Roman"/>
                <w:noProof/>
                <w:color w:val="006100"/>
                <w:sz w:val="18"/>
                <w:szCs w:val="18"/>
                <w:lang w:eastAsia="en-GB"/>
              </w:rPr>
            </w:pPr>
          </w:p>
        </w:tc>
        <w:tc>
          <w:tcPr>
            <w:tcW w:w="4536" w:type="dxa"/>
            <w:shd w:val="clear" w:color="auto" w:fill="C6EFCE"/>
            <w:noWrap/>
            <w:vAlign w:val="bottom"/>
          </w:tcPr>
          <w:p w14:paraId="1FF14F9C" w14:textId="77777777" w:rsidR="003734A7" w:rsidRPr="00F7283F" w:rsidRDefault="003734A7" w:rsidP="00D8670B">
            <w:pPr>
              <w:spacing w:after="0"/>
              <w:rPr>
                <w:rFonts w:ascii="Times New Roman" w:eastAsia="Times New Roman" w:hAnsi="Times New Roman" w:cs="Times New Roman"/>
                <w:noProof/>
                <w:color w:val="006100"/>
                <w:sz w:val="18"/>
                <w:szCs w:val="18"/>
                <w:lang w:eastAsia="en-GB"/>
              </w:rPr>
            </w:pPr>
          </w:p>
        </w:tc>
        <w:tc>
          <w:tcPr>
            <w:tcW w:w="1134" w:type="dxa"/>
            <w:shd w:val="clear" w:color="auto" w:fill="C6EFCE"/>
            <w:noWrap/>
            <w:vAlign w:val="bottom"/>
            <w:hideMark/>
          </w:tcPr>
          <w:p w14:paraId="0787CBF2" w14:textId="77777777" w:rsidR="003734A7" w:rsidRPr="00F7283F" w:rsidRDefault="003734A7" w:rsidP="006C30BE">
            <w:pPr>
              <w:spacing w:after="0"/>
              <w:jc w:val="center"/>
              <w:rPr>
                <w:rFonts w:ascii="Times New Roman" w:eastAsia="Times New Roman" w:hAnsi="Times New Roman" w:cs="Times New Roman"/>
                <w:noProof/>
                <w:color w:val="006100"/>
                <w:sz w:val="18"/>
                <w:szCs w:val="18"/>
              </w:rPr>
            </w:pPr>
            <w:r w:rsidRPr="00F7283F">
              <w:rPr>
                <w:rFonts w:ascii="Times New Roman" w:hAnsi="Times New Roman" w:cs="Times New Roman"/>
                <w:noProof/>
                <w:color w:val="006100"/>
                <w:sz w:val="18"/>
                <w:szCs w:val="18"/>
              </w:rPr>
              <w:t>Instalment Amount</w:t>
            </w:r>
          </w:p>
        </w:tc>
        <w:tc>
          <w:tcPr>
            <w:tcW w:w="2691" w:type="dxa"/>
            <w:shd w:val="clear" w:color="auto" w:fill="C6EFCE"/>
            <w:noWrap/>
            <w:vAlign w:val="bottom"/>
            <w:hideMark/>
          </w:tcPr>
          <w:p w14:paraId="7FA7C632" w14:textId="55A79F1F" w:rsidR="003734A7" w:rsidRPr="00F7283F" w:rsidRDefault="003734A7" w:rsidP="000345F8">
            <w:pPr>
              <w:spacing w:after="0" w:line="278" w:lineRule="auto"/>
              <w:rPr>
                <w:rFonts w:ascii="Times New Roman" w:eastAsia="Times New Roman" w:hAnsi="Times New Roman" w:cs="Times New Roman"/>
                <w:noProof/>
                <w:color w:val="006100"/>
                <w:sz w:val="18"/>
                <w:szCs w:val="18"/>
              </w:rPr>
            </w:pPr>
            <w:r w:rsidRPr="00F7283F">
              <w:rPr>
                <w:rFonts w:ascii="Times New Roman" w:hAnsi="Times New Roman" w:cs="Times New Roman"/>
                <w:noProof/>
                <w:color w:val="006100"/>
                <w:sz w:val="18"/>
                <w:szCs w:val="18"/>
              </w:rPr>
              <w:t>EUR 97 701 149</w:t>
            </w:r>
          </w:p>
        </w:tc>
      </w:tr>
    </w:tbl>
    <w:p w14:paraId="4ECFDC65" w14:textId="77777777" w:rsidR="003734A7" w:rsidRPr="000F04FA" w:rsidRDefault="003734A7" w:rsidP="00D8670B">
      <w:pPr>
        <w:rPr>
          <w:noProof/>
        </w:rPr>
      </w:pPr>
    </w:p>
    <w:p w14:paraId="1746E636" w14:textId="442FA926" w:rsidR="003734A7" w:rsidRPr="00613BE5" w:rsidRDefault="003734A7" w:rsidP="00D8670B">
      <w:pPr>
        <w:pStyle w:val="NumPar2"/>
        <w:tabs>
          <w:tab w:val="num" w:pos="850"/>
        </w:tabs>
        <w:spacing w:after="240"/>
        <w:ind w:left="851" w:hanging="851"/>
        <w:rPr>
          <w:noProof/>
          <w:lang w:val="fr-FR"/>
        </w:rPr>
      </w:pPr>
      <w:r w:rsidRPr="00613BE5">
        <w:rPr>
          <w:noProof/>
          <w:lang w:val="fr-FR"/>
        </w:rPr>
        <w:t xml:space="preserve">Second Instalment (non-repayable support): </w:t>
      </w:r>
    </w:p>
    <w:tbl>
      <w:tblPr>
        <w:tblW w:w="10063" w:type="dxa"/>
        <w:tblInd w:w="-431" w:type="dxa"/>
        <w:tblLook w:val="04A0" w:firstRow="1" w:lastRow="0" w:firstColumn="1" w:lastColumn="0" w:noHBand="0" w:noVBand="1"/>
      </w:tblPr>
      <w:tblGrid>
        <w:gridCol w:w="1702"/>
        <w:gridCol w:w="4536"/>
        <w:gridCol w:w="1559"/>
        <w:gridCol w:w="2266"/>
      </w:tblGrid>
      <w:tr w:rsidR="003734A7" w:rsidRPr="00F7283F" w14:paraId="4CD300D0" w14:textId="77777777" w:rsidTr="00F7283F">
        <w:trPr>
          <w:cantSplit/>
          <w:trHeight w:val="509"/>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FA5F17" w14:textId="77777777" w:rsidR="003734A7" w:rsidRPr="00F7283F" w:rsidRDefault="003734A7" w:rsidP="00D8670B">
            <w:pPr>
              <w:spacing w:after="0"/>
              <w:jc w:val="center"/>
              <w:rPr>
                <w:rFonts w:ascii="Times New Roman" w:eastAsia="Times New Roman" w:hAnsi="Times New Roman" w:cs="Times New Roman"/>
                <w:b/>
                <w:noProof/>
                <w:sz w:val="18"/>
                <w:szCs w:val="18"/>
              </w:rPr>
            </w:pPr>
            <w:r w:rsidRPr="00F7283F">
              <w:rPr>
                <w:rFonts w:ascii="Times New Roman" w:hAnsi="Times New Roman" w:cs="Times New Roman"/>
                <w:b/>
                <w:noProof/>
                <w:sz w:val="18"/>
                <w:szCs w:val="18"/>
              </w:rPr>
              <w:t>Sequential Number</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1EB50B" w14:textId="77777777" w:rsidR="003734A7" w:rsidRPr="00F7283F" w:rsidRDefault="003734A7" w:rsidP="00D8670B">
            <w:pPr>
              <w:spacing w:after="0"/>
              <w:jc w:val="center"/>
              <w:rPr>
                <w:rFonts w:ascii="Times New Roman" w:eastAsia="Times New Roman" w:hAnsi="Times New Roman" w:cs="Times New Roman"/>
                <w:b/>
                <w:noProof/>
                <w:sz w:val="18"/>
                <w:szCs w:val="18"/>
              </w:rPr>
            </w:pPr>
            <w:r w:rsidRPr="00F7283F">
              <w:rPr>
                <w:rFonts w:ascii="Times New Roman" w:hAnsi="Times New Roman" w:cs="Times New Roman"/>
                <w:b/>
                <w:noProof/>
                <w:sz w:val="18"/>
                <w:szCs w:val="18"/>
              </w:rPr>
              <w:t>Related Measure (Reform or Investment)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144FF8" w14:textId="68860604" w:rsidR="003734A7" w:rsidRPr="00F7283F" w:rsidRDefault="003734A7" w:rsidP="007A2DC8">
            <w:pPr>
              <w:spacing w:after="0"/>
              <w:jc w:val="center"/>
              <w:rPr>
                <w:rFonts w:ascii="Times New Roman" w:eastAsia="Times New Roman" w:hAnsi="Times New Roman" w:cs="Times New Roman"/>
                <w:b/>
                <w:noProof/>
                <w:sz w:val="18"/>
                <w:szCs w:val="18"/>
              </w:rPr>
            </w:pPr>
            <w:r w:rsidRPr="00F7283F">
              <w:rPr>
                <w:rFonts w:ascii="Times New Roman" w:hAnsi="Times New Roman" w:cs="Times New Roman"/>
                <w:b/>
                <w:noProof/>
                <w:sz w:val="18"/>
                <w:szCs w:val="18"/>
              </w:rPr>
              <w:t>Milestone/Target</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4CC94A" w14:textId="77777777" w:rsidR="003734A7" w:rsidRPr="00F7283F" w:rsidRDefault="003734A7" w:rsidP="006C30BE">
            <w:pPr>
              <w:spacing w:after="0"/>
              <w:jc w:val="center"/>
              <w:rPr>
                <w:rFonts w:ascii="Times New Roman" w:eastAsia="Times New Roman" w:hAnsi="Times New Roman" w:cs="Times New Roman"/>
                <w:b/>
                <w:noProof/>
                <w:sz w:val="18"/>
                <w:szCs w:val="18"/>
              </w:rPr>
            </w:pPr>
            <w:r w:rsidRPr="00F7283F">
              <w:rPr>
                <w:rFonts w:ascii="Times New Roman" w:hAnsi="Times New Roman" w:cs="Times New Roman"/>
                <w:b/>
                <w:noProof/>
                <w:sz w:val="18"/>
                <w:szCs w:val="18"/>
              </w:rPr>
              <w:t>Name</w:t>
            </w:r>
          </w:p>
        </w:tc>
      </w:tr>
      <w:tr w:rsidR="003734A7" w:rsidRPr="00F7283F" w14:paraId="479AD2CC" w14:textId="77777777" w:rsidTr="00F7283F">
        <w:trPr>
          <w:cantSplit/>
          <w:trHeight w:val="509"/>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55D2F8D0" w14:textId="77777777" w:rsidR="003734A7" w:rsidRPr="00F7283F" w:rsidRDefault="003734A7" w:rsidP="00D8670B">
            <w:pPr>
              <w:spacing w:after="0"/>
              <w:rPr>
                <w:rFonts w:ascii="Times New Roman" w:eastAsia="Times New Roman" w:hAnsi="Times New Roman" w:cs="Times New Roman"/>
                <w:b/>
                <w:noProof/>
                <w:sz w:val="18"/>
                <w:szCs w:val="18"/>
                <w:lang w:eastAsia="en-GB"/>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9A027D2" w14:textId="77777777" w:rsidR="003734A7" w:rsidRPr="00F7283F" w:rsidRDefault="003734A7" w:rsidP="00D8670B">
            <w:pPr>
              <w:spacing w:after="0"/>
              <w:rPr>
                <w:rFonts w:ascii="Times New Roman" w:eastAsia="Times New Roman" w:hAnsi="Times New Roman" w:cs="Times New Roman"/>
                <w:b/>
                <w:noProof/>
                <w:sz w:val="18"/>
                <w:szCs w:val="18"/>
                <w:lang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024581D" w14:textId="77777777" w:rsidR="003734A7" w:rsidRPr="00F7283F" w:rsidRDefault="003734A7" w:rsidP="006C30BE">
            <w:pPr>
              <w:spacing w:after="0"/>
              <w:jc w:val="center"/>
              <w:rPr>
                <w:rFonts w:ascii="Times New Roman" w:eastAsia="Times New Roman" w:hAnsi="Times New Roman" w:cs="Times New Roman"/>
                <w:b/>
                <w:noProof/>
                <w:sz w:val="18"/>
                <w:szCs w:val="18"/>
                <w:lang w:eastAsia="en-GB"/>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7D552C8B" w14:textId="77777777" w:rsidR="003734A7" w:rsidRPr="00F7283F" w:rsidRDefault="003734A7" w:rsidP="006C30BE">
            <w:pPr>
              <w:spacing w:after="0"/>
              <w:jc w:val="both"/>
              <w:rPr>
                <w:rFonts w:ascii="Times New Roman" w:eastAsia="Times New Roman" w:hAnsi="Times New Roman" w:cs="Times New Roman"/>
                <w:b/>
                <w:noProof/>
                <w:sz w:val="18"/>
                <w:szCs w:val="18"/>
                <w:lang w:eastAsia="en-GB"/>
              </w:rPr>
            </w:pPr>
          </w:p>
        </w:tc>
      </w:tr>
      <w:tr w:rsidR="003734A7" w:rsidRPr="00F7283F" w14:paraId="432D20F5" w14:textId="77777777" w:rsidTr="00F7283F">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995B128" w14:textId="77777777" w:rsidR="003734A7" w:rsidRPr="00F7283F" w:rsidRDefault="003734A7" w:rsidP="00D8670B">
            <w:pPr>
              <w:spacing w:after="0"/>
              <w:jc w:val="cente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7</w:t>
            </w:r>
          </w:p>
        </w:tc>
        <w:tc>
          <w:tcPr>
            <w:tcW w:w="4536" w:type="dxa"/>
            <w:tcBorders>
              <w:top w:val="single" w:sz="4" w:space="0" w:color="auto"/>
              <w:left w:val="nil"/>
              <w:bottom w:val="single" w:sz="4" w:space="0" w:color="auto"/>
              <w:right w:val="single" w:sz="4" w:space="0" w:color="auto"/>
            </w:tcBorders>
            <w:shd w:val="clear" w:color="auto" w:fill="C6EFCE"/>
            <w:noWrap/>
          </w:tcPr>
          <w:p w14:paraId="1EBA053A"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C1.1I2</w:t>
            </w:r>
          </w:p>
          <w:p w14:paraId="616756AA" w14:textId="77777777" w:rsidR="003734A7" w:rsidRPr="00F7283F" w:rsidRDefault="003734A7" w:rsidP="00D8670B">
            <w:pP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 xml:space="preserve">Cyprus Innovative Public Health information and communications technology (ICT) System </w:t>
            </w:r>
          </w:p>
        </w:tc>
        <w:tc>
          <w:tcPr>
            <w:tcW w:w="1559" w:type="dxa"/>
            <w:tcBorders>
              <w:top w:val="single" w:sz="4" w:space="0" w:color="auto"/>
              <w:left w:val="nil"/>
              <w:bottom w:val="single" w:sz="4" w:space="0" w:color="auto"/>
              <w:right w:val="single" w:sz="4" w:space="0" w:color="auto"/>
            </w:tcBorders>
            <w:shd w:val="clear" w:color="auto" w:fill="C6EFCE"/>
            <w:noWrap/>
          </w:tcPr>
          <w:p w14:paraId="5474945E"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single" w:sz="4" w:space="0" w:color="auto"/>
              <w:left w:val="nil"/>
              <w:bottom w:val="single" w:sz="4" w:space="0" w:color="auto"/>
              <w:right w:val="single" w:sz="4" w:space="0" w:color="auto"/>
            </w:tcBorders>
            <w:shd w:val="clear" w:color="auto" w:fill="C6EFCE"/>
            <w:noWrap/>
          </w:tcPr>
          <w:p w14:paraId="176CC779"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 xml:space="preserve">Influenza Sentinel Surveillance (ISS)System </w:t>
            </w:r>
          </w:p>
        </w:tc>
      </w:tr>
      <w:tr w:rsidR="003734A7" w:rsidRPr="00F7283F" w14:paraId="10D763FC"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5563317" w14:textId="77777777" w:rsidR="003734A7" w:rsidRPr="00F7283F" w:rsidRDefault="003734A7" w:rsidP="00D8670B">
            <w:pPr>
              <w:spacing w:after="0"/>
              <w:jc w:val="cente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35</w:t>
            </w:r>
          </w:p>
        </w:tc>
        <w:tc>
          <w:tcPr>
            <w:tcW w:w="4536" w:type="dxa"/>
            <w:tcBorders>
              <w:top w:val="nil"/>
              <w:left w:val="nil"/>
              <w:bottom w:val="single" w:sz="4" w:space="0" w:color="auto"/>
              <w:right w:val="single" w:sz="4" w:space="0" w:color="auto"/>
            </w:tcBorders>
            <w:shd w:val="clear" w:color="auto" w:fill="C6EFCE"/>
            <w:noWrap/>
          </w:tcPr>
          <w:p w14:paraId="46F2DC43"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C2.1I5</w:t>
            </w:r>
          </w:p>
          <w:p w14:paraId="6DF8C72F" w14:textId="77777777" w:rsidR="003734A7" w:rsidRPr="00F7283F" w:rsidRDefault="003734A7" w:rsidP="00D8670B">
            <w:pPr>
              <w:rPr>
                <w:rFonts w:ascii="Times New Roman" w:eastAsia="Times New Roman" w:hAnsi="Times New Roman" w:cs="Times New Roman"/>
                <w:noProof/>
                <w:color w:val="006100"/>
                <w:sz w:val="18"/>
                <w:szCs w:val="18"/>
              </w:rPr>
            </w:pPr>
            <w:r w:rsidRPr="00F7283F">
              <w:rPr>
                <w:rFonts w:ascii="Times New Roman" w:hAnsi="Times New Roman" w:cs="Times New Roman"/>
                <w:noProof/>
                <w:sz w:val="18"/>
                <w:szCs w:val="18"/>
              </w:rPr>
              <w:t>Energy Efficiency Upgrading of public buildings</w:t>
            </w:r>
          </w:p>
        </w:tc>
        <w:tc>
          <w:tcPr>
            <w:tcW w:w="1559" w:type="dxa"/>
            <w:tcBorders>
              <w:top w:val="nil"/>
              <w:left w:val="nil"/>
              <w:bottom w:val="single" w:sz="4" w:space="0" w:color="auto"/>
              <w:right w:val="single" w:sz="4" w:space="0" w:color="auto"/>
            </w:tcBorders>
            <w:shd w:val="clear" w:color="auto" w:fill="C6EFCE"/>
            <w:noWrap/>
          </w:tcPr>
          <w:p w14:paraId="7BFE55E6"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Target</w:t>
            </w:r>
          </w:p>
        </w:tc>
        <w:tc>
          <w:tcPr>
            <w:tcW w:w="2266" w:type="dxa"/>
            <w:tcBorders>
              <w:top w:val="nil"/>
              <w:left w:val="nil"/>
              <w:bottom w:val="single" w:sz="4" w:space="0" w:color="auto"/>
              <w:right w:val="single" w:sz="4" w:space="0" w:color="auto"/>
            </w:tcBorders>
            <w:shd w:val="clear" w:color="auto" w:fill="C6EFCE"/>
            <w:noWrap/>
          </w:tcPr>
          <w:p w14:paraId="67325442"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Thermal insulation and photovoltaic systems installed in schools</w:t>
            </w:r>
          </w:p>
        </w:tc>
      </w:tr>
      <w:tr w:rsidR="003734A7" w:rsidRPr="00F7283F" w14:paraId="30DD8C17"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22385A0"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45</w:t>
            </w:r>
          </w:p>
        </w:tc>
        <w:tc>
          <w:tcPr>
            <w:tcW w:w="4536" w:type="dxa"/>
            <w:tcBorders>
              <w:top w:val="nil"/>
              <w:left w:val="nil"/>
              <w:bottom w:val="single" w:sz="4" w:space="0" w:color="auto"/>
              <w:right w:val="single" w:sz="4" w:space="0" w:color="auto"/>
            </w:tcBorders>
            <w:shd w:val="clear" w:color="auto" w:fill="C6EFCE"/>
            <w:noWrap/>
          </w:tcPr>
          <w:p w14:paraId="17CA251E"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C2.1I9</w:t>
            </w:r>
          </w:p>
          <w:p w14:paraId="40FEA925"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Forests fire protection</w:t>
            </w:r>
          </w:p>
        </w:tc>
        <w:tc>
          <w:tcPr>
            <w:tcW w:w="1559" w:type="dxa"/>
            <w:tcBorders>
              <w:top w:val="nil"/>
              <w:left w:val="nil"/>
              <w:bottom w:val="single" w:sz="4" w:space="0" w:color="auto"/>
              <w:right w:val="single" w:sz="4" w:space="0" w:color="auto"/>
            </w:tcBorders>
            <w:shd w:val="clear" w:color="auto" w:fill="C6EFCE"/>
            <w:noWrap/>
          </w:tcPr>
          <w:p w14:paraId="04ABC198"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4C2E8CD4"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Signing of 8 Agreements/ Contracts Signatures for the purchase of vehicles, equipment and provision of services and issue of call for tenders for the purchase of firefighting aircraft</w:t>
            </w:r>
          </w:p>
        </w:tc>
      </w:tr>
      <w:tr w:rsidR="003734A7" w:rsidRPr="00F7283F" w14:paraId="51B19B28"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E54177C"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71</w:t>
            </w:r>
          </w:p>
        </w:tc>
        <w:tc>
          <w:tcPr>
            <w:tcW w:w="4536" w:type="dxa"/>
            <w:tcBorders>
              <w:top w:val="nil"/>
              <w:left w:val="nil"/>
              <w:bottom w:val="single" w:sz="4" w:space="0" w:color="auto"/>
              <w:right w:val="single" w:sz="4" w:space="0" w:color="auto"/>
            </w:tcBorders>
            <w:shd w:val="clear" w:color="auto" w:fill="C6EFCE"/>
            <w:noWrap/>
          </w:tcPr>
          <w:p w14:paraId="3B15D4AD"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 xml:space="preserve">C2.3I3 </w:t>
            </w:r>
          </w:p>
          <w:p w14:paraId="4F8CC883"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Integrated Monitoring and Control Management System for the Water Development Department’s infrastructure</w:t>
            </w:r>
          </w:p>
        </w:tc>
        <w:tc>
          <w:tcPr>
            <w:tcW w:w="1559" w:type="dxa"/>
            <w:tcBorders>
              <w:top w:val="nil"/>
              <w:left w:val="nil"/>
              <w:bottom w:val="single" w:sz="4" w:space="0" w:color="auto"/>
              <w:right w:val="single" w:sz="4" w:space="0" w:color="auto"/>
            </w:tcBorders>
            <w:shd w:val="clear" w:color="auto" w:fill="C6EFCE"/>
            <w:noWrap/>
          </w:tcPr>
          <w:p w14:paraId="66F5375C"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6859A23B"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Completion of the detailed requirements analysis and system design document</w:t>
            </w:r>
          </w:p>
        </w:tc>
      </w:tr>
      <w:tr w:rsidR="003734A7" w:rsidRPr="00F7283F" w14:paraId="77E282B2"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59A32B0"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87</w:t>
            </w:r>
          </w:p>
        </w:tc>
        <w:tc>
          <w:tcPr>
            <w:tcW w:w="4536" w:type="dxa"/>
            <w:tcBorders>
              <w:top w:val="nil"/>
              <w:left w:val="nil"/>
              <w:bottom w:val="single" w:sz="4" w:space="0" w:color="auto"/>
              <w:right w:val="single" w:sz="4" w:space="0" w:color="auto"/>
            </w:tcBorders>
            <w:shd w:val="clear" w:color="auto" w:fill="C6EFCE"/>
            <w:noWrap/>
          </w:tcPr>
          <w:p w14:paraId="279745A8"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C3.1R2</w:t>
            </w:r>
          </w:p>
          <w:p w14:paraId="71580EF3"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On-line platform for improving the trade and information symmetry in the fresh produce supply chain</w:t>
            </w:r>
          </w:p>
        </w:tc>
        <w:tc>
          <w:tcPr>
            <w:tcW w:w="1559" w:type="dxa"/>
            <w:tcBorders>
              <w:top w:val="nil"/>
              <w:left w:val="nil"/>
              <w:bottom w:val="single" w:sz="4" w:space="0" w:color="auto"/>
              <w:right w:val="single" w:sz="4" w:space="0" w:color="auto"/>
            </w:tcBorders>
            <w:shd w:val="clear" w:color="auto" w:fill="C6EFCE"/>
            <w:noWrap/>
          </w:tcPr>
          <w:p w14:paraId="5A428712" w14:textId="1BC1500F"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4544B50D"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Law on unfair practices in transactions in the local fresh produce market</w:t>
            </w:r>
          </w:p>
        </w:tc>
      </w:tr>
      <w:tr w:rsidR="003734A7" w:rsidRPr="00F7283F" w14:paraId="0FA7DC49"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7BCD1BD" w14:textId="77777777" w:rsidR="003734A7" w:rsidRPr="00F7283F" w:rsidRDefault="003734A7" w:rsidP="00D8670B">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97</w:t>
            </w:r>
          </w:p>
        </w:tc>
        <w:tc>
          <w:tcPr>
            <w:tcW w:w="4536" w:type="dxa"/>
            <w:tcBorders>
              <w:top w:val="nil"/>
              <w:left w:val="nil"/>
              <w:bottom w:val="single" w:sz="4" w:space="0" w:color="auto"/>
              <w:right w:val="single" w:sz="4" w:space="0" w:color="auto"/>
            </w:tcBorders>
            <w:shd w:val="clear" w:color="auto" w:fill="C6EFCE"/>
            <w:noWrap/>
          </w:tcPr>
          <w:p w14:paraId="31C708DE"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C3.1I5</w:t>
            </w:r>
          </w:p>
          <w:p w14:paraId="3BABF1E2"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Creation of a National Commercial Identity and promotion of the traditional product “halloumi”</w:t>
            </w:r>
          </w:p>
        </w:tc>
        <w:tc>
          <w:tcPr>
            <w:tcW w:w="1559" w:type="dxa"/>
            <w:tcBorders>
              <w:top w:val="nil"/>
              <w:left w:val="nil"/>
              <w:bottom w:val="single" w:sz="4" w:space="0" w:color="auto"/>
              <w:right w:val="single" w:sz="4" w:space="0" w:color="auto"/>
            </w:tcBorders>
            <w:shd w:val="clear" w:color="auto" w:fill="C6EFCE"/>
            <w:noWrap/>
          </w:tcPr>
          <w:p w14:paraId="4E6B3EA5" w14:textId="77777777" w:rsidR="003734A7" w:rsidRPr="00F7283F" w:rsidRDefault="003734A7" w:rsidP="006C30BE">
            <w:pPr>
              <w:spacing w:after="0"/>
              <w:jc w:val="center"/>
              <w:rPr>
                <w:rFonts w:ascii="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034F2E17" w14:textId="77777777" w:rsidR="003734A7" w:rsidRPr="00F7283F" w:rsidRDefault="003734A7" w:rsidP="00BF5BEF">
            <w:pPr>
              <w:spacing w:after="0" w:line="278" w:lineRule="auto"/>
              <w:jc w:val="both"/>
              <w:rPr>
                <w:rFonts w:ascii="Times New Roman" w:hAnsi="Times New Roman" w:cs="Times New Roman"/>
                <w:noProof/>
                <w:sz w:val="18"/>
                <w:szCs w:val="18"/>
              </w:rPr>
            </w:pPr>
            <w:r w:rsidRPr="00F7283F">
              <w:rPr>
                <w:rFonts w:ascii="Times New Roman" w:hAnsi="Times New Roman" w:cs="Times New Roman"/>
                <w:noProof/>
                <w:sz w:val="18"/>
                <w:szCs w:val="18"/>
              </w:rPr>
              <w:t>Action Plans for (a) the “made in Cyprus” branding, and (b) for the promotion of the halloumi cheese</w:t>
            </w:r>
          </w:p>
        </w:tc>
      </w:tr>
      <w:tr w:rsidR="003734A7" w:rsidRPr="00F7283F" w14:paraId="5CDC5741"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5BA8B47"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105</w:t>
            </w:r>
          </w:p>
        </w:tc>
        <w:tc>
          <w:tcPr>
            <w:tcW w:w="4536" w:type="dxa"/>
            <w:tcBorders>
              <w:top w:val="nil"/>
              <w:left w:val="nil"/>
              <w:bottom w:val="single" w:sz="4" w:space="0" w:color="auto"/>
              <w:right w:val="single" w:sz="4" w:space="0" w:color="auto"/>
            </w:tcBorders>
            <w:shd w:val="clear" w:color="auto" w:fill="C6EFCE"/>
            <w:noWrap/>
          </w:tcPr>
          <w:p w14:paraId="507DFA75"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C3.1I9</w:t>
            </w:r>
          </w:p>
          <w:p w14:paraId="0BFE4847"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Promotion of circular economy in hotel establishments</w:t>
            </w:r>
          </w:p>
        </w:tc>
        <w:tc>
          <w:tcPr>
            <w:tcW w:w="1559" w:type="dxa"/>
            <w:tcBorders>
              <w:top w:val="nil"/>
              <w:left w:val="nil"/>
              <w:bottom w:val="single" w:sz="4" w:space="0" w:color="auto"/>
              <w:right w:val="single" w:sz="4" w:space="0" w:color="auto"/>
            </w:tcBorders>
            <w:shd w:val="clear" w:color="auto" w:fill="C6EFCE"/>
            <w:noWrap/>
          </w:tcPr>
          <w:p w14:paraId="3527833E"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Target</w:t>
            </w:r>
          </w:p>
        </w:tc>
        <w:tc>
          <w:tcPr>
            <w:tcW w:w="2266" w:type="dxa"/>
            <w:tcBorders>
              <w:top w:val="nil"/>
              <w:left w:val="nil"/>
              <w:bottom w:val="single" w:sz="4" w:space="0" w:color="auto"/>
              <w:right w:val="single" w:sz="4" w:space="0" w:color="auto"/>
            </w:tcBorders>
            <w:shd w:val="clear" w:color="auto" w:fill="C6EFCE"/>
            <w:noWrap/>
          </w:tcPr>
          <w:p w14:paraId="47E2A4E2"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Coaching scheme for circular economy</w:t>
            </w:r>
          </w:p>
        </w:tc>
      </w:tr>
      <w:tr w:rsidR="003734A7" w:rsidRPr="00F7283F" w14:paraId="547C9A1A"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C0C3AB3"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122</w:t>
            </w:r>
          </w:p>
        </w:tc>
        <w:tc>
          <w:tcPr>
            <w:tcW w:w="4536" w:type="dxa"/>
            <w:tcBorders>
              <w:top w:val="nil"/>
              <w:left w:val="nil"/>
              <w:bottom w:val="single" w:sz="4" w:space="0" w:color="auto"/>
              <w:right w:val="single" w:sz="4" w:space="0" w:color="auto"/>
            </w:tcBorders>
            <w:shd w:val="clear" w:color="auto" w:fill="C6EFCE"/>
            <w:noWrap/>
          </w:tcPr>
          <w:p w14:paraId="4C348F96"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C3.2R2</w:t>
            </w:r>
          </w:p>
          <w:p w14:paraId="17754DED"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Incentives for investments and human capital in R&amp;I</w:t>
            </w:r>
          </w:p>
        </w:tc>
        <w:tc>
          <w:tcPr>
            <w:tcW w:w="1559" w:type="dxa"/>
            <w:tcBorders>
              <w:top w:val="nil"/>
              <w:left w:val="nil"/>
              <w:bottom w:val="single" w:sz="4" w:space="0" w:color="auto"/>
              <w:right w:val="single" w:sz="4" w:space="0" w:color="auto"/>
            </w:tcBorders>
            <w:shd w:val="clear" w:color="auto" w:fill="C6EFCE"/>
            <w:noWrap/>
          </w:tcPr>
          <w:p w14:paraId="0A3B4E2C"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2032B5FE"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Tax exemption of legal entities for investing in innovative companies</w:t>
            </w:r>
          </w:p>
        </w:tc>
      </w:tr>
      <w:tr w:rsidR="003734A7" w:rsidRPr="00F7283F" w14:paraId="15B1EB05"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B30C690"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125</w:t>
            </w:r>
          </w:p>
        </w:tc>
        <w:tc>
          <w:tcPr>
            <w:tcW w:w="4536" w:type="dxa"/>
            <w:tcBorders>
              <w:top w:val="nil"/>
              <w:left w:val="nil"/>
              <w:bottom w:val="single" w:sz="4" w:space="0" w:color="auto"/>
              <w:right w:val="single" w:sz="4" w:space="0" w:color="auto"/>
            </w:tcBorders>
            <w:shd w:val="clear" w:color="auto" w:fill="C6EFCE"/>
            <w:noWrap/>
          </w:tcPr>
          <w:p w14:paraId="293E6A77"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C3.2I1</w:t>
            </w:r>
          </w:p>
          <w:p w14:paraId="5A871D23"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Set up and operate a central Knowledge Transfer Office (KTO)</w:t>
            </w:r>
          </w:p>
        </w:tc>
        <w:tc>
          <w:tcPr>
            <w:tcW w:w="1559" w:type="dxa"/>
            <w:tcBorders>
              <w:top w:val="nil"/>
              <w:left w:val="nil"/>
              <w:bottom w:val="single" w:sz="4" w:space="0" w:color="auto"/>
              <w:right w:val="single" w:sz="4" w:space="0" w:color="auto"/>
            </w:tcBorders>
            <w:shd w:val="clear" w:color="auto" w:fill="C6EFCE"/>
            <w:noWrap/>
          </w:tcPr>
          <w:p w14:paraId="0C75B39D"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A785718"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 xml:space="preserve">Launch of KTO </w:t>
            </w:r>
          </w:p>
        </w:tc>
      </w:tr>
      <w:tr w:rsidR="003734A7" w:rsidRPr="00F7283F" w14:paraId="50278414"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591D43D"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134</w:t>
            </w:r>
          </w:p>
        </w:tc>
        <w:tc>
          <w:tcPr>
            <w:tcW w:w="4536" w:type="dxa"/>
            <w:tcBorders>
              <w:top w:val="nil"/>
              <w:left w:val="nil"/>
              <w:bottom w:val="single" w:sz="4" w:space="0" w:color="auto"/>
              <w:right w:val="single" w:sz="4" w:space="0" w:color="auto"/>
            </w:tcBorders>
            <w:shd w:val="clear" w:color="auto" w:fill="C6EFCE"/>
            <w:noWrap/>
          </w:tcPr>
          <w:p w14:paraId="2688158F"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C3.3R1</w:t>
            </w:r>
          </w:p>
          <w:p w14:paraId="4DAFC9EB"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Facilitation of Strategic investments</w:t>
            </w:r>
          </w:p>
        </w:tc>
        <w:tc>
          <w:tcPr>
            <w:tcW w:w="1559" w:type="dxa"/>
            <w:tcBorders>
              <w:top w:val="nil"/>
              <w:left w:val="nil"/>
              <w:bottom w:val="single" w:sz="4" w:space="0" w:color="auto"/>
              <w:right w:val="single" w:sz="4" w:space="0" w:color="auto"/>
            </w:tcBorders>
            <w:shd w:val="clear" w:color="auto" w:fill="C6EFCE"/>
            <w:noWrap/>
          </w:tcPr>
          <w:p w14:paraId="6BE21456"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5B330A85"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Law for strategic investments</w:t>
            </w:r>
          </w:p>
        </w:tc>
      </w:tr>
      <w:tr w:rsidR="003734A7" w:rsidRPr="00F7283F" w14:paraId="061DF216"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702E576"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155</w:t>
            </w:r>
          </w:p>
        </w:tc>
        <w:tc>
          <w:tcPr>
            <w:tcW w:w="4536" w:type="dxa"/>
            <w:tcBorders>
              <w:top w:val="nil"/>
              <w:left w:val="nil"/>
              <w:bottom w:val="single" w:sz="4" w:space="0" w:color="auto"/>
              <w:right w:val="single" w:sz="4" w:space="0" w:color="auto"/>
            </w:tcBorders>
            <w:shd w:val="clear" w:color="auto" w:fill="C6EFCE"/>
            <w:noWrap/>
          </w:tcPr>
          <w:p w14:paraId="65298C73"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C3.4R1</w:t>
            </w:r>
          </w:p>
          <w:p w14:paraId="05FDF48B"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Enhance the administrative capacity and improve the functioning of public administration for better policy making and implementation</w:t>
            </w:r>
          </w:p>
        </w:tc>
        <w:tc>
          <w:tcPr>
            <w:tcW w:w="1559" w:type="dxa"/>
            <w:tcBorders>
              <w:top w:val="nil"/>
              <w:left w:val="nil"/>
              <w:bottom w:val="single" w:sz="4" w:space="0" w:color="auto"/>
              <w:right w:val="single" w:sz="4" w:space="0" w:color="auto"/>
            </w:tcBorders>
            <w:shd w:val="clear" w:color="auto" w:fill="C6EFCE"/>
            <w:noWrap/>
          </w:tcPr>
          <w:p w14:paraId="7A9B2706"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2D3509AA"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Action Plan on the efficient management of human resource issues in the national public administration</w:t>
            </w:r>
          </w:p>
          <w:p w14:paraId="66C09B98"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 xml:space="preserve"> </w:t>
            </w:r>
          </w:p>
        </w:tc>
      </w:tr>
      <w:tr w:rsidR="003734A7" w:rsidRPr="00F7283F" w14:paraId="3EC6EDE2"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5DCDDA1"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187</w:t>
            </w:r>
          </w:p>
        </w:tc>
        <w:tc>
          <w:tcPr>
            <w:tcW w:w="4536" w:type="dxa"/>
            <w:tcBorders>
              <w:top w:val="nil"/>
              <w:left w:val="nil"/>
              <w:bottom w:val="single" w:sz="4" w:space="0" w:color="auto"/>
              <w:right w:val="single" w:sz="4" w:space="0" w:color="auto"/>
            </w:tcBorders>
            <w:shd w:val="clear" w:color="auto" w:fill="C6EFCE"/>
            <w:noWrap/>
          </w:tcPr>
          <w:p w14:paraId="452F46B3"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C3.4R10</w:t>
            </w:r>
          </w:p>
          <w:p w14:paraId="41B8195E"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Improving the legal and institutional framework for fighting corruption</w:t>
            </w:r>
          </w:p>
        </w:tc>
        <w:tc>
          <w:tcPr>
            <w:tcW w:w="1559" w:type="dxa"/>
            <w:tcBorders>
              <w:top w:val="nil"/>
              <w:left w:val="nil"/>
              <w:bottom w:val="single" w:sz="4" w:space="0" w:color="auto"/>
              <w:right w:val="single" w:sz="4" w:space="0" w:color="auto"/>
            </w:tcBorders>
            <w:shd w:val="clear" w:color="auto" w:fill="C6EFCE"/>
            <w:noWrap/>
          </w:tcPr>
          <w:p w14:paraId="4EB20AE8"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1F59455E"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 xml:space="preserve">Entry into force of the law establishing the Independent Authority against Corruption </w:t>
            </w:r>
          </w:p>
        </w:tc>
      </w:tr>
      <w:tr w:rsidR="003734A7" w:rsidRPr="00F7283F" w14:paraId="47F7DA04"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0A0BC8F"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207a</w:t>
            </w:r>
          </w:p>
        </w:tc>
        <w:tc>
          <w:tcPr>
            <w:tcW w:w="4536" w:type="dxa"/>
            <w:tcBorders>
              <w:top w:val="nil"/>
              <w:left w:val="nil"/>
              <w:bottom w:val="single" w:sz="4" w:space="0" w:color="auto"/>
              <w:right w:val="single" w:sz="4" w:space="0" w:color="auto"/>
            </w:tcBorders>
            <w:shd w:val="clear" w:color="auto" w:fill="C6EFCE"/>
            <w:noWrap/>
          </w:tcPr>
          <w:p w14:paraId="616EA266" w14:textId="045F4AA6"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C3.5R9</w:t>
            </w:r>
            <w:r w:rsidR="00064579" w:rsidRPr="00F7283F">
              <w:rPr>
                <w:rFonts w:ascii="Times New Roman" w:hAnsi="Times New Roman" w:cs="Times New Roman"/>
                <w:noProof/>
                <w:sz w:val="18"/>
                <w:szCs w:val="18"/>
              </w:rPr>
              <w:t xml:space="preserve"> </w:t>
            </w:r>
            <w:r w:rsidRPr="00F7283F">
              <w:rPr>
                <w:rFonts w:ascii="Times New Roman" w:hAnsi="Times New Roman" w:cs="Times New Roman"/>
                <w:noProof/>
                <w:sz w:val="18"/>
                <w:szCs w:val="18"/>
              </w:rPr>
              <w:br/>
              <w:t>Improving tax collection and effectiveness of the Tax Department</w:t>
            </w:r>
          </w:p>
        </w:tc>
        <w:tc>
          <w:tcPr>
            <w:tcW w:w="1559" w:type="dxa"/>
            <w:tcBorders>
              <w:top w:val="nil"/>
              <w:left w:val="nil"/>
              <w:bottom w:val="single" w:sz="4" w:space="0" w:color="auto"/>
              <w:right w:val="single" w:sz="4" w:space="0" w:color="auto"/>
            </w:tcBorders>
            <w:shd w:val="clear" w:color="auto" w:fill="C6EFCE"/>
            <w:noWrap/>
          </w:tcPr>
          <w:p w14:paraId="6C5904FC"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2E2120E6" w14:textId="0CCDEC09"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Operation of VAT Services within an</w:t>
            </w:r>
            <w:r w:rsidR="00064579" w:rsidRPr="00F7283F">
              <w:rPr>
                <w:rFonts w:ascii="Times New Roman" w:hAnsi="Times New Roman" w:cs="Times New Roman"/>
                <w:noProof/>
                <w:sz w:val="18"/>
                <w:szCs w:val="18"/>
              </w:rPr>
              <w:t xml:space="preserve"> </w:t>
            </w:r>
            <w:r w:rsidRPr="00F7283F">
              <w:rPr>
                <w:rFonts w:ascii="Times New Roman" w:hAnsi="Times New Roman" w:cs="Times New Roman"/>
                <w:noProof/>
                <w:sz w:val="18"/>
                <w:szCs w:val="18"/>
              </w:rPr>
              <w:t>Integrated Tax Administration System (ITAS)</w:t>
            </w:r>
          </w:p>
        </w:tc>
      </w:tr>
      <w:tr w:rsidR="003734A7" w:rsidRPr="00F7283F" w14:paraId="0B5A7AEC"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A73A9B7"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214</w:t>
            </w:r>
          </w:p>
        </w:tc>
        <w:tc>
          <w:tcPr>
            <w:tcW w:w="4536" w:type="dxa"/>
            <w:tcBorders>
              <w:top w:val="nil"/>
              <w:left w:val="nil"/>
              <w:bottom w:val="single" w:sz="4" w:space="0" w:color="auto"/>
              <w:right w:val="single" w:sz="4" w:space="0" w:color="auto"/>
            </w:tcBorders>
            <w:shd w:val="clear" w:color="auto" w:fill="C6EFCE"/>
            <w:noWrap/>
          </w:tcPr>
          <w:p w14:paraId="1242984A" w14:textId="77777777" w:rsidR="003734A7" w:rsidRPr="00F7283F" w:rsidRDefault="003734A7" w:rsidP="00D8670B">
            <w:pPr>
              <w:spacing w:after="0" w:line="240" w:lineRule="auto"/>
              <w:rPr>
                <w:rFonts w:ascii="Times New Roman" w:hAnsi="Times New Roman" w:cs="Times New Roman"/>
                <w:noProof/>
                <w:sz w:val="18"/>
                <w:szCs w:val="18"/>
              </w:rPr>
            </w:pPr>
            <w:r w:rsidRPr="00F7283F">
              <w:rPr>
                <w:rFonts w:ascii="Times New Roman" w:hAnsi="Times New Roman" w:cs="Times New Roman"/>
                <w:noProof/>
                <w:sz w:val="18"/>
                <w:szCs w:val="18"/>
              </w:rPr>
              <w:t>C4.1R1</w:t>
            </w:r>
          </w:p>
          <w:p w14:paraId="1FD91B50"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Empower the National Regulatory Authority (OCECPR)</w:t>
            </w:r>
          </w:p>
        </w:tc>
        <w:tc>
          <w:tcPr>
            <w:tcW w:w="1559" w:type="dxa"/>
            <w:tcBorders>
              <w:top w:val="nil"/>
              <w:left w:val="nil"/>
              <w:bottom w:val="single" w:sz="4" w:space="0" w:color="auto"/>
              <w:right w:val="single" w:sz="4" w:space="0" w:color="auto"/>
            </w:tcBorders>
            <w:shd w:val="clear" w:color="auto" w:fill="C6EFCE"/>
            <w:noWrap/>
          </w:tcPr>
          <w:p w14:paraId="66F98A07"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0E3110B4"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 xml:space="preserve">Launch of the geographical survey and entry into force of secondary legislation </w:t>
            </w:r>
          </w:p>
        </w:tc>
      </w:tr>
      <w:tr w:rsidR="003734A7" w:rsidRPr="00F7283F" w14:paraId="145815EA"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92A65AF" w14:textId="77777777" w:rsidR="003734A7" w:rsidRPr="00F7283F" w:rsidRDefault="003734A7" w:rsidP="00D8670B">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233</w:t>
            </w:r>
          </w:p>
        </w:tc>
        <w:tc>
          <w:tcPr>
            <w:tcW w:w="4536" w:type="dxa"/>
            <w:tcBorders>
              <w:top w:val="nil"/>
              <w:left w:val="nil"/>
              <w:bottom w:val="single" w:sz="4" w:space="0" w:color="auto"/>
              <w:right w:val="single" w:sz="4" w:space="0" w:color="auto"/>
            </w:tcBorders>
            <w:shd w:val="clear" w:color="auto" w:fill="C6EFCE"/>
            <w:noWrap/>
          </w:tcPr>
          <w:p w14:paraId="5A8BBC05"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C4.2I1</w:t>
            </w:r>
          </w:p>
          <w:p w14:paraId="3DB8F6AA"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Digitalisation in various Central Government Ministries – Services</w:t>
            </w:r>
          </w:p>
        </w:tc>
        <w:tc>
          <w:tcPr>
            <w:tcW w:w="1559" w:type="dxa"/>
            <w:tcBorders>
              <w:top w:val="nil"/>
              <w:left w:val="nil"/>
              <w:bottom w:val="single" w:sz="4" w:space="0" w:color="auto"/>
              <w:right w:val="single" w:sz="4" w:space="0" w:color="auto"/>
            </w:tcBorders>
            <w:shd w:val="clear" w:color="auto" w:fill="C6EFCE"/>
            <w:noWrap/>
          </w:tcPr>
          <w:p w14:paraId="7BDBB258" w14:textId="77777777" w:rsidR="003734A7" w:rsidRPr="00F7283F" w:rsidRDefault="003734A7" w:rsidP="006C30BE">
            <w:pPr>
              <w:spacing w:after="0"/>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Target</w:t>
            </w:r>
          </w:p>
        </w:tc>
        <w:tc>
          <w:tcPr>
            <w:tcW w:w="2266" w:type="dxa"/>
            <w:tcBorders>
              <w:top w:val="nil"/>
              <w:left w:val="nil"/>
              <w:bottom w:val="single" w:sz="4" w:space="0" w:color="auto"/>
              <w:right w:val="single" w:sz="4" w:space="0" w:color="auto"/>
            </w:tcBorders>
            <w:shd w:val="clear" w:color="auto" w:fill="C6EFCE"/>
            <w:noWrap/>
          </w:tcPr>
          <w:p w14:paraId="3655CAF6"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Start of the digital upgrade of a number of central government ministries and departments</w:t>
            </w:r>
          </w:p>
        </w:tc>
      </w:tr>
      <w:tr w:rsidR="003734A7" w:rsidRPr="00F7283F" w14:paraId="69E0879F" w14:textId="77777777" w:rsidTr="00F7283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24D5D9F" w14:textId="77777777" w:rsidR="003734A7" w:rsidRPr="00F7283F" w:rsidRDefault="003734A7" w:rsidP="00D8670B">
            <w:pPr>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278</w:t>
            </w:r>
          </w:p>
        </w:tc>
        <w:tc>
          <w:tcPr>
            <w:tcW w:w="4536" w:type="dxa"/>
            <w:tcBorders>
              <w:top w:val="nil"/>
              <w:left w:val="nil"/>
              <w:bottom w:val="single" w:sz="4" w:space="0" w:color="auto"/>
              <w:right w:val="single" w:sz="4" w:space="0" w:color="auto"/>
            </w:tcBorders>
            <w:shd w:val="clear" w:color="auto" w:fill="C6EFCE"/>
            <w:noWrap/>
          </w:tcPr>
          <w:p w14:paraId="3D0D454C" w14:textId="77777777" w:rsidR="003734A7" w:rsidRPr="00F7283F" w:rsidRDefault="003734A7" w:rsidP="00D8670B">
            <w:pPr>
              <w:spacing w:after="0"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 xml:space="preserve">C7.1R1 </w:t>
            </w:r>
          </w:p>
          <w:p w14:paraId="412858B7" w14:textId="77777777" w:rsidR="003734A7" w:rsidRPr="00F7283F" w:rsidRDefault="003734A7" w:rsidP="00D8670B">
            <w:pPr>
              <w:spacing w:line="240" w:lineRule="auto"/>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Arrangements for the control framework of the Recovery and Resilience Plan</w:t>
            </w:r>
          </w:p>
        </w:tc>
        <w:tc>
          <w:tcPr>
            <w:tcW w:w="1559" w:type="dxa"/>
            <w:tcBorders>
              <w:top w:val="nil"/>
              <w:left w:val="nil"/>
              <w:bottom w:val="single" w:sz="4" w:space="0" w:color="auto"/>
              <w:right w:val="single" w:sz="4" w:space="0" w:color="auto"/>
            </w:tcBorders>
            <w:shd w:val="clear" w:color="auto" w:fill="C6EFCE"/>
            <w:noWrap/>
          </w:tcPr>
          <w:p w14:paraId="43E031BB" w14:textId="77777777" w:rsidR="003734A7" w:rsidRPr="00F7283F" w:rsidRDefault="003734A7" w:rsidP="006C30BE">
            <w:pPr>
              <w:jc w:val="center"/>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Milestone</w:t>
            </w:r>
          </w:p>
        </w:tc>
        <w:tc>
          <w:tcPr>
            <w:tcW w:w="2266" w:type="dxa"/>
            <w:tcBorders>
              <w:top w:val="nil"/>
              <w:left w:val="nil"/>
              <w:bottom w:val="single" w:sz="4" w:space="0" w:color="auto"/>
              <w:right w:val="single" w:sz="4" w:space="0" w:color="auto"/>
            </w:tcBorders>
            <w:shd w:val="clear" w:color="auto" w:fill="C6EFCE"/>
            <w:noWrap/>
          </w:tcPr>
          <w:p w14:paraId="0AE0B731" w14:textId="77777777" w:rsidR="003734A7" w:rsidRPr="00F7283F" w:rsidRDefault="003734A7" w:rsidP="00BF5BEF">
            <w:pPr>
              <w:spacing w:after="0" w:line="278" w:lineRule="auto"/>
              <w:jc w:val="both"/>
              <w:rPr>
                <w:rFonts w:ascii="Times New Roman" w:eastAsia="Times New Roman" w:hAnsi="Times New Roman" w:cs="Times New Roman"/>
                <w:noProof/>
                <w:sz w:val="18"/>
                <w:szCs w:val="18"/>
              </w:rPr>
            </w:pPr>
            <w:r w:rsidRPr="00F7283F">
              <w:rPr>
                <w:rFonts w:ascii="Times New Roman" w:hAnsi="Times New Roman" w:cs="Times New Roman"/>
                <w:noProof/>
                <w:sz w:val="18"/>
                <w:szCs w:val="18"/>
              </w:rPr>
              <w:t>Clear delimitation between control and implementation duties</w:t>
            </w:r>
          </w:p>
        </w:tc>
      </w:tr>
      <w:tr w:rsidR="003734A7" w:rsidRPr="00F7283F" w14:paraId="27471D0E" w14:textId="77777777" w:rsidTr="00F7283F">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BFE123" w14:textId="77777777" w:rsidR="003734A7" w:rsidRPr="00F7283F" w:rsidRDefault="003734A7" w:rsidP="00D8670B">
            <w:pPr>
              <w:spacing w:after="0"/>
              <w:jc w:val="center"/>
              <w:rPr>
                <w:rFonts w:ascii="Times New Roman" w:eastAsia="Times New Roman" w:hAnsi="Times New Roman" w:cs="Times New Roman"/>
                <w:noProof/>
                <w:color w:val="006100"/>
                <w:sz w:val="18"/>
                <w:szCs w:val="18"/>
                <w:lang w:eastAsia="en-GB"/>
              </w:rPr>
            </w:pPr>
          </w:p>
        </w:tc>
        <w:tc>
          <w:tcPr>
            <w:tcW w:w="4536" w:type="dxa"/>
            <w:tcBorders>
              <w:top w:val="single" w:sz="4" w:space="0" w:color="auto"/>
              <w:left w:val="nil"/>
              <w:bottom w:val="single" w:sz="4" w:space="0" w:color="auto"/>
              <w:right w:val="single" w:sz="4" w:space="0" w:color="auto"/>
            </w:tcBorders>
            <w:shd w:val="clear" w:color="auto" w:fill="C6EFCE"/>
            <w:noWrap/>
            <w:vAlign w:val="bottom"/>
          </w:tcPr>
          <w:p w14:paraId="0D2CD7A8" w14:textId="77777777" w:rsidR="003734A7" w:rsidRPr="00F7283F" w:rsidRDefault="003734A7" w:rsidP="00D8670B">
            <w:pPr>
              <w:spacing w:after="0"/>
              <w:rPr>
                <w:rFonts w:ascii="Times New Roman" w:eastAsia="Times New Roman" w:hAnsi="Times New Roman" w:cs="Times New Roman"/>
                <w:noProof/>
                <w:color w:val="006100"/>
                <w:sz w:val="18"/>
                <w:szCs w:val="18"/>
                <w:lang w:eastAsia="en-GB"/>
              </w:rPr>
            </w:pPr>
          </w:p>
        </w:tc>
        <w:tc>
          <w:tcPr>
            <w:tcW w:w="1559" w:type="dxa"/>
            <w:tcBorders>
              <w:top w:val="single" w:sz="4" w:space="0" w:color="auto"/>
              <w:left w:val="nil"/>
              <w:bottom w:val="single" w:sz="4" w:space="0" w:color="auto"/>
              <w:right w:val="single" w:sz="4" w:space="0" w:color="auto"/>
            </w:tcBorders>
            <w:shd w:val="clear" w:color="auto" w:fill="C6EFCE"/>
            <w:noWrap/>
            <w:vAlign w:val="bottom"/>
            <w:hideMark/>
          </w:tcPr>
          <w:p w14:paraId="0C59F6A4" w14:textId="77777777" w:rsidR="003734A7" w:rsidRPr="00F7283F" w:rsidRDefault="003734A7" w:rsidP="006C30BE">
            <w:pPr>
              <w:spacing w:after="0"/>
              <w:jc w:val="center"/>
              <w:rPr>
                <w:rFonts w:ascii="Times New Roman" w:eastAsia="Times New Roman" w:hAnsi="Times New Roman" w:cs="Times New Roman"/>
                <w:noProof/>
                <w:color w:val="006100"/>
                <w:sz w:val="18"/>
                <w:szCs w:val="18"/>
              </w:rPr>
            </w:pPr>
            <w:r w:rsidRPr="00F7283F">
              <w:rPr>
                <w:rFonts w:ascii="Times New Roman" w:hAnsi="Times New Roman" w:cs="Times New Roman"/>
                <w:noProof/>
                <w:color w:val="006100"/>
                <w:sz w:val="18"/>
                <w:szCs w:val="18"/>
              </w:rPr>
              <w:t>Instalment Amount</w:t>
            </w:r>
          </w:p>
        </w:tc>
        <w:tc>
          <w:tcPr>
            <w:tcW w:w="2266" w:type="dxa"/>
            <w:tcBorders>
              <w:top w:val="single" w:sz="4" w:space="0" w:color="auto"/>
              <w:left w:val="nil"/>
              <w:bottom w:val="single" w:sz="4" w:space="0" w:color="auto"/>
              <w:right w:val="single" w:sz="4" w:space="0" w:color="auto"/>
            </w:tcBorders>
            <w:shd w:val="clear" w:color="auto" w:fill="C6EFCE"/>
            <w:noWrap/>
            <w:vAlign w:val="bottom"/>
            <w:hideMark/>
          </w:tcPr>
          <w:p w14:paraId="7257A44D" w14:textId="0570286F" w:rsidR="003734A7" w:rsidRPr="00F7283F" w:rsidRDefault="003734A7" w:rsidP="000345F8">
            <w:pPr>
              <w:spacing w:after="0" w:line="278" w:lineRule="auto"/>
              <w:rPr>
                <w:rFonts w:ascii="Times New Roman" w:eastAsia="Times New Roman" w:hAnsi="Times New Roman" w:cs="Times New Roman"/>
                <w:noProof/>
                <w:color w:val="006100"/>
                <w:sz w:val="18"/>
                <w:szCs w:val="18"/>
              </w:rPr>
            </w:pPr>
            <w:r w:rsidRPr="00F7283F">
              <w:rPr>
                <w:rFonts w:ascii="Times New Roman" w:hAnsi="Times New Roman" w:cs="Times New Roman"/>
                <w:noProof/>
                <w:color w:val="006100"/>
                <w:sz w:val="18"/>
                <w:szCs w:val="18"/>
              </w:rPr>
              <w:t>EUR</w:t>
            </w:r>
            <w:r w:rsidR="00BF5BEF" w:rsidRPr="00F7283F">
              <w:rPr>
                <w:rFonts w:ascii="Times New Roman" w:hAnsi="Times New Roman" w:cs="Times New Roman"/>
                <w:noProof/>
                <w:color w:val="006100"/>
                <w:sz w:val="18"/>
                <w:szCs w:val="18"/>
              </w:rPr>
              <w:t> </w:t>
            </w:r>
            <w:r w:rsidRPr="00F7283F">
              <w:rPr>
                <w:rFonts w:ascii="Times New Roman" w:hAnsi="Times New Roman" w:cs="Times New Roman"/>
                <w:noProof/>
                <w:color w:val="006100"/>
                <w:sz w:val="18"/>
                <w:szCs w:val="18"/>
              </w:rPr>
              <w:t>87 136 829</w:t>
            </w:r>
          </w:p>
        </w:tc>
      </w:tr>
    </w:tbl>
    <w:p w14:paraId="6E3257F5" w14:textId="77777777" w:rsidR="003734A7" w:rsidRDefault="003734A7" w:rsidP="00D8670B">
      <w:pPr>
        <w:rPr>
          <w:noProof/>
        </w:rPr>
      </w:pPr>
    </w:p>
    <w:p w14:paraId="2A4826B3" w14:textId="77777777" w:rsidR="00BF5BEF" w:rsidRDefault="00BF5BEF" w:rsidP="00D8670B">
      <w:pPr>
        <w:rPr>
          <w:noProof/>
        </w:rPr>
      </w:pPr>
    </w:p>
    <w:p w14:paraId="2ADF3ED3" w14:textId="0BD3EF8B" w:rsidR="00DF6327" w:rsidRDefault="00DF6327">
      <w:pPr>
        <w:rPr>
          <w:noProof/>
        </w:rPr>
      </w:pPr>
      <w:r>
        <w:rPr>
          <w:noProof/>
        </w:rPr>
        <w:br w:type="page"/>
      </w:r>
    </w:p>
    <w:p w14:paraId="1C6542D9" w14:textId="77777777" w:rsidR="003734A7" w:rsidRPr="000F04FA" w:rsidRDefault="003734A7" w:rsidP="00D8670B">
      <w:pPr>
        <w:pStyle w:val="NumPar2"/>
        <w:tabs>
          <w:tab w:val="num" w:pos="850"/>
        </w:tabs>
        <w:ind w:left="850" w:hanging="850"/>
        <w:rPr>
          <w:noProof/>
          <w:lang w:val="en-US"/>
        </w:rPr>
      </w:pPr>
      <w:r w:rsidRPr="000F04FA">
        <w:rPr>
          <w:noProof/>
          <w:lang w:val="en-US"/>
        </w:rPr>
        <w:t xml:space="preserve">Third Instalment (non-repayable support): </w:t>
      </w:r>
    </w:p>
    <w:tbl>
      <w:tblPr>
        <w:tblW w:w="1006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1559"/>
        <w:gridCol w:w="2266"/>
      </w:tblGrid>
      <w:tr w:rsidR="003734A7" w:rsidRPr="006C30BE" w14:paraId="547BCAA4" w14:textId="77777777" w:rsidTr="006C30BE">
        <w:trPr>
          <w:cantSplit/>
          <w:trHeight w:val="509"/>
          <w:tblHeader/>
        </w:trPr>
        <w:tc>
          <w:tcPr>
            <w:tcW w:w="1702" w:type="dxa"/>
            <w:vMerge w:val="restart"/>
            <w:shd w:val="clear" w:color="auto" w:fill="BDD7EE"/>
            <w:vAlign w:val="center"/>
            <w:hideMark/>
          </w:tcPr>
          <w:p w14:paraId="73C24796" w14:textId="77777777" w:rsidR="003734A7" w:rsidRPr="006C30BE" w:rsidRDefault="003734A7" w:rsidP="00D8670B">
            <w:pPr>
              <w:spacing w:after="0"/>
              <w:jc w:val="center"/>
              <w:rPr>
                <w:rFonts w:ascii="Times New Roman" w:eastAsia="Times New Roman" w:hAnsi="Times New Roman" w:cs="Times New Roman"/>
                <w:b/>
                <w:noProof/>
                <w:sz w:val="18"/>
                <w:szCs w:val="18"/>
              </w:rPr>
            </w:pPr>
            <w:r w:rsidRPr="006C30BE">
              <w:rPr>
                <w:rFonts w:ascii="Times New Roman" w:hAnsi="Times New Roman" w:cs="Times New Roman"/>
                <w:b/>
                <w:noProof/>
                <w:sz w:val="18"/>
                <w:szCs w:val="18"/>
              </w:rPr>
              <w:t>Sequential Number</w:t>
            </w:r>
          </w:p>
        </w:tc>
        <w:tc>
          <w:tcPr>
            <w:tcW w:w="4536" w:type="dxa"/>
            <w:vMerge w:val="restart"/>
            <w:shd w:val="clear" w:color="auto" w:fill="BDD7EE"/>
            <w:vAlign w:val="center"/>
            <w:hideMark/>
          </w:tcPr>
          <w:p w14:paraId="7F412DA4" w14:textId="77777777" w:rsidR="003734A7" w:rsidRPr="006C30BE" w:rsidRDefault="003734A7" w:rsidP="00D8670B">
            <w:pPr>
              <w:spacing w:after="0"/>
              <w:jc w:val="center"/>
              <w:rPr>
                <w:rFonts w:ascii="Times New Roman" w:eastAsia="Times New Roman" w:hAnsi="Times New Roman" w:cs="Times New Roman"/>
                <w:b/>
                <w:noProof/>
                <w:sz w:val="18"/>
                <w:szCs w:val="18"/>
              </w:rPr>
            </w:pPr>
            <w:r w:rsidRPr="006C30BE">
              <w:rPr>
                <w:rFonts w:ascii="Times New Roman" w:hAnsi="Times New Roman" w:cs="Times New Roman"/>
                <w:b/>
                <w:noProof/>
                <w:sz w:val="18"/>
                <w:szCs w:val="18"/>
              </w:rPr>
              <w:t>Related Measure (Reform or Investment)</w:t>
            </w:r>
          </w:p>
        </w:tc>
        <w:tc>
          <w:tcPr>
            <w:tcW w:w="1559" w:type="dxa"/>
            <w:vMerge w:val="restart"/>
            <w:shd w:val="clear" w:color="auto" w:fill="BDD7EE"/>
            <w:vAlign w:val="center"/>
            <w:hideMark/>
          </w:tcPr>
          <w:p w14:paraId="0280D901" w14:textId="6F394370" w:rsidR="003734A7" w:rsidRPr="006C30BE" w:rsidRDefault="003734A7" w:rsidP="006C30BE">
            <w:pPr>
              <w:spacing w:after="0"/>
              <w:jc w:val="center"/>
              <w:rPr>
                <w:rFonts w:ascii="Times New Roman" w:eastAsia="Times New Roman" w:hAnsi="Times New Roman" w:cs="Times New Roman"/>
                <w:b/>
                <w:noProof/>
                <w:sz w:val="18"/>
                <w:szCs w:val="18"/>
              </w:rPr>
            </w:pPr>
            <w:r w:rsidRPr="006C30BE">
              <w:rPr>
                <w:rFonts w:ascii="Times New Roman" w:hAnsi="Times New Roman" w:cs="Times New Roman"/>
                <w:b/>
                <w:noProof/>
                <w:sz w:val="18"/>
                <w:szCs w:val="18"/>
              </w:rPr>
              <w:t>Milestone/Target</w:t>
            </w:r>
          </w:p>
        </w:tc>
        <w:tc>
          <w:tcPr>
            <w:tcW w:w="2266" w:type="dxa"/>
            <w:vMerge w:val="restart"/>
            <w:shd w:val="clear" w:color="auto" w:fill="BDD7EE"/>
            <w:vAlign w:val="center"/>
            <w:hideMark/>
          </w:tcPr>
          <w:p w14:paraId="2411A88C" w14:textId="77777777" w:rsidR="003734A7" w:rsidRPr="006C30BE" w:rsidRDefault="003734A7" w:rsidP="006C30BE">
            <w:pPr>
              <w:spacing w:after="0"/>
              <w:jc w:val="center"/>
              <w:rPr>
                <w:rFonts w:ascii="Times New Roman" w:eastAsia="Times New Roman" w:hAnsi="Times New Roman" w:cs="Times New Roman"/>
                <w:b/>
                <w:noProof/>
                <w:sz w:val="18"/>
                <w:szCs w:val="18"/>
              </w:rPr>
            </w:pPr>
            <w:r w:rsidRPr="006C30BE">
              <w:rPr>
                <w:rFonts w:ascii="Times New Roman" w:hAnsi="Times New Roman" w:cs="Times New Roman"/>
                <w:b/>
                <w:noProof/>
                <w:sz w:val="18"/>
                <w:szCs w:val="18"/>
              </w:rPr>
              <w:t>Name</w:t>
            </w:r>
          </w:p>
        </w:tc>
      </w:tr>
      <w:tr w:rsidR="003734A7" w:rsidRPr="006C30BE" w14:paraId="4967C44A" w14:textId="77777777" w:rsidTr="006C30BE">
        <w:trPr>
          <w:cantSplit/>
          <w:trHeight w:val="509"/>
          <w:tblHeader/>
        </w:trPr>
        <w:tc>
          <w:tcPr>
            <w:tcW w:w="1702" w:type="dxa"/>
            <w:vMerge/>
            <w:vAlign w:val="center"/>
            <w:hideMark/>
          </w:tcPr>
          <w:p w14:paraId="2C19E6DF" w14:textId="77777777" w:rsidR="003734A7" w:rsidRPr="006C30BE" w:rsidRDefault="003734A7" w:rsidP="00D8670B">
            <w:pPr>
              <w:spacing w:after="0"/>
              <w:rPr>
                <w:rFonts w:ascii="Times New Roman" w:eastAsia="Times New Roman" w:hAnsi="Times New Roman" w:cs="Times New Roman"/>
                <w:b/>
                <w:noProof/>
                <w:sz w:val="18"/>
                <w:szCs w:val="18"/>
                <w:lang w:eastAsia="en-GB"/>
              </w:rPr>
            </w:pPr>
          </w:p>
        </w:tc>
        <w:tc>
          <w:tcPr>
            <w:tcW w:w="4536" w:type="dxa"/>
            <w:vMerge/>
            <w:vAlign w:val="center"/>
            <w:hideMark/>
          </w:tcPr>
          <w:p w14:paraId="78BAC510" w14:textId="77777777" w:rsidR="003734A7" w:rsidRPr="006C30BE" w:rsidRDefault="003734A7" w:rsidP="00D8670B">
            <w:pPr>
              <w:spacing w:after="0"/>
              <w:rPr>
                <w:rFonts w:ascii="Times New Roman" w:eastAsia="Times New Roman" w:hAnsi="Times New Roman" w:cs="Times New Roman"/>
                <w:b/>
                <w:noProof/>
                <w:sz w:val="18"/>
                <w:szCs w:val="18"/>
                <w:lang w:eastAsia="en-GB"/>
              </w:rPr>
            </w:pPr>
          </w:p>
        </w:tc>
        <w:tc>
          <w:tcPr>
            <w:tcW w:w="1559" w:type="dxa"/>
            <w:vMerge/>
            <w:vAlign w:val="center"/>
            <w:hideMark/>
          </w:tcPr>
          <w:p w14:paraId="3026DEAA" w14:textId="77777777" w:rsidR="003734A7" w:rsidRPr="006C30BE" w:rsidRDefault="003734A7" w:rsidP="006C30BE">
            <w:pPr>
              <w:spacing w:after="0"/>
              <w:jc w:val="center"/>
              <w:rPr>
                <w:rFonts w:ascii="Times New Roman" w:eastAsia="Times New Roman" w:hAnsi="Times New Roman" w:cs="Times New Roman"/>
                <w:b/>
                <w:noProof/>
                <w:sz w:val="18"/>
                <w:szCs w:val="18"/>
                <w:lang w:eastAsia="en-GB"/>
              </w:rPr>
            </w:pPr>
          </w:p>
        </w:tc>
        <w:tc>
          <w:tcPr>
            <w:tcW w:w="2266" w:type="dxa"/>
            <w:vMerge/>
            <w:vAlign w:val="center"/>
            <w:hideMark/>
          </w:tcPr>
          <w:p w14:paraId="5E38F04E" w14:textId="77777777" w:rsidR="003734A7" w:rsidRPr="006C30BE" w:rsidRDefault="003734A7" w:rsidP="006C30BE">
            <w:pPr>
              <w:spacing w:after="0"/>
              <w:jc w:val="both"/>
              <w:rPr>
                <w:rFonts w:ascii="Times New Roman" w:eastAsia="Times New Roman" w:hAnsi="Times New Roman" w:cs="Times New Roman"/>
                <w:b/>
                <w:noProof/>
                <w:sz w:val="18"/>
                <w:szCs w:val="18"/>
                <w:lang w:eastAsia="en-GB"/>
              </w:rPr>
            </w:pPr>
          </w:p>
        </w:tc>
      </w:tr>
      <w:tr w:rsidR="003734A7" w:rsidRPr="006C30BE" w14:paraId="09D18563" w14:textId="77777777" w:rsidTr="006C30BE">
        <w:trPr>
          <w:cantSplit/>
          <w:trHeight w:val="302"/>
        </w:trPr>
        <w:tc>
          <w:tcPr>
            <w:tcW w:w="1702" w:type="dxa"/>
            <w:shd w:val="clear" w:color="auto" w:fill="C6EFCE"/>
            <w:noWrap/>
          </w:tcPr>
          <w:p w14:paraId="2CE23090" w14:textId="77777777" w:rsidR="003734A7" w:rsidRPr="006C30BE" w:rsidRDefault="003734A7" w:rsidP="00D8670B">
            <w:pPr>
              <w:spacing w:after="0"/>
              <w:jc w:val="center"/>
              <w:rPr>
                <w:rFonts w:ascii="Times New Roman" w:eastAsia="Times New Roman" w:hAnsi="Times New Roman" w:cs="Times New Roman"/>
                <w:noProof/>
                <w:color w:val="006100"/>
                <w:sz w:val="18"/>
                <w:szCs w:val="18"/>
              </w:rPr>
            </w:pPr>
            <w:r w:rsidRPr="006C30BE">
              <w:rPr>
                <w:rFonts w:ascii="Times New Roman" w:hAnsi="Times New Roman" w:cs="Times New Roman"/>
                <w:noProof/>
                <w:sz w:val="18"/>
                <w:szCs w:val="18"/>
              </w:rPr>
              <w:t>5</w:t>
            </w:r>
          </w:p>
        </w:tc>
        <w:tc>
          <w:tcPr>
            <w:tcW w:w="4536" w:type="dxa"/>
            <w:shd w:val="clear" w:color="auto" w:fill="C6EFCE"/>
            <w:noWrap/>
          </w:tcPr>
          <w:p w14:paraId="7C6DCA71"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C1.1I1</w:t>
            </w:r>
          </w:p>
          <w:p w14:paraId="1AFC51DB" w14:textId="77777777" w:rsidR="003734A7" w:rsidRPr="006C30BE" w:rsidRDefault="003734A7" w:rsidP="00D8670B">
            <w:pPr>
              <w:rPr>
                <w:rFonts w:ascii="Times New Roman" w:eastAsia="Times New Roman" w:hAnsi="Times New Roman" w:cs="Times New Roman"/>
                <w:noProof/>
                <w:color w:val="006100"/>
                <w:sz w:val="18"/>
                <w:szCs w:val="18"/>
              </w:rPr>
            </w:pPr>
            <w:r w:rsidRPr="006C30BE">
              <w:rPr>
                <w:rFonts w:ascii="Times New Roman" w:hAnsi="Times New Roman" w:cs="Times New Roman"/>
                <w:noProof/>
                <w:sz w:val="18"/>
                <w:szCs w:val="18"/>
              </w:rPr>
              <w:t>New facilities for the Cyprus Blood Establishment and procurement of the latest technology attendant equipment</w:t>
            </w:r>
          </w:p>
        </w:tc>
        <w:tc>
          <w:tcPr>
            <w:tcW w:w="1559" w:type="dxa"/>
            <w:shd w:val="clear" w:color="auto" w:fill="C6EFCE"/>
            <w:noWrap/>
          </w:tcPr>
          <w:p w14:paraId="5CDCFB53" w14:textId="77777777" w:rsidR="003734A7" w:rsidRPr="006C30BE" w:rsidRDefault="003734A7" w:rsidP="006C30BE">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24A284E8"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Contract signature for the construction of the Cyprus Blood Establishment</w:t>
            </w:r>
          </w:p>
        </w:tc>
      </w:tr>
      <w:tr w:rsidR="003734A7" w:rsidRPr="006C30BE" w14:paraId="4A59C2E3" w14:textId="77777777" w:rsidTr="006C30BE">
        <w:trPr>
          <w:cantSplit/>
          <w:trHeight w:val="302"/>
        </w:trPr>
        <w:tc>
          <w:tcPr>
            <w:tcW w:w="1702" w:type="dxa"/>
            <w:shd w:val="clear" w:color="auto" w:fill="C6EFCE"/>
            <w:noWrap/>
          </w:tcPr>
          <w:p w14:paraId="45F6D6EB" w14:textId="77777777" w:rsidR="003734A7" w:rsidRPr="006C30BE" w:rsidRDefault="003734A7" w:rsidP="00D8670B">
            <w:pPr>
              <w:spacing w:after="0"/>
              <w:jc w:val="center"/>
              <w:rPr>
                <w:rFonts w:ascii="Times New Roman" w:eastAsia="Times New Roman" w:hAnsi="Times New Roman" w:cs="Times New Roman"/>
                <w:noProof/>
                <w:color w:val="006100"/>
                <w:sz w:val="18"/>
                <w:szCs w:val="18"/>
              </w:rPr>
            </w:pPr>
            <w:r w:rsidRPr="006C30BE">
              <w:rPr>
                <w:rFonts w:ascii="Times New Roman" w:hAnsi="Times New Roman" w:cs="Times New Roman"/>
                <w:noProof/>
                <w:sz w:val="18"/>
                <w:szCs w:val="18"/>
              </w:rPr>
              <w:t>22</w:t>
            </w:r>
          </w:p>
        </w:tc>
        <w:tc>
          <w:tcPr>
            <w:tcW w:w="4536" w:type="dxa"/>
            <w:shd w:val="clear" w:color="auto" w:fill="C6EFCE"/>
            <w:noWrap/>
          </w:tcPr>
          <w:p w14:paraId="299FD8CD"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C2.1R3</w:t>
            </w:r>
          </w:p>
          <w:p w14:paraId="744D0BBC" w14:textId="77777777" w:rsidR="003734A7" w:rsidRPr="006C30BE" w:rsidRDefault="003734A7" w:rsidP="00D8670B">
            <w:pPr>
              <w:rPr>
                <w:rFonts w:ascii="Times New Roman" w:eastAsia="Times New Roman" w:hAnsi="Times New Roman" w:cs="Times New Roman"/>
                <w:noProof/>
                <w:color w:val="006100"/>
                <w:sz w:val="18"/>
                <w:szCs w:val="18"/>
              </w:rPr>
            </w:pPr>
            <w:r w:rsidRPr="006C30BE">
              <w:rPr>
                <w:rFonts w:ascii="Times New Roman" w:hAnsi="Times New Roman" w:cs="Times New Roman"/>
                <w:noProof/>
                <w:sz w:val="18"/>
                <w:szCs w:val="18"/>
              </w:rPr>
              <w:t>Digital One-Stop Shops to streamline RES projects permitting and to facilitate Energy Renovation in Buildings</w:t>
            </w:r>
          </w:p>
        </w:tc>
        <w:tc>
          <w:tcPr>
            <w:tcW w:w="1559" w:type="dxa"/>
            <w:shd w:val="clear" w:color="auto" w:fill="C6EFCE"/>
            <w:noWrap/>
          </w:tcPr>
          <w:p w14:paraId="4AC80E47" w14:textId="77777777" w:rsidR="003734A7" w:rsidRPr="006C30BE" w:rsidRDefault="003734A7" w:rsidP="006C30BE">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77D891AE"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 xml:space="preserve">Fully operational IT platform </w:t>
            </w:r>
          </w:p>
        </w:tc>
      </w:tr>
      <w:tr w:rsidR="003734A7" w:rsidRPr="006C30BE" w14:paraId="2E44582D" w14:textId="77777777" w:rsidTr="006C30BE">
        <w:trPr>
          <w:cantSplit/>
          <w:trHeight w:val="302"/>
        </w:trPr>
        <w:tc>
          <w:tcPr>
            <w:tcW w:w="1702" w:type="dxa"/>
            <w:shd w:val="clear" w:color="auto" w:fill="C6EFCE"/>
            <w:noWrap/>
          </w:tcPr>
          <w:p w14:paraId="70964FE9"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77a</w:t>
            </w:r>
          </w:p>
        </w:tc>
        <w:tc>
          <w:tcPr>
            <w:tcW w:w="4536" w:type="dxa"/>
            <w:shd w:val="clear" w:color="auto" w:fill="C6EFCE"/>
            <w:noWrap/>
          </w:tcPr>
          <w:p w14:paraId="5184887E"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C2.3I5</w:t>
            </w:r>
          </w:p>
          <w:p w14:paraId="64752482"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Anti-flood and water collection measures</w:t>
            </w:r>
          </w:p>
        </w:tc>
        <w:tc>
          <w:tcPr>
            <w:tcW w:w="1559" w:type="dxa"/>
            <w:shd w:val="clear" w:color="auto" w:fill="C6EFCE"/>
            <w:noWrap/>
          </w:tcPr>
          <w:p w14:paraId="7D068E27" w14:textId="77777777" w:rsidR="003734A7" w:rsidRPr="006C30BE" w:rsidRDefault="003734A7" w:rsidP="006C30BE">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7F8862D4"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Completion of construction works of drainage network and reconstruction of streets and pavements in areas of Nicosia</w:t>
            </w:r>
          </w:p>
        </w:tc>
      </w:tr>
      <w:tr w:rsidR="003734A7" w:rsidRPr="006C30BE" w14:paraId="1ACE5A2B" w14:textId="77777777" w:rsidTr="006C30BE">
        <w:trPr>
          <w:cantSplit/>
          <w:trHeight w:val="302"/>
        </w:trPr>
        <w:tc>
          <w:tcPr>
            <w:tcW w:w="1702" w:type="dxa"/>
            <w:shd w:val="clear" w:color="auto" w:fill="C6EFCE"/>
            <w:noWrap/>
          </w:tcPr>
          <w:p w14:paraId="0EF78540"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85</w:t>
            </w:r>
          </w:p>
        </w:tc>
        <w:tc>
          <w:tcPr>
            <w:tcW w:w="4536" w:type="dxa"/>
            <w:shd w:val="clear" w:color="auto" w:fill="C6EFCE"/>
            <w:noWrap/>
          </w:tcPr>
          <w:p w14:paraId="48BFA5FE"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C3.1R1</w:t>
            </w:r>
          </w:p>
          <w:p w14:paraId="7B4FCE85"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Move agricultural practices from the 20</w:t>
            </w:r>
            <w:r w:rsidRPr="006C30BE">
              <w:rPr>
                <w:rFonts w:ascii="Times New Roman" w:hAnsi="Times New Roman" w:cs="Times New Roman"/>
                <w:noProof/>
                <w:sz w:val="18"/>
                <w:szCs w:val="18"/>
                <w:vertAlign w:val="superscript"/>
              </w:rPr>
              <w:t>th</w:t>
            </w:r>
            <w:r w:rsidRPr="006C30BE">
              <w:rPr>
                <w:rFonts w:ascii="Times New Roman" w:hAnsi="Times New Roman" w:cs="Times New Roman"/>
                <w:noProof/>
                <w:sz w:val="18"/>
                <w:szCs w:val="18"/>
              </w:rPr>
              <w:t xml:space="preserve"> century to the 21</w:t>
            </w:r>
            <w:r w:rsidRPr="006C30BE">
              <w:rPr>
                <w:rFonts w:ascii="Times New Roman" w:hAnsi="Times New Roman" w:cs="Times New Roman"/>
                <w:noProof/>
                <w:sz w:val="18"/>
                <w:szCs w:val="18"/>
                <w:vertAlign w:val="superscript"/>
              </w:rPr>
              <w:t>st</w:t>
            </w:r>
            <w:r w:rsidRPr="006C30BE">
              <w:rPr>
                <w:rFonts w:ascii="Times New Roman" w:hAnsi="Times New Roman" w:cs="Times New Roman"/>
                <w:noProof/>
                <w:sz w:val="18"/>
                <w:szCs w:val="18"/>
              </w:rPr>
              <w:t xml:space="preserve"> century by investing in a national centre for excellence in agri-tech</w:t>
            </w:r>
          </w:p>
        </w:tc>
        <w:tc>
          <w:tcPr>
            <w:tcW w:w="1559" w:type="dxa"/>
            <w:shd w:val="clear" w:color="auto" w:fill="C6EFCE"/>
            <w:noWrap/>
          </w:tcPr>
          <w:p w14:paraId="3FB2CEEF" w14:textId="77777777" w:rsidR="003734A7" w:rsidRPr="006C30BE" w:rsidRDefault="003734A7" w:rsidP="006C30BE">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49B98229" w14:textId="77777777" w:rsidR="003734A7" w:rsidRPr="006C30BE" w:rsidRDefault="003734A7" w:rsidP="006C30BE">
            <w:pPr>
              <w:spacing w:after="0" w:line="240" w:lineRule="auto"/>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Cooperation between the Agricultural </w:t>
            </w:r>
          </w:p>
          <w:p w14:paraId="6CC348D7" w14:textId="2DEA9994"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Research Institute and</w:t>
            </w:r>
            <w:r w:rsidR="00064579" w:rsidRPr="006C30BE">
              <w:rPr>
                <w:rFonts w:ascii="Times New Roman" w:hAnsi="Times New Roman" w:cs="Times New Roman"/>
                <w:noProof/>
                <w:sz w:val="18"/>
                <w:szCs w:val="18"/>
              </w:rPr>
              <w:t xml:space="preserve"> </w:t>
            </w:r>
            <w:r w:rsidRPr="006C30BE">
              <w:rPr>
                <w:rFonts w:ascii="Times New Roman" w:hAnsi="Times New Roman" w:cs="Times New Roman"/>
                <w:noProof/>
                <w:sz w:val="18"/>
                <w:szCs w:val="18"/>
              </w:rPr>
              <w:t>higher education institution(s), for at least one MSc programme</w:t>
            </w:r>
          </w:p>
        </w:tc>
      </w:tr>
      <w:tr w:rsidR="003734A7" w:rsidRPr="006C30BE" w14:paraId="51065633" w14:textId="77777777" w:rsidTr="006C30BE">
        <w:trPr>
          <w:cantSplit/>
          <w:trHeight w:val="302"/>
        </w:trPr>
        <w:tc>
          <w:tcPr>
            <w:tcW w:w="1702" w:type="dxa"/>
            <w:shd w:val="clear" w:color="auto" w:fill="C6EFCE"/>
            <w:noWrap/>
          </w:tcPr>
          <w:p w14:paraId="7965D30C"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95</w:t>
            </w:r>
          </w:p>
        </w:tc>
        <w:tc>
          <w:tcPr>
            <w:tcW w:w="4536" w:type="dxa"/>
            <w:shd w:val="clear" w:color="auto" w:fill="C6EFCE"/>
            <w:noWrap/>
          </w:tcPr>
          <w:p w14:paraId="525E72BD"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C3.1I3</w:t>
            </w:r>
          </w:p>
          <w:p w14:paraId="0C648E69"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Upskill existing and future farmers</w:t>
            </w:r>
          </w:p>
        </w:tc>
        <w:tc>
          <w:tcPr>
            <w:tcW w:w="1559" w:type="dxa"/>
            <w:shd w:val="clear" w:color="auto" w:fill="C6EFCE"/>
            <w:noWrap/>
          </w:tcPr>
          <w:p w14:paraId="08B80C25"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Target</w:t>
            </w:r>
          </w:p>
        </w:tc>
        <w:tc>
          <w:tcPr>
            <w:tcW w:w="2266" w:type="dxa"/>
            <w:shd w:val="clear" w:color="auto" w:fill="C6EFCE"/>
            <w:noWrap/>
          </w:tcPr>
          <w:p w14:paraId="17B68B2F"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Scholarships granted</w:t>
            </w:r>
          </w:p>
        </w:tc>
      </w:tr>
      <w:tr w:rsidR="003734A7" w:rsidRPr="006C30BE" w14:paraId="203C9848" w14:textId="77777777" w:rsidTr="006C30BE">
        <w:trPr>
          <w:cantSplit/>
          <w:trHeight w:val="302"/>
        </w:trPr>
        <w:tc>
          <w:tcPr>
            <w:tcW w:w="1702" w:type="dxa"/>
            <w:shd w:val="clear" w:color="auto" w:fill="C6EFCE"/>
            <w:noWrap/>
          </w:tcPr>
          <w:p w14:paraId="7B25D158"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120</w:t>
            </w:r>
          </w:p>
        </w:tc>
        <w:tc>
          <w:tcPr>
            <w:tcW w:w="4536" w:type="dxa"/>
            <w:shd w:val="clear" w:color="auto" w:fill="C6EFCE"/>
            <w:noWrap/>
          </w:tcPr>
          <w:p w14:paraId="74DD0F9B"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C3.2R1</w:t>
            </w:r>
          </w:p>
          <w:p w14:paraId="5FACAA36"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National R&amp;I Policy and policy tools</w:t>
            </w:r>
          </w:p>
        </w:tc>
        <w:tc>
          <w:tcPr>
            <w:tcW w:w="1559" w:type="dxa"/>
            <w:shd w:val="clear" w:color="auto" w:fill="C6EFCE"/>
            <w:noWrap/>
          </w:tcPr>
          <w:p w14:paraId="7E0AD206"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00282C6A"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Adoption of the national R&amp;I Strategy and of the Action Plan to implement it</w:t>
            </w:r>
          </w:p>
        </w:tc>
      </w:tr>
      <w:tr w:rsidR="003734A7" w:rsidRPr="006C30BE" w14:paraId="0BB6B4AF" w14:textId="77777777" w:rsidTr="006C30BE">
        <w:trPr>
          <w:cantSplit/>
          <w:trHeight w:val="302"/>
        </w:trPr>
        <w:tc>
          <w:tcPr>
            <w:tcW w:w="1702" w:type="dxa"/>
            <w:shd w:val="clear" w:color="auto" w:fill="C6EFCE"/>
            <w:noWrap/>
          </w:tcPr>
          <w:p w14:paraId="4FAAB75B"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123</w:t>
            </w:r>
          </w:p>
        </w:tc>
        <w:tc>
          <w:tcPr>
            <w:tcW w:w="4536" w:type="dxa"/>
            <w:shd w:val="clear" w:color="auto" w:fill="C6EFCE"/>
            <w:noWrap/>
          </w:tcPr>
          <w:p w14:paraId="634904EF"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C3.2R3</w:t>
            </w:r>
          </w:p>
          <w:p w14:paraId="034F2DBA"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Policies to foster access to publicly funded research infrastructure and laboratories</w:t>
            </w:r>
          </w:p>
        </w:tc>
        <w:tc>
          <w:tcPr>
            <w:tcW w:w="1559" w:type="dxa"/>
            <w:shd w:val="clear" w:color="auto" w:fill="C6EFCE"/>
            <w:noWrap/>
          </w:tcPr>
          <w:p w14:paraId="0F99F770"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20B64661"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 xml:space="preserve">Digital registry to record and publish research infrastructure </w:t>
            </w:r>
          </w:p>
        </w:tc>
      </w:tr>
      <w:tr w:rsidR="003734A7" w:rsidRPr="006C30BE" w14:paraId="38D1D924" w14:textId="77777777" w:rsidTr="006C30BE">
        <w:trPr>
          <w:cantSplit/>
          <w:trHeight w:val="302"/>
        </w:trPr>
        <w:tc>
          <w:tcPr>
            <w:tcW w:w="1702" w:type="dxa"/>
            <w:shd w:val="clear" w:color="auto" w:fill="C6EFCE"/>
            <w:noWrap/>
          </w:tcPr>
          <w:p w14:paraId="7B3E4EF3"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127</w:t>
            </w:r>
          </w:p>
        </w:tc>
        <w:tc>
          <w:tcPr>
            <w:tcW w:w="4536" w:type="dxa"/>
            <w:shd w:val="clear" w:color="auto" w:fill="C6EFCE"/>
            <w:noWrap/>
          </w:tcPr>
          <w:p w14:paraId="2067B505"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C3.2I2</w:t>
            </w:r>
          </w:p>
          <w:p w14:paraId="4598344B"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Innovation funding programmes for start-ups, innovative companies and SMEs</w:t>
            </w:r>
          </w:p>
        </w:tc>
        <w:tc>
          <w:tcPr>
            <w:tcW w:w="1559" w:type="dxa"/>
            <w:shd w:val="clear" w:color="auto" w:fill="C6EFCE"/>
            <w:noWrap/>
          </w:tcPr>
          <w:p w14:paraId="7B1AF2EA"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53E5FAC2"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Signature of grant agreements for 50% of budget</w:t>
            </w:r>
          </w:p>
        </w:tc>
      </w:tr>
      <w:tr w:rsidR="003734A7" w:rsidRPr="006C30BE" w14:paraId="2E0A2574" w14:textId="77777777" w:rsidTr="006C30BE">
        <w:trPr>
          <w:cantSplit/>
          <w:trHeight w:val="302"/>
        </w:trPr>
        <w:tc>
          <w:tcPr>
            <w:tcW w:w="1702" w:type="dxa"/>
            <w:shd w:val="clear" w:color="auto" w:fill="C6EFCE"/>
            <w:noWrap/>
          </w:tcPr>
          <w:p w14:paraId="65840CCC"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130</w:t>
            </w:r>
          </w:p>
        </w:tc>
        <w:tc>
          <w:tcPr>
            <w:tcW w:w="4536" w:type="dxa"/>
            <w:shd w:val="clear" w:color="auto" w:fill="C6EFCE"/>
            <w:noWrap/>
          </w:tcPr>
          <w:p w14:paraId="15EBDC55"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C3.2I3</w:t>
            </w:r>
          </w:p>
          <w:p w14:paraId="147063C7"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R&amp;I funding program on green transition</w:t>
            </w:r>
          </w:p>
        </w:tc>
        <w:tc>
          <w:tcPr>
            <w:tcW w:w="1559" w:type="dxa"/>
            <w:shd w:val="clear" w:color="auto" w:fill="C6EFCE"/>
            <w:noWrap/>
          </w:tcPr>
          <w:p w14:paraId="36B073EE"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2A5C3280" w14:textId="62AF0963" w:rsidR="003734A7" w:rsidRPr="006C30BE" w:rsidRDefault="003734A7" w:rsidP="006C30BE">
            <w:pPr>
              <w:spacing w:after="0" w:line="240" w:lineRule="auto"/>
              <w:jc w:val="both"/>
              <w:rPr>
                <w:rFonts w:ascii="Times New Roman" w:eastAsia="Times New Roman" w:hAnsi="Times New Roman" w:cs="Times New Roman"/>
                <w:noProof/>
                <w:sz w:val="18"/>
                <w:szCs w:val="18"/>
                <w:lang w:eastAsia="en-GB"/>
              </w:rPr>
            </w:pPr>
            <w:r w:rsidRPr="006C30BE">
              <w:rPr>
                <w:rFonts w:ascii="Times New Roman" w:hAnsi="Times New Roman" w:cs="Times New Roman"/>
                <w:noProof/>
                <w:color w:val="000000" w:themeColor="text1"/>
                <w:sz w:val="18"/>
                <w:szCs w:val="18"/>
              </w:rPr>
              <w:t>Signature of grant agreements for a R&amp;I funding programme of EUR</w:t>
            </w:r>
            <w:r w:rsidR="006C30BE">
              <w:rPr>
                <w:rFonts w:ascii="Times New Roman" w:hAnsi="Times New Roman" w:cs="Times New Roman"/>
                <w:noProof/>
                <w:color w:val="000000" w:themeColor="text1"/>
                <w:sz w:val="18"/>
                <w:szCs w:val="18"/>
              </w:rPr>
              <w:t> </w:t>
            </w:r>
            <w:r w:rsidRPr="006C30BE">
              <w:rPr>
                <w:rFonts w:ascii="Times New Roman" w:hAnsi="Times New Roman" w:cs="Times New Roman"/>
                <w:noProof/>
                <w:color w:val="000000" w:themeColor="text1"/>
                <w:sz w:val="18"/>
                <w:szCs w:val="18"/>
              </w:rPr>
              <w:t>6</w:t>
            </w:r>
            <w:r w:rsidR="006C30BE">
              <w:rPr>
                <w:rFonts w:ascii="Times New Roman" w:hAnsi="Times New Roman" w:cs="Times New Roman"/>
                <w:noProof/>
                <w:color w:val="000000" w:themeColor="text1"/>
                <w:sz w:val="18"/>
                <w:szCs w:val="18"/>
              </w:rPr>
              <w:t> </w:t>
            </w:r>
            <w:r w:rsidRPr="006C30BE">
              <w:rPr>
                <w:rFonts w:ascii="Times New Roman" w:hAnsi="Times New Roman" w:cs="Times New Roman"/>
                <w:noProof/>
                <w:color w:val="000000" w:themeColor="text1"/>
                <w:sz w:val="18"/>
                <w:szCs w:val="18"/>
              </w:rPr>
              <w:t>mln budget</w:t>
            </w:r>
          </w:p>
        </w:tc>
      </w:tr>
      <w:tr w:rsidR="003734A7" w:rsidRPr="006C30BE" w14:paraId="3CFA8853" w14:textId="77777777" w:rsidTr="006C30BE">
        <w:trPr>
          <w:cantSplit/>
          <w:trHeight w:val="302"/>
        </w:trPr>
        <w:tc>
          <w:tcPr>
            <w:tcW w:w="1702" w:type="dxa"/>
            <w:shd w:val="clear" w:color="auto" w:fill="C6EFCE"/>
            <w:noWrap/>
          </w:tcPr>
          <w:p w14:paraId="564B9B85"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136</w:t>
            </w:r>
          </w:p>
        </w:tc>
        <w:tc>
          <w:tcPr>
            <w:tcW w:w="4536" w:type="dxa"/>
            <w:shd w:val="clear" w:color="auto" w:fill="C6EFCE"/>
            <w:noWrap/>
          </w:tcPr>
          <w:p w14:paraId="2D9A28FD"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C3.3R2</w:t>
            </w:r>
          </w:p>
          <w:p w14:paraId="0E234C6D"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Enhancing Fast-Track Business Activation Mechanism</w:t>
            </w:r>
          </w:p>
        </w:tc>
        <w:tc>
          <w:tcPr>
            <w:tcW w:w="1559" w:type="dxa"/>
            <w:shd w:val="clear" w:color="auto" w:fill="C6EFCE"/>
            <w:noWrap/>
          </w:tcPr>
          <w:p w14:paraId="7B37B541"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23317FA4"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color w:val="000000" w:themeColor="text1"/>
                <w:sz w:val="18"/>
                <w:szCs w:val="18"/>
              </w:rPr>
              <w:t>Establishment of an electronic system where investors can submit their online application</w:t>
            </w:r>
          </w:p>
        </w:tc>
      </w:tr>
      <w:tr w:rsidR="003734A7" w:rsidRPr="006C30BE" w14:paraId="17C45238" w14:textId="77777777" w:rsidTr="006C30BE">
        <w:trPr>
          <w:cantSplit/>
          <w:trHeight w:val="302"/>
        </w:trPr>
        <w:tc>
          <w:tcPr>
            <w:tcW w:w="1702" w:type="dxa"/>
            <w:shd w:val="clear" w:color="auto" w:fill="C6EFCE"/>
            <w:noWrap/>
          </w:tcPr>
          <w:p w14:paraId="724CB882"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143</w:t>
            </w:r>
          </w:p>
        </w:tc>
        <w:tc>
          <w:tcPr>
            <w:tcW w:w="4536" w:type="dxa"/>
            <w:shd w:val="clear" w:color="auto" w:fill="C6EFCE"/>
            <w:noWrap/>
          </w:tcPr>
          <w:p w14:paraId="044F43B3"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C3.3R6</w:t>
            </w:r>
          </w:p>
          <w:p w14:paraId="6FE4CFDD"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Incentives to promote mergers and acquisitions.</w:t>
            </w:r>
          </w:p>
        </w:tc>
        <w:tc>
          <w:tcPr>
            <w:tcW w:w="1559" w:type="dxa"/>
            <w:shd w:val="clear" w:color="auto" w:fill="C6EFCE"/>
            <w:noWrap/>
          </w:tcPr>
          <w:p w14:paraId="38074713"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0A3E6C10"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Action Plan for incentives for mergers and acquisitions</w:t>
            </w:r>
          </w:p>
        </w:tc>
      </w:tr>
      <w:tr w:rsidR="003734A7" w:rsidRPr="006C30BE" w14:paraId="147075E2" w14:textId="77777777" w:rsidTr="006C30BE">
        <w:trPr>
          <w:cantSplit/>
          <w:trHeight w:val="302"/>
        </w:trPr>
        <w:tc>
          <w:tcPr>
            <w:tcW w:w="1702" w:type="dxa"/>
            <w:shd w:val="clear" w:color="auto" w:fill="C6EFCE"/>
            <w:noWrap/>
          </w:tcPr>
          <w:p w14:paraId="6192EEDB" w14:textId="77777777" w:rsidR="003734A7" w:rsidRPr="006C30BE" w:rsidRDefault="003734A7" w:rsidP="00D8670B">
            <w:pPr>
              <w:spacing w:after="0"/>
              <w:jc w:val="center"/>
              <w:rPr>
                <w:rFonts w:ascii="Times New Roman" w:hAnsi="Times New Roman" w:cs="Times New Roman"/>
                <w:noProof/>
                <w:sz w:val="18"/>
                <w:szCs w:val="18"/>
              </w:rPr>
            </w:pPr>
            <w:r w:rsidRPr="006C30BE">
              <w:rPr>
                <w:rFonts w:ascii="Times New Roman" w:hAnsi="Times New Roman" w:cs="Times New Roman"/>
                <w:noProof/>
                <w:sz w:val="18"/>
                <w:szCs w:val="18"/>
              </w:rPr>
              <w:t>151</w:t>
            </w:r>
          </w:p>
        </w:tc>
        <w:tc>
          <w:tcPr>
            <w:tcW w:w="4536" w:type="dxa"/>
            <w:shd w:val="clear" w:color="auto" w:fill="C6EFCE"/>
            <w:noWrap/>
          </w:tcPr>
          <w:p w14:paraId="5CE23075"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C3.3I6</w:t>
            </w:r>
          </w:p>
          <w:p w14:paraId="6C69DDBB"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State funded equity fund </w:t>
            </w:r>
          </w:p>
        </w:tc>
        <w:tc>
          <w:tcPr>
            <w:tcW w:w="1559" w:type="dxa"/>
            <w:shd w:val="clear" w:color="auto" w:fill="C6EFCE"/>
            <w:noWrap/>
          </w:tcPr>
          <w:p w14:paraId="346C37FC"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36AC8B80" w14:textId="77777777" w:rsidR="003734A7" w:rsidRPr="006C30BE" w:rsidRDefault="003734A7" w:rsidP="006C30BE">
            <w:pPr>
              <w:spacing w:after="0"/>
              <w:jc w:val="both"/>
              <w:rPr>
                <w:rFonts w:ascii="Times New Roman" w:hAnsi="Times New Roman" w:cs="Times New Roman"/>
                <w:noProof/>
                <w:sz w:val="18"/>
                <w:szCs w:val="18"/>
              </w:rPr>
            </w:pPr>
            <w:r w:rsidRPr="006C30BE">
              <w:rPr>
                <w:rFonts w:ascii="Times New Roman" w:hAnsi="Times New Roman" w:cs="Times New Roman"/>
                <w:noProof/>
                <w:sz w:val="18"/>
                <w:szCs w:val="18"/>
              </w:rPr>
              <w:t>Setup of the Fund</w:t>
            </w:r>
          </w:p>
        </w:tc>
      </w:tr>
      <w:tr w:rsidR="003734A7" w:rsidRPr="006C30BE" w14:paraId="37170BC1" w14:textId="77777777" w:rsidTr="006C30BE">
        <w:trPr>
          <w:cantSplit/>
          <w:trHeight w:val="302"/>
        </w:trPr>
        <w:tc>
          <w:tcPr>
            <w:tcW w:w="1702" w:type="dxa"/>
            <w:shd w:val="clear" w:color="auto" w:fill="C6EFCE"/>
            <w:noWrap/>
          </w:tcPr>
          <w:p w14:paraId="39672469"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173</w:t>
            </w:r>
          </w:p>
        </w:tc>
        <w:tc>
          <w:tcPr>
            <w:tcW w:w="4536" w:type="dxa"/>
            <w:shd w:val="clear" w:color="auto" w:fill="C6EFCE"/>
            <w:noWrap/>
          </w:tcPr>
          <w:p w14:paraId="44ECAAA8"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C3.4I4</w:t>
            </w:r>
          </w:p>
          <w:p w14:paraId="465BD90E"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Enhancing e-system for issuing building permits </w:t>
            </w:r>
          </w:p>
        </w:tc>
        <w:tc>
          <w:tcPr>
            <w:tcW w:w="1559" w:type="dxa"/>
            <w:shd w:val="clear" w:color="auto" w:fill="C6EFCE"/>
            <w:noWrap/>
          </w:tcPr>
          <w:p w14:paraId="4CA2C8C0"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1BFC3F59"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Enhancement of the e-application environment of the Hippodamos System</w:t>
            </w:r>
          </w:p>
        </w:tc>
      </w:tr>
      <w:tr w:rsidR="003734A7" w:rsidRPr="006C30BE" w14:paraId="397D5854" w14:textId="77777777" w:rsidTr="006C30BE">
        <w:trPr>
          <w:cantSplit/>
          <w:trHeight w:val="302"/>
        </w:trPr>
        <w:tc>
          <w:tcPr>
            <w:tcW w:w="1702" w:type="dxa"/>
            <w:shd w:val="clear" w:color="auto" w:fill="C6EFCE"/>
            <w:noWrap/>
          </w:tcPr>
          <w:p w14:paraId="0A2ABD77"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194</w:t>
            </w:r>
          </w:p>
        </w:tc>
        <w:tc>
          <w:tcPr>
            <w:tcW w:w="4536" w:type="dxa"/>
            <w:shd w:val="clear" w:color="auto" w:fill="C6EFCE"/>
            <w:noWrap/>
          </w:tcPr>
          <w:p w14:paraId="24B3233F"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C3.5R3</w:t>
            </w:r>
          </w:p>
          <w:p w14:paraId="075BF764"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Strategy for addressing inadequacies of the property transaction system (title deeds)</w:t>
            </w:r>
          </w:p>
        </w:tc>
        <w:tc>
          <w:tcPr>
            <w:tcW w:w="1559" w:type="dxa"/>
            <w:shd w:val="clear" w:color="auto" w:fill="C6EFCE"/>
            <w:noWrap/>
          </w:tcPr>
          <w:p w14:paraId="6E2E6016"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04292501"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Extension of the New Planning and Building Permit Policy </w:t>
            </w:r>
          </w:p>
        </w:tc>
      </w:tr>
      <w:tr w:rsidR="003734A7" w:rsidRPr="006C30BE" w14:paraId="562B02EA" w14:textId="77777777" w:rsidTr="006C30BE">
        <w:trPr>
          <w:cantSplit/>
          <w:trHeight w:val="302"/>
        </w:trPr>
        <w:tc>
          <w:tcPr>
            <w:tcW w:w="1702" w:type="dxa"/>
            <w:shd w:val="clear" w:color="auto" w:fill="C6EFCE"/>
            <w:noWrap/>
          </w:tcPr>
          <w:p w14:paraId="18B25480"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195</w:t>
            </w:r>
          </w:p>
        </w:tc>
        <w:tc>
          <w:tcPr>
            <w:tcW w:w="4536" w:type="dxa"/>
            <w:shd w:val="clear" w:color="auto" w:fill="C6EFCE"/>
            <w:noWrap/>
          </w:tcPr>
          <w:p w14:paraId="0C607F01"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 xml:space="preserve">C3.5R3 </w:t>
            </w:r>
          </w:p>
          <w:p w14:paraId="6CF50E4B"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Strategy for addressing inadequacies of the property transaction system (title deeds)</w:t>
            </w:r>
          </w:p>
        </w:tc>
        <w:tc>
          <w:tcPr>
            <w:tcW w:w="1559" w:type="dxa"/>
            <w:shd w:val="clear" w:color="auto" w:fill="C6EFCE"/>
            <w:noWrap/>
          </w:tcPr>
          <w:p w14:paraId="103257A6"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76592D47"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Entry into force of the amendment of the Sale of Property (Specific Performance) Law </w:t>
            </w:r>
          </w:p>
        </w:tc>
      </w:tr>
      <w:tr w:rsidR="003734A7" w:rsidRPr="006C30BE" w14:paraId="228D08ED" w14:textId="77777777" w:rsidTr="006C30BE">
        <w:trPr>
          <w:cantSplit/>
          <w:trHeight w:val="302"/>
        </w:trPr>
        <w:tc>
          <w:tcPr>
            <w:tcW w:w="1702" w:type="dxa"/>
            <w:shd w:val="clear" w:color="auto" w:fill="C6EFCE"/>
            <w:noWrap/>
          </w:tcPr>
          <w:p w14:paraId="4B1BAA3E"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199</w:t>
            </w:r>
          </w:p>
        </w:tc>
        <w:tc>
          <w:tcPr>
            <w:tcW w:w="4536" w:type="dxa"/>
            <w:shd w:val="clear" w:color="auto" w:fill="C6EFCE"/>
            <w:noWrap/>
          </w:tcPr>
          <w:p w14:paraId="7F5EE130" w14:textId="77777777" w:rsidR="003734A7" w:rsidRPr="006C30BE" w:rsidRDefault="003734A7" w:rsidP="00D8670B">
            <w:pPr>
              <w:spacing w:after="0" w:line="240" w:lineRule="auto"/>
              <w:rPr>
                <w:rFonts w:ascii="Times New Roman" w:hAnsi="Times New Roman" w:cs="Times New Roman"/>
                <w:noProof/>
                <w:sz w:val="18"/>
                <w:szCs w:val="18"/>
              </w:rPr>
            </w:pPr>
            <w:r w:rsidRPr="006C30BE">
              <w:rPr>
                <w:rFonts w:ascii="Times New Roman" w:hAnsi="Times New Roman" w:cs="Times New Roman"/>
                <w:noProof/>
                <w:sz w:val="18"/>
                <w:szCs w:val="18"/>
              </w:rPr>
              <w:t xml:space="preserve">C3.5R5 </w:t>
            </w:r>
          </w:p>
          <w:p w14:paraId="75F1F861"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Action plan for the development of a liability monitoring register</w:t>
            </w:r>
          </w:p>
        </w:tc>
        <w:tc>
          <w:tcPr>
            <w:tcW w:w="1559" w:type="dxa"/>
            <w:shd w:val="clear" w:color="auto" w:fill="C6EFCE"/>
            <w:noWrap/>
          </w:tcPr>
          <w:p w14:paraId="5ED28A83"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4E18A55F"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Action Plan for the development of a liability monitoring register </w:t>
            </w:r>
          </w:p>
        </w:tc>
      </w:tr>
      <w:tr w:rsidR="003734A7" w:rsidRPr="006C30BE" w14:paraId="34E1585C" w14:textId="77777777" w:rsidTr="006C30BE">
        <w:trPr>
          <w:cantSplit/>
          <w:trHeight w:val="302"/>
        </w:trPr>
        <w:tc>
          <w:tcPr>
            <w:tcW w:w="1702" w:type="dxa"/>
            <w:shd w:val="clear" w:color="auto" w:fill="C6EFCE"/>
            <w:noWrap/>
          </w:tcPr>
          <w:p w14:paraId="179C36A7"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201</w:t>
            </w:r>
          </w:p>
        </w:tc>
        <w:tc>
          <w:tcPr>
            <w:tcW w:w="4536" w:type="dxa"/>
            <w:shd w:val="clear" w:color="auto" w:fill="C6EFCE"/>
            <w:noWrap/>
          </w:tcPr>
          <w:p w14:paraId="5EE9743E" w14:textId="0DB61E86"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C3.5R6</w:t>
            </w:r>
            <w:r w:rsidR="00064579" w:rsidRPr="006C30BE">
              <w:rPr>
                <w:rFonts w:ascii="Times New Roman" w:hAnsi="Times New Roman" w:cs="Times New Roman"/>
                <w:noProof/>
                <w:sz w:val="18"/>
                <w:szCs w:val="18"/>
              </w:rPr>
              <w:t xml:space="preserve"> </w:t>
            </w:r>
            <w:r w:rsidRPr="006C30BE">
              <w:rPr>
                <w:rFonts w:ascii="Times New Roman" w:hAnsi="Times New Roman" w:cs="Times New Roman"/>
                <w:noProof/>
                <w:sz w:val="18"/>
                <w:szCs w:val="18"/>
              </w:rPr>
              <w:br/>
              <w:t>Reinforcing and strengthening the insolvency framework</w:t>
            </w:r>
          </w:p>
        </w:tc>
        <w:tc>
          <w:tcPr>
            <w:tcW w:w="1559" w:type="dxa"/>
            <w:shd w:val="clear" w:color="auto" w:fill="C6EFCE"/>
            <w:noWrap/>
          </w:tcPr>
          <w:p w14:paraId="3D1D449E"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26DE2FED"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Full implementation and full operation of the legal and institutional framework for insolvency </w:t>
            </w:r>
          </w:p>
        </w:tc>
      </w:tr>
      <w:tr w:rsidR="003734A7" w:rsidRPr="006C30BE" w14:paraId="511C09E1" w14:textId="77777777" w:rsidTr="006C30BE">
        <w:trPr>
          <w:cantSplit/>
          <w:trHeight w:val="302"/>
        </w:trPr>
        <w:tc>
          <w:tcPr>
            <w:tcW w:w="1702" w:type="dxa"/>
            <w:shd w:val="clear" w:color="auto" w:fill="C6EFCE"/>
            <w:noWrap/>
          </w:tcPr>
          <w:p w14:paraId="4407A347"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209</w:t>
            </w:r>
          </w:p>
        </w:tc>
        <w:tc>
          <w:tcPr>
            <w:tcW w:w="4536" w:type="dxa"/>
            <w:shd w:val="clear" w:color="auto" w:fill="C6EFCE"/>
            <w:noWrap/>
          </w:tcPr>
          <w:p w14:paraId="740FBD2C" w14:textId="6DCF0633"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C3.5R10</w:t>
            </w:r>
            <w:r w:rsidR="00064579" w:rsidRPr="006C30BE">
              <w:rPr>
                <w:rFonts w:ascii="Times New Roman" w:hAnsi="Times New Roman" w:cs="Times New Roman"/>
                <w:noProof/>
                <w:sz w:val="18"/>
                <w:szCs w:val="18"/>
              </w:rPr>
              <w:t xml:space="preserve"> </w:t>
            </w:r>
            <w:r w:rsidRPr="006C30BE">
              <w:rPr>
                <w:rFonts w:ascii="Times New Roman" w:hAnsi="Times New Roman" w:cs="Times New Roman"/>
                <w:noProof/>
                <w:sz w:val="18"/>
                <w:szCs w:val="18"/>
              </w:rPr>
              <w:br/>
              <w:t>Addressing Aggressive Tax Planning</w:t>
            </w:r>
          </w:p>
        </w:tc>
        <w:tc>
          <w:tcPr>
            <w:tcW w:w="1559" w:type="dxa"/>
            <w:shd w:val="clear" w:color="auto" w:fill="C6EFCE"/>
            <w:noWrap/>
          </w:tcPr>
          <w:p w14:paraId="1AD92DC8"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18BE219C"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Entry into force of the law to tackle aggressive tax planning </w:t>
            </w:r>
          </w:p>
        </w:tc>
      </w:tr>
      <w:tr w:rsidR="003734A7" w:rsidRPr="006C30BE" w14:paraId="61A72FDD" w14:textId="77777777" w:rsidTr="006C30BE">
        <w:trPr>
          <w:cantSplit/>
          <w:trHeight w:val="302"/>
        </w:trPr>
        <w:tc>
          <w:tcPr>
            <w:tcW w:w="1702" w:type="dxa"/>
            <w:shd w:val="clear" w:color="auto" w:fill="C6EFCE"/>
            <w:noWrap/>
          </w:tcPr>
          <w:p w14:paraId="3BB3DD06"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224</w:t>
            </w:r>
          </w:p>
        </w:tc>
        <w:tc>
          <w:tcPr>
            <w:tcW w:w="4536" w:type="dxa"/>
            <w:shd w:val="clear" w:color="auto" w:fill="C6EFCE"/>
            <w:noWrap/>
          </w:tcPr>
          <w:p w14:paraId="7E32F250" w14:textId="77777777" w:rsidR="003734A7" w:rsidRPr="00547ADA" w:rsidRDefault="003734A7" w:rsidP="00D8670B">
            <w:pPr>
              <w:spacing w:after="0" w:line="240" w:lineRule="auto"/>
              <w:rPr>
                <w:rFonts w:ascii="Times New Roman" w:eastAsia="Times New Roman" w:hAnsi="Times New Roman" w:cs="Times New Roman"/>
                <w:noProof/>
                <w:sz w:val="18"/>
                <w:szCs w:val="18"/>
                <w:lang w:val="pt-PT"/>
              </w:rPr>
            </w:pPr>
            <w:r w:rsidRPr="00547ADA">
              <w:rPr>
                <w:rFonts w:ascii="Times New Roman" w:hAnsi="Times New Roman" w:cs="Times New Roman"/>
                <w:noProof/>
                <w:sz w:val="18"/>
                <w:szCs w:val="18"/>
                <w:lang w:val="pt-PT"/>
              </w:rPr>
              <w:t>C4.2R1</w:t>
            </w:r>
          </w:p>
          <w:p w14:paraId="0386DDAE" w14:textId="77777777" w:rsidR="003734A7" w:rsidRPr="00547ADA" w:rsidRDefault="003734A7" w:rsidP="00D8670B">
            <w:pPr>
              <w:spacing w:after="0" w:line="240" w:lineRule="auto"/>
              <w:rPr>
                <w:rFonts w:ascii="Times New Roman" w:eastAsia="Times New Roman" w:hAnsi="Times New Roman" w:cs="Times New Roman"/>
                <w:noProof/>
                <w:sz w:val="18"/>
                <w:szCs w:val="18"/>
                <w:lang w:val="pt-PT"/>
              </w:rPr>
            </w:pPr>
            <w:r w:rsidRPr="00547ADA">
              <w:rPr>
                <w:rFonts w:ascii="Times New Roman" w:hAnsi="Times New Roman" w:cs="Times New Roman"/>
                <w:noProof/>
                <w:sz w:val="18"/>
                <w:szCs w:val="18"/>
                <w:lang w:val="pt-PT"/>
              </w:rPr>
              <w:t>Digital Services Factory</w:t>
            </w:r>
          </w:p>
        </w:tc>
        <w:tc>
          <w:tcPr>
            <w:tcW w:w="1559" w:type="dxa"/>
            <w:shd w:val="clear" w:color="auto" w:fill="C6EFCE"/>
            <w:noWrap/>
          </w:tcPr>
          <w:p w14:paraId="67F2FE00"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70074321"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Definition of the Service Delivery Model for the Digital Services Factory </w:t>
            </w:r>
          </w:p>
        </w:tc>
      </w:tr>
      <w:tr w:rsidR="003734A7" w:rsidRPr="006C30BE" w14:paraId="685CF69F" w14:textId="77777777" w:rsidTr="006C30BE">
        <w:trPr>
          <w:cantSplit/>
          <w:trHeight w:val="302"/>
        </w:trPr>
        <w:tc>
          <w:tcPr>
            <w:tcW w:w="1702" w:type="dxa"/>
            <w:shd w:val="clear" w:color="auto" w:fill="C6EFCE"/>
            <w:noWrap/>
          </w:tcPr>
          <w:p w14:paraId="65E41A42"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251</w:t>
            </w:r>
          </w:p>
        </w:tc>
        <w:tc>
          <w:tcPr>
            <w:tcW w:w="4536" w:type="dxa"/>
            <w:shd w:val="clear" w:color="auto" w:fill="C6EFCE"/>
            <w:noWrap/>
          </w:tcPr>
          <w:p w14:paraId="7AD0422B"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C5.1I1</w:t>
            </w:r>
          </w:p>
          <w:p w14:paraId="228776EA"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Construction of one Model Technical School</w:t>
            </w:r>
          </w:p>
        </w:tc>
        <w:tc>
          <w:tcPr>
            <w:tcW w:w="1559" w:type="dxa"/>
            <w:shd w:val="clear" w:color="auto" w:fill="C6EFCE"/>
            <w:noWrap/>
          </w:tcPr>
          <w:p w14:paraId="41E9BC42"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3EE8143B"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Contract for the construction of one Technical School</w:t>
            </w:r>
          </w:p>
        </w:tc>
      </w:tr>
      <w:tr w:rsidR="003734A7" w:rsidRPr="006C30BE" w14:paraId="41035EDD" w14:textId="77777777" w:rsidTr="006C30BE">
        <w:trPr>
          <w:cantSplit/>
          <w:trHeight w:val="302"/>
        </w:trPr>
        <w:tc>
          <w:tcPr>
            <w:tcW w:w="1702" w:type="dxa"/>
            <w:shd w:val="clear" w:color="auto" w:fill="C6EFCE"/>
            <w:noWrap/>
          </w:tcPr>
          <w:p w14:paraId="516E0DC6"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266</w:t>
            </w:r>
          </w:p>
        </w:tc>
        <w:tc>
          <w:tcPr>
            <w:tcW w:w="4536" w:type="dxa"/>
            <w:shd w:val="clear" w:color="auto" w:fill="C6EFCE"/>
            <w:noWrap/>
          </w:tcPr>
          <w:p w14:paraId="061340DF"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C5.2I4</w:t>
            </w:r>
          </w:p>
          <w:p w14:paraId="2BAC599E"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Child Centres in Municipalities</w:t>
            </w:r>
          </w:p>
        </w:tc>
        <w:tc>
          <w:tcPr>
            <w:tcW w:w="1559" w:type="dxa"/>
            <w:shd w:val="clear" w:color="auto" w:fill="C6EFCE"/>
            <w:noWrap/>
          </w:tcPr>
          <w:p w14:paraId="0DF6DB7E"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Target</w:t>
            </w:r>
          </w:p>
        </w:tc>
        <w:tc>
          <w:tcPr>
            <w:tcW w:w="2266" w:type="dxa"/>
            <w:shd w:val="clear" w:color="auto" w:fill="C6EFCE"/>
            <w:noWrap/>
          </w:tcPr>
          <w:p w14:paraId="524F2320"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Construction of at least one child centre </w:t>
            </w:r>
          </w:p>
        </w:tc>
      </w:tr>
      <w:tr w:rsidR="003734A7" w:rsidRPr="006C30BE" w14:paraId="00B5A4AF" w14:textId="77777777" w:rsidTr="006C30BE">
        <w:trPr>
          <w:cantSplit/>
          <w:trHeight w:val="302"/>
        </w:trPr>
        <w:tc>
          <w:tcPr>
            <w:tcW w:w="1702" w:type="dxa"/>
            <w:shd w:val="clear" w:color="auto" w:fill="C6EFCE"/>
            <w:noWrap/>
          </w:tcPr>
          <w:p w14:paraId="395B0EC4" w14:textId="77777777" w:rsidR="003734A7" w:rsidRPr="006C30BE" w:rsidRDefault="003734A7" w:rsidP="00D8670B">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268</w:t>
            </w:r>
          </w:p>
        </w:tc>
        <w:tc>
          <w:tcPr>
            <w:tcW w:w="4536" w:type="dxa"/>
            <w:shd w:val="clear" w:color="auto" w:fill="C6EFCE"/>
            <w:noWrap/>
          </w:tcPr>
          <w:p w14:paraId="75523DCE"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C5.2I5</w:t>
            </w:r>
          </w:p>
          <w:p w14:paraId="6F1A0869" w14:textId="77777777" w:rsidR="003734A7" w:rsidRPr="006C30BE" w:rsidRDefault="003734A7" w:rsidP="00D8670B">
            <w:pPr>
              <w:spacing w:after="0" w:line="240" w:lineRule="auto"/>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Construction of Two Model Special Education Schools</w:t>
            </w:r>
          </w:p>
        </w:tc>
        <w:tc>
          <w:tcPr>
            <w:tcW w:w="1559" w:type="dxa"/>
            <w:shd w:val="clear" w:color="auto" w:fill="C6EFCE"/>
            <w:noWrap/>
          </w:tcPr>
          <w:p w14:paraId="54C198A8" w14:textId="77777777" w:rsidR="003734A7" w:rsidRPr="006C30BE" w:rsidRDefault="003734A7" w:rsidP="006C30BE">
            <w:pPr>
              <w:spacing w:after="0"/>
              <w:jc w:val="center"/>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Milestone</w:t>
            </w:r>
          </w:p>
        </w:tc>
        <w:tc>
          <w:tcPr>
            <w:tcW w:w="2266" w:type="dxa"/>
            <w:shd w:val="clear" w:color="auto" w:fill="C6EFCE"/>
            <w:noWrap/>
          </w:tcPr>
          <w:p w14:paraId="220A5041" w14:textId="77777777" w:rsidR="003734A7" w:rsidRPr="006C30BE" w:rsidRDefault="003734A7" w:rsidP="006C30BE">
            <w:pPr>
              <w:spacing w:after="0"/>
              <w:jc w:val="both"/>
              <w:rPr>
                <w:rFonts w:ascii="Times New Roman" w:eastAsia="Times New Roman" w:hAnsi="Times New Roman" w:cs="Times New Roman"/>
                <w:noProof/>
                <w:sz w:val="18"/>
                <w:szCs w:val="18"/>
              </w:rPr>
            </w:pPr>
            <w:r w:rsidRPr="006C30BE">
              <w:rPr>
                <w:rFonts w:ascii="Times New Roman" w:hAnsi="Times New Roman" w:cs="Times New Roman"/>
                <w:noProof/>
                <w:sz w:val="18"/>
                <w:szCs w:val="18"/>
              </w:rPr>
              <w:t xml:space="preserve">Signing of contract with the selected tenderer (contractor) </w:t>
            </w:r>
          </w:p>
        </w:tc>
      </w:tr>
      <w:tr w:rsidR="003734A7" w:rsidRPr="006C30BE" w14:paraId="22A6C921" w14:textId="77777777" w:rsidTr="006C30BE">
        <w:trPr>
          <w:cantSplit/>
          <w:trHeight w:val="302"/>
        </w:trPr>
        <w:tc>
          <w:tcPr>
            <w:tcW w:w="1702" w:type="dxa"/>
            <w:shd w:val="clear" w:color="auto" w:fill="C6EFCE"/>
            <w:noWrap/>
            <w:vAlign w:val="bottom"/>
          </w:tcPr>
          <w:p w14:paraId="537B8399" w14:textId="77777777" w:rsidR="003734A7" w:rsidRPr="006C30BE" w:rsidRDefault="003734A7" w:rsidP="00D8670B">
            <w:pPr>
              <w:spacing w:after="0"/>
              <w:jc w:val="center"/>
              <w:rPr>
                <w:rFonts w:ascii="Times New Roman" w:eastAsia="Times New Roman" w:hAnsi="Times New Roman" w:cs="Times New Roman"/>
                <w:noProof/>
                <w:color w:val="006100"/>
                <w:sz w:val="18"/>
                <w:szCs w:val="18"/>
                <w:lang w:eastAsia="en-GB"/>
              </w:rPr>
            </w:pPr>
          </w:p>
        </w:tc>
        <w:tc>
          <w:tcPr>
            <w:tcW w:w="4536" w:type="dxa"/>
            <w:shd w:val="clear" w:color="auto" w:fill="C6EFCE"/>
            <w:noWrap/>
            <w:vAlign w:val="bottom"/>
          </w:tcPr>
          <w:p w14:paraId="44745D00" w14:textId="77777777" w:rsidR="003734A7" w:rsidRPr="006C30BE" w:rsidRDefault="003734A7" w:rsidP="00D8670B">
            <w:pPr>
              <w:spacing w:after="0"/>
              <w:rPr>
                <w:rFonts w:ascii="Times New Roman" w:eastAsia="Times New Roman" w:hAnsi="Times New Roman" w:cs="Times New Roman"/>
                <w:noProof/>
                <w:color w:val="006100"/>
                <w:sz w:val="18"/>
                <w:szCs w:val="18"/>
                <w:lang w:eastAsia="en-GB"/>
              </w:rPr>
            </w:pPr>
          </w:p>
        </w:tc>
        <w:tc>
          <w:tcPr>
            <w:tcW w:w="1559" w:type="dxa"/>
            <w:shd w:val="clear" w:color="auto" w:fill="C6EFCE"/>
            <w:noWrap/>
            <w:vAlign w:val="bottom"/>
            <w:hideMark/>
          </w:tcPr>
          <w:p w14:paraId="3F2094D4" w14:textId="77777777" w:rsidR="003734A7" w:rsidRPr="006C30BE" w:rsidRDefault="003734A7" w:rsidP="006C30BE">
            <w:pPr>
              <w:spacing w:after="0"/>
              <w:jc w:val="center"/>
              <w:rPr>
                <w:rFonts w:ascii="Times New Roman" w:eastAsia="Times New Roman" w:hAnsi="Times New Roman" w:cs="Times New Roman"/>
                <w:noProof/>
                <w:color w:val="006100"/>
                <w:sz w:val="18"/>
                <w:szCs w:val="18"/>
              </w:rPr>
            </w:pPr>
            <w:r w:rsidRPr="006C30BE">
              <w:rPr>
                <w:rFonts w:ascii="Times New Roman" w:hAnsi="Times New Roman" w:cs="Times New Roman"/>
                <w:noProof/>
                <w:color w:val="006100"/>
                <w:sz w:val="18"/>
                <w:szCs w:val="18"/>
              </w:rPr>
              <w:t>Instalment Amount</w:t>
            </w:r>
          </w:p>
        </w:tc>
        <w:tc>
          <w:tcPr>
            <w:tcW w:w="2266" w:type="dxa"/>
            <w:shd w:val="clear" w:color="auto" w:fill="C6EFCE"/>
            <w:noWrap/>
            <w:vAlign w:val="bottom"/>
            <w:hideMark/>
          </w:tcPr>
          <w:p w14:paraId="5FFA5BF6" w14:textId="0CFE62D6" w:rsidR="003734A7" w:rsidRPr="006C30BE" w:rsidRDefault="003734A7" w:rsidP="000345F8">
            <w:pPr>
              <w:spacing w:after="0"/>
              <w:rPr>
                <w:rFonts w:ascii="Times New Roman" w:eastAsia="Times New Roman" w:hAnsi="Times New Roman" w:cs="Times New Roman"/>
                <w:noProof/>
                <w:color w:val="006100"/>
                <w:sz w:val="18"/>
                <w:szCs w:val="18"/>
              </w:rPr>
            </w:pPr>
            <w:r w:rsidRPr="006C30BE">
              <w:rPr>
                <w:rFonts w:ascii="Times New Roman" w:hAnsi="Times New Roman" w:cs="Times New Roman"/>
                <w:noProof/>
                <w:color w:val="006100"/>
                <w:sz w:val="18"/>
                <w:szCs w:val="18"/>
              </w:rPr>
              <w:t>EUR</w:t>
            </w:r>
            <w:r w:rsidR="00BF5BEF" w:rsidRPr="006C30BE">
              <w:rPr>
                <w:rFonts w:ascii="Times New Roman" w:hAnsi="Times New Roman" w:cs="Times New Roman"/>
                <w:noProof/>
                <w:color w:val="006100"/>
                <w:sz w:val="18"/>
                <w:szCs w:val="18"/>
              </w:rPr>
              <w:t> </w:t>
            </w:r>
            <w:r w:rsidRPr="006C30BE">
              <w:rPr>
                <w:rFonts w:ascii="Times New Roman" w:hAnsi="Times New Roman" w:cs="Times New Roman"/>
                <w:noProof/>
                <w:color w:val="006100"/>
                <w:sz w:val="18"/>
                <w:szCs w:val="18"/>
              </w:rPr>
              <w:t>103 036 204</w:t>
            </w:r>
          </w:p>
        </w:tc>
      </w:tr>
    </w:tbl>
    <w:p w14:paraId="737ECBE1" w14:textId="77777777" w:rsidR="003734A7" w:rsidRPr="000F04FA" w:rsidRDefault="003734A7" w:rsidP="00D8670B">
      <w:pPr>
        <w:rPr>
          <w:noProof/>
        </w:rPr>
      </w:pPr>
    </w:p>
    <w:p w14:paraId="62606F39" w14:textId="77777777" w:rsidR="003734A7" w:rsidRPr="000F04FA" w:rsidRDefault="003734A7" w:rsidP="00D8670B">
      <w:pPr>
        <w:rPr>
          <w:noProof/>
        </w:rPr>
        <w:sectPr w:rsidR="003734A7" w:rsidRPr="000F04FA" w:rsidSect="003734A7">
          <w:headerReference w:type="even" r:id="rId106"/>
          <w:headerReference w:type="default" r:id="rId107"/>
          <w:footerReference w:type="even" r:id="rId108"/>
          <w:footerReference w:type="default" r:id="rId109"/>
          <w:headerReference w:type="first" r:id="rId110"/>
          <w:footerReference w:type="first" r:id="rId111"/>
          <w:pgSz w:w="11906" w:h="16838"/>
          <w:pgMar w:top="1440" w:right="1440" w:bottom="1440" w:left="1440" w:header="720" w:footer="720" w:gutter="0"/>
          <w:cols w:space="720"/>
          <w:docGrid w:linePitch="360"/>
        </w:sectPr>
      </w:pPr>
    </w:p>
    <w:p w14:paraId="2897BA8C" w14:textId="77777777" w:rsidR="003734A7" w:rsidRPr="000F04FA" w:rsidRDefault="003734A7" w:rsidP="00D8670B">
      <w:pPr>
        <w:pStyle w:val="NumPar2"/>
        <w:tabs>
          <w:tab w:val="num" w:pos="850"/>
        </w:tabs>
        <w:ind w:left="850" w:hanging="850"/>
        <w:rPr>
          <w:noProof/>
          <w:lang w:val="en-US"/>
        </w:rPr>
      </w:pPr>
      <w:r w:rsidRPr="000F04FA">
        <w:rPr>
          <w:noProof/>
          <w:lang w:val="en-US"/>
        </w:rPr>
        <w:t xml:space="preserve">Fourth Instalment (non-repayable support): </w:t>
      </w:r>
    </w:p>
    <w:tbl>
      <w:tblPr>
        <w:tblW w:w="97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45"/>
        <w:gridCol w:w="1536"/>
        <w:gridCol w:w="2266"/>
      </w:tblGrid>
      <w:tr w:rsidR="003734A7" w:rsidRPr="00BF5BEF" w14:paraId="79BE25DE" w14:textId="77777777" w:rsidTr="00BF5BEF">
        <w:trPr>
          <w:cantSplit/>
          <w:trHeight w:val="509"/>
          <w:tblHeader/>
        </w:trPr>
        <w:tc>
          <w:tcPr>
            <w:tcW w:w="1702" w:type="dxa"/>
            <w:vMerge w:val="restart"/>
            <w:shd w:val="clear" w:color="auto" w:fill="BDD7EE"/>
            <w:vAlign w:val="center"/>
            <w:hideMark/>
          </w:tcPr>
          <w:p w14:paraId="5FDC425B" w14:textId="77777777" w:rsidR="003734A7" w:rsidRPr="00BF5BEF" w:rsidRDefault="003734A7" w:rsidP="00D8670B">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Sequential Number</w:t>
            </w:r>
          </w:p>
        </w:tc>
        <w:tc>
          <w:tcPr>
            <w:tcW w:w="4645" w:type="dxa"/>
            <w:vMerge w:val="restart"/>
            <w:shd w:val="clear" w:color="auto" w:fill="BDD7EE"/>
            <w:vAlign w:val="center"/>
            <w:hideMark/>
          </w:tcPr>
          <w:p w14:paraId="1FEA916D" w14:textId="77777777" w:rsidR="003734A7" w:rsidRPr="00BF5BEF" w:rsidRDefault="003734A7" w:rsidP="00D8670B">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Related Measure (Reform or Investment)</w:t>
            </w:r>
          </w:p>
        </w:tc>
        <w:tc>
          <w:tcPr>
            <w:tcW w:w="1166" w:type="dxa"/>
            <w:vMerge w:val="restart"/>
            <w:shd w:val="clear" w:color="auto" w:fill="BDD7EE"/>
            <w:vAlign w:val="center"/>
            <w:hideMark/>
          </w:tcPr>
          <w:p w14:paraId="04D9B973" w14:textId="22BE0A13" w:rsidR="003734A7" w:rsidRPr="00BF5BEF" w:rsidRDefault="003734A7" w:rsidP="00BF5BEF">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Milestone/Target</w:t>
            </w:r>
          </w:p>
        </w:tc>
        <w:tc>
          <w:tcPr>
            <w:tcW w:w="2266" w:type="dxa"/>
            <w:vMerge w:val="restart"/>
            <w:shd w:val="clear" w:color="auto" w:fill="BDD7EE"/>
            <w:vAlign w:val="center"/>
            <w:hideMark/>
          </w:tcPr>
          <w:p w14:paraId="2FAC22C1" w14:textId="77777777" w:rsidR="003734A7" w:rsidRPr="00BF5BEF" w:rsidRDefault="003734A7" w:rsidP="00BF5BEF">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Name</w:t>
            </w:r>
          </w:p>
        </w:tc>
      </w:tr>
      <w:tr w:rsidR="003734A7" w:rsidRPr="00BF5BEF" w14:paraId="3889AFB5" w14:textId="77777777" w:rsidTr="00BF5BEF">
        <w:trPr>
          <w:cantSplit/>
          <w:trHeight w:val="509"/>
          <w:tblHeader/>
        </w:trPr>
        <w:tc>
          <w:tcPr>
            <w:tcW w:w="1702" w:type="dxa"/>
            <w:vMerge/>
            <w:vAlign w:val="center"/>
            <w:hideMark/>
          </w:tcPr>
          <w:p w14:paraId="0EBFBB19" w14:textId="77777777" w:rsidR="003734A7" w:rsidRPr="00BF5BEF" w:rsidRDefault="003734A7" w:rsidP="00D8670B">
            <w:pPr>
              <w:spacing w:after="0"/>
              <w:rPr>
                <w:rFonts w:ascii="Times New Roman" w:eastAsia="Times New Roman" w:hAnsi="Times New Roman" w:cs="Times New Roman"/>
                <w:b/>
                <w:noProof/>
                <w:sz w:val="18"/>
                <w:szCs w:val="18"/>
                <w:lang w:eastAsia="en-GB"/>
              </w:rPr>
            </w:pPr>
          </w:p>
        </w:tc>
        <w:tc>
          <w:tcPr>
            <w:tcW w:w="4645" w:type="dxa"/>
            <w:vMerge/>
            <w:vAlign w:val="center"/>
            <w:hideMark/>
          </w:tcPr>
          <w:p w14:paraId="6C7974E3" w14:textId="77777777" w:rsidR="003734A7" w:rsidRPr="00BF5BEF" w:rsidRDefault="003734A7" w:rsidP="00D8670B">
            <w:pPr>
              <w:spacing w:after="0"/>
              <w:rPr>
                <w:rFonts w:ascii="Times New Roman" w:eastAsia="Times New Roman" w:hAnsi="Times New Roman" w:cs="Times New Roman"/>
                <w:b/>
                <w:noProof/>
                <w:sz w:val="18"/>
                <w:szCs w:val="18"/>
                <w:lang w:eastAsia="en-GB"/>
              </w:rPr>
            </w:pPr>
          </w:p>
        </w:tc>
        <w:tc>
          <w:tcPr>
            <w:tcW w:w="1166" w:type="dxa"/>
            <w:vMerge/>
            <w:vAlign w:val="center"/>
            <w:hideMark/>
          </w:tcPr>
          <w:p w14:paraId="0A861B42" w14:textId="77777777" w:rsidR="003734A7" w:rsidRPr="00BF5BEF" w:rsidRDefault="003734A7" w:rsidP="00BF5BEF">
            <w:pPr>
              <w:spacing w:after="0"/>
              <w:jc w:val="center"/>
              <w:rPr>
                <w:rFonts w:ascii="Times New Roman" w:eastAsia="Times New Roman" w:hAnsi="Times New Roman" w:cs="Times New Roman"/>
                <w:b/>
                <w:noProof/>
                <w:sz w:val="18"/>
                <w:szCs w:val="18"/>
                <w:lang w:eastAsia="en-GB"/>
              </w:rPr>
            </w:pPr>
          </w:p>
        </w:tc>
        <w:tc>
          <w:tcPr>
            <w:tcW w:w="2266" w:type="dxa"/>
            <w:vMerge/>
            <w:vAlign w:val="center"/>
            <w:hideMark/>
          </w:tcPr>
          <w:p w14:paraId="55D070F1" w14:textId="77777777" w:rsidR="003734A7" w:rsidRPr="00BF5BEF" w:rsidRDefault="003734A7" w:rsidP="00BF5BEF">
            <w:pPr>
              <w:spacing w:after="0"/>
              <w:jc w:val="both"/>
              <w:rPr>
                <w:rFonts w:ascii="Times New Roman" w:eastAsia="Times New Roman" w:hAnsi="Times New Roman" w:cs="Times New Roman"/>
                <w:b/>
                <w:noProof/>
                <w:sz w:val="18"/>
                <w:szCs w:val="18"/>
                <w:lang w:eastAsia="en-GB"/>
              </w:rPr>
            </w:pPr>
          </w:p>
        </w:tc>
      </w:tr>
      <w:tr w:rsidR="003734A7" w:rsidRPr="00BF5BEF" w14:paraId="11AB6A75" w14:textId="77777777" w:rsidTr="00BF5BEF">
        <w:trPr>
          <w:cantSplit/>
          <w:trHeight w:val="302"/>
        </w:trPr>
        <w:tc>
          <w:tcPr>
            <w:tcW w:w="1702" w:type="dxa"/>
            <w:shd w:val="clear" w:color="auto" w:fill="C6EFCE"/>
            <w:noWrap/>
          </w:tcPr>
          <w:p w14:paraId="15268AA6" w14:textId="77777777" w:rsidR="003734A7" w:rsidRPr="00BF5BEF" w:rsidRDefault="003734A7" w:rsidP="00D8670B">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3</w:t>
            </w:r>
          </w:p>
        </w:tc>
        <w:tc>
          <w:tcPr>
            <w:tcW w:w="4645" w:type="dxa"/>
            <w:shd w:val="clear" w:color="auto" w:fill="C6EFCE"/>
            <w:noWrap/>
          </w:tcPr>
          <w:p w14:paraId="02A1B842"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C1.1R2</w:t>
            </w:r>
          </w:p>
          <w:p w14:paraId="11266710" w14:textId="77777777" w:rsidR="003734A7" w:rsidRPr="00BF5BEF" w:rsidRDefault="003734A7" w:rsidP="00D8670B">
            <w:pP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 xml:space="preserve">Design of an Electronic platform for the surveillance of Nosocomial Antibiotic Consumption and Healthcare – Associated Infections </w:t>
            </w:r>
          </w:p>
        </w:tc>
        <w:tc>
          <w:tcPr>
            <w:tcW w:w="1166" w:type="dxa"/>
            <w:shd w:val="clear" w:color="auto" w:fill="C6EFCE"/>
            <w:noWrap/>
          </w:tcPr>
          <w:p w14:paraId="094C954E"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5A087633"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 xml:space="preserve">Adoption of the list of health care facilities </w:t>
            </w:r>
          </w:p>
        </w:tc>
      </w:tr>
      <w:tr w:rsidR="003734A7" w:rsidRPr="00BF5BEF" w14:paraId="5A41448E" w14:textId="77777777" w:rsidTr="00BF5BEF">
        <w:trPr>
          <w:cantSplit/>
          <w:trHeight w:val="302"/>
        </w:trPr>
        <w:tc>
          <w:tcPr>
            <w:tcW w:w="1702" w:type="dxa"/>
            <w:shd w:val="clear" w:color="auto" w:fill="C6EFCE"/>
            <w:noWrap/>
          </w:tcPr>
          <w:p w14:paraId="781FBB81" w14:textId="77777777" w:rsidR="003734A7" w:rsidRPr="00BF5BEF" w:rsidRDefault="003734A7" w:rsidP="00D8670B">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43</w:t>
            </w:r>
          </w:p>
        </w:tc>
        <w:tc>
          <w:tcPr>
            <w:tcW w:w="4645" w:type="dxa"/>
            <w:shd w:val="clear" w:color="auto" w:fill="C6EFCE"/>
            <w:noWrap/>
          </w:tcPr>
          <w:p w14:paraId="74693C1F"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C2.1I8</w:t>
            </w:r>
          </w:p>
          <w:p w14:paraId="04345FA3" w14:textId="77777777" w:rsidR="003734A7" w:rsidRPr="00BF5BEF" w:rsidRDefault="003734A7" w:rsidP="00D8670B">
            <w:pP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Monitoring and reduction of GHG emissions in agriculture</w:t>
            </w:r>
          </w:p>
        </w:tc>
        <w:tc>
          <w:tcPr>
            <w:tcW w:w="1166" w:type="dxa"/>
            <w:shd w:val="clear" w:color="auto" w:fill="C6EFCE"/>
            <w:noWrap/>
          </w:tcPr>
          <w:p w14:paraId="684592C1"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501BEC33"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Purchase and installation of monitoring units for measuring GHG emissions from agriculture</w:t>
            </w:r>
          </w:p>
        </w:tc>
      </w:tr>
      <w:tr w:rsidR="003734A7" w:rsidRPr="00BF5BEF" w14:paraId="197A306F" w14:textId="77777777" w:rsidTr="00BF5BEF">
        <w:trPr>
          <w:cantSplit/>
          <w:trHeight w:val="302"/>
        </w:trPr>
        <w:tc>
          <w:tcPr>
            <w:tcW w:w="1702" w:type="dxa"/>
            <w:shd w:val="clear" w:color="auto" w:fill="C6EFCE"/>
            <w:noWrap/>
          </w:tcPr>
          <w:p w14:paraId="14EFE83C"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48</w:t>
            </w:r>
          </w:p>
        </w:tc>
        <w:tc>
          <w:tcPr>
            <w:tcW w:w="4645" w:type="dxa"/>
            <w:shd w:val="clear" w:color="auto" w:fill="C6EFCE"/>
            <w:noWrap/>
          </w:tcPr>
          <w:p w14:paraId="52AD07CF"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C2.1I10</w:t>
            </w:r>
          </w:p>
          <w:p w14:paraId="53116B03"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Market Management System to facilitate the opening of the electricity market to competition</w:t>
            </w:r>
          </w:p>
        </w:tc>
        <w:tc>
          <w:tcPr>
            <w:tcW w:w="1166" w:type="dxa"/>
            <w:shd w:val="clear" w:color="auto" w:fill="C6EFCE"/>
            <w:noWrap/>
          </w:tcPr>
          <w:p w14:paraId="5E43319F"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52D3914E"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 xml:space="preserve">Installation of the Market Management System </w:t>
            </w:r>
          </w:p>
        </w:tc>
      </w:tr>
      <w:tr w:rsidR="003734A7" w:rsidRPr="00BF5BEF" w14:paraId="39F8BE04" w14:textId="77777777" w:rsidTr="00BF5BEF">
        <w:trPr>
          <w:cantSplit/>
          <w:trHeight w:val="302"/>
        </w:trPr>
        <w:tc>
          <w:tcPr>
            <w:tcW w:w="1702" w:type="dxa"/>
            <w:shd w:val="clear" w:color="auto" w:fill="C6EFCE"/>
            <w:noWrap/>
          </w:tcPr>
          <w:p w14:paraId="7FA0D6A8"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74a</w:t>
            </w:r>
          </w:p>
        </w:tc>
        <w:tc>
          <w:tcPr>
            <w:tcW w:w="4645" w:type="dxa"/>
            <w:shd w:val="clear" w:color="auto" w:fill="C6EFCE"/>
            <w:noWrap/>
          </w:tcPr>
          <w:p w14:paraId="5857DE0C"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C2.3I4</w:t>
            </w:r>
          </w:p>
          <w:p w14:paraId="3DEE454E"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Smart Water and Sewerage Networks Management</w:t>
            </w:r>
          </w:p>
        </w:tc>
        <w:tc>
          <w:tcPr>
            <w:tcW w:w="1166" w:type="dxa"/>
            <w:shd w:val="clear" w:color="auto" w:fill="C6EFCE"/>
            <w:noWrap/>
          </w:tcPr>
          <w:p w14:paraId="78E59E18"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Target</w:t>
            </w:r>
          </w:p>
        </w:tc>
        <w:tc>
          <w:tcPr>
            <w:tcW w:w="2266" w:type="dxa"/>
            <w:shd w:val="clear" w:color="auto" w:fill="C6EFCE"/>
            <w:noWrap/>
          </w:tcPr>
          <w:p w14:paraId="1BEEF9FA" w14:textId="1451F9EE"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Delivery and</w:t>
            </w:r>
            <w:r w:rsidR="00064579" w:rsidRPr="00BF5BEF">
              <w:rPr>
                <w:rFonts w:ascii="Times New Roman" w:hAnsi="Times New Roman" w:cs="Times New Roman"/>
                <w:noProof/>
                <w:sz w:val="18"/>
                <w:szCs w:val="18"/>
              </w:rPr>
              <w:t xml:space="preserve"> </w:t>
            </w:r>
            <w:r w:rsidRPr="00BF5BEF">
              <w:rPr>
                <w:rFonts w:ascii="Times New Roman" w:hAnsi="Times New Roman" w:cs="Times New Roman"/>
                <w:noProof/>
                <w:sz w:val="18"/>
                <w:szCs w:val="18"/>
              </w:rPr>
              <w:t>installation of photovoltaics at the Larnaca Wastewater Treatment Plant</w:t>
            </w:r>
          </w:p>
        </w:tc>
      </w:tr>
      <w:tr w:rsidR="003734A7" w:rsidRPr="00BF5BEF" w14:paraId="484015FF" w14:textId="77777777" w:rsidTr="00BF5BEF">
        <w:trPr>
          <w:cantSplit/>
          <w:trHeight w:val="302"/>
        </w:trPr>
        <w:tc>
          <w:tcPr>
            <w:tcW w:w="1702" w:type="dxa"/>
            <w:shd w:val="clear" w:color="auto" w:fill="C6EFCE"/>
            <w:noWrap/>
          </w:tcPr>
          <w:p w14:paraId="169E8343"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86</w:t>
            </w:r>
          </w:p>
        </w:tc>
        <w:tc>
          <w:tcPr>
            <w:tcW w:w="4645" w:type="dxa"/>
            <w:shd w:val="clear" w:color="auto" w:fill="C6EFCE"/>
            <w:noWrap/>
          </w:tcPr>
          <w:p w14:paraId="5A1E52B7"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C3.1R1</w:t>
            </w:r>
          </w:p>
          <w:p w14:paraId="58582B38"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Move agricultural practices from the 20</w:t>
            </w:r>
            <w:r w:rsidRPr="00BF5BEF">
              <w:rPr>
                <w:rFonts w:ascii="Times New Roman" w:hAnsi="Times New Roman" w:cs="Times New Roman"/>
                <w:noProof/>
                <w:sz w:val="18"/>
                <w:szCs w:val="18"/>
                <w:vertAlign w:val="superscript"/>
              </w:rPr>
              <w:t>th</w:t>
            </w:r>
            <w:r w:rsidRPr="00BF5BEF">
              <w:rPr>
                <w:rFonts w:ascii="Times New Roman" w:hAnsi="Times New Roman" w:cs="Times New Roman"/>
                <w:noProof/>
                <w:sz w:val="18"/>
                <w:szCs w:val="18"/>
              </w:rPr>
              <w:t xml:space="preserve"> century to the 21</w:t>
            </w:r>
            <w:r w:rsidRPr="00BF5BEF">
              <w:rPr>
                <w:rFonts w:ascii="Times New Roman" w:hAnsi="Times New Roman" w:cs="Times New Roman"/>
                <w:noProof/>
                <w:sz w:val="18"/>
                <w:szCs w:val="18"/>
                <w:vertAlign w:val="superscript"/>
              </w:rPr>
              <w:t>st</w:t>
            </w:r>
            <w:r w:rsidRPr="00BF5BEF">
              <w:rPr>
                <w:rFonts w:ascii="Times New Roman" w:hAnsi="Times New Roman" w:cs="Times New Roman"/>
                <w:noProof/>
                <w:sz w:val="18"/>
                <w:szCs w:val="18"/>
              </w:rPr>
              <w:t xml:space="preserve"> century by investing in a national centre for excellence in agri-tech</w:t>
            </w:r>
          </w:p>
        </w:tc>
        <w:tc>
          <w:tcPr>
            <w:tcW w:w="1166" w:type="dxa"/>
            <w:shd w:val="clear" w:color="auto" w:fill="C6EFCE"/>
            <w:noWrap/>
          </w:tcPr>
          <w:p w14:paraId="497EDD08"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22F26602" w14:textId="3D0C487F"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Masters in the wider domain of Agriculture</w:t>
            </w:r>
          </w:p>
        </w:tc>
      </w:tr>
      <w:tr w:rsidR="003734A7" w:rsidRPr="00BF5BEF" w14:paraId="1710BB64" w14:textId="77777777" w:rsidTr="00BF5BEF">
        <w:trPr>
          <w:cantSplit/>
          <w:trHeight w:val="302"/>
        </w:trPr>
        <w:tc>
          <w:tcPr>
            <w:tcW w:w="1702" w:type="dxa"/>
            <w:shd w:val="clear" w:color="auto" w:fill="C6EFCE"/>
            <w:noWrap/>
          </w:tcPr>
          <w:p w14:paraId="5D98A51C"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132</w:t>
            </w:r>
          </w:p>
        </w:tc>
        <w:tc>
          <w:tcPr>
            <w:tcW w:w="4645" w:type="dxa"/>
            <w:shd w:val="clear" w:color="auto" w:fill="C6EFCE"/>
            <w:noWrap/>
          </w:tcPr>
          <w:p w14:paraId="44031C55"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C3.2I4</w:t>
            </w:r>
          </w:p>
          <w:p w14:paraId="4662B7B4"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Funding to organisations performing R&amp;D activities on dual technologies</w:t>
            </w:r>
          </w:p>
        </w:tc>
        <w:tc>
          <w:tcPr>
            <w:tcW w:w="1166" w:type="dxa"/>
            <w:shd w:val="clear" w:color="auto" w:fill="C6EFCE"/>
            <w:noWrap/>
          </w:tcPr>
          <w:p w14:paraId="542E5187"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0FFA796B"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Signing of grant agreements which commit 80% of total budget for funding to organisations performing R&amp;D activities on dual technologies</w:t>
            </w:r>
          </w:p>
        </w:tc>
      </w:tr>
      <w:tr w:rsidR="003734A7" w:rsidRPr="00BF5BEF" w14:paraId="7BF28ED5" w14:textId="77777777" w:rsidTr="00BF5BEF">
        <w:trPr>
          <w:cantSplit/>
          <w:trHeight w:val="302"/>
        </w:trPr>
        <w:tc>
          <w:tcPr>
            <w:tcW w:w="1702" w:type="dxa"/>
            <w:shd w:val="clear" w:color="auto" w:fill="C6EFCE"/>
            <w:noWrap/>
          </w:tcPr>
          <w:p w14:paraId="77F1A3AC"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135</w:t>
            </w:r>
          </w:p>
        </w:tc>
        <w:tc>
          <w:tcPr>
            <w:tcW w:w="4645" w:type="dxa"/>
            <w:shd w:val="clear" w:color="auto" w:fill="C6EFCE"/>
            <w:noWrap/>
          </w:tcPr>
          <w:p w14:paraId="0C20EE1B"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C3.3R1</w:t>
            </w:r>
          </w:p>
          <w:p w14:paraId="665B3595"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Facilitation of Strategic investments</w:t>
            </w:r>
          </w:p>
        </w:tc>
        <w:tc>
          <w:tcPr>
            <w:tcW w:w="1166" w:type="dxa"/>
            <w:shd w:val="clear" w:color="auto" w:fill="C6EFCE"/>
            <w:noWrap/>
          </w:tcPr>
          <w:p w14:paraId="542382AC"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7158EFC0"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Organisational capacity’s enhancement for the facilitation of strategic investments</w:t>
            </w:r>
          </w:p>
        </w:tc>
      </w:tr>
      <w:tr w:rsidR="003734A7" w:rsidRPr="00BF5BEF" w14:paraId="44CA8E5F" w14:textId="77777777" w:rsidTr="00BF5BEF">
        <w:trPr>
          <w:cantSplit/>
          <w:trHeight w:val="302"/>
        </w:trPr>
        <w:tc>
          <w:tcPr>
            <w:tcW w:w="1702" w:type="dxa"/>
            <w:shd w:val="clear" w:color="auto" w:fill="C6EFCE"/>
            <w:noWrap/>
          </w:tcPr>
          <w:p w14:paraId="235E8BC6"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140</w:t>
            </w:r>
          </w:p>
        </w:tc>
        <w:tc>
          <w:tcPr>
            <w:tcW w:w="4645" w:type="dxa"/>
            <w:shd w:val="clear" w:color="auto" w:fill="C6EFCE"/>
            <w:noWrap/>
          </w:tcPr>
          <w:p w14:paraId="7D24F149"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C3.3R4</w:t>
            </w:r>
          </w:p>
          <w:p w14:paraId="0D496CDE"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Design and establish a National Promotional Agency </w:t>
            </w:r>
          </w:p>
        </w:tc>
        <w:tc>
          <w:tcPr>
            <w:tcW w:w="1166" w:type="dxa"/>
            <w:shd w:val="clear" w:color="auto" w:fill="C6EFCE"/>
            <w:noWrap/>
          </w:tcPr>
          <w:p w14:paraId="54E23120"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04838679"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Approval by the Council of Ministers of the roadmap for the creation and establishment of a National Promotional Agency</w:t>
            </w:r>
          </w:p>
        </w:tc>
      </w:tr>
      <w:tr w:rsidR="003734A7" w:rsidRPr="00BF5BEF" w14:paraId="3971786B" w14:textId="77777777" w:rsidTr="00BF5BEF">
        <w:trPr>
          <w:cantSplit/>
          <w:trHeight w:val="302"/>
        </w:trPr>
        <w:tc>
          <w:tcPr>
            <w:tcW w:w="1702" w:type="dxa"/>
            <w:shd w:val="clear" w:color="auto" w:fill="C6EFCE"/>
            <w:noWrap/>
          </w:tcPr>
          <w:p w14:paraId="29C4B81E"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147</w:t>
            </w:r>
          </w:p>
        </w:tc>
        <w:tc>
          <w:tcPr>
            <w:tcW w:w="4645" w:type="dxa"/>
            <w:shd w:val="clear" w:color="auto" w:fill="C6EFCE"/>
            <w:noWrap/>
          </w:tcPr>
          <w:p w14:paraId="7AD8160F"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C3.3I4</w:t>
            </w:r>
          </w:p>
          <w:p w14:paraId="4ED3425F"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Scheme for the digital upgrade of enterprises </w:t>
            </w:r>
          </w:p>
        </w:tc>
        <w:tc>
          <w:tcPr>
            <w:tcW w:w="1166" w:type="dxa"/>
            <w:shd w:val="clear" w:color="auto" w:fill="C6EFCE"/>
            <w:noWrap/>
          </w:tcPr>
          <w:p w14:paraId="19A61958"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14270EDA"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Publication of call for proposals following approval of the scheme by the Council of Ministers</w:t>
            </w:r>
          </w:p>
        </w:tc>
      </w:tr>
      <w:tr w:rsidR="003734A7" w:rsidRPr="00BF5BEF" w14:paraId="2E1F94A4" w14:textId="77777777" w:rsidTr="00BF5BEF">
        <w:trPr>
          <w:cantSplit/>
          <w:trHeight w:val="302"/>
        </w:trPr>
        <w:tc>
          <w:tcPr>
            <w:tcW w:w="1702" w:type="dxa"/>
            <w:shd w:val="clear" w:color="auto" w:fill="C6EFCE"/>
            <w:noWrap/>
          </w:tcPr>
          <w:p w14:paraId="512575B0"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158</w:t>
            </w:r>
          </w:p>
        </w:tc>
        <w:tc>
          <w:tcPr>
            <w:tcW w:w="4645" w:type="dxa"/>
            <w:shd w:val="clear" w:color="auto" w:fill="C6EFCE"/>
            <w:noWrap/>
          </w:tcPr>
          <w:p w14:paraId="2520D275"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C3.4R2</w:t>
            </w:r>
          </w:p>
          <w:p w14:paraId="77368D18"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Regulate flexible working arrangements in the public sector </w:t>
            </w:r>
          </w:p>
        </w:tc>
        <w:tc>
          <w:tcPr>
            <w:tcW w:w="1166" w:type="dxa"/>
            <w:shd w:val="clear" w:color="auto" w:fill="C6EFCE"/>
            <w:noWrap/>
          </w:tcPr>
          <w:p w14:paraId="02CFD393"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79F459A2"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Decision on flexible working arrangements in the public sector</w:t>
            </w:r>
          </w:p>
        </w:tc>
      </w:tr>
      <w:tr w:rsidR="003734A7" w:rsidRPr="00BF5BEF" w14:paraId="07433F66" w14:textId="77777777" w:rsidTr="00BF5BEF">
        <w:trPr>
          <w:cantSplit/>
          <w:trHeight w:val="302"/>
        </w:trPr>
        <w:tc>
          <w:tcPr>
            <w:tcW w:w="1702" w:type="dxa"/>
            <w:shd w:val="clear" w:color="auto" w:fill="C6EFCE"/>
            <w:noWrap/>
          </w:tcPr>
          <w:p w14:paraId="0C961AA4"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193</w:t>
            </w:r>
          </w:p>
        </w:tc>
        <w:tc>
          <w:tcPr>
            <w:tcW w:w="4645" w:type="dxa"/>
            <w:shd w:val="clear" w:color="auto" w:fill="C6EFCE"/>
            <w:noWrap/>
          </w:tcPr>
          <w:p w14:paraId="7588CEDB"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C3.5R3 </w:t>
            </w:r>
          </w:p>
          <w:p w14:paraId="1C749A20"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Strategy for addressing inadequacies of the property transaction system (title deeds)</w:t>
            </w:r>
          </w:p>
        </w:tc>
        <w:tc>
          <w:tcPr>
            <w:tcW w:w="1166" w:type="dxa"/>
            <w:shd w:val="clear" w:color="auto" w:fill="C6EFCE"/>
            <w:noWrap/>
          </w:tcPr>
          <w:p w14:paraId="40498D20"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266" w:type="dxa"/>
            <w:shd w:val="clear" w:color="auto" w:fill="C6EFCE"/>
            <w:noWrap/>
          </w:tcPr>
          <w:p w14:paraId="60B7D3BF"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color w:val="000000" w:themeColor="text1"/>
                <w:sz w:val="18"/>
                <w:szCs w:val="18"/>
              </w:rPr>
              <w:t xml:space="preserve"> Reduction of backlog of cases for issuance of title deeds either by issuing title deeds or by rejecting the case</w:t>
            </w:r>
            <w:r w:rsidRPr="00BF5BEF">
              <w:rPr>
                <w:rFonts w:ascii="Times New Roman" w:hAnsi="Times New Roman" w:cs="Times New Roman"/>
                <w:noProof/>
                <w:sz w:val="18"/>
                <w:szCs w:val="18"/>
              </w:rPr>
              <w:t xml:space="preserve"> </w:t>
            </w:r>
          </w:p>
        </w:tc>
      </w:tr>
      <w:tr w:rsidR="003734A7" w:rsidRPr="00BF5BEF" w14:paraId="636A8E29" w14:textId="77777777" w:rsidTr="00BF5BEF">
        <w:trPr>
          <w:cantSplit/>
          <w:trHeight w:val="302"/>
        </w:trPr>
        <w:tc>
          <w:tcPr>
            <w:tcW w:w="1702" w:type="dxa"/>
            <w:shd w:val="clear" w:color="auto" w:fill="C6EFCE"/>
            <w:noWrap/>
          </w:tcPr>
          <w:p w14:paraId="39E3ECF1"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197</w:t>
            </w:r>
          </w:p>
        </w:tc>
        <w:tc>
          <w:tcPr>
            <w:tcW w:w="4645" w:type="dxa"/>
            <w:shd w:val="clear" w:color="auto" w:fill="C6EFCE"/>
            <w:noWrap/>
          </w:tcPr>
          <w:p w14:paraId="7805BEED"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C3.5R4 </w:t>
            </w:r>
          </w:p>
          <w:p w14:paraId="0F7A8116"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New legal framework and system of exchange of data and credit bureau</w:t>
            </w:r>
          </w:p>
        </w:tc>
        <w:tc>
          <w:tcPr>
            <w:tcW w:w="1166" w:type="dxa"/>
            <w:shd w:val="clear" w:color="auto" w:fill="C6EFCE"/>
            <w:noWrap/>
          </w:tcPr>
          <w:p w14:paraId="69B6ED8D"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29C41BC8"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Entry into force of the framework and system of exchange of data legislation </w:t>
            </w:r>
          </w:p>
        </w:tc>
      </w:tr>
      <w:tr w:rsidR="003734A7" w:rsidRPr="00BF5BEF" w14:paraId="71122994" w14:textId="77777777" w:rsidTr="00BF5BEF">
        <w:trPr>
          <w:cantSplit/>
          <w:trHeight w:val="302"/>
        </w:trPr>
        <w:tc>
          <w:tcPr>
            <w:tcW w:w="1702" w:type="dxa"/>
            <w:shd w:val="clear" w:color="auto" w:fill="C6EFCE"/>
            <w:noWrap/>
          </w:tcPr>
          <w:p w14:paraId="09DCB82E"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220</w:t>
            </w:r>
          </w:p>
        </w:tc>
        <w:tc>
          <w:tcPr>
            <w:tcW w:w="4645" w:type="dxa"/>
            <w:shd w:val="clear" w:color="auto" w:fill="C6EFCE"/>
            <w:noWrap/>
          </w:tcPr>
          <w:p w14:paraId="739264CB"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C4.1I2</w:t>
            </w:r>
          </w:p>
          <w:p w14:paraId="5231C6C4"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Upgrade internet connection to be “Gigabit-ready” and promote connectivity take-up </w:t>
            </w:r>
          </w:p>
        </w:tc>
        <w:tc>
          <w:tcPr>
            <w:tcW w:w="1166" w:type="dxa"/>
            <w:shd w:val="clear" w:color="auto" w:fill="C6EFCE"/>
            <w:noWrap/>
          </w:tcPr>
          <w:p w14:paraId="5AA33354"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266" w:type="dxa"/>
            <w:shd w:val="clear" w:color="auto" w:fill="C6EFCE"/>
            <w:noWrap/>
          </w:tcPr>
          <w:p w14:paraId="41F50D75"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Expansion of Gigabit-ready internet connection take-up by households</w:t>
            </w:r>
          </w:p>
        </w:tc>
      </w:tr>
      <w:tr w:rsidR="003734A7" w:rsidRPr="00BF5BEF" w14:paraId="777AA51D" w14:textId="77777777" w:rsidTr="00BF5BEF">
        <w:trPr>
          <w:cantSplit/>
          <w:trHeight w:val="302"/>
        </w:trPr>
        <w:tc>
          <w:tcPr>
            <w:tcW w:w="1702" w:type="dxa"/>
            <w:shd w:val="clear" w:color="auto" w:fill="C6EFCE"/>
            <w:noWrap/>
          </w:tcPr>
          <w:p w14:paraId="60D1F811"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229</w:t>
            </w:r>
          </w:p>
        </w:tc>
        <w:tc>
          <w:tcPr>
            <w:tcW w:w="4645" w:type="dxa"/>
            <w:shd w:val="clear" w:color="auto" w:fill="C6EFCE"/>
            <w:noWrap/>
          </w:tcPr>
          <w:p w14:paraId="72269431" w14:textId="77777777" w:rsidR="003734A7" w:rsidRPr="00547ADA" w:rsidRDefault="003734A7" w:rsidP="00D8670B">
            <w:pPr>
              <w:spacing w:after="0" w:line="240" w:lineRule="auto"/>
              <w:rPr>
                <w:rFonts w:ascii="Times New Roman" w:eastAsia="Times New Roman" w:hAnsi="Times New Roman" w:cs="Times New Roman"/>
                <w:noProof/>
                <w:sz w:val="18"/>
                <w:szCs w:val="18"/>
                <w:lang w:val="fr-BE"/>
              </w:rPr>
            </w:pPr>
            <w:r w:rsidRPr="00547ADA">
              <w:rPr>
                <w:rFonts w:ascii="Times New Roman" w:hAnsi="Times New Roman" w:cs="Times New Roman"/>
                <w:noProof/>
                <w:sz w:val="18"/>
                <w:szCs w:val="18"/>
                <w:lang w:val="fr-BE"/>
              </w:rPr>
              <w:t>C4.2R3</w:t>
            </w:r>
          </w:p>
          <w:p w14:paraId="4D100AD8" w14:textId="77777777" w:rsidR="003734A7" w:rsidRPr="00547ADA" w:rsidRDefault="003734A7" w:rsidP="00D8670B">
            <w:pPr>
              <w:spacing w:after="0" w:line="240" w:lineRule="auto"/>
              <w:rPr>
                <w:rFonts w:ascii="Times New Roman" w:hAnsi="Times New Roman" w:cs="Times New Roman"/>
                <w:noProof/>
                <w:sz w:val="18"/>
                <w:szCs w:val="18"/>
                <w:lang w:val="fr-BE"/>
              </w:rPr>
            </w:pPr>
            <w:r w:rsidRPr="00547ADA">
              <w:rPr>
                <w:rFonts w:ascii="Times New Roman" w:hAnsi="Times New Roman" w:cs="Times New Roman"/>
                <w:noProof/>
                <w:sz w:val="18"/>
                <w:szCs w:val="18"/>
                <w:lang w:val="fr-BE"/>
              </w:rPr>
              <w:t>Police Procedures digitalisation on Digipol</w:t>
            </w:r>
          </w:p>
        </w:tc>
        <w:tc>
          <w:tcPr>
            <w:tcW w:w="1166" w:type="dxa"/>
            <w:shd w:val="clear" w:color="auto" w:fill="C6EFCE"/>
            <w:noWrap/>
          </w:tcPr>
          <w:p w14:paraId="7B7CE1CC"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00EF4D71"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Digipol prototype operational </w:t>
            </w:r>
          </w:p>
        </w:tc>
      </w:tr>
      <w:tr w:rsidR="003734A7" w:rsidRPr="00BF5BEF" w14:paraId="39FB5ECF" w14:textId="77777777" w:rsidTr="00BF5BEF">
        <w:trPr>
          <w:cantSplit/>
          <w:trHeight w:val="302"/>
        </w:trPr>
        <w:tc>
          <w:tcPr>
            <w:tcW w:w="1702" w:type="dxa"/>
            <w:shd w:val="clear" w:color="auto" w:fill="C6EFCE"/>
            <w:noWrap/>
          </w:tcPr>
          <w:p w14:paraId="371D4B2A"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236</w:t>
            </w:r>
          </w:p>
        </w:tc>
        <w:tc>
          <w:tcPr>
            <w:tcW w:w="4645" w:type="dxa"/>
            <w:shd w:val="clear" w:color="auto" w:fill="C6EFCE"/>
            <w:noWrap/>
          </w:tcPr>
          <w:p w14:paraId="79D95269"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C4.2I2</w:t>
            </w:r>
          </w:p>
          <w:p w14:paraId="213B8347"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Digitalisation of the Cyprus Ports Authority</w:t>
            </w:r>
          </w:p>
        </w:tc>
        <w:tc>
          <w:tcPr>
            <w:tcW w:w="1166" w:type="dxa"/>
            <w:shd w:val="clear" w:color="auto" w:fill="C6EFCE"/>
            <w:noWrap/>
          </w:tcPr>
          <w:p w14:paraId="0327FB76"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266" w:type="dxa"/>
            <w:shd w:val="clear" w:color="auto" w:fill="C6EFCE"/>
            <w:noWrap/>
          </w:tcPr>
          <w:p w14:paraId="2FE687FA"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Start of the digital upgrade of the Cyprus Ports Authority</w:t>
            </w:r>
          </w:p>
        </w:tc>
      </w:tr>
      <w:tr w:rsidR="003734A7" w:rsidRPr="00BF5BEF" w14:paraId="6547AEEB" w14:textId="77777777" w:rsidTr="00BF5BEF">
        <w:trPr>
          <w:cantSplit/>
          <w:trHeight w:val="302"/>
        </w:trPr>
        <w:tc>
          <w:tcPr>
            <w:tcW w:w="1702" w:type="dxa"/>
            <w:shd w:val="clear" w:color="auto" w:fill="C6EFCE"/>
            <w:noWrap/>
          </w:tcPr>
          <w:p w14:paraId="7B7105A2"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255</w:t>
            </w:r>
          </w:p>
        </w:tc>
        <w:tc>
          <w:tcPr>
            <w:tcW w:w="4645" w:type="dxa"/>
            <w:shd w:val="clear" w:color="auto" w:fill="C6EFCE"/>
            <w:noWrap/>
          </w:tcPr>
          <w:p w14:paraId="39F22145"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C5.2R2</w:t>
            </w:r>
          </w:p>
          <w:p w14:paraId="18F33301"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Flexible Work Arrangements in the Form of Telework</w:t>
            </w:r>
          </w:p>
        </w:tc>
        <w:tc>
          <w:tcPr>
            <w:tcW w:w="1166" w:type="dxa"/>
            <w:shd w:val="clear" w:color="auto" w:fill="C6EFCE"/>
            <w:noWrap/>
          </w:tcPr>
          <w:p w14:paraId="44F86629"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66" w:type="dxa"/>
            <w:shd w:val="clear" w:color="auto" w:fill="C6EFCE"/>
            <w:noWrap/>
          </w:tcPr>
          <w:p w14:paraId="08740099"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Entry into force of the law for flexible work arrangements in the form of telework</w:t>
            </w:r>
          </w:p>
        </w:tc>
      </w:tr>
      <w:tr w:rsidR="003734A7" w:rsidRPr="00BF5BEF" w14:paraId="540B6D95" w14:textId="77777777" w:rsidTr="00BF5BEF">
        <w:trPr>
          <w:cantSplit/>
          <w:trHeight w:val="302"/>
        </w:trPr>
        <w:tc>
          <w:tcPr>
            <w:tcW w:w="1702" w:type="dxa"/>
            <w:shd w:val="clear" w:color="auto" w:fill="C6EFCE"/>
            <w:noWrap/>
            <w:vAlign w:val="bottom"/>
          </w:tcPr>
          <w:p w14:paraId="0A0E5633" w14:textId="77777777" w:rsidR="003734A7" w:rsidRPr="00BF5BEF" w:rsidRDefault="003734A7" w:rsidP="00D8670B">
            <w:pPr>
              <w:spacing w:after="0"/>
              <w:jc w:val="center"/>
              <w:rPr>
                <w:rFonts w:ascii="Times New Roman" w:eastAsia="Times New Roman" w:hAnsi="Times New Roman" w:cs="Times New Roman"/>
                <w:noProof/>
                <w:color w:val="006100"/>
                <w:sz w:val="18"/>
                <w:szCs w:val="18"/>
                <w:lang w:eastAsia="en-GB"/>
              </w:rPr>
            </w:pPr>
          </w:p>
        </w:tc>
        <w:tc>
          <w:tcPr>
            <w:tcW w:w="4645" w:type="dxa"/>
            <w:shd w:val="clear" w:color="auto" w:fill="C6EFCE"/>
            <w:noWrap/>
            <w:vAlign w:val="bottom"/>
          </w:tcPr>
          <w:p w14:paraId="630D9A6C" w14:textId="77777777" w:rsidR="003734A7" w:rsidRPr="00BF5BEF" w:rsidRDefault="003734A7" w:rsidP="00D8670B">
            <w:pPr>
              <w:spacing w:after="0"/>
              <w:rPr>
                <w:rFonts w:ascii="Times New Roman" w:eastAsia="Times New Roman" w:hAnsi="Times New Roman" w:cs="Times New Roman"/>
                <w:noProof/>
                <w:color w:val="006100"/>
                <w:sz w:val="18"/>
                <w:szCs w:val="18"/>
                <w:lang w:eastAsia="en-GB"/>
              </w:rPr>
            </w:pPr>
          </w:p>
        </w:tc>
        <w:tc>
          <w:tcPr>
            <w:tcW w:w="1166" w:type="dxa"/>
            <w:shd w:val="clear" w:color="auto" w:fill="C6EFCE"/>
            <w:noWrap/>
            <w:vAlign w:val="bottom"/>
            <w:hideMark/>
          </w:tcPr>
          <w:p w14:paraId="1BEA0E68" w14:textId="77777777" w:rsidR="003734A7" w:rsidRPr="00BF5BEF" w:rsidRDefault="003734A7" w:rsidP="00BF5BEF">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color w:val="006100"/>
                <w:sz w:val="18"/>
                <w:szCs w:val="18"/>
              </w:rPr>
              <w:t>Instalment Amount</w:t>
            </w:r>
          </w:p>
        </w:tc>
        <w:tc>
          <w:tcPr>
            <w:tcW w:w="2266" w:type="dxa"/>
            <w:shd w:val="clear" w:color="auto" w:fill="C6EFCE"/>
            <w:noWrap/>
            <w:vAlign w:val="bottom"/>
            <w:hideMark/>
          </w:tcPr>
          <w:p w14:paraId="7D377834" w14:textId="3B097A68" w:rsidR="003734A7" w:rsidRPr="00BF5BEF" w:rsidRDefault="003734A7" w:rsidP="000345F8">
            <w:pPr>
              <w:spacing w:after="0"/>
              <w:rPr>
                <w:rFonts w:ascii="Times New Roman" w:eastAsia="Times New Roman" w:hAnsi="Times New Roman" w:cs="Times New Roman"/>
                <w:noProof/>
                <w:color w:val="006100"/>
                <w:sz w:val="18"/>
                <w:szCs w:val="18"/>
              </w:rPr>
            </w:pPr>
            <w:r w:rsidRPr="00BF5BEF">
              <w:rPr>
                <w:rFonts w:ascii="Times New Roman" w:hAnsi="Times New Roman" w:cs="Times New Roman"/>
                <w:noProof/>
                <w:color w:val="006100"/>
                <w:sz w:val="18"/>
                <w:szCs w:val="18"/>
              </w:rPr>
              <w:t>EUR</w:t>
            </w:r>
            <w:r w:rsidR="007A2DC8" w:rsidRPr="00BF5BEF">
              <w:rPr>
                <w:rFonts w:ascii="Times New Roman" w:hAnsi="Times New Roman" w:cs="Times New Roman"/>
                <w:noProof/>
                <w:color w:val="006100"/>
                <w:sz w:val="18"/>
                <w:szCs w:val="18"/>
              </w:rPr>
              <w:t> </w:t>
            </w:r>
            <w:r w:rsidRPr="00BF5BEF">
              <w:rPr>
                <w:rFonts w:ascii="Times New Roman" w:hAnsi="Times New Roman" w:cs="Times New Roman"/>
                <w:noProof/>
                <w:color w:val="006100"/>
                <w:sz w:val="18"/>
                <w:szCs w:val="18"/>
              </w:rPr>
              <w:t>89 251 156</w:t>
            </w:r>
          </w:p>
        </w:tc>
      </w:tr>
    </w:tbl>
    <w:p w14:paraId="5577CF5C" w14:textId="77777777" w:rsidR="003734A7" w:rsidRPr="000F04FA" w:rsidRDefault="003734A7" w:rsidP="00D8670B">
      <w:pPr>
        <w:pStyle w:val="NumPar2"/>
        <w:numPr>
          <w:ilvl w:val="0"/>
          <w:numId w:val="0"/>
        </w:numPr>
        <w:ind w:left="850"/>
        <w:rPr>
          <w:noProof/>
          <w:lang w:val="en-US"/>
        </w:rPr>
      </w:pPr>
    </w:p>
    <w:p w14:paraId="056742B4" w14:textId="19BB0317" w:rsidR="00BF5BEF" w:rsidRPr="007A2DC8" w:rsidRDefault="003734A7" w:rsidP="007A2DC8">
      <w:pPr>
        <w:pStyle w:val="NumPar2"/>
        <w:tabs>
          <w:tab w:val="num" w:pos="850"/>
        </w:tabs>
        <w:ind w:left="850" w:hanging="850"/>
        <w:rPr>
          <w:noProof/>
          <w:lang w:val="en-US"/>
        </w:rPr>
      </w:pPr>
      <w:r w:rsidRPr="000F04FA">
        <w:rPr>
          <w:noProof/>
          <w:lang w:val="en-US"/>
        </w:rPr>
        <w:t xml:space="preserve">Fifth Instalment (non-repayable support): </w:t>
      </w:r>
    </w:p>
    <w:tbl>
      <w:tblPr>
        <w:tblW w:w="9949" w:type="dxa"/>
        <w:tblInd w:w="-147" w:type="dxa"/>
        <w:tblLook w:val="04A0" w:firstRow="1" w:lastRow="0" w:firstColumn="1" w:lastColumn="0" w:noHBand="0" w:noVBand="1"/>
      </w:tblPr>
      <w:tblGrid>
        <w:gridCol w:w="1702"/>
        <w:gridCol w:w="4813"/>
        <w:gridCol w:w="1536"/>
        <w:gridCol w:w="2204"/>
      </w:tblGrid>
      <w:tr w:rsidR="003734A7" w:rsidRPr="00BF5BEF" w14:paraId="316757F8" w14:textId="77777777" w:rsidTr="00BF5BEF">
        <w:trPr>
          <w:cantSplit/>
          <w:trHeight w:val="509"/>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9B3158" w14:textId="77777777" w:rsidR="003734A7" w:rsidRPr="00BF5BEF" w:rsidRDefault="003734A7" w:rsidP="00D8670B">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Sequential Number</w:t>
            </w:r>
          </w:p>
        </w:tc>
        <w:tc>
          <w:tcPr>
            <w:tcW w:w="48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C0F53B" w14:textId="77777777" w:rsidR="003734A7" w:rsidRPr="00BF5BEF" w:rsidRDefault="003734A7" w:rsidP="00D8670B">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Related Measure (Reform or Investment)</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8CA05E" w14:textId="0CA6A03D" w:rsidR="003734A7" w:rsidRPr="00BF5BEF" w:rsidRDefault="003734A7" w:rsidP="00BF5BEF">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Milestone/Target</w:t>
            </w:r>
          </w:p>
        </w:tc>
        <w:tc>
          <w:tcPr>
            <w:tcW w:w="2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F0F803" w14:textId="77777777" w:rsidR="003734A7" w:rsidRPr="00BF5BEF" w:rsidRDefault="003734A7" w:rsidP="00BF5BEF">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Name</w:t>
            </w:r>
          </w:p>
        </w:tc>
      </w:tr>
      <w:tr w:rsidR="003734A7" w:rsidRPr="00BF5BEF" w14:paraId="22DBF687" w14:textId="77777777" w:rsidTr="00BF5BEF">
        <w:trPr>
          <w:cantSplit/>
          <w:trHeight w:val="509"/>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64A68681" w14:textId="77777777" w:rsidR="003734A7" w:rsidRPr="00BF5BEF" w:rsidRDefault="003734A7" w:rsidP="00D8670B">
            <w:pPr>
              <w:spacing w:after="0"/>
              <w:rPr>
                <w:rFonts w:ascii="Times New Roman" w:eastAsia="Times New Roman" w:hAnsi="Times New Roman" w:cs="Times New Roman"/>
                <w:b/>
                <w:noProof/>
                <w:sz w:val="18"/>
                <w:szCs w:val="18"/>
                <w:lang w:eastAsia="en-GB"/>
              </w:rPr>
            </w:pPr>
          </w:p>
        </w:tc>
        <w:tc>
          <w:tcPr>
            <w:tcW w:w="4813" w:type="dxa"/>
            <w:vMerge/>
            <w:tcBorders>
              <w:top w:val="single" w:sz="4" w:space="0" w:color="auto"/>
              <w:left w:val="single" w:sz="4" w:space="0" w:color="auto"/>
              <w:bottom w:val="single" w:sz="4" w:space="0" w:color="auto"/>
              <w:right w:val="single" w:sz="4" w:space="0" w:color="auto"/>
            </w:tcBorders>
            <w:vAlign w:val="center"/>
            <w:hideMark/>
          </w:tcPr>
          <w:p w14:paraId="6382F2A8" w14:textId="77777777" w:rsidR="003734A7" w:rsidRPr="00BF5BEF" w:rsidRDefault="003734A7" w:rsidP="00D8670B">
            <w:pPr>
              <w:spacing w:after="0"/>
              <w:rPr>
                <w:rFonts w:ascii="Times New Roman" w:eastAsia="Times New Roman" w:hAnsi="Times New Roman" w:cs="Times New Roman"/>
                <w:b/>
                <w:noProof/>
                <w:sz w:val="18"/>
                <w:szCs w:val="18"/>
                <w:lang w:eastAsia="en-GB"/>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31A3F12C" w14:textId="77777777" w:rsidR="003734A7" w:rsidRPr="00BF5BEF" w:rsidRDefault="003734A7" w:rsidP="00BF5BEF">
            <w:pPr>
              <w:spacing w:after="0"/>
              <w:jc w:val="center"/>
              <w:rPr>
                <w:rFonts w:ascii="Times New Roman" w:eastAsia="Times New Roman" w:hAnsi="Times New Roman" w:cs="Times New Roman"/>
                <w:b/>
                <w:noProof/>
                <w:sz w:val="18"/>
                <w:szCs w:val="18"/>
                <w:lang w:eastAsia="en-GB"/>
              </w:rPr>
            </w:pPr>
          </w:p>
        </w:tc>
        <w:tc>
          <w:tcPr>
            <w:tcW w:w="2204" w:type="dxa"/>
            <w:vMerge/>
            <w:tcBorders>
              <w:top w:val="single" w:sz="4" w:space="0" w:color="auto"/>
              <w:left w:val="single" w:sz="4" w:space="0" w:color="auto"/>
              <w:bottom w:val="single" w:sz="4" w:space="0" w:color="auto"/>
              <w:right w:val="single" w:sz="4" w:space="0" w:color="auto"/>
            </w:tcBorders>
            <w:vAlign w:val="center"/>
            <w:hideMark/>
          </w:tcPr>
          <w:p w14:paraId="7967EC2A" w14:textId="77777777" w:rsidR="003734A7" w:rsidRPr="00BF5BEF" w:rsidRDefault="003734A7" w:rsidP="00BF5BEF">
            <w:pPr>
              <w:spacing w:after="0"/>
              <w:jc w:val="both"/>
              <w:rPr>
                <w:rFonts w:ascii="Times New Roman" w:eastAsia="Times New Roman" w:hAnsi="Times New Roman" w:cs="Times New Roman"/>
                <w:b/>
                <w:noProof/>
                <w:sz w:val="18"/>
                <w:szCs w:val="18"/>
                <w:lang w:eastAsia="en-GB"/>
              </w:rPr>
            </w:pPr>
          </w:p>
        </w:tc>
      </w:tr>
      <w:tr w:rsidR="003734A7" w:rsidRPr="00BF5BEF" w14:paraId="61C242C5" w14:textId="77777777" w:rsidTr="00BF5BEF">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6B8D68D7" w14:textId="77777777" w:rsidR="003734A7" w:rsidRPr="00BF5BEF" w:rsidRDefault="003734A7" w:rsidP="00D8670B">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9</w:t>
            </w:r>
          </w:p>
        </w:tc>
        <w:tc>
          <w:tcPr>
            <w:tcW w:w="4813" w:type="dxa"/>
            <w:tcBorders>
              <w:top w:val="single" w:sz="4" w:space="0" w:color="auto"/>
              <w:left w:val="nil"/>
              <w:bottom w:val="single" w:sz="4" w:space="0" w:color="auto"/>
              <w:right w:val="single" w:sz="4" w:space="0" w:color="auto"/>
            </w:tcBorders>
            <w:shd w:val="clear" w:color="auto" w:fill="C6EFCE"/>
            <w:noWrap/>
          </w:tcPr>
          <w:p w14:paraId="2AFBEB1B"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C1.1I3</w:t>
            </w:r>
          </w:p>
          <w:p w14:paraId="1D772CF9" w14:textId="77777777" w:rsidR="003734A7" w:rsidRPr="00BF5BEF" w:rsidRDefault="003734A7" w:rsidP="00D8670B">
            <w:pP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Purchase/replacement of medical equipment in hospitals</w:t>
            </w:r>
          </w:p>
        </w:tc>
        <w:tc>
          <w:tcPr>
            <w:tcW w:w="1230" w:type="dxa"/>
            <w:tcBorders>
              <w:top w:val="single" w:sz="4" w:space="0" w:color="auto"/>
              <w:left w:val="nil"/>
              <w:bottom w:val="single" w:sz="4" w:space="0" w:color="auto"/>
              <w:right w:val="single" w:sz="4" w:space="0" w:color="auto"/>
            </w:tcBorders>
            <w:shd w:val="clear" w:color="auto" w:fill="C6EFCE"/>
            <w:noWrap/>
          </w:tcPr>
          <w:p w14:paraId="00050ED9"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Target</w:t>
            </w:r>
          </w:p>
        </w:tc>
        <w:tc>
          <w:tcPr>
            <w:tcW w:w="2204" w:type="dxa"/>
            <w:tcBorders>
              <w:top w:val="single" w:sz="4" w:space="0" w:color="auto"/>
              <w:left w:val="nil"/>
              <w:bottom w:val="single" w:sz="4" w:space="0" w:color="auto"/>
              <w:right w:val="single" w:sz="4" w:space="0" w:color="auto"/>
            </w:tcBorders>
            <w:shd w:val="clear" w:color="auto" w:fill="C6EFCE"/>
            <w:noWrap/>
          </w:tcPr>
          <w:p w14:paraId="5D174BC2"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 xml:space="preserve">Health institutions having benefitted from the financial support scheme </w:t>
            </w:r>
          </w:p>
        </w:tc>
      </w:tr>
      <w:tr w:rsidR="003734A7" w:rsidRPr="00BF5BEF" w14:paraId="59A1AD65"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488597A" w14:textId="77777777" w:rsidR="003734A7" w:rsidRPr="00BF5BEF" w:rsidRDefault="003734A7" w:rsidP="00D8670B">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13</w:t>
            </w:r>
          </w:p>
        </w:tc>
        <w:tc>
          <w:tcPr>
            <w:tcW w:w="4813" w:type="dxa"/>
            <w:tcBorders>
              <w:top w:val="nil"/>
              <w:left w:val="nil"/>
              <w:bottom w:val="single" w:sz="4" w:space="0" w:color="auto"/>
              <w:right w:val="single" w:sz="4" w:space="0" w:color="auto"/>
            </w:tcBorders>
            <w:shd w:val="clear" w:color="auto" w:fill="C6EFCE"/>
            <w:noWrap/>
          </w:tcPr>
          <w:p w14:paraId="2DDD9C53"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C1.1I6</w:t>
            </w:r>
          </w:p>
          <w:p w14:paraId="29C2F17F" w14:textId="77777777" w:rsidR="003734A7" w:rsidRPr="00BF5BEF" w:rsidRDefault="003734A7" w:rsidP="00D8670B">
            <w:pP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Deployment of generic cross border e-health services in Cyprus</w:t>
            </w:r>
          </w:p>
        </w:tc>
        <w:tc>
          <w:tcPr>
            <w:tcW w:w="1230" w:type="dxa"/>
            <w:tcBorders>
              <w:top w:val="nil"/>
              <w:left w:val="nil"/>
              <w:bottom w:val="single" w:sz="4" w:space="0" w:color="auto"/>
              <w:right w:val="single" w:sz="4" w:space="0" w:color="auto"/>
            </w:tcBorders>
            <w:shd w:val="clear" w:color="auto" w:fill="C6EFCE"/>
            <w:noWrap/>
          </w:tcPr>
          <w:p w14:paraId="36B76AB5"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358565DD"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Completion of the analysis, design and development phase of the IT System for cross-border e-health services</w:t>
            </w:r>
          </w:p>
        </w:tc>
      </w:tr>
      <w:tr w:rsidR="003734A7" w:rsidRPr="00BF5BEF" w14:paraId="798BBF10"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A85DAED" w14:textId="77777777" w:rsidR="003734A7" w:rsidRPr="00BF5BEF" w:rsidRDefault="003734A7" w:rsidP="00D8670B">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28a</w:t>
            </w:r>
          </w:p>
        </w:tc>
        <w:tc>
          <w:tcPr>
            <w:tcW w:w="4813" w:type="dxa"/>
            <w:tcBorders>
              <w:top w:val="nil"/>
              <w:left w:val="nil"/>
              <w:bottom w:val="single" w:sz="4" w:space="0" w:color="auto"/>
              <w:right w:val="single" w:sz="4" w:space="0" w:color="auto"/>
            </w:tcBorders>
            <w:shd w:val="clear" w:color="auto" w:fill="C6EFCE"/>
            <w:noWrap/>
          </w:tcPr>
          <w:p w14:paraId="6C2C8AC4"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C2.1I2</w:t>
            </w:r>
          </w:p>
          <w:p w14:paraId="03D464C9" w14:textId="77777777" w:rsidR="003734A7" w:rsidRPr="00BF5BEF" w:rsidRDefault="003734A7" w:rsidP="00D8670B">
            <w:pP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Promoting renewables and individual energy efficiency measures in dwellings and tackling energy poverty in households with vulnerable electricity consumers</w:t>
            </w:r>
          </w:p>
        </w:tc>
        <w:tc>
          <w:tcPr>
            <w:tcW w:w="1230" w:type="dxa"/>
            <w:tcBorders>
              <w:top w:val="nil"/>
              <w:left w:val="nil"/>
              <w:bottom w:val="single" w:sz="4" w:space="0" w:color="auto"/>
              <w:right w:val="single" w:sz="4" w:space="0" w:color="auto"/>
            </w:tcBorders>
            <w:shd w:val="clear" w:color="auto" w:fill="C6EFCE"/>
            <w:noWrap/>
          </w:tcPr>
          <w:p w14:paraId="062B35EF"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Target</w:t>
            </w:r>
          </w:p>
        </w:tc>
        <w:tc>
          <w:tcPr>
            <w:tcW w:w="2204" w:type="dxa"/>
            <w:tcBorders>
              <w:top w:val="nil"/>
              <w:left w:val="nil"/>
              <w:bottom w:val="single" w:sz="4" w:space="0" w:color="auto"/>
              <w:right w:val="single" w:sz="4" w:space="0" w:color="auto"/>
            </w:tcBorders>
            <w:shd w:val="clear" w:color="auto" w:fill="C6EFCE"/>
            <w:noWrap/>
          </w:tcPr>
          <w:p w14:paraId="42C0CD2B"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 xml:space="preserve">Dwellings and households with vulnerable electricity consumers (including people with disabilities) having improved their energy performance </w:t>
            </w:r>
          </w:p>
        </w:tc>
      </w:tr>
      <w:tr w:rsidR="003734A7" w:rsidRPr="00BF5BEF" w14:paraId="0AEDC47A"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12DBDDB"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36</w:t>
            </w:r>
          </w:p>
        </w:tc>
        <w:tc>
          <w:tcPr>
            <w:tcW w:w="4813" w:type="dxa"/>
            <w:tcBorders>
              <w:top w:val="nil"/>
              <w:left w:val="nil"/>
              <w:bottom w:val="single" w:sz="4" w:space="0" w:color="auto"/>
              <w:right w:val="single" w:sz="4" w:space="0" w:color="auto"/>
            </w:tcBorders>
            <w:shd w:val="clear" w:color="auto" w:fill="C6EFCE"/>
            <w:noWrap/>
          </w:tcPr>
          <w:p w14:paraId="52D9238B"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C2.1I5</w:t>
            </w:r>
          </w:p>
          <w:p w14:paraId="6F35730C"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Energy Efficiency Upgrading of public buildings</w:t>
            </w:r>
          </w:p>
        </w:tc>
        <w:tc>
          <w:tcPr>
            <w:tcW w:w="1230" w:type="dxa"/>
            <w:tcBorders>
              <w:top w:val="nil"/>
              <w:left w:val="nil"/>
              <w:bottom w:val="single" w:sz="4" w:space="0" w:color="auto"/>
              <w:right w:val="single" w:sz="4" w:space="0" w:color="auto"/>
            </w:tcBorders>
            <w:shd w:val="clear" w:color="auto" w:fill="C6EFCE"/>
            <w:noWrap/>
          </w:tcPr>
          <w:p w14:paraId="708B79B5"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Target</w:t>
            </w:r>
          </w:p>
        </w:tc>
        <w:tc>
          <w:tcPr>
            <w:tcW w:w="2204" w:type="dxa"/>
            <w:tcBorders>
              <w:top w:val="nil"/>
              <w:left w:val="nil"/>
              <w:bottom w:val="single" w:sz="4" w:space="0" w:color="auto"/>
              <w:right w:val="single" w:sz="4" w:space="0" w:color="auto"/>
            </w:tcBorders>
            <w:shd w:val="clear" w:color="auto" w:fill="C6EFCE"/>
            <w:noWrap/>
          </w:tcPr>
          <w:p w14:paraId="31C919C1"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 xml:space="preserve">Completion of set up and installation of photovoltaics system at the Nicosia General Hospital </w:t>
            </w:r>
          </w:p>
        </w:tc>
      </w:tr>
      <w:tr w:rsidR="003734A7" w:rsidRPr="00BF5BEF" w14:paraId="73667BBC"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E973B1C"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38</w:t>
            </w:r>
          </w:p>
        </w:tc>
        <w:tc>
          <w:tcPr>
            <w:tcW w:w="4813" w:type="dxa"/>
            <w:tcBorders>
              <w:top w:val="nil"/>
              <w:left w:val="nil"/>
              <w:bottom w:val="single" w:sz="4" w:space="0" w:color="auto"/>
              <w:right w:val="single" w:sz="4" w:space="0" w:color="auto"/>
            </w:tcBorders>
            <w:shd w:val="clear" w:color="auto" w:fill="C6EFCE"/>
            <w:noWrap/>
          </w:tcPr>
          <w:p w14:paraId="6AC38340"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C2.1I6</w:t>
            </w:r>
          </w:p>
          <w:p w14:paraId="698F2589"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Upgrading renewable energy and smart grids testing infrastructure at the University of Cyprus</w:t>
            </w:r>
          </w:p>
        </w:tc>
        <w:tc>
          <w:tcPr>
            <w:tcW w:w="1230" w:type="dxa"/>
            <w:tcBorders>
              <w:top w:val="nil"/>
              <w:left w:val="nil"/>
              <w:bottom w:val="single" w:sz="4" w:space="0" w:color="auto"/>
              <w:right w:val="single" w:sz="4" w:space="0" w:color="auto"/>
            </w:tcBorders>
            <w:shd w:val="clear" w:color="auto" w:fill="C6EFCE"/>
            <w:noWrap/>
          </w:tcPr>
          <w:p w14:paraId="339FD934"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165C70F7"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Signature of contracts for the installation of equipment to upgrade the electricity grid into a smart grid</w:t>
            </w:r>
          </w:p>
        </w:tc>
      </w:tr>
      <w:tr w:rsidR="003734A7" w:rsidRPr="00BF5BEF" w14:paraId="3B6CD6BE"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A5CA7E"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55</w:t>
            </w:r>
          </w:p>
        </w:tc>
        <w:tc>
          <w:tcPr>
            <w:tcW w:w="4813" w:type="dxa"/>
            <w:tcBorders>
              <w:top w:val="nil"/>
              <w:left w:val="nil"/>
              <w:bottom w:val="single" w:sz="4" w:space="0" w:color="auto"/>
              <w:right w:val="single" w:sz="4" w:space="0" w:color="auto"/>
            </w:tcBorders>
            <w:shd w:val="clear" w:color="auto" w:fill="C6EFCE"/>
            <w:noWrap/>
          </w:tcPr>
          <w:p w14:paraId="1C560C88"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C2.2R3</w:t>
            </w:r>
          </w:p>
          <w:p w14:paraId="2C2B7F32"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Progressively phase out the most polluting vehicles, especially in polluted urban areas</w:t>
            </w:r>
          </w:p>
        </w:tc>
        <w:tc>
          <w:tcPr>
            <w:tcW w:w="1230" w:type="dxa"/>
            <w:tcBorders>
              <w:top w:val="nil"/>
              <w:left w:val="nil"/>
              <w:bottom w:val="single" w:sz="4" w:space="0" w:color="auto"/>
              <w:right w:val="single" w:sz="4" w:space="0" w:color="auto"/>
            </w:tcBorders>
            <w:shd w:val="clear" w:color="auto" w:fill="C6EFCE"/>
            <w:noWrap/>
          </w:tcPr>
          <w:p w14:paraId="1BBB6713"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7F6E096F"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Entry into force of the legislative act related to the phasing out of the most polluting vehicles</w:t>
            </w:r>
          </w:p>
        </w:tc>
      </w:tr>
      <w:tr w:rsidR="003734A7" w:rsidRPr="00BF5BEF" w14:paraId="68F474BC"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97714C2" w14:textId="77777777" w:rsidR="003734A7" w:rsidRPr="00BF5BEF" w:rsidDel="5562373A"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100</w:t>
            </w:r>
          </w:p>
        </w:tc>
        <w:tc>
          <w:tcPr>
            <w:tcW w:w="4813" w:type="dxa"/>
            <w:tcBorders>
              <w:top w:val="nil"/>
              <w:left w:val="nil"/>
              <w:bottom w:val="single" w:sz="4" w:space="0" w:color="auto"/>
              <w:right w:val="single" w:sz="4" w:space="0" w:color="auto"/>
            </w:tcBorders>
            <w:shd w:val="clear" w:color="auto" w:fill="C6EFCE"/>
            <w:noWrap/>
          </w:tcPr>
          <w:p w14:paraId="4864393B"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C3.1I7</w:t>
            </w:r>
          </w:p>
          <w:p w14:paraId="47F475B5" w14:textId="77777777" w:rsidR="003734A7" w:rsidRPr="00BF5BEF" w:rsidDel="5562373A"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Scheme for the enhancement of the competitiveness and/or the energy efficiency of large enterprises in Cyprus</w:t>
            </w:r>
          </w:p>
        </w:tc>
        <w:tc>
          <w:tcPr>
            <w:tcW w:w="1230" w:type="dxa"/>
            <w:tcBorders>
              <w:top w:val="nil"/>
              <w:left w:val="nil"/>
              <w:bottom w:val="single" w:sz="4" w:space="0" w:color="auto"/>
              <w:right w:val="single" w:sz="4" w:space="0" w:color="auto"/>
            </w:tcBorders>
            <w:shd w:val="clear" w:color="auto" w:fill="C6EFCE"/>
            <w:noWrap/>
          </w:tcPr>
          <w:p w14:paraId="08548277" w14:textId="77777777" w:rsidR="003734A7" w:rsidRPr="00BF5BEF" w:rsidDel="5562373A"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2D1DBD50" w14:textId="77777777" w:rsidR="003734A7" w:rsidRPr="00BF5BEF" w:rsidDel="5562373A"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Start of the grant scheme on large enterprises</w:t>
            </w:r>
          </w:p>
        </w:tc>
      </w:tr>
      <w:tr w:rsidR="003734A7" w:rsidRPr="00BF5BEF" w14:paraId="79462B26"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52F45DD"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112</w:t>
            </w:r>
          </w:p>
        </w:tc>
        <w:tc>
          <w:tcPr>
            <w:tcW w:w="4813" w:type="dxa"/>
            <w:tcBorders>
              <w:top w:val="nil"/>
              <w:left w:val="nil"/>
              <w:bottom w:val="single" w:sz="4" w:space="0" w:color="auto"/>
              <w:right w:val="single" w:sz="4" w:space="0" w:color="auto"/>
            </w:tcBorders>
            <w:shd w:val="clear" w:color="auto" w:fill="C6EFCE"/>
            <w:noWrap/>
          </w:tcPr>
          <w:p w14:paraId="0197E28A"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C3.1I12</w:t>
            </w:r>
          </w:p>
          <w:p w14:paraId="3ADA84E6"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Waste management towards circular economy </w:t>
            </w:r>
          </w:p>
        </w:tc>
        <w:tc>
          <w:tcPr>
            <w:tcW w:w="1230" w:type="dxa"/>
            <w:tcBorders>
              <w:top w:val="nil"/>
              <w:left w:val="nil"/>
              <w:bottom w:val="single" w:sz="4" w:space="0" w:color="auto"/>
              <w:right w:val="single" w:sz="4" w:space="0" w:color="auto"/>
            </w:tcBorders>
            <w:shd w:val="clear" w:color="auto" w:fill="C6EFCE"/>
            <w:noWrap/>
          </w:tcPr>
          <w:p w14:paraId="6C29514E"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08211C45"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Signature of the contract for the installation of Green kiosks</w:t>
            </w:r>
          </w:p>
        </w:tc>
      </w:tr>
      <w:tr w:rsidR="003734A7" w:rsidRPr="00BF5BEF" w14:paraId="2325E315"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3F257D4"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128</w:t>
            </w:r>
          </w:p>
        </w:tc>
        <w:tc>
          <w:tcPr>
            <w:tcW w:w="4813" w:type="dxa"/>
            <w:tcBorders>
              <w:top w:val="nil"/>
              <w:left w:val="nil"/>
              <w:bottom w:val="single" w:sz="4" w:space="0" w:color="auto"/>
              <w:right w:val="single" w:sz="4" w:space="0" w:color="auto"/>
            </w:tcBorders>
            <w:shd w:val="clear" w:color="auto" w:fill="C6EFCE"/>
            <w:noWrap/>
          </w:tcPr>
          <w:p w14:paraId="53201FC7"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C3.2I2</w:t>
            </w:r>
          </w:p>
          <w:p w14:paraId="1270053D"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Innovation funding programmes for start-ups, innovative companies and SMEs</w:t>
            </w:r>
          </w:p>
        </w:tc>
        <w:tc>
          <w:tcPr>
            <w:tcW w:w="1230" w:type="dxa"/>
            <w:tcBorders>
              <w:top w:val="nil"/>
              <w:left w:val="nil"/>
              <w:bottom w:val="single" w:sz="4" w:space="0" w:color="auto"/>
              <w:right w:val="single" w:sz="4" w:space="0" w:color="auto"/>
            </w:tcBorders>
            <w:shd w:val="clear" w:color="auto" w:fill="C6EFCE"/>
            <w:noWrap/>
          </w:tcPr>
          <w:p w14:paraId="6E85B6DF"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204" w:type="dxa"/>
            <w:tcBorders>
              <w:top w:val="nil"/>
              <w:left w:val="nil"/>
              <w:bottom w:val="single" w:sz="4" w:space="0" w:color="auto"/>
              <w:right w:val="single" w:sz="4" w:space="0" w:color="auto"/>
            </w:tcBorders>
            <w:shd w:val="clear" w:color="auto" w:fill="C6EFCE"/>
            <w:noWrap/>
          </w:tcPr>
          <w:p w14:paraId="1AC56E51"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Completed projects to carry out R&amp;I related activities</w:t>
            </w:r>
          </w:p>
        </w:tc>
      </w:tr>
      <w:tr w:rsidR="003734A7" w:rsidRPr="00BF5BEF" w14:paraId="2C4D38BA"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F85654E"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156</w:t>
            </w:r>
          </w:p>
        </w:tc>
        <w:tc>
          <w:tcPr>
            <w:tcW w:w="4813" w:type="dxa"/>
            <w:tcBorders>
              <w:top w:val="nil"/>
              <w:left w:val="nil"/>
              <w:bottom w:val="single" w:sz="4" w:space="0" w:color="auto"/>
              <w:right w:val="single" w:sz="4" w:space="0" w:color="auto"/>
            </w:tcBorders>
            <w:shd w:val="clear" w:color="auto" w:fill="C6EFCE"/>
            <w:noWrap/>
          </w:tcPr>
          <w:p w14:paraId="3B8C68E2"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C3.4R1</w:t>
            </w:r>
          </w:p>
          <w:p w14:paraId="14A07035"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Enhance the administrative capacity and improve the functioning of public administration for better policy making and implementation</w:t>
            </w:r>
          </w:p>
        </w:tc>
        <w:tc>
          <w:tcPr>
            <w:tcW w:w="1230" w:type="dxa"/>
            <w:tcBorders>
              <w:top w:val="nil"/>
              <w:left w:val="nil"/>
              <w:bottom w:val="single" w:sz="4" w:space="0" w:color="auto"/>
              <w:right w:val="single" w:sz="4" w:space="0" w:color="auto"/>
            </w:tcBorders>
            <w:shd w:val="clear" w:color="auto" w:fill="C6EFCE"/>
            <w:noWrap/>
          </w:tcPr>
          <w:p w14:paraId="69FD6D61"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3A5A110F"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New human resources management framework for Cyprus Police </w:t>
            </w:r>
          </w:p>
        </w:tc>
      </w:tr>
      <w:tr w:rsidR="003734A7" w:rsidRPr="00BF5BEF" w14:paraId="3F412984"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29860DF7"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163</w:t>
            </w:r>
          </w:p>
        </w:tc>
        <w:tc>
          <w:tcPr>
            <w:tcW w:w="4813" w:type="dxa"/>
            <w:tcBorders>
              <w:top w:val="nil"/>
              <w:left w:val="nil"/>
              <w:bottom w:val="single" w:sz="4" w:space="0" w:color="auto"/>
              <w:right w:val="single" w:sz="4" w:space="0" w:color="auto"/>
            </w:tcBorders>
            <w:shd w:val="clear" w:color="auto" w:fill="C6EFCE"/>
            <w:noWrap/>
          </w:tcPr>
          <w:p w14:paraId="16D280C5"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C3.4R5</w:t>
            </w:r>
          </w:p>
          <w:p w14:paraId="24A2B659"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Enhancement of the capacity of the Law Office </w:t>
            </w:r>
          </w:p>
        </w:tc>
        <w:tc>
          <w:tcPr>
            <w:tcW w:w="1230" w:type="dxa"/>
            <w:tcBorders>
              <w:top w:val="nil"/>
              <w:left w:val="nil"/>
              <w:bottom w:val="single" w:sz="4" w:space="0" w:color="auto"/>
              <w:right w:val="single" w:sz="4" w:space="0" w:color="auto"/>
            </w:tcBorders>
            <w:shd w:val="clear" w:color="auto" w:fill="C6EFCE"/>
            <w:noWrap/>
          </w:tcPr>
          <w:p w14:paraId="113A3154"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00831173"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New IT system for the Law Office</w:t>
            </w:r>
          </w:p>
        </w:tc>
      </w:tr>
      <w:tr w:rsidR="003734A7" w:rsidRPr="00BF5BEF" w14:paraId="49622D63"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1E28465"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167</w:t>
            </w:r>
          </w:p>
        </w:tc>
        <w:tc>
          <w:tcPr>
            <w:tcW w:w="4813" w:type="dxa"/>
            <w:tcBorders>
              <w:top w:val="nil"/>
              <w:left w:val="nil"/>
              <w:bottom w:val="single" w:sz="4" w:space="0" w:color="auto"/>
              <w:right w:val="single" w:sz="4" w:space="0" w:color="auto"/>
            </w:tcBorders>
            <w:shd w:val="clear" w:color="auto" w:fill="C6EFCE"/>
            <w:noWrap/>
          </w:tcPr>
          <w:p w14:paraId="29FDFB06"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C3.4I3</w:t>
            </w:r>
          </w:p>
          <w:p w14:paraId="0F93D0FA"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Economic Policy Modelling Hub </w:t>
            </w:r>
          </w:p>
        </w:tc>
        <w:tc>
          <w:tcPr>
            <w:tcW w:w="1230" w:type="dxa"/>
            <w:tcBorders>
              <w:top w:val="nil"/>
              <w:left w:val="nil"/>
              <w:bottom w:val="single" w:sz="4" w:space="0" w:color="auto"/>
              <w:right w:val="single" w:sz="4" w:space="0" w:color="auto"/>
            </w:tcBorders>
            <w:shd w:val="clear" w:color="auto" w:fill="C6EFCE"/>
            <w:noWrap/>
          </w:tcPr>
          <w:p w14:paraId="34C4B859"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79E10AA4"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Setting up a Modelling Hub for Economic Policy Analysis</w:t>
            </w:r>
          </w:p>
        </w:tc>
      </w:tr>
      <w:tr w:rsidR="003734A7" w:rsidRPr="00BF5BEF" w14:paraId="6256FA62"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67419E3"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180</w:t>
            </w:r>
          </w:p>
        </w:tc>
        <w:tc>
          <w:tcPr>
            <w:tcW w:w="4813" w:type="dxa"/>
            <w:tcBorders>
              <w:top w:val="nil"/>
              <w:left w:val="nil"/>
              <w:bottom w:val="single" w:sz="4" w:space="0" w:color="auto"/>
              <w:right w:val="single" w:sz="4" w:space="0" w:color="auto"/>
            </w:tcBorders>
            <w:shd w:val="clear" w:color="auto" w:fill="C6EFCE"/>
            <w:noWrap/>
          </w:tcPr>
          <w:p w14:paraId="3F11FB06"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C3.4R8</w:t>
            </w:r>
          </w:p>
          <w:p w14:paraId="2FD7DBB0"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Efficiency of Justice</w:t>
            </w:r>
          </w:p>
        </w:tc>
        <w:tc>
          <w:tcPr>
            <w:tcW w:w="1230" w:type="dxa"/>
            <w:tcBorders>
              <w:top w:val="nil"/>
              <w:left w:val="nil"/>
              <w:bottom w:val="single" w:sz="4" w:space="0" w:color="auto"/>
              <w:right w:val="single" w:sz="4" w:space="0" w:color="auto"/>
            </w:tcBorders>
            <w:shd w:val="clear" w:color="auto" w:fill="C6EFCE"/>
            <w:noWrap/>
          </w:tcPr>
          <w:p w14:paraId="0713C5DC"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1C9A3103"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Entry into force of new Rules of Civil Procedure</w:t>
            </w:r>
          </w:p>
        </w:tc>
      </w:tr>
      <w:tr w:rsidR="003734A7" w:rsidRPr="00BF5BEF" w14:paraId="3132595A"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D06794"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196</w:t>
            </w:r>
          </w:p>
        </w:tc>
        <w:tc>
          <w:tcPr>
            <w:tcW w:w="4813" w:type="dxa"/>
            <w:tcBorders>
              <w:top w:val="nil"/>
              <w:left w:val="nil"/>
              <w:bottom w:val="single" w:sz="4" w:space="0" w:color="auto"/>
              <w:right w:val="single" w:sz="4" w:space="0" w:color="auto"/>
            </w:tcBorders>
            <w:shd w:val="clear" w:color="auto" w:fill="C6EFCE"/>
            <w:noWrap/>
          </w:tcPr>
          <w:p w14:paraId="7F227AC5"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C3.5R3 </w:t>
            </w:r>
          </w:p>
          <w:p w14:paraId="68CCC7E2"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Strategy for addressing inadequacies of the property transaction system (title deeds)</w:t>
            </w:r>
          </w:p>
        </w:tc>
        <w:tc>
          <w:tcPr>
            <w:tcW w:w="1230" w:type="dxa"/>
            <w:tcBorders>
              <w:top w:val="nil"/>
              <w:left w:val="nil"/>
              <w:bottom w:val="single" w:sz="4" w:space="0" w:color="auto"/>
              <w:right w:val="single" w:sz="4" w:space="0" w:color="auto"/>
            </w:tcBorders>
            <w:shd w:val="clear" w:color="auto" w:fill="C6EFCE"/>
            <w:noWrap/>
          </w:tcPr>
          <w:p w14:paraId="131D0DBC"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5CA49699"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Review of the Streets and Building Law</w:t>
            </w:r>
          </w:p>
        </w:tc>
      </w:tr>
      <w:tr w:rsidR="003734A7" w:rsidRPr="00BF5BEF" w14:paraId="5A1B8928"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739AAF81"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203</w:t>
            </w:r>
          </w:p>
        </w:tc>
        <w:tc>
          <w:tcPr>
            <w:tcW w:w="4813" w:type="dxa"/>
            <w:tcBorders>
              <w:top w:val="nil"/>
              <w:left w:val="nil"/>
              <w:bottom w:val="single" w:sz="4" w:space="0" w:color="auto"/>
              <w:right w:val="single" w:sz="4" w:space="0" w:color="auto"/>
            </w:tcBorders>
            <w:shd w:val="clear" w:color="auto" w:fill="C6EFCE"/>
            <w:noWrap/>
          </w:tcPr>
          <w:p w14:paraId="104BD197"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C3.5R7 </w:t>
            </w:r>
          </w:p>
          <w:p w14:paraId="47B44CB8"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Strategy for Combating Financial Illiteracy</w:t>
            </w:r>
          </w:p>
        </w:tc>
        <w:tc>
          <w:tcPr>
            <w:tcW w:w="1230" w:type="dxa"/>
            <w:tcBorders>
              <w:top w:val="nil"/>
              <w:left w:val="nil"/>
              <w:bottom w:val="single" w:sz="4" w:space="0" w:color="auto"/>
              <w:right w:val="single" w:sz="4" w:space="0" w:color="auto"/>
            </w:tcBorders>
            <w:shd w:val="clear" w:color="auto" w:fill="C6EFCE"/>
            <w:noWrap/>
          </w:tcPr>
          <w:p w14:paraId="6AF017E4"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17D178FF"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Strategy for Combating Financial Illiteracy</w:t>
            </w:r>
          </w:p>
        </w:tc>
      </w:tr>
      <w:tr w:rsidR="003734A7" w:rsidRPr="00BF5BEF" w14:paraId="4CE9B0F3"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D69980C"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205</w:t>
            </w:r>
          </w:p>
        </w:tc>
        <w:tc>
          <w:tcPr>
            <w:tcW w:w="4813" w:type="dxa"/>
            <w:tcBorders>
              <w:top w:val="nil"/>
              <w:left w:val="nil"/>
              <w:bottom w:val="single" w:sz="4" w:space="0" w:color="auto"/>
              <w:right w:val="single" w:sz="4" w:space="0" w:color="auto"/>
            </w:tcBorders>
            <w:shd w:val="clear" w:color="auto" w:fill="C6EFCE"/>
            <w:noWrap/>
          </w:tcPr>
          <w:p w14:paraId="06FB005F" w14:textId="6ADEA60E"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C3.5R8</w:t>
            </w:r>
            <w:r w:rsidR="00064579" w:rsidRPr="00BF5BEF">
              <w:rPr>
                <w:rFonts w:ascii="Times New Roman" w:hAnsi="Times New Roman" w:cs="Times New Roman"/>
                <w:noProof/>
                <w:sz w:val="18"/>
                <w:szCs w:val="18"/>
              </w:rPr>
              <w:t xml:space="preserve"> </w:t>
            </w:r>
            <w:r w:rsidRPr="00BF5BEF">
              <w:rPr>
                <w:rFonts w:ascii="Times New Roman" w:hAnsi="Times New Roman" w:cs="Times New Roman"/>
                <w:noProof/>
                <w:sz w:val="18"/>
                <w:szCs w:val="18"/>
              </w:rPr>
              <w:br/>
              <w:t>Enhancing supervision of Insurance and Pension Funds</w:t>
            </w:r>
          </w:p>
        </w:tc>
        <w:tc>
          <w:tcPr>
            <w:tcW w:w="1230" w:type="dxa"/>
            <w:tcBorders>
              <w:top w:val="nil"/>
              <w:left w:val="nil"/>
              <w:bottom w:val="single" w:sz="4" w:space="0" w:color="auto"/>
              <w:right w:val="single" w:sz="4" w:space="0" w:color="auto"/>
            </w:tcBorders>
            <w:shd w:val="clear" w:color="auto" w:fill="C6EFCE"/>
            <w:noWrap/>
          </w:tcPr>
          <w:p w14:paraId="6649E14D"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3B5527EE"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Supervisory tools including data collection and analysis tool</w:t>
            </w:r>
          </w:p>
        </w:tc>
      </w:tr>
      <w:tr w:rsidR="003734A7" w:rsidRPr="00BF5BEF" w14:paraId="1A8F8B3C"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C362BCD"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206</w:t>
            </w:r>
          </w:p>
        </w:tc>
        <w:tc>
          <w:tcPr>
            <w:tcW w:w="4813" w:type="dxa"/>
            <w:tcBorders>
              <w:top w:val="nil"/>
              <w:left w:val="nil"/>
              <w:bottom w:val="single" w:sz="4" w:space="0" w:color="auto"/>
              <w:right w:val="single" w:sz="4" w:space="0" w:color="auto"/>
            </w:tcBorders>
            <w:shd w:val="clear" w:color="auto" w:fill="C6EFCE"/>
            <w:noWrap/>
          </w:tcPr>
          <w:p w14:paraId="053B22EE" w14:textId="4CF0DE5C"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C3.5I1</w:t>
            </w:r>
            <w:r w:rsidR="00064579" w:rsidRPr="00BF5BEF">
              <w:rPr>
                <w:rFonts w:ascii="Times New Roman" w:hAnsi="Times New Roman" w:cs="Times New Roman"/>
                <w:noProof/>
                <w:sz w:val="18"/>
                <w:szCs w:val="18"/>
              </w:rPr>
              <w:t xml:space="preserve"> </w:t>
            </w:r>
            <w:r w:rsidRPr="00BF5BEF">
              <w:rPr>
                <w:rFonts w:ascii="Times New Roman" w:hAnsi="Times New Roman" w:cs="Times New Roman"/>
                <w:noProof/>
                <w:sz w:val="18"/>
                <w:szCs w:val="18"/>
              </w:rPr>
              <w:br/>
              <w:t>Enhancement of the Supervisory Function of the Cyprus Securities and Exchange Commission</w:t>
            </w:r>
          </w:p>
        </w:tc>
        <w:tc>
          <w:tcPr>
            <w:tcW w:w="1230" w:type="dxa"/>
            <w:tcBorders>
              <w:top w:val="nil"/>
              <w:left w:val="nil"/>
              <w:bottom w:val="single" w:sz="4" w:space="0" w:color="auto"/>
              <w:right w:val="single" w:sz="4" w:space="0" w:color="auto"/>
            </w:tcBorders>
            <w:shd w:val="clear" w:color="auto" w:fill="C6EFCE"/>
            <w:noWrap/>
          </w:tcPr>
          <w:p w14:paraId="48B7B491"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4A96E9AE"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Digital system for supervision of transactions for the Cyprus Securities and Exchange Commission </w:t>
            </w:r>
          </w:p>
        </w:tc>
      </w:tr>
      <w:tr w:rsidR="003734A7" w:rsidRPr="00BF5BEF" w14:paraId="3903EE8E"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0FDD3A2B"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207b</w:t>
            </w:r>
          </w:p>
        </w:tc>
        <w:tc>
          <w:tcPr>
            <w:tcW w:w="4813" w:type="dxa"/>
            <w:tcBorders>
              <w:top w:val="nil"/>
              <w:left w:val="nil"/>
              <w:bottom w:val="single" w:sz="4" w:space="0" w:color="auto"/>
              <w:right w:val="single" w:sz="4" w:space="0" w:color="auto"/>
            </w:tcBorders>
            <w:shd w:val="clear" w:color="auto" w:fill="C6EFCE"/>
            <w:noWrap/>
          </w:tcPr>
          <w:p w14:paraId="350D2E08"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C3.5R9 Improving tax collection and effectiveness of the Tax Department</w:t>
            </w:r>
          </w:p>
        </w:tc>
        <w:tc>
          <w:tcPr>
            <w:tcW w:w="1230" w:type="dxa"/>
            <w:tcBorders>
              <w:top w:val="nil"/>
              <w:left w:val="nil"/>
              <w:bottom w:val="single" w:sz="4" w:space="0" w:color="auto"/>
              <w:right w:val="single" w:sz="4" w:space="0" w:color="auto"/>
            </w:tcBorders>
            <w:shd w:val="clear" w:color="auto" w:fill="C6EFCE"/>
            <w:noWrap/>
          </w:tcPr>
          <w:p w14:paraId="55ABBB67" w14:textId="77777777" w:rsidR="003734A7" w:rsidRPr="00BF5BEF" w:rsidRDefault="003734A7" w:rsidP="00BF5BEF">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384137BC" w14:textId="77777777" w:rsidR="003734A7" w:rsidRPr="00BF5BEF" w:rsidRDefault="003734A7" w:rsidP="00BF5BEF">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Purchase of the new building for the integrated Nicosia District Office and Large Taxpayers’ Office</w:t>
            </w:r>
          </w:p>
        </w:tc>
      </w:tr>
      <w:tr w:rsidR="003734A7" w:rsidRPr="00BF5BEF" w14:paraId="1C9FE5B0"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66E38D75"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212</w:t>
            </w:r>
          </w:p>
        </w:tc>
        <w:tc>
          <w:tcPr>
            <w:tcW w:w="4813" w:type="dxa"/>
            <w:tcBorders>
              <w:top w:val="nil"/>
              <w:left w:val="nil"/>
              <w:bottom w:val="single" w:sz="4" w:space="0" w:color="auto"/>
              <w:right w:val="single" w:sz="4" w:space="0" w:color="auto"/>
            </w:tcBorders>
            <w:shd w:val="clear" w:color="auto" w:fill="C6EFCE"/>
            <w:noWrap/>
          </w:tcPr>
          <w:p w14:paraId="42B6B378"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C3.5I2 Modernisation of Customs and Electronic Payment System </w:t>
            </w:r>
          </w:p>
        </w:tc>
        <w:tc>
          <w:tcPr>
            <w:tcW w:w="1230" w:type="dxa"/>
            <w:tcBorders>
              <w:top w:val="nil"/>
              <w:left w:val="nil"/>
              <w:bottom w:val="single" w:sz="4" w:space="0" w:color="auto"/>
              <w:right w:val="single" w:sz="4" w:space="0" w:color="auto"/>
            </w:tcBorders>
            <w:shd w:val="clear" w:color="auto" w:fill="C6EFCE"/>
            <w:noWrap/>
          </w:tcPr>
          <w:p w14:paraId="760FE6FF"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204" w:type="dxa"/>
            <w:tcBorders>
              <w:top w:val="nil"/>
              <w:left w:val="nil"/>
              <w:bottom w:val="single" w:sz="4" w:space="0" w:color="auto"/>
              <w:right w:val="single" w:sz="4" w:space="0" w:color="auto"/>
            </w:tcBorders>
            <w:shd w:val="clear" w:color="auto" w:fill="C6EFCE"/>
            <w:noWrap/>
          </w:tcPr>
          <w:p w14:paraId="5B1DADC3"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Putting into operation the information systems– envisaged under the Union Customs Code (UCC)</w:t>
            </w:r>
          </w:p>
        </w:tc>
      </w:tr>
      <w:tr w:rsidR="003734A7" w:rsidRPr="00BF5BEF" w14:paraId="09D85FE3"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3D3B4E3B"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217</w:t>
            </w:r>
          </w:p>
        </w:tc>
        <w:tc>
          <w:tcPr>
            <w:tcW w:w="4813" w:type="dxa"/>
            <w:tcBorders>
              <w:top w:val="nil"/>
              <w:left w:val="nil"/>
              <w:bottom w:val="single" w:sz="4" w:space="0" w:color="auto"/>
              <w:right w:val="single" w:sz="4" w:space="0" w:color="auto"/>
            </w:tcBorders>
            <w:shd w:val="clear" w:color="auto" w:fill="C6EFCE"/>
            <w:noWrap/>
          </w:tcPr>
          <w:p w14:paraId="2734F73D"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C4.1I1</w:t>
            </w:r>
          </w:p>
          <w:p w14:paraId="35FDB5C7"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Expansion of Very High Capacity Networks in underserved areas</w:t>
            </w:r>
          </w:p>
        </w:tc>
        <w:tc>
          <w:tcPr>
            <w:tcW w:w="1230" w:type="dxa"/>
            <w:tcBorders>
              <w:top w:val="nil"/>
              <w:left w:val="nil"/>
              <w:bottom w:val="single" w:sz="4" w:space="0" w:color="auto"/>
              <w:right w:val="single" w:sz="4" w:space="0" w:color="auto"/>
            </w:tcBorders>
            <w:shd w:val="clear" w:color="auto" w:fill="C6EFCE"/>
            <w:noWrap/>
          </w:tcPr>
          <w:p w14:paraId="61336C3B"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0CCC0494"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Start of very high capacity networks’ deployment in underserved areas</w:t>
            </w:r>
          </w:p>
        </w:tc>
      </w:tr>
      <w:tr w:rsidR="003734A7" w:rsidRPr="00BF5BEF" w14:paraId="5DEE513B"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4CE32AD5"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225</w:t>
            </w:r>
          </w:p>
        </w:tc>
        <w:tc>
          <w:tcPr>
            <w:tcW w:w="4813" w:type="dxa"/>
            <w:tcBorders>
              <w:top w:val="nil"/>
              <w:left w:val="nil"/>
              <w:bottom w:val="single" w:sz="4" w:space="0" w:color="auto"/>
              <w:right w:val="single" w:sz="4" w:space="0" w:color="auto"/>
            </w:tcBorders>
            <w:shd w:val="clear" w:color="auto" w:fill="C6EFCE"/>
            <w:noWrap/>
          </w:tcPr>
          <w:p w14:paraId="41EEFD07" w14:textId="77777777" w:rsidR="003734A7" w:rsidRPr="00547ADA" w:rsidRDefault="003734A7" w:rsidP="00D8670B">
            <w:pPr>
              <w:spacing w:after="0" w:line="240" w:lineRule="auto"/>
              <w:rPr>
                <w:rFonts w:ascii="Times New Roman" w:eastAsia="Times New Roman" w:hAnsi="Times New Roman" w:cs="Times New Roman"/>
                <w:noProof/>
                <w:sz w:val="18"/>
                <w:szCs w:val="18"/>
                <w:lang w:val="pt-PT"/>
              </w:rPr>
            </w:pPr>
            <w:r w:rsidRPr="00547ADA">
              <w:rPr>
                <w:rFonts w:ascii="Times New Roman" w:hAnsi="Times New Roman" w:cs="Times New Roman"/>
                <w:noProof/>
                <w:sz w:val="18"/>
                <w:szCs w:val="18"/>
                <w:lang w:val="pt-PT"/>
              </w:rPr>
              <w:t>C4.2R1</w:t>
            </w:r>
          </w:p>
          <w:p w14:paraId="086DD29C" w14:textId="77777777" w:rsidR="003734A7" w:rsidRPr="00547ADA" w:rsidRDefault="003734A7" w:rsidP="00D8670B">
            <w:pPr>
              <w:spacing w:after="0" w:line="240" w:lineRule="auto"/>
              <w:rPr>
                <w:rFonts w:ascii="Times New Roman" w:hAnsi="Times New Roman" w:cs="Times New Roman"/>
                <w:noProof/>
                <w:sz w:val="18"/>
                <w:szCs w:val="18"/>
                <w:lang w:val="pt-PT"/>
              </w:rPr>
            </w:pPr>
            <w:r w:rsidRPr="00547ADA">
              <w:rPr>
                <w:rFonts w:ascii="Times New Roman" w:hAnsi="Times New Roman" w:cs="Times New Roman"/>
                <w:noProof/>
                <w:sz w:val="18"/>
                <w:szCs w:val="18"/>
                <w:lang w:val="pt-PT"/>
              </w:rPr>
              <w:t>Digital Services Factory</w:t>
            </w:r>
          </w:p>
        </w:tc>
        <w:tc>
          <w:tcPr>
            <w:tcW w:w="1230" w:type="dxa"/>
            <w:tcBorders>
              <w:top w:val="nil"/>
              <w:left w:val="nil"/>
              <w:bottom w:val="single" w:sz="4" w:space="0" w:color="auto"/>
              <w:right w:val="single" w:sz="4" w:space="0" w:color="auto"/>
            </w:tcBorders>
            <w:shd w:val="clear" w:color="auto" w:fill="C6EFCE"/>
            <w:noWrap/>
          </w:tcPr>
          <w:p w14:paraId="78354EB6"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204" w:type="dxa"/>
            <w:tcBorders>
              <w:top w:val="nil"/>
              <w:left w:val="nil"/>
              <w:bottom w:val="single" w:sz="4" w:space="0" w:color="auto"/>
              <w:right w:val="single" w:sz="4" w:space="0" w:color="auto"/>
            </w:tcBorders>
            <w:shd w:val="clear" w:color="auto" w:fill="C6EFCE"/>
            <w:noWrap/>
          </w:tcPr>
          <w:p w14:paraId="3019841E"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Expansion of delivery of government services online through the Digital Services Factory</w:t>
            </w:r>
          </w:p>
        </w:tc>
      </w:tr>
      <w:tr w:rsidR="003734A7" w:rsidRPr="00BF5BEF" w14:paraId="4980201F"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1AAF3893"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231</w:t>
            </w:r>
          </w:p>
        </w:tc>
        <w:tc>
          <w:tcPr>
            <w:tcW w:w="4813" w:type="dxa"/>
            <w:tcBorders>
              <w:top w:val="nil"/>
              <w:left w:val="nil"/>
              <w:bottom w:val="single" w:sz="4" w:space="0" w:color="auto"/>
              <w:right w:val="single" w:sz="4" w:space="0" w:color="auto"/>
            </w:tcBorders>
            <w:shd w:val="clear" w:color="auto" w:fill="C6EFCE"/>
            <w:noWrap/>
          </w:tcPr>
          <w:p w14:paraId="4F1A27B5"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C4.2R4</w:t>
            </w:r>
          </w:p>
          <w:p w14:paraId="39722F75"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Setting up the beneficial ownership registry</w:t>
            </w:r>
          </w:p>
        </w:tc>
        <w:tc>
          <w:tcPr>
            <w:tcW w:w="1230" w:type="dxa"/>
            <w:tcBorders>
              <w:top w:val="nil"/>
              <w:left w:val="nil"/>
              <w:bottom w:val="single" w:sz="4" w:space="0" w:color="auto"/>
              <w:right w:val="single" w:sz="4" w:space="0" w:color="auto"/>
            </w:tcBorders>
            <w:shd w:val="clear" w:color="auto" w:fill="C6EFCE"/>
            <w:noWrap/>
          </w:tcPr>
          <w:p w14:paraId="6C937A23"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nil"/>
              <w:left w:val="nil"/>
              <w:bottom w:val="single" w:sz="4" w:space="0" w:color="auto"/>
              <w:right w:val="single" w:sz="4" w:space="0" w:color="auto"/>
            </w:tcBorders>
            <w:shd w:val="clear" w:color="auto" w:fill="C6EFCE"/>
            <w:noWrap/>
          </w:tcPr>
          <w:p w14:paraId="70C17A5C"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Beneficial ownership registry available for use </w:t>
            </w:r>
          </w:p>
        </w:tc>
      </w:tr>
      <w:tr w:rsidR="003734A7" w:rsidRPr="00BF5BEF" w14:paraId="6B2B070B" w14:textId="77777777" w:rsidTr="00BF5BEF">
        <w:trPr>
          <w:cantSplit/>
          <w:trHeight w:val="302"/>
        </w:trPr>
        <w:tc>
          <w:tcPr>
            <w:tcW w:w="1702" w:type="dxa"/>
            <w:tcBorders>
              <w:top w:val="nil"/>
              <w:left w:val="single" w:sz="4" w:space="0" w:color="auto"/>
              <w:bottom w:val="single" w:sz="4" w:space="0" w:color="auto"/>
              <w:right w:val="single" w:sz="4" w:space="0" w:color="auto"/>
            </w:tcBorders>
            <w:shd w:val="clear" w:color="auto" w:fill="C6EFCE"/>
            <w:noWrap/>
          </w:tcPr>
          <w:p w14:paraId="535D131D"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243</w:t>
            </w:r>
          </w:p>
        </w:tc>
        <w:tc>
          <w:tcPr>
            <w:tcW w:w="4813" w:type="dxa"/>
            <w:tcBorders>
              <w:top w:val="single" w:sz="4" w:space="0" w:color="auto"/>
              <w:left w:val="nil"/>
              <w:bottom w:val="single" w:sz="4" w:space="0" w:color="auto"/>
              <w:right w:val="single" w:sz="4" w:space="0" w:color="auto"/>
            </w:tcBorders>
            <w:shd w:val="clear" w:color="auto" w:fill="C6EFCE"/>
            <w:noWrap/>
          </w:tcPr>
          <w:p w14:paraId="34B30ECF"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C5.1R3</w:t>
            </w:r>
          </w:p>
          <w:p w14:paraId="544BFBC8"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Gradual extension of free compulsory pre-primary education from the age of four </w:t>
            </w:r>
          </w:p>
        </w:tc>
        <w:tc>
          <w:tcPr>
            <w:tcW w:w="1230" w:type="dxa"/>
            <w:tcBorders>
              <w:top w:val="single" w:sz="4" w:space="0" w:color="auto"/>
              <w:left w:val="nil"/>
              <w:bottom w:val="single" w:sz="4" w:space="0" w:color="auto"/>
              <w:right w:val="single" w:sz="4" w:space="0" w:color="auto"/>
            </w:tcBorders>
            <w:shd w:val="clear" w:color="auto" w:fill="C6EFCE"/>
            <w:noWrap/>
          </w:tcPr>
          <w:p w14:paraId="020706AB" w14:textId="77777777" w:rsidR="003734A7" w:rsidRPr="00BF5BEF" w:rsidRDefault="003734A7" w:rsidP="00BF5BEF">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204" w:type="dxa"/>
            <w:tcBorders>
              <w:top w:val="single" w:sz="4" w:space="0" w:color="auto"/>
              <w:left w:val="nil"/>
              <w:bottom w:val="single" w:sz="4" w:space="0" w:color="auto"/>
              <w:right w:val="single" w:sz="4" w:space="0" w:color="auto"/>
            </w:tcBorders>
            <w:shd w:val="clear" w:color="auto" w:fill="C6EFCE"/>
            <w:noWrap/>
          </w:tcPr>
          <w:p w14:paraId="62978DE2" w14:textId="77777777" w:rsidR="003734A7" w:rsidRPr="00BF5BEF" w:rsidRDefault="003734A7" w:rsidP="00BF5BEF">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Entry into force of the new Law regarding the gradual extension of free compulsory pre-primary education from the age of four years and adoption of aid schemes by the Council of Ministers</w:t>
            </w:r>
          </w:p>
        </w:tc>
      </w:tr>
      <w:tr w:rsidR="003734A7" w:rsidRPr="00BF5BEF" w14:paraId="6AD559D3" w14:textId="77777777" w:rsidTr="00BF5BEF">
        <w:trPr>
          <w:cantSplit/>
          <w:trHeight w:val="302"/>
        </w:trPr>
        <w:tc>
          <w:tcPr>
            <w:tcW w:w="170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CBA3012" w14:textId="77777777" w:rsidR="003734A7" w:rsidRPr="00BF5BEF" w:rsidRDefault="003734A7" w:rsidP="00D8670B">
            <w:pPr>
              <w:spacing w:after="0"/>
              <w:jc w:val="center"/>
              <w:rPr>
                <w:rFonts w:ascii="Times New Roman" w:eastAsia="Times New Roman" w:hAnsi="Times New Roman" w:cs="Times New Roman"/>
                <w:noProof/>
                <w:color w:val="006100"/>
                <w:sz w:val="18"/>
                <w:szCs w:val="18"/>
                <w:lang w:eastAsia="en-GB"/>
              </w:rPr>
            </w:pPr>
          </w:p>
        </w:tc>
        <w:tc>
          <w:tcPr>
            <w:tcW w:w="4813" w:type="dxa"/>
            <w:tcBorders>
              <w:top w:val="single" w:sz="4" w:space="0" w:color="auto"/>
              <w:left w:val="nil"/>
              <w:bottom w:val="single" w:sz="4" w:space="0" w:color="auto"/>
              <w:right w:val="single" w:sz="4" w:space="0" w:color="auto"/>
            </w:tcBorders>
            <w:shd w:val="clear" w:color="auto" w:fill="C6EFCE"/>
            <w:noWrap/>
            <w:vAlign w:val="bottom"/>
          </w:tcPr>
          <w:p w14:paraId="3DD32524" w14:textId="77777777" w:rsidR="003734A7" w:rsidRPr="00BF5BEF" w:rsidRDefault="003734A7" w:rsidP="00D8670B">
            <w:pPr>
              <w:spacing w:after="0"/>
              <w:rPr>
                <w:rFonts w:ascii="Times New Roman" w:eastAsia="Times New Roman" w:hAnsi="Times New Roman" w:cs="Times New Roman"/>
                <w:noProof/>
                <w:color w:val="006100"/>
                <w:sz w:val="18"/>
                <w:szCs w:val="18"/>
                <w:lang w:eastAsia="en-GB"/>
              </w:rPr>
            </w:pPr>
          </w:p>
        </w:tc>
        <w:tc>
          <w:tcPr>
            <w:tcW w:w="1230" w:type="dxa"/>
            <w:tcBorders>
              <w:top w:val="single" w:sz="4" w:space="0" w:color="auto"/>
              <w:left w:val="nil"/>
              <w:bottom w:val="single" w:sz="4" w:space="0" w:color="auto"/>
              <w:right w:val="single" w:sz="4" w:space="0" w:color="auto"/>
            </w:tcBorders>
            <w:shd w:val="clear" w:color="auto" w:fill="C6EFCE"/>
            <w:noWrap/>
            <w:vAlign w:val="bottom"/>
            <w:hideMark/>
          </w:tcPr>
          <w:p w14:paraId="6844A0A1" w14:textId="77777777" w:rsidR="003734A7" w:rsidRPr="00BF5BEF" w:rsidRDefault="003734A7" w:rsidP="00BF5BEF">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color w:val="006100"/>
                <w:sz w:val="18"/>
                <w:szCs w:val="18"/>
              </w:rPr>
              <w:t>Instalment Amount</w:t>
            </w:r>
          </w:p>
        </w:tc>
        <w:tc>
          <w:tcPr>
            <w:tcW w:w="2204" w:type="dxa"/>
            <w:tcBorders>
              <w:top w:val="single" w:sz="4" w:space="0" w:color="auto"/>
              <w:left w:val="nil"/>
              <w:bottom w:val="single" w:sz="4" w:space="0" w:color="auto"/>
              <w:right w:val="single" w:sz="4" w:space="0" w:color="auto"/>
            </w:tcBorders>
            <w:shd w:val="clear" w:color="auto" w:fill="C6EFCE"/>
            <w:noWrap/>
            <w:vAlign w:val="bottom"/>
            <w:hideMark/>
          </w:tcPr>
          <w:p w14:paraId="60DBC9B0" w14:textId="59315C1D" w:rsidR="003734A7" w:rsidRPr="00BF5BEF" w:rsidRDefault="003734A7" w:rsidP="000345F8">
            <w:pPr>
              <w:spacing w:after="0"/>
              <w:rPr>
                <w:rFonts w:ascii="Times New Roman" w:hAnsi="Times New Roman" w:cs="Times New Roman"/>
                <w:noProof/>
                <w:color w:val="006100"/>
                <w:sz w:val="18"/>
                <w:szCs w:val="18"/>
              </w:rPr>
            </w:pPr>
            <w:r w:rsidRPr="00BF5BEF">
              <w:rPr>
                <w:rFonts w:ascii="Times New Roman" w:hAnsi="Times New Roman" w:cs="Times New Roman"/>
                <w:noProof/>
                <w:color w:val="006100"/>
                <w:sz w:val="18"/>
                <w:szCs w:val="18"/>
              </w:rPr>
              <w:t>EUR</w:t>
            </w:r>
            <w:r w:rsidR="00BF5BEF" w:rsidRPr="00BF5BEF">
              <w:rPr>
                <w:rFonts w:ascii="Times New Roman" w:hAnsi="Times New Roman" w:cs="Times New Roman"/>
                <w:noProof/>
                <w:color w:val="006100"/>
                <w:sz w:val="18"/>
                <w:szCs w:val="18"/>
              </w:rPr>
              <w:t> </w:t>
            </w:r>
            <w:r w:rsidRPr="00BF5BEF">
              <w:rPr>
                <w:rFonts w:ascii="Times New Roman" w:hAnsi="Times New Roman" w:cs="Times New Roman"/>
                <w:noProof/>
                <w:color w:val="006100"/>
                <w:sz w:val="18"/>
                <w:szCs w:val="18"/>
              </w:rPr>
              <w:t>88 089 650</w:t>
            </w:r>
          </w:p>
        </w:tc>
      </w:tr>
    </w:tbl>
    <w:p w14:paraId="15E3DB48" w14:textId="77777777" w:rsidR="003734A7" w:rsidRPr="000F04FA" w:rsidRDefault="003734A7" w:rsidP="00D8670B">
      <w:pPr>
        <w:pStyle w:val="Text1"/>
        <w:ind w:left="0"/>
        <w:rPr>
          <w:rStyle w:val="IntenseEmphasis"/>
          <w:rFonts w:eastAsiaTheme="majorEastAsia"/>
          <w:b/>
          <w:noProof/>
          <w:lang w:val="en-US"/>
        </w:rPr>
      </w:pPr>
    </w:p>
    <w:p w14:paraId="616014B9" w14:textId="77777777" w:rsidR="003734A7" w:rsidRPr="000F04FA" w:rsidRDefault="003734A7" w:rsidP="00D8670B">
      <w:pPr>
        <w:rPr>
          <w:noProof/>
        </w:rPr>
        <w:sectPr w:rsidR="003734A7" w:rsidRPr="000F04FA" w:rsidSect="003734A7">
          <w:headerReference w:type="even" r:id="rId112"/>
          <w:headerReference w:type="default" r:id="rId113"/>
          <w:footerReference w:type="even" r:id="rId114"/>
          <w:footerReference w:type="default" r:id="rId115"/>
          <w:headerReference w:type="first" r:id="rId116"/>
          <w:footerReference w:type="first" r:id="rId117"/>
          <w:pgSz w:w="11907" w:h="16839"/>
          <w:pgMar w:top="1134" w:right="1134" w:bottom="1134" w:left="1134" w:header="567" w:footer="567" w:gutter="0"/>
          <w:cols w:space="720"/>
          <w:docGrid w:linePitch="360"/>
        </w:sectPr>
      </w:pPr>
    </w:p>
    <w:p w14:paraId="3E07E68F" w14:textId="77777777" w:rsidR="003734A7" w:rsidRPr="000F04FA" w:rsidRDefault="003734A7" w:rsidP="00D8670B">
      <w:pPr>
        <w:pStyle w:val="NumPar2"/>
        <w:tabs>
          <w:tab w:val="num" w:pos="850"/>
        </w:tabs>
        <w:ind w:left="850" w:hanging="850"/>
        <w:rPr>
          <w:noProof/>
          <w:lang w:val="en-US"/>
        </w:rPr>
      </w:pPr>
      <w:r w:rsidRPr="000F04FA">
        <w:rPr>
          <w:noProof/>
          <w:lang w:val="en-US"/>
        </w:rPr>
        <w:t xml:space="preserve">Sixth Instalment (non-repayable support): </w:t>
      </w:r>
    </w:p>
    <w:tbl>
      <w:tblPr>
        <w:tblW w:w="103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819"/>
        <w:gridCol w:w="1134"/>
        <w:gridCol w:w="2647"/>
      </w:tblGrid>
      <w:tr w:rsidR="003734A7" w:rsidRPr="00BF5BEF" w14:paraId="4D62F4BF" w14:textId="77777777" w:rsidTr="002E6897">
        <w:trPr>
          <w:cantSplit/>
          <w:trHeight w:val="509"/>
          <w:tblHeader/>
        </w:trPr>
        <w:tc>
          <w:tcPr>
            <w:tcW w:w="1702" w:type="dxa"/>
            <w:vMerge w:val="restart"/>
            <w:shd w:val="clear" w:color="auto" w:fill="BDD7EE"/>
            <w:vAlign w:val="center"/>
            <w:hideMark/>
          </w:tcPr>
          <w:p w14:paraId="5024BE43" w14:textId="77777777" w:rsidR="003734A7" w:rsidRPr="00BF5BEF" w:rsidRDefault="003734A7" w:rsidP="00D8670B">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Sequential Number</w:t>
            </w:r>
          </w:p>
        </w:tc>
        <w:tc>
          <w:tcPr>
            <w:tcW w:w="4819" w:type="dxa"/>
            <w:vMerge w:val="restart"/>
            <w:shd w:val="clear" w:color="auto" w:fill="BDD7EE"/>
            <w:vAlign w:val="center"/>
            <w:hideMark/>
          </w:tcPr>
          <w:p w14:paraId="2CA3E0AA" w14:textId="77777777" w:rsidR="003734A7" w:rsidRPr="00BF5BEF" w:rsidRDefault="003734A7" w:rsidP="00D8670B">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25EEA8CF" w14:textId="77777777" w:rsidR="003734A7" w:rsidRPr="00BF5BEF" w:rsidRDefault="003734A7" w:rsidP="002E6897">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Milestone / Target</w:t>
            </w:r>
          </w:p>
        </w:tc>
        <w:tc>
          <w:tcPr>
            <w:tcW w:w="2647" w:type="dxa"/>
            <w:vMerge w:val="restart"/>
            <w:shd w:val="clear" w:color="auto" w:fill="BDD7EE"/>
            <w:vAlign w:val="center"/>
            <w:hideMark/>
          </w:tcPr>
          <w:p w14:paraId="4FCED8E0" w14:textId="77777777" w:rsidR="003734A7" w:rsidRPr="00BF5BEF" w:rsidRDefault="003734A7" w:rsidP="002E6897">
            <w:pPr>
              <w:spacing w:after="0"/>
              <w:jc w:val="center"/>
              <w:rPr>
                <w:rFonts w:ascii="Times New Roman" w:eastAsia="Times New Roman" w:hAnsi="Times New Roman" w:cs="Times New Roman"/>
                <w:b/>
                <w:noProof/>
                <w:sz w:val="18"/>
                <w:szCs w:val="18"/>
              </w:rPr>
            </w:pPr>
            <w:r w:rsidRPr="00BF5BEF">
              <w:rPr>
                <w:rFonts w:ascii="Times New Roman" w:hAnsi="Times New Roman" w:cs="Times New Roman"/>
                <w:b/>
                <w:noProof/>
                <w:sz w:val="18"/>
                <w:szCs w:val="18"/>
              </w:rPr>
              <w:t>Name</w:t>
            </w:r>
          </w:p>
        </w:tc>
      </w:tr>
      <w:tr w:rsidR="003734A7" w:rsidRPr="00BF5BEF" w14:paraId="34A59AD9" w14:textId="77777777" w:rsidTr="002E6897">
        <w:trPr>
          <w:cantSplit/>
          <w:trHeight w:val="509"/>
          <w:tblHeader/>
        </w:trPr>
        <w:tc>
          <w:tcPr>
            <w:tcW w:w="1702" w:type="dxa"/>
            <w:vMerge/>
            <w:vAlign w:val="center"/>
            <w:hideMark/>
          </w:tcPr>
          <w:p w14:paraId="68542863" w14:textId="77777777" w:rsidR="003734A7" w:rsidRPr="00BF5BEF" w:rsidRDefault="003734A7" w:rsidP="00D8670B">
            <w:pPr>
              <w:spacing w:after="0"/>
              <w:rPr>
                <w:rFonts w:ascii="Times New Roman" w:eastAsia="Times New Roman" w:hAnsi="Times New Roman" w:cs="Times New Roman"/>
                <w:b/>
                <w:noProof/>
                <w:sz w:val="18"/>
                <w:szCs w:val="18"/>
                <w:lang w:eastAsia="en-GB"/>
              </w:rPr>
            </w:pPr>
          </w:p>
        </w:tc>
        <w:tc>
          <w:tcPr>
            <w:tcW w:w="4819" w:type="dxa"/>
            <w:vMerge/>
            <w:vAlign w:val="center"/>
            <w:hideMark/>
          </w:tcPr>
          <w:p w14:paraId="7F9E5878" w14:textId="77777777" w:rsidR="003734A7" w:rsidRPr="00BF5BEF" w:rsidRDefault="003734A7" w:rsidP="00D8670B">
            <w:pPr>
              <w:spacing w:after="0"/>
              <w:rPr>
                <w:rFonts w:ascii="Times New Roman" w:eastAsia="Times New Roman" w:hAnsi="Times New Roman" w:cs="Times New Roman"/>
                <w:b/>
                <w:noProof/>
                <w:sz w:val="18"/>
                <w:szCs w:val="18"/>
                <w:lang w:eastAsia="en-GB"/>
              </w:rPr>
            </w:pPr>
          </w:p>
        </w:tc>
        <w:tc>
          <w:tcPr>
            <w:tcW w:w="1134" w:type="dxa"/>
            <w:vMerge/>
            <w:vAlign w:val="center"/>
            <w:hideMark/>
          </w:tcPr>
          <w:p w14:paraId="78B4F31E" w14:textId="77777777" w:rsidR="003734A7" w:rsidRPr="00BF5BEF" w:rsidRDefault="003734A7" w:rsidP="002E6897">
            <w:pPr>
              <w:spacing w:after="0"/>
              <w:jc w:val="center"/>
              <w:rPr>
                <w:rFonts w:ascii="Times New Roman" w:eastAsia="Times New Roman" w:hAnsi="Times New Roman" w:cs="Times New Roman"/>
                <w:b/>
                <w:noProof/>
                <w:sz w:val="18"/>
                <w:szCs w:val="18"/>
                <w:lang w:eastAsia="en-GB"/>
              </w:rPr>
            </w:pPr>
          </w:p>
        </w:tc>
        <w:tc>
          <w:tcPr>
            <w:tcW w:w="2647" w:type="dxa"/>
            <w:vMerge/>
            <w:vAlign w:val="center"/>
            <w:hideMark/>
          </w:tcPr>
          <w:p w14:paraId="50DFCC18" w14:textId="77777777" w:rsidR="003734A7" w:rsidRPr="00BF5BEF" w:rsidRDefault="003734A7" w:rsidP="002E6897">
            <w:pPr>
              <w:spacing w:after="0"/>
              <w:jc w:val="both"/>
              <w:rPr>
                <w:rFonts w:ascii="Times New Roman" w:eastAsia="Times New Roman" w:hAnsi="Times New Roman" w:cs="Times New Roman"/>
                <w:b/>
                <w:noProof/>
                <w:sz w:val="18"/>
                <w:szCs w:val="18"/>
                <w:lang w:eastAsia="en-GB"/>
              </w:rPr>
            </w:pPr>
          </w:p>
        </w:tc>
      </w:tr>
      <w:tr w:rsidR="003734A7" w:rsidRPr="00BF5BEF" w14:paraId="0BA3D2AD" w14:textId="77777777" w:rsidTr="002E6897">
        <w:trPr>
          <w:cantSplit/>
          <w:trHeight w:val="302"/>
        </w:trPr>
        <w:tc>
          <w:tcPr>
            <w:tcW w:w="1702" w:type="dxa"/>
            <w:shd w:val="clear" w:color="auto" w:fill="C6EFCE"/>
            <w:noWrap/>
          </w:tcPr>
          <w:p w14:paraId="07138745"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40</w:t>
            </w:r>
          </w:p>
        </w:tc>
        <w:tc>
          <w:tcPr>
            <w:tcW w:w="4819" w:type="dxa"/>
            <w:shd w:val="clear" w:color="auto" w:fill="C6EFCE"/>
            <w:noWrap/>
          </w:tcPr>
          <w:p w14:paraId="13391EFC"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C2.1I7</w:t>
            </w:r>
          </w:p>
          <w:p w14:paraId="116676E0"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Mass installation by the Distribution System Operator (DSO) of Smart Metering Infrastructure (Advanced Metering Infrastructure)</w:t>
            </w:r>
          </w:p>
        </w:tc>
        <w:tc>
          <w:tcPr>
            <w:tcW w:w="1134" w:type="dxa"/>
            <w:shd w:val="clear" w:color="auto" w:fill="C6EFCE"/>
            <w:noWrap/>
          </w:tcPr>
          <w:p w14:paraId="22EB343C" w14:textId="77777777" w:rsidR="003734A7" w:rsidRPr="00BF5BEF" w:rsidRDefault="003734A7" w:rsidP="002E6897">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343FB8DD" w14:textId="77777777" w:rsidR="003734A7" w:rsidRPr="00BF5BEF" w:rsidRDefault="003734A7" w:rsidP="002E6897">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Contract Signature for smart electricity metering infrastructure</w:t>
            </w:r>
          </w:p>
        </w:tc>
      </w:tr>
      <w:tr w:rsidR="003734A7" w:rsidRPr="00BF5BEF" w14:paraId="3DDAB48E" w14:textId="77777777" w:rsidTr="002E6897">
        <w:trPr>
          <w:cantSplit/>
          <w:trHeight w:val="302"/>
        </w:trPr>
        <w:tc>
          <w:tcPr>
            <w:tcW w:w="1702" w:type="dxa"/>
            <w:shd w:val="clear" w:color="auto" w:fill="C6EFCE"/>
            <w:noWrap/>
          </w:tcPr>
          <w:p w14:paraId="26D5E8E7" w14:textId="77777777" w:rsidR="003734A7" w:rsidRPr="00BF5BEF" w:rsidRDefault="003734A7" w:rsidP="00D8670B">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52</w:t>
            </w:r>
          </w:p>
        </w:tc>
        <w:tc>
          <w:tcPr>
            <w:tcW w:w="4819" w:type="dxa"/>
            <w:shd w:val="clear" w:color="auto" w:fill="C6EFCE"/>
            <w:noWrap/>
          </w:tcPr>
          <w:p w14:paraId="7754A647"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C2.2R1</w:t>
            </w:r>
          </w:p>
          <w:p w14:paraId="057BF320" w14:textId="77777777" w:rsidR="003734A7" w:rsidRPr="00BF5BEF" w:rsidRDefault="003734A7" w:rsidP="00D8670B">
            <w:pP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Installation of an Intelligent Transport System using Digital Twin technologies</w:t>
            </w:r>
          </w:p>
        </w:tc>
        <w:tc>
          <w:tcPr>
            <w:tcW w:w="1134" w:type="dxa"/>
            <w:shd w:val="clear" w:color="auto" w:fill="C6EFCE"/>
            <w:noWrap/>
          </w:tcPr>
          <w:p w14:paraId="7F2AB384" w14:textId="77777777" w:rsidR="003734A7" w:rsidRPr="00BF5BEF" w:rsidRDefault="003734A7" w:rsidP="002E6897">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Target</w:t>
            </w:r>
          </w:p>
        </w:tc>
        <w:tc>
          <w:tcPr>
            <w:tcW w:w="2647" w:type="dxa"/>
            <w:shd w:val="clear" w:color="auto" w:fill="C6EFCE"/>
            <w:noWrap/>
          </w:tcPr>
          <w:p w14:paraId="2435C531" w14:textId="77777777" w:rsidR="003734A7" w:rsidRPr="00BF5BEF" w:rsidRDefault="003734A7" w:rsidP="002E6897">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Installation and connection to the National Access Point of at least 150 sensors</w:t>
            </w:r>
          </w:p>
        </w:tc>
      </w:tr>
      <w:tr w:rsidR="003734A7" w:rsidRPr="00BF5BEF" w14:paraId="604C2D39" w14:textId="77777777" w:rsidTr="002E6897">
        <w:trPr>
          <w:cantSplit/>
          <w:trHeight w:val="302"/>
        </w:trPr>
        <w:tc>
          <w:tcPr>
            <w:tcW w:w="1702" w:type="dxa"/>
            <w:shd w:val="clear" w:color="auto" w:fill="C6EFCE"/>
            <w:noWrap/>
          </w:tcPr>
          <w:p w14:paraId="0A4D7791"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78</w:t>
            </w:r>
          </w:p>
        </w:tc>
        <w:tc>
          <w:tcPr>
            <w:tcW w:w="4819" w:type="dxa"/>
            <w:shd w:val="clear" w:color="auto" w:fill="C6EFCE"/>
            <w:noWrap/>
          </w:tcPr>
          <w:p w14:paraId="58F0B032"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C2.3I5</w:t>
            </w:r>
          </w:p>
          <w:p w14:paraId="24A442AF"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Anti-flood and water collection measures</w:t>
            </w:r>
          </w:p>
        </w:tc>
        <w:tc>
          <w:tcPr>
            <w:tcW w:w="1134" w:type="dxa"/>
            <w:shd w:val="clear" w:color="auto" w:fill="C6EFCE"/>
            <w:noWrap/>
          </w:tcPr>
          <w:p w14:paraId="4C9F0938" w14:textId="77777777" w:rsidR="003734A7" w:rsidRPr="00BF5BEF" w:rsidRDefault="003734A7" w:rsidP="002E6897">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0C31746D" w14:textId="77777777" w:rsidR="003734A7" w:rsidRPr="00BF5BEF" w:rsidRDefault="003734A7" w:rsidP="002E6897">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Construction works for the rainwater collection and recycling system in Kladeri area</w:t>
            </w:r>
          </w:p>
        </w:tc>
      </w:tr>
      <w:tr w:rsidR="003734A7" w:rsidRPr="00BF5BEF" w14:paraId="7CEB5F68" w14:textId="77777777" w:rsidTr="002E6897">
        <w:trPr>
          <w:cantSplit/>
          <w:trHeight w:val="302"/>
        </w:trPr>
        <w:tc>
          <w:tcPr>
            <w:tcW w:w="1702" w:type="dxa"/>
            <w:shd w:val="clear" w:color="auto" w:fill="C6EFCE"/>
            <w:noWrap/>
          </w:tcPr>
          <w:p w14:paraId="656FC350"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80</w:t>
            </w:r>
          </w:p>
        </w:tc>
        <w:tc>
          <w:tcPr>
            <w:tcW w:w="4819" w:type="dxa"/>
            <w:shd w:val="clear" w:color="auto" w:fill="C6EFCE"/>
            <w:noWrap/>
          </w:tcPr>
          <w:p w14:paraId="0BA4CB94"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C2.3I6</w:t>
            </w:r>
          </w:p>
          <w:p w14:paraId="4C229560"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Water security projects</w:t>
            </w:r>
          </w:p>
        </w:tc>
        <w:tc>
          <w:tcPr>
            <w:tcW w:w="1134" w:type="dxa"/>
            <w:shd w:val="clear" w:color="auto" w:fill="C6EFCE"/>
            <w:noWrap/>
          </w:tcPr>
          <w:p w14:paraId="65C96EF2" w14:textId="77777777" w:rsidR="003734A7" w:rsidRPr="00BF5BEF" w:rsidRDefault="003734A7" w:rsidP="002E6897">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647" w:type="dxa"/>
            <w:shd w:val="clear" w:color="auto" w:fill="C6EFCE"/>
            <w:noWrap/>
          </w:tcPr>
          <w:p w14:paraId="7BB22967" w14:textId="77777777" w:rsidR="003734A7" w:rsidRPr="00BF5BEF" w:rsidRDefault="003734A7" w:rsidP="002E6897">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Construction of two glass lined steel reservoirs in Nicosia district</w:t>
            </w:r>
          </w:p>
        </w:tc>
      </w:tr>
      <w:tr w:rsidR="003734A7" w:rsidRPr="00BF5BEF" w14:paraId="3A706662" w14:textId="77777777" w:rsidTr="002E6897">
        <w:trPr>
          <w:cantSplit/>
          <w:trHeight w:val="302"/>
        </w:trPr>
        <w:tc>
          <w:tcPr>
            <w:tcW w:w="1702" w:type="dxa"/>
            <w:shd w:val="clear" w:color="auto" w:fill="C6EFCE"/>
            <w:noWrap/>
          </w:tcPr>
          <w:p w14:paraId="6CB816E2"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103</w:t>
            </w:r>
          </w:p>
        </w:tc>
        <w:tc>
          <w:tcPr>
            <w:tcW w:w="4819" w:type="dxa"/>
            <w:shd w:val="clear" w:color="auto" w:fill="C6EFCE"/>
            <w:noWrap/>
          </w:tcPr>
          <w:p w14:paraId="6D52D0EA"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C3.1I8</w:t>
            </w:r>
          </w:p>
          <w:p w14:paraId="1D2581BE"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 xml:space="preserve">Added value of tourism </w:t>
            </w:r>
          </w:p>
        </w:tc>
        <w:tc>
          <w:tcPr>
            <w:tcW w:w="1134" w:type="dxa"/>
            <w:shd w:val="clear" w:color="auto" w:fill="C6EFCE"/>
            <w:noWrap/>
          </w:tcPr>
          <w:p w14:paraId="42EF1CAE" w14:textId="77777777" w:rsidR="003734A7" w:rsidRPr="00BF5BEF" w:rsidRDefault="003734A7" w:rsidP="002E6897">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647" w:type="dxa"/>
            <w:shd w:val="clear" w:color="auto" w:fill="C6EFCE"/>
            <w:noWrap/>
          </w:tcPr>
          <w:p w14:paraId="6A2C2410" w14:textId="77777777" w:rsidR="003734A7" w:rsidRPr="00BF5BEF" w:rsidRDefault="003734A7" w:rsidP="002E6897">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Grant agreements signed with enterprises in the hospitality sector </w:t>
            </w:r>
          </w:p>
        </w:tc>
      </w:tr>
      <w:tr w:rsidR="003734A7" w:rsidRPr="00BF5BEF" w14:paraId="643C028A" w14:textId="77777777" w:rsidTr="002E6897">
        <w:trPr>
          <w:cantSplit/>
          <w:trHeight w:val="302"/>
        </w:trPr>
        <w:tc>
          <w:tcPr>
            <w:tcW w:w="1702" w:type="dxa"/>
            <w:shd w:val="clear" w:color="auto" w:fill="C6EFCE"/>
            <w:noWrap/>
          </w:tcPr>
          <w:p w14:paraId="05149F03"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144</w:t>
            </w:r>
          </w:p>
        </w:tc>
        <w:tc>
          <w:tcPr>
            <w:tcW w:w="4819" w:type="dxa"/>
            <w:shd w:val="clear" w:color="auto" w:fill="C6EFCE"/>
            <w:noWrap/>
          </w:tcPr>
          <w:p w14:paraId="0324EEAA"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C3.3I2</w:t>
            </w:r>
          </w:p>
          <w:p w14:paraId="3AE4A88E"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A Regulatory Sandbox</w:t>
            </w:r>
          </w:p>
        </w:tc>
        <w:tc>
          <w:tcPr>
            <w:tcW w:w="1134" w:type="dxa"/>
            <w:shd w:val="clear" w:color="auto" w:fill="C6EFCE"/>
            <w:noWrap/>
          </w:tcPr>
          <w:p w14:paraId="71231D49" w14:textId="77777777" w:rsidR="003734A7" w:rsidRPr="00BF5BEF" w:rsidRDefault="003734A7" w:rsidP="002E6897">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6B277839" w14:textId="77777777" w:rsidR="003734A7" w:rsidRPr="00BF5BEF" w:rsidRDefault="003734A7" w:rsidP="002E6897">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Regulatory Sandbox </w:t>
            </w:r>
          </w:p>
        </w:tc>
      </w:tr>
      <w:tr w:rsidR="003734A7" w:rsidRPr="00BF5BEF" w14:paraId="2B5DCB7A" w14:textId="77777777" w:rsidTr="002E6897">
        <w:trPr>
          <w:cantSplit/>
          <w:trHeight w:val="302"/>
        </w:trPr>
        <w:tc>
          <w:tcPr>
            <w:tcW w:w="1702" w:type="dxa"/>
            <w:shd w:val="clear" w:color="auto" w:fill="C6EFCE"/>
            <w:noWrap/>
          </w:tcPr>
          <w:p w14:paraId="6D3A4E42"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169</w:t>
            </w:r>
          </w:p>
        </w:tc>
        <w:tc>
          <w:tcPr>
            <w:tcW w:w="4819" w:type="dxa"/>
            <w:shd w:val="clear" w:color="auto" w:fill="C6EFCE"/>
            <w:noWrap/>
          </w:tcPr>
          <w:p w14:paraId="70D929EB"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C3.4R6</w:t>
            </w:r>
          </w:p>
          <w:p w14:paraId="562A0498"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New legal framework for Local Authorities and support measures </w:t>
            </w:r>
          </w:p>
        </w:tc>
        <w:tc>
          <w:tcPr>
            <w:tcW w:w="1134" w:type="dxa"/>
            <w:shd w:val="clear" w:color="auto" w:fill="C6EFCE"/>
            <w:noWrap/>
          </w:tcPr>
          <w:p w14:paraId="24FF2E89" w14:textId="77777777" w:rsidR="003734A7" w:rsidRPr="00BF5BEF" w:rsidRDefault="003734A7" w:rsidP="002E6897">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6CA90626" w14:textId="77777777" w:rsidR="003734A7" w:rsidRPr="00BF5BEF" w:rsidRDefault="003734A7" w:rsidP="002E6897">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New legal framework on local authorities</w:t>
            </w:r>
          </w:p>
        </w:tc>
      </w:tr>
      <w:tr w:rsidR="003734A7" w:rsidRPr="00BF5BEF" w14:paraId="333A2107" w14:textId="77777777" w:rsidTr="002E6897">
        <w:trPr>
          <w:cantSplit/>
          <w:trHeight w:val="302"/>
        </w:trPr>
        <w:tc>
          <w:tcPr>
            <w:tcW w:w="1702" w:type="dxa"/>
            <w:shd w:val="clear" w:color="auto" w:fill="C6EFCE"/>
            <w:noWrap/>
          </w:tcPr>
          <w:p w14:paraId="4853E1E9"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171</w:t>
            </w:r>
          </w:p>
        </w:tc>
        <w:tc>
          <w:tcPr>
            <w:tcW w:w="4819" w:type="dxa"/>
            <w:shd w:val="clear" w:color="auto" w:fill="C6EFCE"/>
            <w:noWrap/>
          </w:tcPr>
          <w:p w14:paraId="550E7246"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C3.4R7</w:t>
            </w:r>
          </w:p>
          <w:p w14:paraId="2642BDF9"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Urban land consolidation </w:t>
            </w:r>
          </w:p>
        </w:tc>
        <w:tc>
          <w:tcPr>
            <w:tcW w:w="1134" w:type="dxa"/>
            <w:shd w:val="clear" w:color="auto" w:fill="C6EFCE"/>
            <w:noWrap/>
          </w:tcPr>
          <w:p w14:paraId="697ECB6D" w14:textId="77777777" w:rsidR="003734A7" w:rsidRPr="00BF5BEF" w:rsidRDefault="003734A7" w:rsidP="002E6897">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404F09DC" w14:textId="77777777" w:rsidR="003734A7" w:rsidRPr="00BF5BEF" w:rsidRDefault="003734A7" w:rsidP="002E6897">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 xml:space="preserve">Entry into force of the law on urban land consolidation </w:t>
            </w:r>
          </w:p>
        </w:tc>
      </w:tr>
      <w:tr w:rsidR="003734A7" w:rsidRPr="00BF5BEF" w14:paraId="74678672" w14:textId="77777777" w:rsidTr="002E6897">
        <w:trPr>
          <w:cantSplit/>
          <w:trHeight w:val="302"/>
        </w:trPr>
        <w:tc>
          <w:tcPr>
            <w:tcW w:w="1702" w:type="dxa"/>
            <w:shd w:val="clear" w:color="auto" w:fill="C6EFCE"/>
            <w:noWrap/>
          </w:tcPr>
          <w:p w14:paraId="5811D6CB"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181</w:t>
            </w:r>
          </w:p>
        </w:tc>
        <w:tc>
          <w:tcPr>
            <w:tcW w:w="4819" w:type="dxa"/>
            <w:shd w:val="clear" w:color="auto" w:fill="C6EFCE"/>
            <w:noWrap/>
          </w:tcPr>
          <w:p w14:paraId="3F6A0E00"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C3.4R8</w:t>
            </w:r>
          </w:p>
          <w:p w14:paraId="62A7F130"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Efficiency of Justice</w:t>
            </w:r>
          </w:p>
        </w:tc>
        <w:tc>
          <w:tcPr>
            <w:tcW w:w="1134" w:type="dxa"/>
            <w:shd w:val="clear" w:color="auto" w:fill="C6EFCE"/>
            <w:noWrap/>
          </w:tcPr>
          <w:p w14:paraId="5FDC9A73" w14:textId="77777777" w:rsidR="003734A7" w:rsidRPr="00BF5BEF" w:rsidRDefault="003734A7" w:rsidP="002E6897">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Target</w:t>
            </w:r>
          </w:p>
        </w:tc>
        <w:tc>
          <w:tcPr>
            <w:tcW w:w="2647" w:type="dxa"/>
            <w:shd w:val="clear" w:color="auto" w:fill="C6EFCE"/>
            <w:noWrap/>
          </w:tcPr>
          <w:p w14:paraId="2D1E09B7" w14:textId="77777777" w:rsidR="003734A7" w:rsidRPr="00BF5BEF" w:rsidRDefault="003734A7" w:rsidP="002E6897">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Reducing the backlog of cases and appeals</w:t>
            </w:r>
          </w:p>
        </w:tc>
      </w:tr>
      <w:tr w:rsidR="003734A7" w:rsidRPr="00BF5BEF" w14:paraId="2B185096" w14:textId="77777777" w:rsidTr="002E6897">
        <w:trPr>
          <w:cantSplit/>
          <w:trHeight w:val="302"/>
        </w:trPr>
        <w:tc>
          <w:tcPr>
            <w:tcW w:w="1702" w:type="dxa"/>
            <w:shd w:val="clear" w:color="auto" w:fill="C6EFCE"/>
            <w:noWrap/>
          </w:tcPr>
          <w:p w14:paraId="429DC2DE" w14:textId="77777777" w:rsidR="003734A7" w:rsidRPr="00BF5BEF" w:rsidRDefault="003734A7" w:rsidP="00D8670B">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216</w:t>
            </w:r>
          </w:p>
        </w:tc>
        <w:tc>
          <w:tcPr>
            <w:tcW w:w="4819" w:type="dxa"/>
            <w:shd w:val="clear" w:color="auto" w:fill="C6EFCE"/>
            <w:noWrap/>
          </w:tcPr>
          <w:p w14:paraId="39499770"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C4.1R2</w:t>
            </w:r>
          </w:p>
          <w:p w14:paraId="574386E4" w14:textId="3D3329E9"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Simplification of the administrative procedures for the deployment of VHCN</w:t>
            </w:r>
            <w:r w:rsidR="00064579" w:rsidRPr="00BF5BEF">
              <w:rPr>
                <w:rFonts w:ascii="Times New Roman" w:hAnsi="Times New Roman" w:cs="Times New Roman"/>
                <w:noProof/>
                <w:sz w:val="18"/>
                <w:szCs w:val="18"/>
              </w:rPr>
              <w:t xml:space="preserve"> </w:t>
            </w:r>
          </w:p>
        </w:tc>
        <w:tc>
          <w:tcPr>
            <w:tcW w:w="1134" w:type="dxa"/>
            <w:shd w:val="clear" w:color="auto" w:fill="C6EFCE"/>
            <w:noWrap/>
          </w:tcPr>
          <w:p w14:paraId="549AC58C" w14:textId="77777777" w:rsidR="003734A7" w:rsidRPr="00BF5BEF" w:rsidRDefault="003734A7" w:rsidP="002E6897">
            <w:pPr>
              <w:spacing w:after="0"/>
              <w:jc w:val="center"/>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50997B34" w14:textId="77777777" w:rsidR="003734A7" w:rsidRPr="00BF5BEF" w:rsidRDefault="003734A7" w:rsidP="002E6897">
            <w:pPr>
              <w:spacing w:after="0"/>
              <w:jc w:val="both"/>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Entry into force of the administrative acts for very high capacity networks’ deployment</w:t>
            </w:r>
          </w:p>
        </w:tc>
      </w:tr>
      <w:tr w:rsidR="003734A7" w:rsidRPr="00BF5BEF" w14:paraId="77FD7EE3" w14:textId="77777777" w:rsidTr="002E6897">
        <w:trPr>
          <w:cantSplit/>
          <w:trHeight w:val="302"/>
        </w:trPr>
        <w:tc>
          <w:tcPr>
            <w:tcW w:w="1702" w:type="dxa"/>
            <w:shd w:val="clear" w:color="auto" w:fill="C6EFCE"/>
            <w:noWrap/>
          </w:tcPr>
          <w:p w14:paraId="5ED84409"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246a</w:t>
            </w:r>
          </w:p>
        </w:tc>
        <w:tc>
          <w:tcPr>
            <w:tcW w:w="4819" w:type="dxa"/>
            <w:shd w:val="clear" w:color="auto" w:fill="C6EFCE"/>
            <w:noWrap/>
          </w:tcPr>
          <w:p w14:paraId="29B6FA4B"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C5.1R4</w:t>
            </w:r>
          </w:p>
          <w:p w14:paraId="6BACCDBC"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Digital transformation of school units with the aim of supporting digital skills and skills related to STEM education</w:t>
            </w:r>
          </w:p>
        </w:tc>
        <w:tc>
          <w:tcPr>
            <w:tcW w:w="1134" w:type="dxa"/>
            <w:shd w:val="clear" w:color="auto" w:fill="C6EFCE"/>
            <w:noWrap/>
          </w:tcPr>
          <w:p w14:paraId="5F5D91DE" w14:textId="77777777" w:rsidR="003734A7" w:rsidRPr="00BF5BEF" w:rsidRDefault="003734A7" w:rsidP="002E6897">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Target</w:t>
            </w:r>
          </w:p>
        </w:tc>
        <w:tc>
          <w:tcPr>
            <w:tcW w:w="2647" w:type="dxa"/>
            <w:shd w:val="clear" w:color="auto" w:fill="C6EFCE"/>
            <w:noWrap/>
          </w:tcPr>
          <w:p w14:paraId="23B1D322" w14:textId="77777777" w:rsidR="003734A7" w:rsidRPr="00BF5BEF" w:rsidRDefault="003734A7" w:rsidP="002E6897">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 xml:space="preserve">Classrooms digitally equipped </w:t>
            </w:r>
          </w:p>
        </w:tc>
      </w:tr>
      <w:tr w:rsidR="003734A7" w:rsidRPr="00BF5BEF" w14:paraId="7F075768" w14:textId="77777777" w:rsidTr="002E6897">
        <w:trPr>
          <w:cantSplit/>
          <w:trHeight w:val="302"/>
        </w:trPr>
        <w:tc>
          <w:tcPr>
            <w:tcW w:w="1702" w:type="dxa"/>
            <w:shd w:val="clear" w:color="auto" w:fill="C6EFCE"/>
            <w:noWrap/>
          </w:tcPr>
          <w:p w14:paraId="52F9CBDD" w14:textId="77777777" w:rsidR="003734A7" w:rsidRPr="00BF5BEF" w:rsidRDefault="003734A7" w:rsidP="00D8670B">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274</w:t>
            </w:r>
          </w:p>
        </w:tc>
        <w:tc>
          <w:tcPr>
            <w:tcW w:w="4819" w:type="dxa"/>
            <w:shd w:val="clear" w:color="auto" w:fill="C6EFCE"/>
            <w:noWrap/>
          </w:tcPr>
          <w:p w14:paraId="540ED1CC" w14:textId="77777777" w:rsidR="003734A7" w:rsidRPr="00BF5BEF" w:rsidRDefault="003734A7" w:rsidP="00D8670B">
            <w:pPr>
              <w:spacing w:after="0"/>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C6.1I3 Promoting extensive energy renovations of dwellings</w:t>
            </w:r>
          </w:p>
        </w:tc>
        <w:tc>
          <w:tcPr>
            <w:tcW w:w="1134" w:type="dxa"/>
            <w:shd w:val="clear" w:color="auto" w:fill="C6EFCE"/>
            <w:noWrap/>
          </w:tcPr>
          <w:p w14:paraId="57936A41" w14:textId="77777777" w:rsidR="003734A7" w:rsidRPr="00BF5BEF" w:rsidRDefault="003734A7" w:rsidP="002E6897">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Milestone</w:t>
            </w:r>
          </w:p>
        </w:tc>
        <w:tc>
          <w:tcPr>
            <w:tcW w:w="2647" w:type="dxa"/>
            <w:shd w:val="clear" w:color="auto" w:fill="C6EFCE"/>
            <w:noWrap/>
            <w:vAlign w:val="bottom"/>
          </w:tcPr>
          <w:p w14:paraId="4D603613" w14:textId="77777777" w:rsidR="003734A7" w:rsidRPr="00BF5BEF" w:rsidRDefault="003734A7" w:rsidP="002E6897">
            <w:pPr>
              <w:spacing w:after="0"/>
              <w:jc w:val="both"/>
              <w:rPr>
                <w:rFonts w:ascii="Times New Roman" w:eastAsia="Times New Roman" w:hAnsi="Times New Roman" w:cs="Times New Roman"/>
                <w:noProof/>
                <w:color w:val="006100"/>
                <w:sz w:val="18"/>
                <w:szCs w:val="18"/>
              </w:rPr>
            </w:pPr>
            <w:r w:rsidRPr="00BF5BEF">
              <w:rPr>
                <w:rFonts w:ascii="Times New Roman" w:hAnsi="Times New Roman" w:cs="Times New Roman"/>
                <w:noProof/>
                <w:sz w:val="18"/>
                <w:szCs w:val="18"/>
              </w:rPr>
              <w:t>Support scheme for energy upgrading of dwellings</w:t>
            </w:r>
          </w:p>
        </w:tc>
      </w:tr>
      <w:tr w:rsidR="003734A7" w:rsidRPr="00BF5BEF" w14:paraId="30B1EFEB" w14:textId="77777777" w:rsidTr="002E6897">
        <w:trPr>
          <w:cantSplit/>
          <w:trHeight w:val="302"/>
        </w:trPr>
        <w:tc>
          <w:tcPr>
            <w:tcW w:w="1702" w:type="dxa"/>
            <w:shd w:val="clear" w:color="auto" w:fill="C6EFCE"/>
            <w:noWrap/>
          </w:tcPr>
          <w:p w14:paraId="57B12F2F"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8</w:t>
            </w:r>
          </w:p>
        </w:tc>
        <w:tc>
          <w:tcPr>
            <w:tcW w:w="4819" w:type="dxa"/>
            <w:shd w:val="clear" w:color="auto" w:fill="C6EFCE"/>
            <w:noWrap/>
          </w:tcPr>
          <w:p w14:paraId="436C0866"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C1.1I2</w:t>
            </w:r>
          </w:p>
          <w:p w14:paraId="228B013B" w14:textId="77777777" w:rsidR="003734A7" w:rsidRPr="00BF5BEF" w:rsidRDefault="003734A7" w:rsidP="00D8670B">
            <w:pPr>
              <w:spacing w:after="0"/>
              <w:rPr>
                <w:rFonts w:ascii="Times New Roman" w:hAnsi="Times New Roman" w:cs="Times New Roman"/>
                <w:noProof/>
                <w:sz w:val="18"/>
                <w:szCs w:val="18"/>
              </w:rPr>
            </w:pPr>
            <w:r w:rsidRPr="00BF5BEF">
              <w:rPr>
                <w:rFonts w:ascii="Times New Roman" w:hAnsi="Times New Roman" w:cs="Times New Roman"/>
                <w:noProof/>
                <w:sz w:val="18"/>
                <w:szCs w:val="18"/>
              </w:rPr>
              <w:t>Cyprus Public Health information System</w:t>
            </w:r>
          </w:p>
        </w:tc>
        <w:tc>
          <w:tcPr>
            <w:tcW w:w="1134" w:type="dxa"/>
            <w:shd w:val="clear" w:color="auto" w:fill="C6EFCE"/>
            <w:noWrap/>
          </w:tcPr>
          <w:p w14:paraId="49BAF58C" w14:textId="77777777" w:rsidR="003734A7" w:rsidRPr="00BF5BEF" w:rsidRDefault="003734A7" w:rsidP="002E6897">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Target</w:t>
            </w:r>
          </w:p>
        </w:tc>
        <w:tc>
          <w:tcPr>
            <w:tcW w:w="2647" w:type="dxa"/>
            <w:shd w:val="clear" w:color="auto" w:fill="C6EFCE"/>
            <w:noWrap/>
          </w:tcPr>
          <w:p w14:paraId="246ACFC8" w14:textId="77777777" w:rsidR="003734A7" w:rsidRPr="00BF5BEF" w:rsidRDefault="003734A7" w:rsidP="002E6897">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Sentinels registered in the module</w:t>
            </w:r>
          </w:p>
        </w:tc>
      </w:tr>
      <w:tr w:rsidR="003734A7" w:rsidRPr="00BF5BEF" w14:paraId="294F952A" w14:textId="77777777" w:rsidTr="002E6897">
        <w:trPr>
          <w:cantSplit/>
          <w:trHeight w:val="302"/>
        </w:trPr>
        <w:tc>
          <w:tcPr>
            <w:tcW w:w="1702" w:type="dxa"/>
            <w:shd w:val="clear" w:color="auto" w:fill="C6EFCE"/>
            <w:noWrap/>
          </w:tcPr>
          <w:p w14:paraId="354DD00E"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237</w:t>
            </w:r>
          </w:p>
        </w:tc>
        <w:tc>
          <w:tcPr>
            <w:tcW w:w="4819" w:type="dxa"/>
            <w:shd w:val="clear" w:color="auto" w:fill="C6EFCE"/>
            <w:noWrap/>
          </w:tcPr>
          <w:p w14:paraId="05338015" w14:textId="77777777" w:rsidR="003734A7" w:rsidRPr="00BF5BEF" w:rsidRDefault="003734A7" w:rsidP="00D8670B">
            <w:pPr>
              <w:spacing w:after="0" w:line="240" w:lineRule="auto"/>
              <w:rPr>
                <w:rFonts w:ascii="Times New Roman" w:eastAsia="Times New Roman" w:hAnsi="Times New Roman" w:cs="Times New Roman"/>
                <w:noProof/>
                <w:sz w:val="18"/>
                <w:szCs w:val="18"/>
              </w:rPr>
            </w:pPr>
            <w:r w:rsidRPr="00BF5BEF">
              <w:rPr>
                <w:rFonts w:ascii="Times New Roman" w:hAnsi="Times New Roman" w:cs="Times New Roman"/>
                <w:noProof/>
                <w:sz w:val="18"/>
                <w:szCs w:val="18"/>
              </w:rPr>
              <w:t>C4.2I2</w:t>
            </w:r>
          </w:p>
          <w:p w14:paraId="23C554B0" w14:textId="77777777" w:rsidR="003734A7" w:rsidRPr="00BF5BEF" w:rsidRDefault="003734A7" w:rsidP="00D8670B">
            <w:pPr>
              <w:spacing w:after="0"/>
              <w:rPr>
                <w:rFonts w:ascii="Times New Roman" w:hAnsi="Times New Roman" w:cs="Times New Roman"/>
                <w:noProof/>
                <w:sz w:val="18"/>
                <w:szCs w:val="18"/>
              </w:rPr>
            </w:pPr>
            <w:r w:rsidRPr="00BF5BEF">
              <w:rPr>
                <w:rFonts w:ascii="Times New Roman" w:hAnsi="Times New Roman" w:cs="Times New Roman"/>
                <w:noProof/>
                <w:sz w:val="18"/>
                <w:szCs w:val="18"/>
              </w:rPr>
              <w:t>Digitalisation of the Cyprus Ports Authority</w:t>
            </w:r>
          </w:p>
        </w:tc>
        <w:tc>
          <w:tcPr>
            <w:tcW w:w="1134" w:type="dxa"/>
            <w:shd w:val="clear" w:color="auto" w:fill="C6EFCE"/>
            <w:noWrap/>
          </w:tcPr>
          <w:p w14:paraId="644E9A1C" w14:textId="77777777" w:rsidR="003734A7" w:rsidRPr="00BF5BEF" w:rsidRDefault="003734A7" w:rsidP="002E6897">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Target</w:t>
            </w:r>
          </w:p>
        </w:tc>
        <w:tc>
          <w:tcPr>
            <w:tcW w:w="2647" w:type="dxa"/>
            <w:shd w:val="clear" w:color="auto" w:fill="C6EFCE"/>
            <w:noWrap/>
          </w:tcPr>
          <w:p w14:paraId="367B0A86" w14:textId="77777777" w:rsidR="003734A7" w:rsidRPr="00BF5BEF" w:rsidRDefault="003734A7" w:rsidP="002E6897">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IT infrastructure of the Cyprus Ports Authority</w:t>
            </w:r>
          </w:p>
        </w:tc>
      </w:tr>
      <w:tr w:rsidR="003734A7" w:rsidRPr="00BF5BEF" w14:paraId="3D75CEC1" w14:textId="77777777" w:rsidTr="002E6897">
        <w:trPr>
          <w:cantSplit/>
          <w:trHeight w:val="302"/>
        </w:trPr>
        <w:tc>
          <w:tcPr>
            <w:tcW w:w="1702" w:type="dxa"/>
            <w:shd w:val="clear" w:color="auto" w:fill="C6EFCE"/>
            <w:noWrap/>
          </w:tcPr>
          <w:p w14:paraId="6D1A47F8" w14:textId="77777777" w:rsidR="003734A7" w:rsidRPr="00BF5BEF" w:rsidRDefault="003734A7" w:rsidP="00D8670B">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107</w:t>
            </w:r>
          </w:p>
        </w:tc>
        <w:tc>
          <w:tcPr>
            <w:tcW w:w="4819" w:type="dxa"/>
            <w:shd w:val="clear" w:color="auto" w:fill="C6EFCE"/>
            <w:noWrap/>
          </w:tcPr>
          <w:p w14:paraId="2447DB86"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C3.1I10</w:t>
            </w:r>
          </w:p>
          <w:p w14:paraId="73BD62D7" w14:textId="77777777" w:rsidR="003734A7" w:rsidRPr="00BF5BEF" w:rsidRDefault="003734A7" w:rsidP="00D8670B">
            <w:pPr>
              <w:spacing w:after="0"/>
              <w:rPr>
                <w:rFonts w:ascii="Times New Roman" w:hAnsi="Times New Roman" w:cs="Times New Roman"/>
                <w:noProof/>
                <w:sz w:val="18"/>
                <w:szCs w:val="18"/>
              </w:rPr>
            </w:pPr>
            <w:r w:rsidRPr="00BF5BEF">
              <w:rPr>
                <w:rFonts w:ascii="Times New Roman" w:hAnsi="Times New Roman" w:cs="Times New Roman"/>
                <w:noProof/>
                <w:sz w:val="18"/>
                <w:szCs w:val="18"/>
              </w:rPr>
              <w:t xml:space="preserve">Enrichment of tourism </w:t>
            </w:r>
          </w:p>
        </w:tc>
        <w:tc>
          <w:tcPr>
            <w:tcW w:w="1134" w:type="dxa"/>
            <w:shd w:val="clear" w:color="auto" w:fill="C6EFCE"/>
            <w:noWrap/>
          </w:tcPr>
          <w:p w14:paraId="4385D707" w14:textId="77777777" w:rsidR="003734A7" w:rsidRPr="00BF5BEF" w:rsidRDefault="003734A7" w:rsidP="002E6897">
            <w:pPr>
              <w:spacing w:after="0"/>
              <w:jc w:val="center"/>
              <w:rPr>
                <w:rFonts w:ascii="Times New Roman" w:hAnsi="Times New Roman" w:cs="Times New Roman"/>
                <w:noProof/>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00970A61" w14:textId="77777777" w:rsidR="003734A7" w:rsidRPr="00BF5BEF" w:rsidRDefault="003734A7" w:rsidP="002E6897">
            <w:pPr>
              <w:spacing w:after="0"/>
              <w:jc w:val="both"/>
              <w:rPr>
                <w:rFonts w:ascii="Times New Roman" w:hAnsi="Times New Roman" w:cs="Times New Roman"/>
                <w:noProof/>
                <w:sz w:val="18"/>
                <w:szCs w:val="18"/>
              </w:rPr>
            </w:pPr>
            <w:r w:rsidRPr="00BF5BEF">
              <w:rPr>
                <w:rFonts w:ascii="Times New Roman" w:hAnsi="Times New Roman" w:cs="Times New Roman"/>
                <w:noProof/>
                <w:sz w:val="18"/>
                <w:szCs w:val="18"/>
              </w:rPr>
              <w:t>Aphrodite Route</w:t>
            </w:r>
          </w:p>
        </w:tc>
      </w:tr>
      <w:tr w:rsidR="003734A7" w:rsidRPr="00BF5BEF" w14:paraId="0B869EF4" w14:textId="77777777" w:rsidTr="002E6897">
        <w:trPr>
          <w:cantSplit/>
          <w:trHeight w:val="302"/>
        </w:trPr>
        <w:tc>
          <w:tcPr>
            <w:tcW w:w="1702" w:type="dxa"/>
            <w:shd w:val="clear" w:color="auto" w:fill="C6EFCE"/>
            <w:noWrap/>
          </w:tcPr>
          <w:p w14:paraId="6B899FB3" w14:textId="77777777" w:rsidR="003734A7" w:rsidRPr="00BF5BEF" w:rsidRDefault="003734A7" w:rsidP="00D8670B">
            <w:pPr>
              <w:spacing w:after="0"/>
              <w:jc w:val="center"/>
              <w:rPr>
                <w:rFonts w:ascii="Times New Roman" w:eastAsia="Times New Roman" w:hAnsi="Times New Roman" w:cs="Times New Roman"/>
                <w:noProof/>
                <w:color w:val="006100"/>
                <w:sz w:val="18"/>
                <w:szCs w:val="18"/>
                <w:lang w:eastAsia="en-GB"/>
              </w:rPr>
            </w:pPr>
            <w:r w:rsidRPr="00BF5BEF">
              <w:rPr>
                <w:rFonts w:ascii="Times New Roman" w:hAnsi="Times New Roman" w:cs="Times New Roman"/>
                <w:noProof/>
                <w:sz w:val="18"/>
                <w:szCs w:val="18"/>
              </w:rPr>
              <w:t>88</w:t>
            </w:r>
          </w:p>
        </w:tc>
        <w:tc>
          <w:tcPr>
            <w:tcW w:w="4819" w:type="dxa"/>
            <w:shd w:val="clear" w:color="auto" w:fill="C6EFCE"/>
            <w:noWrap/>
          </w:tcPr>
          <w:p w14:paraId="19C07650"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C3.1R2</w:t>
            </w:r>
          </w:p>
          <w:p w14:paraId="07879E47" w14:textId="77777777" w:rsidR="003734A7" w:rsidRPr="00BF5BEF" w:rsidRDefault="003734A7" w:rsidP="00D8670B">
            <w:pPr>
              <w:spacing w:after="0"/>
              <w:rPr>
                <w:rFonts w:ascii="Times New Roman" w:eastAsia="Times New Roman" w:hAnsi="Times New Roman" w:cs="Times New Roman"/>
                <w:noProof/>
                <w:color w:val="006100"/>
                <w:sz w:val="18"/>
                <w:szCs w:val="18"/>
                <w:lang w:eastAsia="en-GB"/>
              </w:rPr>
            </w:pPr>
            <w:r w:rsidRPr="00BF5BEF">
              <w:rPr>
                <w:rFonts w:ascii="Times New Roman" w:hAnsi="Times New Roman" w:cs="Times New Roman"/>
                <w:noProof/>
                <w:sz w:val="18"/>
                <w:szCs w:val="18"/>
              </w:rPr>
              <w:t>On-line platform for trade and information symmetry in the fresh produce supply chain</w:t>
            </w:r>
          </w:p>
        </w:tc>
        <w:tc>
          <w:tcPr>
            <w:tcW w:w="1134" w:type="dxa"/>
            <w:shd w:val="clear" w:color="auto" w:fill="C6EFCE"/>
            <w:noWrap/>
          </w:tcPr>
          <w:p w14:paraId="78CFBAA5" w14:textId="6039EF91" w:rsidR="003734A7" w:rsidRPr="00BF5BEF" w:rsidRDefault="003734A7" w:rsidP="002E6897">
            <w:pPr>
              <w:spacing w:after="0"/>
              <w:jc w:val="center"/>
              <w:rPr>
                <w:rFonts w:ascii="Times New Roman" w:hAnsi="Times New Roman" w:cs="Times New Roman"/>
                <w:noProof/>
                <w:color w:val="006100"/>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54383644" w14:textId="77777777" w:rsidR="003734A7" w:rsidRPr="00BF5BEF" w:rsidRDefault="003734A7" w:rsidP="002E6897">
            <w:pPr>
              <w:spacing w:after="0"/>
              <w:jc w:val="both"/>
              <w:rPr>
                <w:rFonts w:ascii="Times New Roman" w:hAnsi="Times New Roman" w:cs="Times New Roman"/>
                <w:noProof/>
                <w:color w:val="006100"/>
                <w:sz w:val="18"/>
                <w:szCs w:val="18"/>
              </w:rPr>
            </w:pPr>
            <w:r w:rsidRPr="00BF5BEF">
              <w:rPr>
                <w:rFonts w:ascii="Times New Roman" w:hAnsi="Times New Roman" w:cs="Times New Roman"/>
                <w:noProof/>
                <w:sz w:val="18"/>
                <w:szCs w:val="18"/>
              </w:rPr>
              <w:t>Platform for recording transactions in the local fresh produce market</w:t>
            </w:r>
          </w:p>
        </w:tc>
      </w:tr>
      <w:tr w:rsidR="003734A7" w:rsidRPr="00BF5BEF" w14:paraId="13249DAB" w14:textId="77777777" w:rsidTr="002E6897">
        <w:trPr>
          <w:cantSplit/>
          <w:trHeight w:val="302"/>
        </w:trPr>
        <w:tc>
          <w:tcPr>
            <w:tcW w:w="1702" w:type="dxa"/>
            <w:shd w:val="clear" w:color="auto" w:fill="C6EFCE"/>
            <w:noWrap/>
          </w:tcPr>
          <w:p w14:paraId="468CBEB9" w14:textId="77777777" w:rsidR="003734A7" w:rsidRPr="00BF5BEF" w:rsidRDefault="003734A7" w:rsidP="00D8670B">
            <w:pPr>
              <w:spacing w:after="0"/>
              <w:jc w:val="center"/>
              <w:rPr>
                <w:rFonts w:ascii="Times New Roman" w:eastAsia="Times New Roman" w:hAnsi="Times New Roman" w:cs="Times New Roman"/>
                <w:noProof/>
                <w:color w:val="006100"/>
                <w:sz w:val="18"/>
                <w:szCs w:val="18"/>
                <w:lang w:eastAsia="en-GB"/>
              </w:rPr>
            </w:pPr>
            <w:r w:rsidRPr="00BF5BEF">
              <w:rPr>
                <w:rFonts w:ascii="Times New Roman" w:hAnsi="Times New Roman" w:cs="Times New Roman"/>
                <w:noProof/>
                <w:sz w:val="18"/>
                <w:szCs w:val="18"/>
              </w:rPr>
              <w:t>17</w:t>
            </w:r>
          </w:p>
        </w:tc>
        <w:tc>
          <w:tcPr>
            <w:tcW w:w="4819" w:type="dxa"/>
            <w:shd w:val="clear" w:color="auto" w:fill="C6EFCE"/>
            <w:noWrap/>
          </w:tcPr>
          <w:p w14:paraId="207D8F02" w14:textId="7C386942" w:rsidR="003734A7" w:rsidRPr="00BF5BEF" w:rsidRDefault="003734A7" w:rsidP="00D8670B">
            <w:pPr>
              <w:spacing w:after="0"/>
              <w:rPr>
                <w:rFonts w:ascii="Times New Roman" w:eastAsia="Times New Roman" w:hAnsi="Times New Roman" w:cs="Times New Roman"/>
                <w:noProof/>
                <w:color w:val="006100"/>
                <w:sz w:val="18"/>
                <w:szCs w:val="18"/>
                <w:lang w:eastAsia="en-GB"/>
              </w:rPr>
            </w:pPr>
            <w:r w:rsidRPr="00BF5BEF">
              <w:rPr>
                <w:rFonts w:ascii="Times New Roman" w:hAnsi="Times New Roman" w:cs="Times New Roman"/>
                <w:noProof/>
                <w:sz w:val="18"/>
                <w:szCs w:val="18"/>
              </w:rPr>
              <w:t>C1.1I5</w:t>
            </w:r>
            <w:r w:rsidR="00064579" w:rsidRPr="00BF5BEF">
              <w:rPr>
                <w:rFonts w:ascii="Times New Roman" w:hAnsi="Times New Roman" w:cs="Times New Roman"/>
                <w:noProof/>
                <w:sz w:val="18"/>
                <w:szCs w:val="18"/>
              </w:rPr>
              <w:t xml:space="preserve"> </w:t>
            </w:r>
            <w:r w:rsidRPr="00BF5BEF">
              <w:rPr>
                <w:rFonts w:ascii="Times New Roman" w:hAnsi="Times New Roman" w:cs="Times New Roman"/>
                <w:noProof/>
                <w:sz w:val="18"/>
                <w:szCs w:val="18"/>
              </w:rPr>
              <w:br/>
              <w:t>Construction works and new equipment in Cyprus State Hospitals</w:t>
            </w:r>
          </w:p>
        </w:tc>
        <w:tc>
          <w:tcPr>
            <w:tcW w:w="1134" w:type="dxa"/>
            <w:shd w:val="clear" w:color="auto" w:fill="C6EFCE"/>
            <w:noWrap/>
          </w:tcPr>
          <w:p w14:paraId="0BE4045D" w14:textId="77777777" w:rsidR="003734A7" w:rsidRPr="00BF5BEF" w:rsidRDefault="003734A7" w:rsidP="002E6897">
            <w:pPr>
              <w:spacing w:after="0"/>
              <w:jc w:val="center"/>
              <w:rPr>
                <w:rFonts w:ascii="Times New Roman" w:hAnsi="Times New Roman" w:cs="Times New Roman"/>
                <w:noProof/>
                <w:color w:val="006100"/>
                <w:sz w:val="18"/>
                <w:szCs w:val="18"/>
              </w:rPr>
            </w:pPr>
            <w:r w:rsidRPr="00BF5BEF">
              <w:rPr>
                <w:rFonts w:ascii="Times New Roman" w:hAnsi="Times New Roman" w:cs="Times New Roman"/>
                <w:noProof/>
                <w:sz w:val="18"/>
                <w:szCs w:val="18"/>
              </w:rPr>
              <w:t>Target</w:t>
            </w:r>
          </w:p>
        </w:tc>
        <w:tc>
          <w:tcPr>
            <w:tcW w:w="2647" w:type="dxa"/>
            <w:shd w:val="clear" w:color="auto" w:fill="C6EFCE"/>
            <w:noWrap/>
          </w:tcPr>
          <w:p w14:paraId="458825F2" w14:textId="77777777" w:rsidR="003734A7" w:rsidRPr="00BF5BEF" w:rsidRDefault="003734A7" w:rsidP="002E6897">
            <w:pPr>
              <w:spacing w:after="0"/>
              <w:jc w:val="both"/>
              <w:rPr>
                <w:rFonts w:ascii="Times New Roman" w:hAnsi="Times New Roman" w:cs="Times New Roman"/>
                <w:noProof/>
                <w:color w:val="006100"/>
                <w:sz w:val="18"/>
                <w:szCs w:val="18"/>
              </w:rPr>
            </w:pPr>
            <w:r w:rsidRPr="00BF5BEF">
              <w:rPr>
                <w:rFonts w:ascii="Times New Roman" w:hAnsi="Times New Roman" w:cs="Times New Roman"/>
                <w:noProof/>
                <w:sz w:val="18"/>
                <w:szCs w:val="18"/>
              </w:rPr>
              <w:t>Construction works or purchase of equipment in Cyprus State hospitals</w:t>
            </w:r>
          </w:p>
        </w:tc>
      </w:tr>
      <w:tr w:rsidR="003734A7" w:rsidRPr="00BF5BEF" w14:paraId="61C827E7" w14:textId="77777777" w:rsidTr="002E6897">
        <w:trPr>
          <w:cantSplit/>
          <w:trHeight w:val="302"/>
        </w:trPr>
        <w:tc>
          <w:tcPr>
            <w:tcW w:w="1702" w:type="dxa"/>
            <w:shd w:val="clear" w:color="auto" w:fill="C6EFCE"/>
            <w:noWrap/>
          </w:tcPr>
          <w:p w14:paraId="7EC15A0C" w14:textId="77777777" w:rsidR="003734A7" w:rsidRPr="00BF5BEF" w:rsidRDefault="003734A7" w:rsidP="00D8670B">
            <w:pPr>
              <w:spacing w:after="0"/>
              <w:jc w:val="center"/>
              <w:rPr>
                <w:rFonts w:ascii="Times New Roman" w:eastAsia="Times New Roman" w:hAnsi="Times New Roman" w:cs="Times New Roman"/>
                <w:noProof/>
                <w:color w:val="006100"/>
                <w:sz w:val="18"/>
                <w:szCs w:val="18"/>
                <w:lang w:eastAsia="en-GB"/>
              </w:rPr>
            </w:pPr>
            <w:r w:rsidRPr="00BF5BEF">
              <w:rPr>
                <w:rFonts w:ascii="Times New Roman" w:hAnsi="Times New Roman" w:cs="Times New Roman"/>
                <w:noProof/>
                <w:sz w:val="18"/>
                <w:szCs w:val="18"/>
              </w:rPr>
              <w:t>153</w:t>
            </w:r>
          </w:p>
        </w:tc>
        <w:tc>
          <w:tcPr>
            <w:tcW w:w="4819" w:type="dxa"/>
            <w:shd w:val="clear" w:color="auto" w:fill="C6EFCE"/>
            <w:noWrap/>
          </w:tcPr>
          <w:p w14:paraId="5AA86FA6" w14:textId="77777777" w:rsidR="003734A7" w:rsidRPr="00BF5BEF" w:rsidRDefault="003734A7" w:rsidP="00D8670B">
            <w:pPr>
              <w:spacing w:after="0" w:line="240" w:lineRule="auto"/>
              <w:rPr>
                <w:rFonts w:ascii="Times New Roman" w:hAnsi="Times New Roman" w:cs="Times New Roman"/>
                <w:noProof/>
                <w:sz w:val="18"/>
                <w:szCs w:val="18"/>
              </w:rPr>
            </w:pPr>
            <w:r w:rsidRPr="00BF5BEF">
              <w:rPr>
                <w:rFonts w:ascii="Times New Roman" w:hAnsi="Times New Roman" w:cs="Times New Roman"/>
                <w:noProof/>
                <w:sz w:val="18"/>
                <w:szCs w:val="18"/>
              </w:rPr>
              <w:t>C3.3I1</w:t>
            </w:r>
          </w:p>
          <w:p w14:paraId="0AD025B9" w14:textId="77777777" w:rsidR="003734A7" w:rsidRPr="00BF5BEF" w:rsidRDefault="003734A7" w:rsidP="00D8670B">
            <w:pPr>
              <w:spacing w:after="0"/>
              <w:rPr>
                <w:rFonts w:ascii="Times New Roman" w:eastAsia="Times New Roman" w:hAnsi="Times New Roman" w:cs="Times New Roman"/>
                <w:noProof/>
                <w:color w:val="006100"/>
                <w:sz w:val="18"/>
                <w:szCs w:val="18"/>
                <w:lang w:eastAsia="en-GB"/>
              </w:rPr>
            </w:pPr>
            <w:r w:rsidRPr="00BF5BEF">
              <w:rPr>
                <w:rFonts w:ascii="Times New Roman" w:hAnsi="Times New Roman" w:cs="Times New Roman"/>
                <w:noProof/>
                <w:sz w:val="18"/>
                <w:szCs w:val="18"/>
              </w:rPr>
              <w:t>Integrated Information system for the Department of Registrar of Companies and Intellectual Property</w:t>
            </w:r>
          </w:p>
        </w:tc>
        <w:tc>
          <w:tcPr>
            <w:tcW w:w="1134" w:type="dxa"/>
            <w:shd w:val="clear" w:color="auto" w:fill="C6EFCE"/>
            <w:noWrap/>
          </w:tcPr>
          <w:p w14:paraId="6E43EBB1" w14:textId="77777777" w:rsidR="003734A7" w:rsidRPr="00BF5BEF" w:rsidRDefault="003734A7" w:rsidP="002E6897">
            <w:pPr>
              <w:spacing w:after="0"/>
              <w:jc w:val="center"/>
              <w:rPr>
                <w:rFonts w:ascii="Times New Roman" w:hAnsi="Times New Roman" w:cs="Times New Roman"/>
                <w:noProof/>
                <w:color w:val="006100"/>
                <w:sz w:val="18"/>
                <w:szCs w:val="18"/>
              </w:rPr>
            </w:pPr>
            <w:r w:rsidRPr="00BF5BEF">
              <w:rPr>
                <w:rFonts w:ascii="Times New Roman" w:hAnsi="Times New Roman" w:cs="Times New Roman"/>
                <w:noProof/>
                <w:sz w:val="18"/>
                <w:szCs w:val="18"/>
              </w:rPr>
              <w:t>Milestone</w:t>
            </w:r>
          </w:p>
        </w:tc>
        <w:tc>
          <w:tcPr>
            <w:tcW w:w="2647" w:type="dxa"/>
            <w:shd w:val="clear" w:color="auto" w:fill="C6EFCE"/>
            <w:noWrap/>
          </w:tcPr>
          <w:p w14:paraId="3EB5DC10" w14:textId="77777777" w:rsidR="003734A7" w:rsidRPr="00BF5BEF" w:rsidRDefault="003734A7" w:rsidP="002E6897">
            <w:pPr>
              <w:spacing w:after="0"/>
              <w:jc w:val="both"/>
              <w:rPr>
                <w:rFonts w:ascii="Times New Roman" w:hAnsi="Times New Roman" w:cs="Times New Roman"/>
                <w:noProof/>
                <w:color w:val="006100"/>
                <w:sz w:val="18"/>
                <w:szCs w:val="18"/>
              </w:rPr>
            </w:pPr>
            <w:r w:rsidRPr="00BF5BEF">
              <w:rPr>
                <w:rFonts w:ascii="Times New Roman" w:hAnsi="Times New Roman" w:cs="Times New Roman"/>
                <w:noProof/>
                <w:sz w:val="18"/>
                <w:szCs w:val="18"/>
              </w:rPr>
              <w:t>System hardware, software and networking installation</w:t>
            </w:r>
          </w:p>
        </w:tc>
      </w:tr>
      <w:tr w:rsidR="003734A7" w:rsidRPr="00BF5BEF" w14:paraId="5243F14A" w14:textId="77777777" w:rsidTr="002E6897">
        <w:trPr>
          <w:cantSplit/>
          <w:trHeight w:val="302"/>
        </w:trPr>
        <w:tc>
          <w:tcPr>
            <w:tcW w:w="1702" w:type="dxa"/>
            <w:shd w:val="clear" w:color="auto" w:fill="C6EFCE"/>
            <w:noWrap/>
            <w:vAlign w:val="bottom"/>
          </w:tcPr>
          <w:p w14:paraId="56AFBDCE" w14:textId="77777777" w:rsidR="003734A7" w:rsidRPr="00BF5BEF" w:rsidRDefault="003734A7" w:rsidP="00D8670B">
            <w:pPr>
              <w:spacing w:after="0"/>
              <w:jc w:val="center"/>
              <w:rPr>
                <w:rFonts w:ascii="Times New Roman" w:eastAsia="Times New Roman" w:hAnsi="Times New Roman" w:cs="Times New Roman"/>
                <w:noProof/>
                <w:color w:val="006100"/>
                <w:sz w:val="18"/>
                <w:szCs w:val="18"/>
                <w:lang w:eastAsia="en-GB"/>
              </w:rPr>
            </w:pPr>
          </w:p>
        </w:tc>
        <w:tc>
          <w:tcPr>
            <w:tcW w:w="4819" w:type="dxa"/>
            <w:shd w:val="clear" w:color="auto" w:fill="C6EFCE"/>
            <w:noWrap/>
            <w:vAlign w:val="bottom"/>
          </w:tcPr>
          <w:p w14:paraId="2F116F77" w14:textId="77777777" w:rsidR="003734A7" w:rsidRPr="00BF5BEF" w:rsidRDefault="003734A7" w:rsidP="00D8670B">
            <w:pPr>
              <w:spacing w:after="0"/>
              <w:rPr>
                <w:rFonts w:ascii="Times New Roman" w:eastAsia="Times New Roman" w:hAnsi="Times New Roman" w:cs="Times New Roman"/>
                <w:noProof/>
                <w:color w:val="006100"/>
                <w:sz w:val="18"/>
                <w:szCs w:val="18"/>
                <w:lang w:eastAsia="en-GB"/>
              </w:rPr>
            </w:pPr>
          </w:p>
        </w:tc>
        <w:tc>
          <w:tcPr>
            <w:tcW w:w="1134" w:type="dxa"/>
            <w:shd w:val="clear" w:color="auto" w:fill="C6EFCE"/>
            <w:noWrap/>
            <w:vAlign w:val="bottom"/>
            <w:hideMark/>
          </w:tcPr>
          <w:p w14:paraId="4AEDE3B9" w14:textId="77777777" w:rsidR="003734A7" w:rsidRPr="00BF5BEF" w:rsidRDefault="003734A7" w:rsidP="002E6897">
            <w:pPr>
              <w:spacing w:after="0"/>
              <w:jc w:val="center"/>
              <w:rPr>
                <w:rFonts w:ascii="Times New Roman" w:eastAsia="Times New Roman" w:hAnsi="Times New Roman" w:cs="Times New Roman"/>
                <w:noProof/>
                <w:color w:val="006100"/>
                <w:sz w:val="18"/>
                <w:szCs w:val="18"/>
              </w:rPr>
            </w:pPr>
            <w:r w:rsidRPr="00BF5BEF">
              <w:rPr>
                <w:rFonts w:ascii="Times New Roman" w:hAnsi="Times New Roman" w:cs="Times New Roman"/>
                <w:noProof/>
                <w:color w:val="006100"/>
                <w:sz w:val="18"/>
                <w:szCs w:val="18"/>
              </w:rPr>
              <w:t>Instalment Amount</w:t>
            </w:r>
          </w:p>
        </w:tc>
        <w:tc>
          <w:tcPr>
            <w:tcW w:w="2647" w:type="dxa"/>
            <w:shd w:val="clear" w:color="auto" w:fill="C6EFCE"/>
            <w:noWrap/>
            <w:vAlign w:val="bottom"/>
            <w:hideMark/>
          </w:tcPr>
          <w:p w14:paraId="23461297" w14:textId="763AD531" w:rsidR="003734A7" w:rsidRPr="00BF5BEF" w:rsidRDefault="003734A7" w:rsidP="000345F8">
            <w:pPr>
              <w:spacing w:after="0"/>
              <w:rPr>
                <w:rFonts w:ascii="Times New Roman" w:eastAsia="Times New Roman" w:hAnsi="Times New Roman" w:cs="Times New Roman"/>
                <w:noProof/>
                <w:color w:val="006100"/>
                <w:sz w:val="18"/>
                <w:szCs w:val="18"/>
              </w:rPr>
            </w:pPr>
            <w:r w:rsidRPr="00BF5BEF">
              <w:rPr>
                <w:rFonts w:ascii="Times New Roman" w:hAnsi="Times New Roman" w:cs="Times New Roman"/>
                <w:noProof/>
                <w:color w:val="006100"/>
                <w:sz w:val="18"/>
                <w:szCs w:val="18"/>
              </w:rPr>
              <w:t>EUR</w:t>
            </w:r>
            <w:r w:rsidR="000345F8" w:rsidRPr="00BF5BEF">
              <w:rPr>
                <w:rFonts w:ascii="Times New Roman" w:hAnsi="Times New Roman" w:cs="Times New Roman"/>
                <w:noProof/>
                <w:color w:val="006100"/>
                <w:sz w:val="18"/>
                <w:szCs w:val="18"/>
              </w:rPr>
              <w:t> </w:t>
            </w:r>
            <w:r w:rsidR="3631C1B1" w:rsidRPr="00BF5BEF">
              <w:rPr>
                <w:rFonts w:ascii="Times New Roman" w:hAnsi="Times New Roman" w:cs="Times New Roman"/>
                <w:noProof/>
                <w:color w:val="006100"/>
                <w:sz w:val="18"/>
                <w:szCs w:val="18"/>
              </w:rPr>
              <w:t>24</w:t>
            </w:r>
            <w:r w:rsidR="000345F8" w:rsidRPr="00BF5BEF">
              <w:rPr>
                <w:rFonts w:ascii="Times New Roman" w:hAnsi="Times New Roman" w:cs="Times New Roman"/>
                <w:noProof/>
                <w:color w:val="006100"/>
                <w:sz w:val="18"/>
                <w:szCs w:val="18"/>
              </w:rPr>
              <w:t> </w:t>
            </w:r>
            <w:r w:rsidR="3631C1B1" w:rsidRPr="00BF5BEF">
              <w:rPr>
                <w:rFonts w:ascii="Times New Roman" w:hAnsi="Times New Roman" w:cs="Times New Roman"/>
                <w:noProof/>
                <w:color w:val="006100"/>
                <w:sz w:val="18"/>
                <w:szCs w:val="18"/>
              </w:rPr>
              <w:t>637</w:t>
            </w:r>
            <w:r w:rsidR="000345F8" w:rsidRPr="00BF5BEF">
              <w:rPr>
                <w:rFonts w:ascii="Times New Roman" w:hAnsi="Times New Roman" w:cs="Times New Roman"/>
                <w:noProof/>
                <w:color w:val="006100"/>
                <w:sz w:val="18"/>
                <w:szCs w:val="18"/>
              </w:rPr>
              <w:t> </w:t>
            </w:r>
            <w:r w:rsidR="3631C1B1" w:rsidRPr="00BF5BEF">
              <w:rPr>
                <w:rFonts w:ascii="Times New Roman" w:hAnsi="Times New Roman" w:cs="Times New Roman"/>
                <w:noProof/>
                <w:color w:val="006100"/>
                <w:sz w:val="18"/>
                <w:szCs w:val="18"/>
              </w:rPr>
              <w:t>332</w:t>
            </w:r>
          </w:p>
        </w:tc>
      </w:tr>
    </w:tbl>
    <w:p w14:paraId="138C73D6" w14:textId="77777777" w:rsidR="003734A7" w:rsidRPr="000F04FA" w:rsidRDefault="003734A7" w:rsidP="00D8670B">
      <w:pPr>
        <w:rPr>
          <w:noProof/>
        </w:rPr>
      </w:pPr>
    </w:p>
    <w:p w14:paraId="0E4484F4" w14:textId="77777777" w:rsidR="003734A7" w:rsidRPr="000F04FA" w:rsidRDefault="003734A7" w:rsidP="00D8670B">
      <w:pPr>
        <w:pStyle w:val="NumPar2"/>
        <w:keepNext/>
        <w:tabs>
          <w:tab w:val="num" w:pos="850"/>
        </w:tabs>
        <w:ind w:left="851" w:hanging="851"/>
        <w:rPr>
          <w:noProof/>
          <w:lang w:val="en-US"/>
        </w:rPr>
      </w:pPr>
      <w:r w:rsidRPr="000F04FA">
        <w:rPr>
          <w:noProof/>
          <w:lang w:val="en-US"/>
        </w:rPr>
        <w:t xml:space="preserve">Seventh Instalment (non-repayable support): </w:t>
      </w:r>
    </w:p>
    <w:tbl>
      <w:tblPr>
        <w:tblW w:w="10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677"/>
        <w:gridCol w:w="1276"/>
        <w:gridCol w:w="2672"/>
      </w:tblGrid>
      <w:tr w:rsidR="0008144D" w:rsidRPr="002E6897" w14:paraId="011B8AEE" w14:textId="77777777" w:rsidTr="002E6897">
        <w:trPr>
          <w:cantSplit/>
          <w:trHeight w:val="509"/>
          <w:tblHeader/>
        </w:trPr>
        <w:tc>
          <w:tcPr>
            <w:tcW w:w="1702" w:type="dxa"/>
            <w:vMerge w:val="restart"/>
            <w:shd w:val="clear" w:color="auto" w:fill="BDD7EE"/>
            <w:vAlign w:val="center"/>
            <w:hideMark/>
          </w:tcPr>
          <w:p w14:paraId="75AD3E8F" w14:textId="77777777" w:rsidR="003734A7" w:rsidRPr="002E6897" w:rsidRDefault="003734A7" w:rsidP="00D8670B">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Sequential Number</w:t>
            </w:r>
          </w:p>
        </w:tc>
        <w:tc>
          <w:tcPr>
            <w:tcW w:w="4677" w:type="dxa"/>
            <w:vMerge w:val="restart"/>
            <w:shd w:val="clear" w:color="auto" w:fill="BDD7EE"/>
            <w:vAlign w:val="center"/>
            <w:hideMark/>
          </w:tcPr>
          <w:p w14:paraId="1245DD74" w14:textId="77777777" w:rsidR="003734A7" w:rsidRPr="002E6897" w:rsidRDefault="003734A7" w:rsidP="00D8670B">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Related Measure (Reform or Investment)</w:t>
            </w:r>
          </w:p>
        </w:tc>
        <w:tc>
          <w:tcPr>
            <w:tcW w:w="1276" w:type="dxa"/>
            <w:vMerge w:val="restart"/>
            <w:shd w:val="clear" w:color="auto" w:fill="BDD7EE"/>
            <w:vAlign w:val="center"/>
            <w:hideMark/>
          </w:tcPr>
          <w:p w14:paraId="1D4D5507" w14:textId="77777777" w:rsidR="003734A7" w:rsidRPr="002E6897" w:rsidRDefault="003734A7" w:rsidP="002E6897">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Milestone / Target</w:t>
            </w:r>
          </w:p>
        </w:tc>
        <w:tc>
          <w:tcPr>
            <w:tcW w:w="2672" w:type="dxa"/>
            <w:vMerge w:val="restart"/>
            <w:shd w:val="clear" w:color="auto" w:fill="BDD7EE"/>
            <w:vAlign w:val="center"/>
            <w:hideMark/>
          </w:tcPr>
          <w:p w14:paraId="3AC3B5A0" w14:textId="77777777" w:rsidR="003734A7" w:rsidRPr="002E6897" w:rsidRDefault="003734A7" w:rsidP="002E6897">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Name</w:t>
            </w:r>
          </w:p>
        </w:tc>
      </w:tr>
      <w:tr w:rsidR="003734A7" w:rsidRPr="002E6897" w14:paraId="55DC4A7D" w14:textId="77777777" w:rsidTr="002E6897">
        <w:trPr>
          <w:cantSplit/>
          <w:trHeight w:val="509"/>
          <w:tblHeader/>
        </w:trPr>
        <w:tc>
          <w:tcPr>
            <w:tcW w:w="1702" w:type="dxa"/>
            <w:vMerge/>
            <w:vAlign w:val="center"/>
            <w:hideMark/>
          </w:tcPr>
          <w:p w14:paraId="18AD6ABC" w14:textId="77777777" w:rsidR="003734A7" w:rsidRPr="002E6897" w:rsidRDefault="003734A7" w:rsidP="00D8670B">
            <w:pPr>
              <w:spacing w:after="0"/>
              <w:rPr>
                <w:rFonts w:ascii="Times New Roman" w:eastAsia="Times New Roman" w:hAnsi="Times New Roman" w:cs="Times New Roman"/>
                <w:b/>
                <w:noProof/>
                <w:sz w:val="18"/>
                <w:szCs w:val="18"/>
                <w:lang w:eastAsia="en-GB"/>
              </w:rPr>
            </w:pPr>
          </w:p>
        </w:tc>
        <w:tc>
          <w:tcPr>
            <w:tcW w:w="4677" w:type="dxa"/>
            <w:vMerge/>
            <w:vAlign w:val="center"/>
            <w:hideMark/>
          </w:tcPr>
          <w:p w14:paraId="4FE47076" w14:textId="77777777" w:rsidR="003734A7" w:rsidRPr="002E6897" w:rsidRDefault="003734A7" w:rsidP="00D8670B">
            <w:pPr>
              <w:spacing w:after="0"/>
              <w:rPr>
                <w:rFonts w:ascii="Times New Roman" w:eastAsia="Times New Roman" w:hAnsi="Times New Roman" w:cs="Times New Roman"/>
                <w:b/>
                <w:noProof/>
                <w:sz w:val="18"/>
                <w:szCs w:val="18"/>
                <w:lang w:eastAsia="en-GB"/>
              </w:rPr>
            </w:pPr>
          </w:p>
        </w:tc>
        <w:tc>
          <w:tcPr>
            <w:tcW w:w="1276" w:type="dxa"/>
            <w:vMerge/>
            <w:vAlign w:val="center"/>
            <w:hideMark/>
          </w:tcPr>
          <w:p w14:paraId="09BB2CC2" w14:textId="77777777" w:rsidR="003734A7" w:rsidRPr="002E6897" w:rsidRDefault="003734A7" w:rsidP="002E6897">
            <w:pPr>
              <w:spacing w:after="0"/>
              <w:jc w:val="center"/>
              <w:rPr>
                <w:rFonts w:ascii="Times New Roman" w:eastAsia="Times New Roman" w:hAnsi="Times New Roman" w:cs="Times New Roman"/>
                <w:b/>
                <w:noProof/>
                <w:sz w:val="18"/>
                <w:szCs w:val="18"/>
                <w:lang w:eastAsia="en-GB"/>
              </w:rPr>
            </w:pPr>
          </w:p>
        </w:tc>
        <w:tc>
          <w:tcPr>
            <w:tcW w:w="2672" w:type="dxa"/>
            <w:vMerge/>
            <w:vAlign w:val="center"/>
            <w:hideMark/>
          </w:tcPr>
          <w:p w14:paraId="6CB0CE03" w14:textId="77777777" w:rsidR="003734A7" w:rsidRPr="002E6897" w:rsidRDefault="003734A7" w:rsidP="002E6897">
            <w:pPr>
              <w:spacing w:after="0"/>
              <w:jc w:val="both"/>
              <w:rPr>
                <w:rFonts w:ascii="Times New Roman" w:eastAsia="Times New Roman" w:hAnsi="Times New Roman" w:cs="Times New Roman"/>
                <w:b/>
                <w:noProof/>
                <w:sz w:val="18"/>
                <w:szCs w:val="18"/>
                <w:lang w:eastAsia="en-GB"/>
              </w:rPr>
            </w:pPr>
          </w:p>
        </w:tc>
      </w:tr>
      <w:tr w:rsidR="0008144D" w:rsidRPr="002E6897" w14:paraId="506B703E" w14:textId="77777777" w:rsidTr="002E6897">
        <w:trPr>
          <w:cantSplit/>
          <w:trHeight w:val="302"/>
        </w:trPr>
        <w:tc>
          <w:tcPr>
            <w:tcW w:w="1702" w:type="dxa"/>
            <w:shd w:val="clear" w:color="auto" w:fill="C6EFCE"/>
            <w:noWrap/>
          </w:tcPr>
          <w:p w14:paraId="7F2291EC"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39</w:t>
            </w:r>
          </w:p>
        </w:tc>
        <w:tc>
          <w:tcPr>
            <w:tcW w:w="4677" w:type="dxa"/>
            <w:shd w:val="clear" w:color="auto" w:fill="C6EFCE"/>
            <w:noWrap/>
          </w:tcPr>
          <w:p w14:paraId="6C44F5E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C2.1I6</w:t>
            </w:r>
          </w:p>
          <w:p w14:paraId="2C99AF5A"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Expansion of the renewable energy and smart grids testing infrastructure at the University of Cyprus</w:t>
            </w:r>
          </w:p>
        </w:tc>
        <w:tc>
          <w:tcPr>
            <w:tcW w:w="1276" w:type="dxa"/>
            <w:shd w:val="clear" w:color="auto" w:fill="C6EFCE"/>
            <w:noWrap/>
          </w:tcPr>
          <w:p w14:paraId="1EE8D7DB"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65AD9CF6" w14:textId="4EA09E1E"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Acceptance of renewable energy and</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smart grids testing equipment</w:t>
            </w:r>
          </w:p>
        </w:tc>
      </w:tr>
      <w:tr w:rsidR="0008144D" w:rsidRPr="002E6897" w14:paraId="32843460" w14:textId="77777777" w:rsidTr="002E6897">
        <w:trPr>
          <w:cantSplit/>
          <w:trHeight w:val="302"/>
        </w:trPr>
        <w:tc>
          <w:tcPr>
            <w:tcW w:w="1702" w:type="dxa"/>
            <w:shd w:val="clear" w:color="auto" w:fill="C6EFCE"/>
            <w:noWrap/>
          </w:tcPr>
          <w:p w14:paraId="44BDE36C"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54</w:t>
            </w:r>
          </w:p>
        </w:tc>
        <w:tc>
          <w:tcPr>
            <w:tcW w:w="4677" w:type="dxa"/>
            <w:shd w:val="clear" w:color="auto" w:fill="C6EFCE"/>
            <w:noWrap/>
          </w:tcPr>
          <w:p w14:paraId="43CA8B76"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C2.2R2 </w:t>
            </w:r>
          </w:p>
          <w:p w14:paraId="4C5516EB"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Entry into force of legal act(s) regarding electric vehicle (EV) recharging infrastructure </w:t>
            </w:r>
          </w:p>
          <w:p w14:paraId="775D022B" w14:textId="77777777" w:rsidR="003734A7" w:rsidRPr="002E6897" w:rsidRDefault="003734A7" w:rsidP="00D8670B">
            <w:pPr>
              <w:spacing w:after="0" w:line="240" w:lineRule="auto"/>
              <w:rPr>
                <w:rFonts w:ascii="Times New Roman" w:hAnsi="Times New Roman" w:cs="Times New Roman"/>
                <w:noProof/>
                <w:sz w:val="18"/>
                <w:szCs w:val="18"/>
              </w:rPr>
            </w:pPr>
          </w:p>
        </w:tc>
        <w:tc>
          <w:tcPr>
            <w:tcW w:w="1276" w:type="dxa"/>
            <w:shd w:val="clear" w:color="auto" w:fill="C6EFCE"/>
            <w:noWrap/>
          </w:tcPr>
          <w:p w14:paraId="462932CB"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358E634C"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Entry into force of legal act(s) related to electric vehicle charging points </w:t>
            </w:r>
          </w:p>
        </w:tc>
      </w:tr>
      <w:tr w:rsidR="0008144D" w:rsidRPr="002E6897" w14:paraId="6E03D752" w14:textId="77777777" w:rsidTr="002E6897">
        <w:trPr>
          <w:cantSplit/>
          <w:trHeight w:val="302"/>
        </w:trPr>
        <w:tc>
          <w:tcPr>
            <w:tcW w:w="1702" w:type="dxa"/>
            <w:shd w:val="clear" w:color="auto" w:fill="C6EFCE"/>
            <w:noWrap/>
          </w:tcPr>
          <w:p w14:paraId="14DA1195"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 124</w:t>
            </w:r>
          </w:p>
        </w:tc>
        <w:tc>
          <w:tcPr>
            <w:tcW w:w="4677" w:type="dxa"/>
            <w:shd w:val="clear" w:color="auto" w:fill="C6EFCE"/>
            <w:noWrap/>
          </w:tcPr>
          <w:p w14:paraId="0CE13848"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C3.2R3</w:t>
            </w:r>
          </w:p>
          <w:p w14:paraId="3738C9A5"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Support access to publicly funded research infrastructure</w:t>
            </w:r>
          </w:p>
        </w:tc>
        <w:tc>
          <w:tcPr>
            <w:tcW w:w="1276" w:type="dxa"/>
            <w:shd w:val="clear" w:color="auto" w:fill="C6EFCE"/>
            <w:noWrap/>
          </w:tcPr>
          <w:p w14:paraId="189C8E38"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4908B490"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National Policy of the Republic of Cyprus for Open Science Practices </w:t>
            </w:r>
          </w:p>
        </w:tc>
      </w:tr>
      <w:tr w:rsidR="0008144D" w:rsidRPr="002E6897" w14:paraId="7A6DE014" w14:textId="77777777" w:rsidTr="002E6897">
        <w:trPr>
          <w:cantSplit/>
          <w:trHeight w:val="302"/>
        </w:trPr>
        <w:tc>
          <w:tcPr>
            <w:tcW w:w="1702" w:type="dxa"/>
            <w:shd w:val="clear" w:color="auto" w:fill="C6EFCE"/>
            <w:noWrap/>
          </w:tcPr>
          <w:p w14:paraId="24684AEB"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159</w:t>
            </w:r>
          </w:p>
        </w:tc>
        <w:tc>
          <w:tcPr>
            <w:tcW w:w="4677" w:type="dxa"/>
            <w:shd w:val="clear" w:color="auto" w:fill="C6EFCE"/>
            <w:noWrap/>
          </w:tcPr>
          <w:p w14:paraId="500EE306"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C3.4R2</w:t>
            </w:r>
          </w:p>
          <w:p w14:paraId="66284C39"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Regulate flexible working arrangements in the public sector </w:t>
            </w:r>
          </w:p>
        </w:tc>
        <w:tc>
          <w:tcPr>
            <w:tcW w:w="1276" w:type="dxa"/>
            <w:shd w:val="clear" w:color="auto" w:fill="C6EFCE"/>
            <w:noWrap/>
          </w:tcPr>
          <w:p w14:paraId="330107E4"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49987FDB"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Flexible working arrangements</w:t>
            </w:r>
          </w:p>
        </w:tc>
      </w:tr>
      <w:tr w:rsidR="0008144D" w:rsidRPr="002E6897" w14:paraId="5FA2C344" w14:textId="77777777" w:rsidTr="002E6897">
        <w:trPr>
          <w:cantSplit/>
          <w:trHeight w:val="302"/>
        </w:trPr>
        <w:tc>
          <w:tcPr>
            <w:tcW w:w="1702" w:type="dxa"/>
            <w:shd w:val="clear" w:color="auto" w:fill="C6EFCE"/>
            <w:noWrap/>
          </w:tcPr>
          <w:p w14:paraId="643A5234"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170</w:t>
            </w:r>
          </w:p>
        </w:tc>
        <w:tc>
          <w:tcPr>
            <w:tcW w:w="4677" w:type="dxa"/>
            <w:shd w:val="clear" w:color="auto" w:fill="C6EFCE"/>
            <w:noWrap/>
          </w:tcPr>
          <w:p w14:paraId="2C70874F"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C3.4R6</w:t>
            </w:r>
          </w:p>
          <w:p w14:paraId="7403A32F"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New legal framework for Local Authorities and support measures </w:t>
            </w:r>
          </w:p>
        </w:tc>
        <w:tc>
          <w:tcPr>
            <w:tcW w:w="1276" w:type="dxa"/>
            <w:shd w:val="clear" w:color="auto" w:fill="C6EFCE"/>
            <w:noWrap/>
          </w:tcPr>
          <w:p w14:paraId="4A9838D6"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4CC93FD6"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 xml:space="preserve">Trainings </w:t>
            </w:r>
          </w:p>
        </w:tc>
      </w:tr>
      <w:tr w:rsidR="0008144D" w:rsidRPr="002E6897" w14:paraId="7F2EE9E7" w14:textId="77777777" w:rsidTr="002E6897">
        <w:trPr>
          <w:cantSplit/>
          <w:trHeight w:val="302"/>
        </w:trPr>
        <w:tc>
          <w:tcPr>
            <w:tcW w:w="1702" w:type="dxa"/>
            <w:shd w:val="clear" w:color="auto" w:fill="C6EFCE"/>
            <w:noWrap/>
          </w:tcPr>
          <w:p w14:paraId="0229EF55"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174</w:t>
            </w:r>
          </w:p>
        </w:tc>
        <w:tc>
          <w:tcPr>
            <w:tcW w:w="4677" w:type="dxa"/>
            <w:shd w:val="clear" w:color="auto" w:fill="C6EFCE"/>
            <w:noWrap/>
          </w:tcPr>
          <w:p w14:paraId="1DCF4B60"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C3.4I4</w:t>
            </w:r>
          </w:p>
          <w:p w14:paraId="348B5DE5"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E-system for issuing building permits </w:t>
            </w:r>
          </w:p>
        </w:tc>
        <w:tc>
          <w:tcPr>
            <w:tcW w:w="1276" w:type="dxa"/>
            <w:shd w:val="clear" w:color="auto" w:fill="C6EFCE"/>
            <w:noWrap/>
          </w:tcPr>
          <w:p w14:paraId="619DF7A0"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0431A260"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 xml:space="preserve">Planning and control tool, project management tool. Software and hardware of Hippodamos </w:t>
            </w:r>
          </w:p>
        </w:tc>
      </w:tr>
      <w:tr w:rsidR="0008144D" w:rsidRPr="002E6897" w14:paraId="787B13C0" w14:textId="77777777" w:rsidTr="002E6897">
        <w:trPr>
          <w:cantSplit/>
          <w:trHeight w:val="302"/>
        </w:trPr>
        <w:tc>
          <w:tcPr>
            <w:tcW w:w="1702" w:type="dxa"/>
            <w:shd w:val="clear" w:color="auto" w:fill="C6EFCE"/>
            <w:noWrap/>
          </w:tcPr>
          <w:p w14:paraId="45D0497D"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198</w:t>
            </w:r>
          </w:p>
        </w:tc>
        <w:tc>
          <w:tcPr>
            <w:tcW w:w="4677" w:type="dxa"/>
            <w:shd w:val="clear" w:color="auto" w:fill="C6EFCE"/>
            <w:noWrap/>
          </w:tcPr>
          <w:p w14:paraId="62A022F0"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C3.5R4 </w:t>
            </w:r>
          </w:p>
          <w:p w14:paraId="34694BEC"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Digital system for the exchange of data and the provision of credit scoring services</w:t>
            </w:r>
          </w:p>
        </w:tc>
        <w:tc>
          <w:tcPr>
            <w:tcW w:w="1276" w:type="dxa"/>
            <w:shd w:val="clear" w:color="auto" w:fill="C6EFCE"/>
            <w:noWrap/>
          </w:tcPr>
          <w:p w14:paraId="46926471"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7924165E" w14:textId="5F85854D"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Entry into force of legal act(s) on the ARTEMIS data exchange mechanism and ARTEMIS data exchange mechanism providing credit scoring services in User Acceptance Testing phase </w:t>
            </w:r>
          </w:p>
        </w:tc>
      </w:tr>
      <w:tr w:rsidR="0008144D" w:rsidRPr="002E6897" w14:paraId="31843E13" w14:textId="77777777" w:rsidTr="002E6897">
        <w:trPr>
          <w:cantSplit/>
          <w:trHeight w:val="302"/>
        </w:trPr>
        <w:tc>
          <w:tcPr>
            <w:tcW w:w="1702" w:type="dxa"/>
            <w:shd w:val="clear" w:color="auto" w:fill="C6EFCE"/>
            <w:noWrap/>
          </w:tcPr>
          <w:p w14:paraId="24B1937B"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200</w:t>
            </w:r>
          </w:p>
        </w:tc>
        <w:tc>
          <w:tcPr>
            <w:tcW w:w="4677" w:type="dxa"/>
            <w:shd w:val="clear" w:color="auto" w:fill="C6EFCE"/>
            <w:noWrap/>
          </w:tcPr>
          <w:p w14:paraId="4B738A5C"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C3.5R5 </w:t>
            </w:r>
          </w:p>
          <w:p w14:paraId="2A8FB980"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Framework for Management of Private Debt</w:t>
            </w:r>
          </w:p>
        </w:tc>
        <w:tc>
          <w:tcPr>
            <w:tcW w:w="1276" w:type="dxa"/>
            <w:shd w:val="clear" w:color="auto" w:fill="C6EFCE"/>
            <w:noWrap/>
          </w:tcPr>
          <w:p w14:paraId="66CC2150"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4026F4A5" w14:textId="1FC1BACC"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Entry into force of</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legal act(s)</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for the management of private debt.</w:t>
            </w:r>
          </w:p>
        </w:tc>
      </w:tr>
      <w:tr w:rsidR="0008144D" w:rsidRPr="002E6897" w14:paraId="41386D4D" w14:textId="77777777" w:rsidTr="002E6897">
        <w:trPr>
          <w:cantSplit/>
          <w:trHeight w:val="302"/>
        </w:trPr>
        <w:tc>
          <w:tcPr>
            <w:tcW w:w="1702" w:type="dxa"/>
            <w:shd w:val="clear" w:color="auto" w:fill="C6EFCE"/>
            <w:noWrap/>
          </w:tcPr>
          <w:p w14:paraId="394E3A77"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210</w:t>
            </w:r>
          </w:p>
        </w:tc>
        <w:tc>
          <w:tcPr>
            <w:tcW w:w="4677" w:type="dxa"/>
            <w:shd w:val="clear" w:color="auto" w:fill="C6EFCE"/>
            <w:noWrap/>
          </w:tcPr>
          <w:p w14:paraId="0925BFB9" w14:textId="36762844"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C3.5R10</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br/>
              <w:t>Addressing Aggressive Tax Planning</w:t>
            </w:r>
          </w:p>
        </w:tc>
        <w:tc>
          <w:tcPr>
            <w:tcW w:w="1276" w:type="dxa"/>
            <w:shd w:val="clear" w:color="auto" w:fill="C6EFCE"/>
            <w:noWrap/>
          </w:tcPr>
          <w:p w14:paraId="0838E38B"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097DFBFA" w14:textId="474C5E69"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Entry into force of</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legal act(s)</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to</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tackle</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aggressive tax planning</w:t>
            </w:r>
          </w:p>
        </w:tc>
      </w:tr>
      <w:tr w:rsidR="0008144D" w:rsidRPr="002E6897" w14:paraId="2601E9E9" w14:textId="77777777" w:rsidTr="002E6897">
        <w:trPr>
          <w:cantSplit/>
          <w:trHeight w:val="302"/>
        </w:trPr>
        <w:tc>
          <w:tcPr>
            <w:tcW w:w="1702" w:type="dxa"/>
            <w:shd w:val="clear" w:color="auto" w:fill="C6EFCE"/>
            <w:noWrap/>
          </w:tcPr>
          <w:p w14:paraId="2CC607C1"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215</w:t>
            </w:r>
          </w:p>
        </w:tc>
        <w:tc>
          <w:tcPr>
            <w:tcW w:w="4677" w:type="dxa"/>
            <w:shd w:val="clear" w:color="auto" w:fill="C6EFCE"/>
            <w:noWrap/>
          </w:tcPr>
          <w:p w14:paraId="4424365A"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C4.1R1</w:t>
            </w:r>
          </w:p>
          <w:p w14:paraId="3C460039"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Empower the National Regulatory Authority (OCECPR)</w:t>
            </w:r>
          </w:p>
        </w:tc>
        <w:tc>
          <w:tcPr>
            <w:tcW w:w="1276" w:type="dxa"/>
            <w:shd w:val="clear" w:color="auto" w:fill="C6EFCE"/>
            <w:noWrap/>
          </w:tcPr>
          <w:p w14:paraId="64836944"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206A3863"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Web portal on broadband and infrastructure mapping</w:t>
            </w:r>
          </w:p>
        </w:tc>
      </w:tr>
      <w:tr w:rsidR="0008144D" w:rsidRPr="002E6897" w14:paraId="690BADBB" w14:textId="77777777" w:rsidTr="002E6897">
        <w:trPr>
          <w:cantSplit/>
          <w:trHeight w:val="302"/>
        </w:trPr>
        <w:tc>
          <w:tcPr>
            <w:tcW w:w="1702" w:type="dxa"/>
            <w:shd w:val="clear" w:color="auto" w:fill="C6EFCE"/>
            <w:noWrap/>
          </w:tcPr>
          <w:p w14:paraId="32774F1C"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227</w:t>
            </w:r>
          </w:p>
        </w:tc>
        <w:tc>
          <w:tcPr>
            <w:tcW w:w="4677" w:type="dxa"/>
            <w:shd w:val="clear" w:color="auto" w:fill="C6EFCE"/>
            <w:noWrap/>
          </w:tcPr>
          <w:p w14:paraId="2622B93E"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C4.2R2</w:t>
            </w:r>
          </w:p>
          <w:p w14:paraId="1D2951B9" w14:textId="45504EEC"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New</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cloud policy</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with regard to</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government IT systems and services</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and</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infrastructure</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set-up</w:t>
            </w:r>
          </w:p>
        </w:tc>
        <w:tc>
          <w:tcPr>
            <w:tcW w:w="1276" w:type="dxa"/>
            <w:shd w:val="clear" w:color="auto" w:fill="C6EFCE"/>
            <w:noWrap/>
          </w:tcPr>
          <w:p w14:paraId="5530E3A6"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eastAsia="Times New Roman" w:hAnsi="Times New Roman" w:cs="Times New Roman"/>
                <w:noProof/>
                <w:sz w:val="18"/>
                <w:szCs w:val="18"/>
              </w:rPr>
              <w:t>Target</w:t>
            </w:r>
          </w:p>
        </w:tc>
        <w:tc>
          <w:tcPr>
            <w:tcW w:w="2672" w:type="dxa"/>
            <w:shd w:val="clear" w:color="auto" w:fill="C6EFCE"/>
            <w:noWrap/>
          </w:tcPr>
          <w:p w14:paraId="4F9A2F0C"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Two data centres with hosting services for government IT systems</w:t>
            </w:r>
          </w:p>
        </w:tc>
      </w:tr>
      <w:tr w:rsidR="0008144D" w:rsidRPr="002E6897" w14:paraId="2698FEB2" w14:textId="77777777" w:rsidTr="002E6897">
        <w:trPr>
          <w:cantSplit/>
          <w:trHeight w:val="302"/>
        </w:trPr>
        <w:tc>
          <w:tcPr>
            <w:tcW w:w="1702" w:type="dxa"/>
            <w:shd w:val="clear" w:color="auto" w:fill="C6EFCE"/>
            <w:noWrap/>
          </w:tcPr>
          <w:p w14:paraId="0014DEFE"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239a</w:t>
            </w:r>
          </w:p>
        </w:tc>
        <w:tc>
          <w:tcPr>
            <w:tcW w:w="4677" w:type="dxa"/>
            <w:shd w:val="clear" w:color="auto" w:fill="C6EFCE"/>
            <w:noWrap/>
          </w:tcPr>
          <w:p w14:paraId="3BBB53A5"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C5.1R1</w:t>
            </w:r>
          </w:p>
          <w:p w14:paraId="1C84C294"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Addressing skills mismatch between education and labour market (Secondary and Higher Education)</w:t>
            </w:r>
          </w:p>
        </w:tc>
        <w:tc>
          <w:tcPr>
            <w:tcW w:w="1276" w:type="dxa"/>
            <w:shd w:val="clear" w:color="auto" w:fill="C6EFCE"/>
            <w:noWrap/>
          </w:tcPr>
          <w:p w14:paraId="2C295C84"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49CF08FF" w14:textId="7C31B788"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Measures included </w:t>
            </w:r>
            <w:r w:rsidR="002E6897" w:rsidRPr="002E6897">
              <w:rPr>
                <w:rFonts w:ascii="Times New Roman" w:hAnsi="Times New Roman" w:cs="Times New Roman"/>
                <w:noProof/>
                <w:sz w:val="18"/>
                <w:szCs w:val="18"/>
              </w:rPr>
              <w:t>in the</w:t>
            </w:r>
            <w:r w:rsidRPr="002E6897">
              <w:rPr>
                <w:rFonts w:ascii="Times New Roman" w:hAnsi="Times New Roman" w:cs="Times New Roman"/>
                <w:noProof/>
                <w:sz w:val="18"/>
                <w:szCs w:val="18"/>
              </w:rPr>
              <w:t xml:space="preserve"> National Action Plan </w:t>
            </w:r>
          </w:p>
        </w:tc>
      </w:tr>
      <w:tr w:rsidR="0008144D" w:rsidRPr="002E6897" w14:paraId="71C2B8FA" w14:textId="77777777" w:rsidTr="002E6897">
        <w:trPr>
          <w:cantSplit/>
          <w:trHeight w:val="302"/>
        </w:trPr>
        <w:tc>
          <w:tcPr>
            <w:tcW w:w="1702" w:type="dxa"/>
            <w:shd w:val="clear" w:color="auto" w:fill="C6EFCE"/>
            <w:noWrap/>
          </w:tcPr>
          <w:p w14:paraId="566FC742"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258</w:t>
            </w:r>
          </w:p>
        </w:tc>
        <w:tc>
          <w:tcPr>
            <w:tcW w:w="4677" w:type="dxa"/>
            <w:shd w:val="clear" w:color="auto" w:fill="C6EFCE"/>
            <w:noWrap/>
          </w:tcPr>
          <w:p w14:paraId="193C0B97"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C5.2I1</w:t>
            </w:r>
          </w:p>
          <w:p w14:paraId="2F9566D0"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Supporting the Department of Labour and Public Employment Services and reinforcing support for young people </w:t>
            </w:r>
          </w:p>
        </w:tc>
        <w:tc>
          <w:tcPr>
            <w:tcW w:w="1276" w:type="dxa"/>
            <w:shd w:val="clear" w:color="auto" w:fill="C6EFCE"/>
            <w:noWrap/>
          </w:tcPr>
          <w:p w14:paraId="119613EE"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672" w:type="dxa"/>
            <w:shd w:val="clear" w:color="auto" w:fill="C6EFCE"/>
            <w:noWrap/>
          </w:tcPr>
          <w:p w14:paraId="4587472F" w14:textId="3016B78A"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Platform and systems</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accessible</w:t>
            </w:r>
          </w:p>
        </w:tc>
      </w:tr>
      <w:tr w:rsidR="0008144D" w:rsidRPr="002E6897" w14:paraId="06C60029" w14:textId="77777777" w:rsidTr="002E6897">
        <w:trPr>
          <w:cantSplit/>
          <w:trHeight w:val="302"/>
        </w:trPr>
        <w:tc>
          <w:tcPr>
            <w:tcW w:w="1702" w:type="dxa"/>
            <w:shd w:val="clear" w:color="auto" w:fill="C6EFCE"/>
            <w:noWrap/>
          </w:tcPr>
          <w:p w14:paraId="563F4608"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261</w:t>
            </w:r>
          </w:p>
        </w:tc>
        <w:tc>
          <w:tcPr>
            <w:tcW w:w="4677" w:type="dxa"/>
            <w:shd w:val="clear" w:color="auto" w:fill="C6EFCE"/>
            <w:noWrap/>
          </w:tcPr>
          <w:p w14:paraId="546E7A72"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C5.2I2</w:t>
            </w:r>
          </w:p>
          <w:p w14:paraId="2D5C4394"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Establishment of multifunctional centres and childcare centres</w:t>
            </w:r>
          </w:p>
        </w:tc>
        <w:tc>
          <w:tcPr>
            <w:tcW w:w="1276" w:type="dxa"/>
            <w:shd w:val="clear" w:color="auto" w:fill="C6EFCE"/>
            <w:noWrap/>
          </w:tcPr>
          <w:p w14:paraId="47994847"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5E769885"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Adoption of a national strategy on early childhood education and care (ECEC) and action plan </w:t>
            </w:r>
          </w:p>
        </w:tc>
      </w:tr>
      <w:tr w:rsidR="0008144D" w:rsidRPr="002E6897" w14:paraId="2D5DDC5B" w14:textId="77777777" w:rsidTr="002E6897">
        <w:trPr>
          <w:cantSplit/>
          <w:trHeight w:val="302"/>
        </w:trPr>
        <w:tc>
          <w:tcPr>
            <w:tcW w:w="1702" w:type="dxa"/>
            <w:shd w:val="clear" w:color="auto" w:fill="C6EFCE"/>
            <w:noWrap/>
          </w:tcPr>
          <w:p w14:paraId="7500D033"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267</w:t>
            </w:r>
          </w:p>
        </w:tc>
        <w:tc>
          <w:tcPr>
            <w:tcW w:w="4677" w:type="dxa"/>
            <w:shd w:val="clear" w:color="auto" w:fill="C6EFCE"/>
            <w:noWrap/>
          </w:tcPr>
          <w:p w14:paraId="3B403448"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C5.2I4</w:t>
            </w:r>
          </w:p>
          <w:p w14:paraId="29227C75"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Child Centres in Municipalities</w:t>
            </w:r>
          </w:p>
        </w:tc>
        <w:tc>
          <w:tcPr>
            <w:tcW w:w="1276" w:type="dxa"/>
            <w:shd w:val="clear" w:color="auto" w:fill="C6EFCE"/>
            <w:noWrap/>
          </w:tcPr>
          <w:p w14:paraId="2B0D673A"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672" w:type="dxa"/>
            <w:shd w:val="clear" w:color="auto" w:fill="C6EFCE"/>
            <w:noWrap/>
          </w:tcPr>
          <w:p w14:paraId="3C3DE3ED" w14:textId="2057B94F"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Construction of at least three child centres </w:t>
            </w:r>
          </w:p>
        </w:tc>
      </w:tr>
      <w:tr w:rsidR="0008144D" w:rsidRPr="002E6897" w14:paraId="3EFC8CDE" w14:textId="77777777" w:rsidTr="002E6897">
        <w:trPr>
          <w:cantSplit/>
          <w:trHeight w:val="302"/>
        </w:trPr>
        <w:tc>
          <w:tcPr>
            <w:tcW w:w="1702" w:type="dxa"/>
            <w:shd w:val="clear" w:color="auto" w:fill="C6EFCE"/>
            <w:noWrap/>
          </w:tcPr>
          <w:p w14:paraId="04DB600F" w14:textId="77777777" w:rsidR="003734A7" w:rsidRPr="002E6897" w:rsidDel="00F061C0"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270</w:t>
            </w:r>
          </w:p>
        </w:tc>
        <w:tc>
          <w:tcPr>
            <w:tcW w:w="4677" w:type="dxa"/>
            <w:shd w:val="clear" w:color="auto" w:fill="C6EFCE"/>
            <w:noWrap/>
          </w:tcPr>
          <w:p w14:paraId="6F00E07C"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C5.2R1</w:t>
            </w:r>
          </w:p>
          <w:p w14:paraId="0FB0E85D" w14:textId="77777777" w:rsidR="003734A7" w:rsidRPr="002E6897" w:rsidDel="00F061C0"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Reform of the Social Insurance System and Restructuring of the Social Insurance Services</w:t>
            </w:r>
          </w:p>
        </w:tc>
        <w:tc>
          <w:tcPr>
            <w:tcW w:w="1276" w:type="dxa"/>
            <w:shd w:val="clear" w:color="auto" w:fill="C6EFCE"/>
            <w:noWrap/>
          </w:tcPr>
          <w:p w14:paraId="10CF003E" w14:textId="77777777" w:rsidR="003734A7" w:rsidRPr="002E6897" w:rsidDel="00F061C0"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704916CC" w14:textId="77777777" w:rsidR="003734A7" w:rsidRPr="002E6897" w:rsidDel="00F061C0"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Entry into force of the revised Social Insurance Law</w:t>
            </w:r>
          </w:p>
        </w:tc>
      </w:tr>
      <w:tr w:rsidR="0008144D" w:rsidRPr="002E6897" w14:paraId="11C920BE" w14:textId="77777777" w:rsidTr="002E6897">
        <w:trPr>
          <w:cantSplit/>
          <w:trHeight w:val="302"/>
        </w:trPr>
        <w:tc>
          <w:tcPr>
            <w:tcW w:w="1702" w:type="dxa"/>
            <w:shd w:val="clear" w:color="auto" w:fill="C6EFCE"/>
            <w:noWrap/>
          </w:tcPr>
          <w:p w14:paraId="79B4E4C1" w14:textId="77777777" w:rsidR="003734A7" w:rsidRPr="002E6897" w:rsidDel="00F061C0"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16</w:t>
            </w:r>
          </w:p>
        </w:tc>
        <w:tc>
          <w:tcPr>
            <w:tcW w:w="4677" w:type="dxa"/>
            <w:shd w:val="clear" w:color="auto" w:fill="C6EFCE"/>
            <w:noWrap/>
          </w:tcPr>
          <w:p w14:paraId="2BB8C497" w14:textId="77777777" w:rsidR="003734A7" w:rsidRPr="002E6897" w:rsidDel="00F061C0"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C1.1R3 </w:t>
            </w:r>
            <w:r w:rsidRPr="002E6897">
              <w:rPr>
                <w:rFonts w:ascii="Times New Roman" w:hAnsi="Times New Roman" w:cs="Times New Roman"/>
                <w:noProof/>
                <w:sz w:val="18"/>
                <w:szCs w:val="18"/>
              </w:rPr>
              <w:br/>
              <w:t>Gradually shifting the healthcare provision and reimbursement framework towards value-based models.</w:t>
            </w:r>
          </w:p>
        </w:tc>
        <w:tc>
          <w:tcPr>
            <w:tcW w:w="1276" w:type="dxa"/>
            <w:shd w:val="clear" w:color="auto" w:fill="C6EFCE"/>
            <w:noWrap/>
          </w:tcPr>
          <w:p w14:paraId="6A5A8DB9" w14:textId="77777777" w:rsidR="003734A7" w:rsidRPr="002E6897" w:rsidDel="00F061C0"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2EFBED3E" w14:textId="77777777" w:rsidR="003734A7" w:rsidRPr="002E6897" w:rsidDel="00F061C0"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 xml:space="preserve">Value-based reimbursement to be reflected for primary and in-patient care </w:t>
            </w:r>
          </w:p>
        </w:tc>
      </w:tr>
      <w:tr w:rsidR="0008144D" w:rsidRPr="002E6897" w14:paraId="3045754A" w14:textId="77777777" w:rsidTr="002E6897">
        <w:trPr>
          <w:cantSplit/>
          <w:trHeight w:val="302"/>
        </w:trPr>
        <w:tc>
          <w:tcPr>
            <w:tcW w:w="1702" w:type="dxa"/>
            <w:shd w:val="clear" w:color="auto" w:fill="C6EFCE"/>
            <w:noWrap/>
          </w:tcPr>
          <w:p w14:paraId="6BF9DBDB" w14:textId="77777777" w:rsidR="003734A7" w:rsidRPr="002E6897" w:rsidDel="00F061C0"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142a</w:t>
            </w:r>
          </w:p>
        </w:tc>
        <w:tc>
          <w:tcPr>
            <w:tcW w:w="4677" w:type="dxa"/>
            <w:shd w:val="clear" w:color="auto" w:fill="C6EFCE"/>
            <w:noWrap/>
          </w:tcPr>
          <w:p w14:paraId="6B7461A8"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C3.3R8</w:t>
            </w:r>
          </w:p>
          <w:p w14:paraId="6AD36908" w14:textId="77777777" w:rsidR="003734A7" w:rsidRPr="002E6897" w:rsidDel="00F061C0"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The Provision of Crowdfunding Services for Business Law </w:t>
            </w:r>
          </w:p>
        </w:tc>
        <w:tc>
          <w:tcPr>
            <w:tcW w:w="1276" w:type="dxa"/>
            <w:shd w:val="clear" w:color="auto" w:fill="C6EFCE"/>
            <w:noWrap/>
          </w:tcPr>
          <w:p w14:paraId="4B71539D" w14:textId="77777777" w:rsidR="003734A7" w:rsidRPr="002E6897" w:rsidDel="00F061C0"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55A183AD" w14:textId="77777777" w:rsidR="003734A7" w:rsidRPr="002E6897" w:rsidDel="00F061C0"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Entry into force of the legislation on the Provision of Crowdfunding Services for Business Law</w:t>
            </w:r>
          </w:p>
        </w:tc>
      </w:tr>
      <w:tr w:rsidR="0008144D" w:rsidRPr="002E6897" w14:paraId="0D66ADDE" w14:textId="77777777" w:rsidTr="002E6897">
        <w:trPr>
          <w:cantSplit/>
          <w:trHeight w:val="302"/>
        </w:trPr>
        <w:tc>
          <w:tcPr>
            <w:tcW w:w="1702" w:type="dxa"/>
            <w:shd w:val="clear" w:color="auto" w:fill="C6EFCE"/>
            <w:noWrap/>
          </w:tcPr>
          <w:p w14:paraId="73B171DE"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6</w:t>
            </w:r>
          </w:p>
        </w:tc>
        <w:tc>
          <w:tcPr>
            <w:tcW w:w="4677" w:type="dxa"/>
            <w:shd w:val="clear" w:color="auto" w:fill="C6EFCE"/>
            <w:noWrap/>
          </w:tcPr>
          <w:p w14:paraId="796A579E"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C1.1I1</w:t>
            </w:r>
          </w:p>
          <w:p w14:paraId="7FB03FE8"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Cyprus Blood Establishment</w:t>
            </w:r>
          </w:p>
        </w:tc>
        <w:tc>
          <w:tcPr>
            <w:tcW w:w="1276" w:type="dxa"/>
            <w:shd w:val="clear" w:color="auto" w:fill="C6EFCE"/>
            <w:noWrap/>
          </w:tcPr>
          <w:p w14:paraId="27909CB2"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0BF9E8DA" w14:textId="00B7D013" w:rsidR="003734A7" w:rsidRPr="002E6897" w:rsidRDefault="003734A7" w:rsidP="00905EAD">
            <w:pPr>
              <w:spacing w:after="0" w:line="240" w:lineRule="auto"/>
              <w:jc w:val="both"/>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Blood establishment facilities and equipment</w:t>
            </w:r>
          </w:p>
        </w:tc>
      </w:tr>
      <w:tr w:rsidR="0008144D" w:rsidRPr="002E6897" w14:paraId="316BFDBE" w14:textId="77777777" w:rsidTr="002E6897">
        <w:trPr>
          <w:cantSplit/>
          <w:trHeight w:val="302"/>
        </w:trPr>
        <w:tc>
          <w:tcPr>
            <w:tcW w:w="1702" w:type="dxa"/>
            <w:shd w:val="clear" w:color="auto" w:fill="C6EFCE"/>
            <w:noWrap/>
          </w:tcPr>
          <w:p w14:paraId="3728D9BE"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14</w:t>
            </w:r>
          </w:p>
        </w:tc>
        <w:tc>
          <w:tcPr>
            <w:tcW w:w="4677" w:type="dxa"/>
            <w:shd w:val="clear" w:color="auto" w:fill="C6EFCE"/>
            <w:noWrap/>
          </w:tcPr>
          <w:p w14:paraId="35361B6D"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C1.1I6</w:t>
            </w:r>
          </w:p>
          <w:p w14:paraId="77C6F06C"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Generic cross border e-health services in Cyprus</w:t>
            </w:r>
          </w:p>
        </w:tc>
        <w:tc>
          <w:tcPr>
            <w:tcW w:w="1276" w:type="dxa"/>
            <w:shd w:val="clear" w:color="auto" w:fill="C6EFCE"/>
            <w:noWrap/>
          </w:tcPr>
          <w:p w14:paraId="2602588C"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430BA955" w14:textId="7FF360C8"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Cross-border patient data exchange</w:t>
            </w:r>
            <w:r w:rsidR="00064579" w:rsidRPr="002E6897">
              <w:rPr>
                <w:rFonts w:ascii="Times New Roman" w:eastAsia="Times New Roman" w:hAnsi="Times New Roman" w:cs="Times New Roman"/>
                <w:noProof/>
                <w:color w:val="000000" w:themeColor="text1"/>
                <w:sz w:val="18"/>
                <w:szCs w:val="18"/>
              </w:rPr>
              <w:t xml:space="preserve"> </w:t>
            </w:r>
          </w:p>
        </w:tc>
      </w:tr>
      <w:tr w:rsidR="0008144D" w:rsidRPr="002E6897" w14:paraId="1DAC6163" w14:textId="77777777" w:rsidTr="002E6897">
        <w:trPr>
          <w:cantSplit/>
          <w:trHeight w:val="302"/>
        </w:trPr>
        <w:tc>
          <w:tcPr>
            <w:tcW w:w="1702" w:type="dxa"/>
            <w:shd w:val="clear" w:color="auto" w:fill="C6EFCE"/>
            <w:noWrap/>
          </w:tcPr>
          <w:p w14:paraId="16F23007"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66</w:t>
            </w:r>
          </w:p>
        </w:tc>
        <w:tc>
          <w:tcPr>
            <w:tcW w:w="4677" w:type="dxa"/>
            <w:shd w:val="clear" w:color="auto" w:fill="C6EFCE"/>
            <w:noWrap/>
          </w:tcPr>
          <w:p w14:paraId="64293363"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C2.3R1 </w:t>
            </w:r>
          </w:p>
          <w:p w14:paraId="1BA55BAC"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Water Resource Management Reform</w:t>
            </w:r>
          </w:p>
        </w:tc>
        <w:tc>
          <w:tcPr>
            <w:tcW w:w="1276" w:type="dxa"/>
            <w:shd w:val="clear" w:color="auto" w:fill="C6EFCE"/>
            <w:noWrap/>
          </w:tcPr>
          <w:p w14:paraId="31BA8EE1"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5D082CD2"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Adoption and publication of an action plan on water resource management</w:t>
            </w:r>
            <w:r w:rsidRPr="002E6897">
              <w:rPr>
                <w:rFonts w:ascii="Times New Roman" w:eastAsia="Times New Roman" w:hAnsi="Times New Roman" w:cs="Times New Roman"/>
                <w:noProof/>
                <w:sz w:val="18"/>
                <w:szCs w:val="18"/>
              </w:rPr>
              <w:t xml:space="preserve"> </w:t>
            </w:r>
          </w:p>
        </w:tc>
      </w:tr>
      <w:tr w:rsidR="0008144D" w:rsidRPr="002E6897" w14:paraId="78FA6B75" w14:textId="77777777" w:rsidTr="002E6897">
        <w:trPr>
          <w:cantSplit/>
          <w:trHeight w:val="302"/>
        </w:trPr>
        <w:tc>
          <w:tcPr>
            <w:tcW w:w="1702" w:type="dxa"/>
            <w:shd w:val="clear" w:color="auto" w:fill="C6EFCE"/>
            <w:noWrap/>
          </w:tcPr>
          <w:p w14:paraId="7920D86C"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84</w:t>
            </w:r>
          </w:p>
        </w:tc>
        <w:tc>
          <w:tcPr>
            <w:tcW w:w="4677" w:type="dxa"/>
            <w:shd w:val="clear" w:color="auto" w:fill="C6EFCE"/>
            <w:noWrap/>
          </w:tcPr>
          <w:p w14:paraId="7C1B8FAE"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C2.3I8 </w:t>
            </w:r>
          </w:p>
          <w:p w14:paraId="48640E8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Protection of the marine ecosystem from hazards through oil spills</w:t>
            </w:r>
          </w:p>
        </w:tc>
        <w:tc>
          <w:tcPr>
            <w:tcW w:w="1276" w:type="dxa"/>
            <w:shd w:val="clear" w:color="auto" w:fill="C6EFCE"/>
            <w:noWrap/>
          </w:tcPr>
          <w:p w14:paraId="418D544A"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65E76429" w14:textId="77777777" w:rsidR="003734A7" w:rsidRPr="002E6897" w:rsidRDefault="003734A7" w:rsidP="002E6897">
            <w:pPr>
              <w:spacing w:after="0"/>
              <w:jc w:val="both"/>
              <w:rPr>
                <w:rFonts w:ascii="Times New Roman" w:eastAsia="Times New Roman" w:hAnsi="Times New Roman" w:cs="Times New Roman"/>
                <w:noProof/>
                <w:color w:val="000000" w:themeColor="text1"/>
                <w:sz w:val="18"/>
                <w:szCs w:val="18"/>
              </w:rPr>
            </w:pPr>
            <w:r w:rsidRPr="002E6897">
              <w:rPr>
                <w:rFonts w:ascii="Times New Roman" w:eastAsia="Times New Roman" w:hAnsi="Times New Roman" w:cs="Times New Roman"/>
                <w:noProof/>
                <w:color w:val="000000" w:themeColor="text1"/>
                <w:sz w:val="18"/>
                <w:szCs w:val="18"/>
              </w:rPr>
              <w:t>Delivery, quality inspection to verify their operational effectiveness and acceptance of three vessels and two aerial spraying systems</w:t>
            </w:r>
          </w:p>
        </w:tc>
      </w:tr>
      <w:tr w:rsidR="0008144D" w:rsidRPr="002E6897" w14:paraId="53E98F93" w14:textId="77777777" w:rsidTr="002E6897">
        <w:trPr>
          <w:cantSplit/>
          <w:trHeight w:val="302"/>
        </w:trPr>
        <w:tc>
          <w:tcPr>
            <w:tcW w:w="1702" w:type="dxa"/>
            <w:shd w:val="clear" w:color="auto" w:fill="C6EFCE"/>
            <w:noWrap/>
          </w:tcPr>
          <w:p w14:paraId="39F95D4B"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94</w:t>
            </w:r>
          </w:p>
        </w:tc>
        <w:tc>
          <w:tcPr>
            <w:tcW w:w="4677" w:type="dxa"/>
            <w:shd w:val="clear" w:color="auto" w:fill="C6EFCE"/>
            <w:noWrap/>
          </w:tcPr>
          <w:p w14:paraId="2E7CCE67"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C3.1I2</w:t>
            </w:r>
          </w:p>
          <w:p w14:paraId="05071C30"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Support of isotopic database of Cypriot food or drink products</w:t>
            </w:r>
          </w:p>
        </w:tc>
        <w:tc>
          <w:tcPr>
            <w:tcW w:w="1276" w:type="dxa"/>
            <w:shd w:val="clear" w:color="auto" w:fill="C6EFCE"/>
            <w:noWrap/>
          </w:tcPr>
          <w:p w14:paraId="7CD11DF3"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2672" w:type="dxa"/>
            <w:shd w:val="clear" w:color="auto" w:fill="C6EFCE"/>
            <w:noWrap/>
          </w:tcPr>
          <w:p w14:paraId="7D76DC2C"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Products connected to the system</w:t>
            </w:r>
          </w:p>
        </w:tc>
      </w:tr>
      <w:tr w:rsidR="0008144D" w:rsidRPr="002E6897" w14:paraId="62B059B4" w14:textId="77777777" w:rsidTr="002E6897">
        <w:trPr>
          <w:cantSplit/>
          <w:trHeight w:val="302"/>
        </w:trPr>
        <w:tc>
          <w:tcPr>
            <w:tcW w:w="1702" w:type="dxa"/>
            <w:shd w:val="clear" w:color="auto" w:fill="C6EFCE"/>
            <w:noWrap/>
          </w:tcPr>
          <w:p w14:paraId="4235E387"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111</w:t>
            </w:r>
          </w:p>
        </w:tc>
        <w:tc>
          <w:tcPr>
            <w:tcW w:w="4677" w:type="dxa"/>
            <w:shd w:val="clear" w:color="auto" w:fill="C6EFCE"/>
            <w:noWrap/>
          </w:tcPr>
          <w:p w14:paraId="286685D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C3.1R5</w:t>
            </w:r>
          </w:p>
          <w:p w14:paraId="0028594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Waste management coordination unit in the Department of Environment</w:t>
            </w:r>
          </w:p>
        </w:tc>
        <w:tc>
          <w:tcPr>
            <w:tcW w:w="1276" w:type="dxa"/>
            <w:shd w:val="clear" w:color="auto" w:fill="C6EFCE"/>
            <w:noWrap/>
          </w:tcPr>
          <w:p w14:paraId="26F4BA2D"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15972698"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Waste management coordination unit</w:t>
            </w:r>
          </w:p>
        </w:tc>
      </w:tr>
      <w:tr w:rsidR="0008144D" w:rsidRPr="002E6897" w14:paraId="7D9E2D6C" w14:textId="77777777" w:rsidTr="002E6897">
        <w:trPr>
          <w:cantSplit/>
          <w:trHeight w:val="302"/>
        </w:trPr>
        <w:tc>
          <w:tcPr>
            <w:tcW w:w="1702" w:type="dxa"/>
            <w:shd w:val="clear" w:color="auto" w:fill="C6EFCE"/>
            <w:noWrap/>
          </w:tcPr>
          <w:p w14:paraId="226E28FB"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202</w:t>
            </w:r>
          </w:p>
        </w:tc>
        <w:tc>
          <w:tcPr>
            <w:tcW w:w="4677" w:type="dxa"/>
            <w:shd w:val="clear" w:color="auto" w:fill="C6EFCE"/>
            <w:noWrap/>
          </w:tcPr>
          <w:p w14:paraId="7726EFCF"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C3.5R6 </w:t>
            </w:r>
            <w:r w:rsidRPr="002E6897">
              <w:rPr>
                <w:rFonts w:ascii="Times New Roman" w:eastAsia="Times New Roman" w:hAnsi="Times New Roman" w:cs="Times New Roman"/>
                <w:noProof/>
                <w:color w:val="000000" w:themeColor="text1"/>
                <w:sz w:val="18"/>
                <w:szCs w:val="18"/>
              </w:rPr>
              <w:t>Reinforcing the insolvency framework</w:t>
            </w:r>
          </w:p>
        </w:tc>
        <w:tc>
          <w:tcPr>
            <w:tcW w:w="1276" w:type="dxa"/>
            <w:shd w:val="clear" w:color="auto" w:fill="C6EFCE"/>
            <w:noWrap/>
          </w:tcPr>
          <w:p w14:paraId="2BCAD51B"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1F5E3EDB"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Digital systems of the Department of Insolvency accessible</w:t>
            </w:r>
          </w:p>
        </w:tc>
      </w:tr>
      <w:tr w:rsidR="0008144D" w:rsidRPr="002E6897" w14:paraId="75BBCA63" w14:textId="77777777" w:rsidTr="002E6897">
        <w:trPr>
          <w:cantSplit/>
          <w:trHeight w:val="302"/>
        </w:trPr>
        <w:tc>
          <w:tcPr>
            <w:tcW w:w="1702" w:type="dxa"/>
            <w:shd w:val="clear" w:color="auto" w:fill="C6EFCE"/>
            <w:noWrap/>
          </w:tcPr>
          <w:p w14:paraId="38418E95"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221</w:t>
            </w:r>
          </w:p>
        </w:tc>
        <w:tc>
          <w:tcPr>
            <w:tcW w:w="4677" w:type="dxa"/>
            <w:shd w:val="clear" w:color="auto" w:fill="C6EFCE"/>
            <w:noWrap/>
          </w:tcPr>
          <w:p w14:paraId="4607B7D4"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C4.1I2</w:t>
            </w:r>
          </w:p>
          <w:p w14:paraId="312427B8"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Upgrade internet connection to be “Gigabit-ready” and promote connectivity take-up</w:t>
            </w:r>
          </w:p>
        </w:tc>
        <w:tc>
          <w:tcPr>
            <w:tcW w:w="1276" w:type="dxa"/>
            <w:shd w:val="clear" w:color="auto" w:fill="C6EFCE"/>
            <w:noWrap/>
          </w:tcPr>
          <w:p w14:paraId="5314804E"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2672" w:type="dxa"/>
            <w:shd w:val="clear" w:color="auto" w:fill="C6EFCE"/>
            <w:noWrap/>
          </w:tcPr>
          <w:p w14:paraId="548B0E98"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Gigabit-ready internet connection take-up by at least 82 000 households</w:t>
            </w:r>
            <w:r w:rsidRPr="002E6897">
              <w:rPr>
                <w:rFonts w:ascii="Times New Roman" w:hAnsi="Times New Roman" w:cs="Times New Roman"/>
                <w:noProof/>
                <w:sz w:val="18"/>
                <w:szCs w:val="18"/>
              </w:rPr>
              <w:t xml:space="preserve"> </w:t>
            </w:r>
          </w:p>
        </w:tc>
      </w:tr>
      <w:tr w:rsidR="0008144D" w:rsidRPr="002E6897" w14:paraId="4998C08F" w14:textId="77777777" w:rsidTr="002E6897">
        <w:trPr>
          <w:cantSplit/>
          <w:trHeight w:val="302"/>
        </w:trPr>
        <w:tc>
          <w:tcPr>
            <w:tcW w:w="1702" w:type="dxa"/>
            <w:shd w:val="clear" w:color="auto" w:fill="C6EFCE"/>
            <w:noWrap/>
          </w:tcPr>
          <w:p w14:paraId="40502AC1"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241</w:t>
            </w:r>
          </w:p>
        </w:tc>
        <w:tc>
          <w:tcPr>
            <w:tcW w:w="4677" w:type="dxa"/>
            <w:shd w:val="clear" w:color="auto" w:fill="C6EFCE"/>
            <w:noWrap/>
          </w:tcPr>
          <w:p w14:paraId="5E851271"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C5.1R2</w:t>
            </w:r>
          </w:p>
          <w:p w14:paraId="32215B35" w14:textId="606CD979"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A school evaluation system and formative evaluation of teachers</w:t>
            </w:r>
          </w:p>
        </w:tc>
        <w:tc>
          <w:tcPr>
            <w:tcW w:w="1276" w:type="dxa"/>
            <w:shd w:val="clear" w:color="auto" w:fill="C6EFCE"/>
            <w:noWrap/>
          </w:tcPr>
          <w:p w14:paraId="44B4D825"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672" w:type="dxa"/>
            <w:shd w:val="clear" w:color="auto" w:fill="C6EFCE"/>
            <w:noWrap/>
          </w:tcPr>
          <w:p w14:paraId="68D4DFC0" w14:textId="1DC14AFC" w:rsidR="003734A7" w:rsidRPr="002E6897" w:rsidRDefault="003734A7" w:rsidP="002E6897">
            <w:pPr>
              <w:spacing w:after="0"/>
              <w:jc w:val="both"/>
              <w:rPr>
                <w:rFonts w:ascii="Times New Roman" w:eastAsia="Times New Roman" w:hAnsi="Times New Roman" w:cs="Times New Roman"/>
                <w:noProof/>
                <w:color w:val="000000" w:themeColor="text1"/>
                <w:sz w:val="18"/>
                <w:szCs w:val="18"/>
              </w:rPr>
            </w:pPr>
            <w:r w:rsidRPr="002E6897">
              <w:rPr>
                <w:rFonts w:ascii="Times New Roman" w:eastAsia="Times New Roman" w:hAnsi="Times New Roman" w:cs="Times New Roman"/>
                <w:noProof/>
                <w:color w:val="000000" w:themeColor="text1"/>
                <w:sz w:val="18"/>
                <w:szCs w:val="18"/>
              </w:rPr>
              <w:t>Council of Ministers Decision for a new School Evaluation system and entry into force of the legal act(s) for the Formative Evaluation of</w:t>
            </w:r>
            <w:r w:rsidR="00064579" w:rsidRPr="002E6897">
              <w:rPr>
                <w:rFonts w:ascii="Times New Roman" w:eastAsia="Times New Roman" w:hAnsi="Times New Roman" w:cs="Times New Roman"/>
                <w:noProof/>
                <w:color w:val="000000" w:themeColor="text1"/>
                <w:sz w:val="18"/>
                <w:szCs w:val="18"/>
              </w:rPr>
              <w:t xml:space="preserve"> </w:t>
            </w:r>
            <w:r w:rsidRPr="002E6897">
              <w:rPr>
                <w:rFonts w:ascii="Times New Roman" w:eastAsia="Times New Roman" w:hAnsi="Times New Roman" w:cs="Times New Roman"/>
                <w:noProof/>
                <w:color w:val="000000" w:themeColor="text1"/>
                <w:sz w:val="18"/>
                <w:szCs w:val="18"/>
              </w:rPr>
              <w:t xml:space="preserve">Teachers </w:t>
            </w:r>
          </w:p>
        </w:tc>
      </w:tr>
      <w:tr w:rsidR="0008144D" w:rsidRPr="002E6897" w14:paraId="7CB4D6C5" w14:textId="77777777" w:rsidTr="002E6897">
        <w:trPr>
          <w:cantSplit/>
          <w:trHeight w:val="302"/>
        </w:trPr>
        <w:tc>
          <w:tcPr>
            <w:tcW w:w="1702" w:type="dxa"/>
            <w:shd w:val="clear" w:color="auto" w:fill="C6EFCE"/>
            <w:noWrap/>
          </w:tcPr>
          <w:p w14:paraId="042018CD" w14:textId="77777777" w:rsidR="003734A7" w:rsidRPr="002E6897" w:rsidRDefault="003734A7" w:rsidP="00D8670B">
            <w:pPr>
              <w:spacing w:after="0"/>
              <w:jc w:val="center"/>
              <w:rPr>
                <w:rFonts w:ascii="Times New Roman" w:hAnsi="Times New Roman" w:cs="Times New Roman"/>
                <w:noProof/>
                <w:sz w:val="18"/>
                <w:szCs w:val="18"/>
              </w:rPr>
            </w:pPr>
          </w:p>
        </w:tc>
        <w:tc>
          <w:tcPr>
            <w:tcW w:w="4677" w:type="dxa"/>
            <w:shd w:val="clear" w:color="auto" w:fill="C6EFCE"/>
            <w:noWrap/>
          </w:tcPr>
          <w:p w14:paraId="5E6424B2" w14:textId="77777777" w:rsidR="003734A7" w:rsidRPr="002E6897" w:rsidRDefault="003734A7" w:rsidP="00D8670B">
            <w:pPr>
              <w:spacing w:after="0" w:line="240" w:lineRule="auto"/>
              <w:rPr>
                <w:rFonts w:ascii="Times New Roman" w:hAnsi="Times New Roman" w:cs="Times New Roman"/>
                <w:noProof/>
                <w:sz w:val="18"/>
                <w:szCs w:val="18"/>
              </w:rPr>
            </w:pPr>
          </w:p>
        </w:tc>
        <w:tc>
          <w:tcPr>
            <w:tcW w:w="1276" w:type="dxa"/>
            <w:shd w:val="clear" w:color="auto" w:fill="C6EFCE"/>
            <w:noWrap/>
            <w:vAlign w:val="bottom"/>
          </w:tcPr>
          <w:p w14:paraId="42E0B1A8"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color w:val="006100"/>
                <w:sz w:val="18"/>
                <w:szCs w:val="18"/>
              </w:rPr>
              <w:t>Instalment Amount</w:t>
            </w:r>
          </w:p>
        </w:tc>
        <w:tc>
          <w:tcPr>
            <w:tcW w:w="2672" w:type="dxa"/>
            <w:shd w:val="clear" w:color="auto" w:fill="C6EFCE"/>
            <w:noWrap/>
            <w:vAlign w:val="bottom"/>
          </w:tcPr>
          <w:p w14:paraId="410C5093" w14:textId="67BFA293" w:rsidR="003734A7" w:rsidRPr="002E6897" w:rsidRDefault="003734A7" w:rsidP="000345F8">
            <w:pPr>
              <w:spacing w:after="0"/>
              <w:rPr>
                <w:rFonts w:ascii="Times New Roman" w:hAnsi="Times New Roman" w:cs="Times New Roman"/>
                <w:noProof/>
                <w:color w:val="006100"/>
                <w:sz w:val="18"/>
                <w:szCs w:val="18"/>
              </w:rPr>
            </w:pPr>
            <w:r w:rsidRPr="002E6897">
              <w:rPr>
                <w:rFonts w:ascii="Times New Roman" w:hAnsi="Times New Roman" w:cs="Times New Roman"/>
                <w:noProof/>
                <w:color w:val="006100"/>
                <w:sz w:val="18"/>
                <w:szCs w:val="18"/>
              </w:rPr>
              <w:t>EUR</w:t>
            </w:r>
            <w:r w:rsidR="002E6897">
              <w:rPr>
                <w:rFonts w:ascii="Times New Roman" w:hAnsi="Times New Roman" w:cs="Times New Roman"/>
                <w:noProof/>
                <w:color w:val="006100"/>
                <w:sz w:val="18"/>
                <w:szCs w:val="18"/>
              </w:rPr>
              <w:t> </w:t>
            </w:r>
            <w:r w:rsidR="2963164E" w:rsidRPr="002E6897">
              <w:rPr>
                <w:rFonts w:ascii="Times New Roman" w:hAnsi="Times New Roman" w:cs="Times New Roman"/>
                <w:noProof/>
                <w:color w:val="006100"/>
                <w:sz w:val="18"/>
                <w:szCs w:val="18"/>
              </w:rPr>
              <w:t>138</w:t>
            </w:r>
            <w:r w:rsidR="002E6897">
              <w:rPr>
                <w:rFonts w:ascii="Times New Roman" w:hAnsi="Times New Roman" w:cs="Times New Roman"/>
                <w:noProof/>
                <w:color w:val="006100"/>
                <w:sz w:val="18"/>
                <w:szCs w:val="18"/>
              </w:rPr>
              <w:t> </w:t>
            </w:r>
            <w:r w:rsidR="2963164E" w:rsidRPr="002E6897">
              <w:rPr>
                <w:rFonts w:ascii="Times New Roman" w:hAnsi="Times New Roman" w:cs="Times New Roman"/>
                <w:noProof/>
                <w:color w:val="006100"/>
                <w:sz w:val="18"/>
                <w:szCs w:val="18"/>
              </w:rPr>
              <w:t>994</w:t>
            </w:r>
            <w:r w:rsidR="000345F8" w:rsidRPr="00BF5BEF">
              <w:rPr>
                <w:rFonts w:ascii="Times New Roman" w:hAnsi="Times New Roman" w:cs="Times New Roman"/>
                <w:noProof/>
                <w:color w:val="006100"/>
                <w:sz w:val="18"/>
                <w:szCs w:val="18"/>
              </w:rPr>
              <w:t> </w:t>
            </w:r>
            <w:r w:rsidR="2963164E" w:rsidRPr="002E6897">
              <w:rPr>
                <w:rFonts w:ascii="Times New Roman" w:hAnsi="Times New Roman" w:cs="Times New Roman"/>
                <w:noProof/>
                <w:color w:val="006100"/>
                <w:sz w:val="18"/>
                <w:szCs w:val="18"/>
              </w:rPr>
              <w:t>773</w:t>
            </w:r>
          </w:p>
          <w:p w14:paraId="107BE961" w14:textId="5B104EC8" w:rsidR="003734A7" w:rsidRPr="002E6897" w:rsidRDefault="00064579" w:rsidP="002E6897">
            <w:pPr>
              <w:spacing w:after="0"/>
              <w:jc w:val="both"/>
              <w:rPr>
                <w:rFonts w:ascii="Times New Roman" w:hAnsi="Times New Roman" w:cs="Times New Roman"/>
                <w:noProof/>
                <w:sz w:val="18"/>
                <w:szCs w:val="18"/>
              </w:rPr>
            </w:pPr>
            <w:r w:rsidRPr="002E6897">
              <w:rPr>
                <w:rFonts w:ascii="Times New Roman" w:hAnsi="Times New Roman" w:cs="Times New Roman"/>
                <w:noProof/>
                <w:color w:val="006100"/>
                <w:sz w:val="18"/>
                <w:szCs w:val="18"/>
              </w:rPr>
              <w:t xml:space="preserve"> </w:t>
            </w:r>
          </w:p>
        </w:tc>
      </w:tr>
    </w:tbl>
    <w:p w14:paraId="40A04E09" w14:textId="77777777" w:rsidR="003734A7" w:rsidRPr="000F04FA" w:rsidRDefault="003734A7" w:rsidP="00D8670B">
      <w:pPr>
        <w:pStyle w:val="NumPar2"/>
        <w:numPr>
          <w:ilvl w:val="0"/>
          <w:numId w:val="0"/>
        </w:numPr>
        <w:rPr>
          <w:noProof/>
          <w:lang w:val="en-US"/>
        </w:rPr>
      </w:pPr>
    </w:p>
    <w:p w14:paraId="60DE7C85" w14:textId="77777777" w:rsidR="003734A7" w:rsidRPr="000F04FA" w:rsidRDefault="003734A7" w:rsidP="00D8670B">
      <w:pPr>
        <w:rPr>
          <w:noProof/>
        </w:rPr>
        <w:sectPr w:rsidR="003734A7" w:rsidRPr="000F04FA" w:rsidSect="003734A7">
          <w:headerReference w:type="even" r:id="rId118"/>
          <w:headerReference w:type="default" r:id="rId119"/>
          <w:footerReference w:type="even" r:id="rId120"/>
          <w:footerReference w:type="default" r:id="rId121"/>
          <w:headerReference w:type="first" r:id="rId122"/>
          <w:footerReference w:type="first" r:id="rId123"/>
          <w:pgSz w:w="11907" w:h="16839"/>
          <w:pgMar w:top="1134" w:right="1134" w:bottom="1134" w:left="1134" w:header="567" w:footer="567" w:gutter="0"/>
          <w:cols w:space="720"/>
          <w:docGrid w:linePitch="360"/>
        </w:sectPr>
      </w:pPr>
    </w:p>
    <w:p w14:paraId="525BDE92" w14:textId="77777777" w:rsidR="003734A7" w:rsidRPr="000F04FA" w:rsidRDefault="003734A7" w:rsidP="00D8670B">
      <w:pPr>
        <w:pStyle w:val="NumPar2"/>
        <w:tabs>
          <w:tab w:val="num" w:pos="850"/>
        </w:tabs>
        <w:ind w:left="850" w:hanging="850"/>
        <w:rPr>
          <w:noProof/>
          <w:lang w:val="en-US"/>
        </w:rPr>
      </w:pPr>
      <w:r w:rsidRPr="000F04FA">
        <w:rPr>
          <w:noProof/>
          <w:lang w:val="en-US"/>
        </w:rPr>
        <w:t xml:space="preserve">Eight Instalment (non-repayable support):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4227"/>
        <w:gridCol w:w="1536"/>
        <w:gridCol w:w="2977"/>
      </w:tblGrid>
      <w:tr w:rsidR="002E6897" w:rsidRPr="002E6897" w14:paraId="36E31208" w14:textId="77777777" w:rsidTr="002E6897">
        <w:trPr>
          <w:cantSplit/>
          <w:trHeight w:val="509"/>
          <w:tblHeader/>
          <w:jc w:val="center"/>
        </w:trPr>
        <w:tc>
          <w:tcPr>
            <w:tcW w:w="1726" w:type="dxa"/>
            <w:vMerge w:val="restart"/>
            <w:shd w:val="clear" w:color="auto" w:fill="BDD7EE"/>
            <w:vAlign w:val="center"/>
            <w:hideMark/>
          </w:tcPr>
          <w:p w14:paraId="2976623A" w14:textId="77777777" w:rsidR="003734A7" w:rsidRPr="002E6897" w:rsidRDefault="003734A7" w:rsidP="00D8670B">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Sequential Number</w:t>
            </w:r>
          </w:p>
        </w:tc>
        <w:tc>
          <w:tcPr>
            <w:tcW w:w="4227" w:type="dxa"/>
            <w:vMerge w:val="restart"/>
            <w:shd w:val="clear" w:color="auto" w:fill="BDD7EE"/>
            <w:vAlign w:val="center"/>
            <w:hideMark/>
          </w:tcPr>
          <w:p w14:paraId="3DA32715" w14:textId="77777777" w:rsidR="003734A7" w:rsidRPr="002E6897" w:rsidRDefault="003734A7" w:rsidP="00D8670B">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Related Measure (Reform or Investment)</w:t>
            </w:r>
          </w:p>
        </w:tc>
        <w:tc>
          <w:tcPr>
            <w:tcW w:w="1130" w:type="dxa"/>
            <w:vMerge w:val="restart"/>
            <w:shd w:val="clear" w:color="auto" w:fill="BDD7EE"/>
            <w:vAlign w:val="center"/>
            <w:hideMark/>
          </w:tcPr>
          <w:p w14:paraId="371F2C91" w14:textId="70585D36" w:rsidR="003734A7" w:rsidRPr="002E6897" w:rsidRDefault="003734A7" w:rsidP="002E6897">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Milestone/Target</w:t>
            </w:r>
          </w:p>
        </w:tc>
        <w:tc>
          <w:tcPr>
            <w:tcW w:w="2977" w:type="dxa"/>
            <w:vMerge w:val="restart"/>
            <w:shd w:val="clear" w:color="auto" w:fill="BDD7EE"/>
            <w:vAlign w:val="center"/>
            <w:hideMark/>
          </w:tcPr>
          <w:p w14:paraId="41FD8BA5" w14:textId="77777777" w:rsidR="003734A7" w:rsidRPr="002E6897" w:rsidRDefault="003734A7" w:rsidP="002E6897">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Name</w:t>
            </w:r>
          </w:p>
        </w:tc>
      </w:tr>
      <w:tr w:rsidR="003734A7" w:rsidRPr="002E6897" w14:paraId="27509B19" w14:textId="77777777" w:rsidTr="002E6897">
        <w:trPr>
          <w:cantSplit/>
          <w:trHeight w:val="509"/>
          <w:tblHeader/>
          <w:jc w:val="center"/>
        </w:trPr>
        <w:tc>
          <w:tcPr>
            <w:tcW w:w="1726" w:type="dxa"/>
            <w:vMerge/>
            <w:vAlign w:val="center"/>
            <w:hideMark/>
          </w:tcPr>
          <w:p w14:paraId="4037959F" w14:textId="77777777" w:rsidR="003734A7" w:rsidRPr="002E6897" w:rsidRDefault="003734A7" w:rsidP="00D8670B">
            <w:pPr>
              <w:spacing w:after="0"/>
              <w:rPr>
                <w:rFonts w:ascii="Times New Roman" w:eastAsia="Times New Roman" w:hAnsi="Times New Roman" w:cs="Times New Roman"/>
                <w:b/>
                <w:noProof/>
                <w:sz w:val="18"/>
                <w:szCs w:val="18"/>
                <w:lang w:eastAsia="en-GB"/>
              </w:rPr>
            </w:pPr>
          </w:p>
        </w:tc>
        <w:tc>
          <w:tcPr>
            <w:tcW w:w="0" w:type="auto"/>
            <w:vMerge/>
            <w:vAlign w:val="center"/>
            <w:hideMark/>
          </w:tcPr>
          <w:p w14:paraId="2F73D100" w14:textId="77777777" w:rsidR="003734A7" w:rsidRPr="002E6897" w:rsidRDefault="003734A7" w:rsidP="00D8670B">
            <w:pPr>
              <w:spacing w:after="0"/>
              <w:rPr>
                <w:rFonts w:ascii="Times New Roman" w:eastAsia="Times New Roman" w:hAnsi="Times New Roman" w:cs="Times New Roman"/>
                <w:b/>
                <w:noProof/>
                <w:sz w:val="18"/>
                <w:szCs w:val="18"/>
                <w:lang w:eastAsia="en-GB"/>
              </w:rPr>
            </w:pPr>
          </w:p>
        </w:tc>
        <w:tc>
          <w:tcPr>
            <w:tcW w:w="1130" w:type="dxa"/>
            <w:vMerge/>
            <w:vAlign w:val="center"/>
            <w:hideMark/>
          </w:tcPr>
          <w:p w14:paraId="0925B77B" w14:textId="77777777" w:rsidR="003734A7" w:rsidRPr="002E6897" w:rsidRDefault="003734A7" w:rsidP="002E6897">
            <w:pPr>
              <w:spacing w:after="0"/>
              <w:jc w:val="center"/>
              <w:rPr>
                <w:rFonts w:ascii="Times New Roman" w:eastAsia="Times New Roman" w:hAnsi="Times New Roman" w:cs="Times New Roman"/>
                <w:b/>
                <w:noProof/>
                <w:sz w:val="18"/>
                <w:szCs w:val="18"/>
                <w:lang w:eastAsia="en-GB"/>
              </w:rPr>
            </w:pPr>
          </w:p>
        </w:tc>
        <w:tc>
          <w:tcPr>
            <w:tcW w:w="2977" w:type="dxa"/>
            <w:vMerge/>
            <w:vAlign w:val="center"/>
            <w:hideMark/>
          </w:tcPr>
          <w:p w14:paraId="06FCB24B" w14:textId="77777777" w:rsidR="003734A7" w:rsidRPr="002E6897" w:rsidRDefault="003734A7" w:rsidP="002E6897">
            <w:pPr>
              <w:spacing w:after="0"/>
              <w:jc w:val="both"/>
              <w:rPr>
                <w:rFonts w:ascii="Times New Roman" w:eastAsia="Times New Roman" w:hAnsi="Times New Roman" w:cs="Times New Roman"/>
                <w:b/>
                <w:noProof/>
                <w:sz w:val="18"/>
                <w:szCs w:val="18"/>
                <w:lang w:eastAsia="en-GB"/>
              </w:rPr>
            </w:pPr>
          </w:p>
        </w:tc>
      </w:tr>
      <w:tr w:rsidR="003734A7" w:rsidRPr="002E6897" w14:paraId="35ED3516" w14:textId="77777777" w:rsidTr="002E6897">
        <w:trPr>
          <w:cantSplit/>
          <w:trHeight w:val="302"/>
          <w:jc w:val="center"/>
        </w:trPr>
        <w:tc>
          <w:tcPr>
            <w:tcW w:w="1726" w:type="dxa"/>
            <w:shd w:val="clear" w:color="auto" w:fill="C6EFCE"/>
            <w:noWrap/>
          </w:tcPr>
          <w:p w14:paraId="5A5ADC3B"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2b</w:t>
            </w:r>
          </w:p>
        </w:tc>
        <w:tc>
          <w:tcPr>
            <w:tcW w:w="4227" w:type="dxa"/>
            <w:shd w:val="clear" w:color="auto" w:fill="C6EFCE"/>
            <w:noWrap/>
          </w:tcPr>
          <w:p w14:paraId="6ABFAE94"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C1.1R1</w:t>
            </w:r>
          </w:p>
          <w:p w14:paraId="56995A3A"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National Centre for Clinical Evidence and Quality Improvement</w:t>
            </w:r>
          </w:p>
        </w:tc>
        <w:tc>
          <w:tcPr>
            <w:tcW w:w="1130" w:type="dxa"/>
            <w:shd w:val="clear" w:color="auto" w:fill="C6EFCE"/>
            <w:noWrap/>
          </w:tcPr>
          <w:p w14:paraId="54274394"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01585CCF" w14:textId="49CE3BAA"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IT system for</w:t>
            </w:r>
            <w:r w:rsidR="00064579" w:rsidRPr="002E6897">
              <w:rPr>
                <w:rFonts w:ascii="Times New Roman" w:eastAsia="Times New Roman" w:hAnsi="Times New Roman" w:cs="Times New Roman"/>
                <w:noProof/>
                <w:color w:val="000000" w:themeColor="text1"/>
                <w:sz w:val="18"/>
                <w:szCs w:val="18"/>
              </w:rPr>
              <w:t xml:space="preserve"> </w:t>
            </w:r>
            <w:r w:rsidRPr="002E6897">
              <w:rPr>
                <w:rFonts w:ascii="Times New Roman" w:eastAsia="Times New Roman" w:hAnsi="Times New Roman" w:cs="Times New Roman"/>
                <w:noProof/>
                <w:color w:val="000000" w:themeColor="text1"/>
                <w:sz w:val="18"/>
                <w:szCs w:val="18"/>
              </w:rPr>
              <w:t>clinical protocols</w:t>
            </w:r>
          </w:p>
        </w:tc>
      </w:tr>
      <w:tr w:rsidR="003734A7" w:rsidRPr="002E6897" w14:paraId="488A466C" w14:textId="77777777" w:rsidTr="002E6897">
        <w:trPr>
          <w:cantSplit/>
          <w:trHeight w:val="302"/>
          <w:jc w:val="center"/>
        </w:trPr>
        <w:tc>
          <w:tcPr>
            <w:tcW w:w="1726" w:type="dxa"/>
            <w:shd w:val="clear" w:color="auto" w:fill="C6EFCE"/>
            <w:noWrap/>
          </w:tcPr>
          <w:p w14:paraId="681A5632" w14:textId="77777777" w:rsidR="003734A7" w:rsidRPr="002E6897" w:rsidRDefault="003734A7" w:rsidP="00D8670B">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4</w:t>
            </w:r>
          </w:p>
        </w:tc>
        <w:tc>
          <w:tcPr>
            <w:tcW w:w="4227" w:type="dxa"/>
            <w:shd w:val="clear" w:color="auto" w:fill="C6EFCE"/>
            <w:noWrap/>
          </w:tcPr>
          <w:p w14:paraId="5569B339"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C1.1R2</w:t>
            </w:r>
          </w:p>
          <w:p w14:paraId="530D8399" w14:textId="77777777" w:rsidR="003734A7" w:rsidRPr="002E6897" w:rsidRDefault="003734A7" w:rsidP="00D8670B">
            <w:pPr>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Electronic platform for the surveillance of Nosocomial Antibiotic Consumption and Healthcare- Associated Infections</w:t>
            </w:r>
          </w:p>
        </w:tc>
        <w:tc>
          <w:tcPr>
            <w:tcW w:w="1130" w:type="dxa"/>
            <w:shd w:val="clear" w:color="auto" w:fill="C6EFCE"/>
            <w:noWrap/>
          </w:tcPr>
          <w:p w14:paraId="487E6204" w14:textId="474FA594"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338320B3" w14:textId="64A6192E"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Electronic platform</w:t>
            </w:r>
            <w:r w:rsidR="00064579" w:rsidRPr="002E6897">
              <w:rPr>
                <w:rFonts w:ascii="Times New Roman" w:hAnsi="Times New Roman" w:cs="Times New Roman"/>
                <w:noProof/>
                <w:sz w:val="18"/>
                <w:szCs w:val="18"/>
              </w:rPr>
              <w:t xml:space="preserve"> </w:t>
            </w:r>
          </w:p>
        </w:tc>
      </w:tr>
      <w:tr w:rsidR="003734A7" w:rsidRPr="002E6897" w14:paraId="21786C97" w14:textId="77777777" w:rsidTr="002E6897">
        <w:trPr>
          <w:cantSplit/>
          <w:trHeight w:val="302"/>
          <w:jc w:val="center"/>
        </w:trPr>
        <w:tc>
          <w:tcPr>
            <w:tcW w:w="1726" w:type="dxa"/>
            <w:shd w:val="clear" w:color="auto" w:fill="C6EFCE"/>
            <w:noWrap/>
          </w:tcPr>
          <w:p w14:paraId="7BBC7D70"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10</w:t>
            </w:r>
          </w:p>
        </w:tc>
        <w:tc>
          <w:tcPr>
            <w:tcW w:w="4227" w:type="dxa"/>
            <w:shd w:val="clear" w:color="auto" w:fill="C6EFCE"/>
            <w:noWrap/>
          </w:tcPr>
          <w:p w14:paraId="09253A96"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C1.1I3</w:t>
            </w:r>
          </w:p>
          <w:p w14:paraId="74453A92"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Support for the purchase of medical equipment in private hospitals</w:t>
            </w:r>
          </w:p>
        </w:tc>
        <w:tc>
          <w:tcPr>
            <w:tcW w:w="1130" w:type="dxa"/>
            <w:shd w:val="clear" w:color="auto" w:fill="C6EFCE"/>
            <w:noWrap/>
          </w:tcPr>
          <w:p w14:paraId="1EE4E814"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4EA8169D"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Private hospitals purchased medical equipment with funding from the financial support scheme</w:t>
            </w:r>
          </w:p>
        </w:tc>
      </w:tr>
      <w:tr w:rsidR="003734A7" w:rsidRPr="002E6897" w14:paraId="72261246" w14:textId="77777777" w:rsidTr="002E6897">
        <w:trPr>
          <w:cantSplit/>
          <w:trHeight w:val="302"/>
          <w:jc w:val="center"/>
        </w:trPr>
        <w:tc>
          <w:tcPr>
            <w:tcW w:w="1726" w:type="dxa"/>
            <w:shd w:val="clear" w:color="auto" w:fill="C6EFCE"/>
            <w:noWrap/>
          </w:tcPr>
          <w:p w14:paraId="23EA9162"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15</w:t>
            </w:r>
          </w:p>
        </w:tc>
        <w:tc>
          <w:tcPr>
            <w:tcW w:w="4227" w:type="dxa"/>
            <w:shd w:val="clear" w:color="auto" w:fill="C6EFCE"/>
            <w:noWrap/>
          </w:tcPr>
          <w:p w14:paraId="78D81CBD"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C1.1I7</w:t>
            </w:r>
          </w:p>
          <w:p w14:paraId="15D36B16" w14:textId="2F6042E0"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Public warning system for emergency operations</w:t>
            </w:r>
            <w:r w:rsidR="00064579" w:rsidRPr="002E6897">
              <w:rPr>
                <w:rFonts w:ascii="Times New Roman" w:eastAsia="Times New Roman" w:hAnsi="Times New Roman" w:cs="Times New Roman"/>
                <w:noProof/>
                <w:color w:val="000000" w:themeColor="text1"/>
                <w:sz w:val="18"/>
                <w:szCs w:val="18"/>
              </w:rPr>
              <w:t xml:space="preserve"> </w:t>
            </w:r>
          </w:p>
        </w:tc>
        <w:tc>
          <w:tcPr>
            <w:tcW w:w="1130" w:type="dxa"/>
            <w:shd w:val="clear" w:color="auto" w:fill="C6EFCE"/>
            <w:noWrap/>
          </w:tcPr>
          <w:p w14:paraId="6ABFD82C"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5CD4FE21" w14:textId="2AE0BF38" w:rsidR="003734A7" w:rsidRPr="002E6897" w:rsidRDefault="003734A7" w:rsidP="002E6897">
            <w:pPr>
              <w:spacing w:after="0"/>
              <w:jc w:val="both"/>
              <w:rPr>
                <w:rFonts w:ascii="Times New Roman" w:eastAsia="Times New Roman" w:hAnsi="Times New Roman" w:cs="Times New Roman"/>
                <w:noProof/>
                <w:color w:val="000000" w:themeColor="text1"/>
                <w:sz w:val="18"/>
                <w:szCs w:val="18"/>
              </w:rPr>
            </w:pPr>
            <w:r w:rsidRPr="002E6897">
              <w:rPr>
                <w:rFonts w:ascii="Times New Roman" w:eastAsia="Times New Roman" w:hAnsi="Times New Roman" w:cs="Times New Roman"/>
                <w:noProof/>
                <w:color w:val="000000" w:themeColor="text1"/>
                <w:sz w:val="18"/>
                <w:szCs w:val="18"/>
              </w:rPr>
              <w:t>Public warning system gone live</w:t>
            </w:r>
            <w:r w:rsidR="009E66EA">
              <w:rPr>
                <w:rFonts w:ascii="Times New Roman" w:eastAsia="Times New Roman" w:hAnsi="Times New Roman" w:cs="Times New Roman"/>
                <w:noProof/>
                <w:color w:val="000000" w:themeColor="text1"/>
                <w:sz w:val="18"/>
                <w:szCs w:val="18"/>
              </w:rPr>
              <w:t xml:space="preserve"> </w:t>
            </w:r>
            <w:r w:rsidRPr="002E6897">
              <w:rPr>
                <w:rFonts w:ascii="Times New Roman" w:eastAsia="Times New Roman" w:hAnsi="Times New Roman" w:cs="Times New Roman"/>
                <w:noProof/>
                <w:color w:val="000000" w:themeColor="text1"/>
                <w:sz w:val="18"/>
                <w:szCs w:val="18"/>
              </w:rPr>
              <w:t>ready for pilot operation</w:t>
            </w:r>
          </w:p>
        </w:tc>
      </w:tr>
      <w:tr w:rsidR="003734A7" w:rsidRPr="002E6897" w14:paraId="55A786E0" w14:textId="77777777" w:rsidTr="002E6897">
        <w:trPr>
          <w:cantSplit/>
          <w:trHeight w:val="302"/>
          <w:jc w:val="center"/>
        </w:trPr>
        <w:tc>
          <w:tcPr>
            <w:tcW w:w="1726" w:type="dxa"/>
            <w:shd w:val="clear" w:color="auto" w:fill="C6EFCE"/>
            <w:noWrap/>
          </w:tcPr>
          <w:p w14:paraId="399802EA"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26</w:t>
            </w:r>
          </w:p>
        </w:tc>
        <w:tc>
          <w:tcPr>
            <w:tcW w:w="4227" w:type="dxa"/>
            <w:shd w:val="clear" w:color="auto" w:fill="C6EFCE"/>
            <w:noWrap/>
          </w:tcPr>
          <w:p w14:paraId="17B48BAC"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C2.1I1</w:t>
            </w:r>
          </w:p>
          <w:p w14:paraId="045F15F6"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Energy saving investments in SMEs, and non-profit organisations</w:t>
            </w:r>
          </w:p>
        </w:tc>
        <w:tc>
          <w:tcPr>
            <w:tcW w:w="1130" w:type="dxa"/>
            <w:shd w:val="clear" w:color="auto" w:fill="C6EFCE"/>
            <w:noWrap/>
          </w:tcPr>
          <w:p w14:paraId="4EDA34FD"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242FB7B6" w14:textId="1B46166B"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Energy saving projects in buildings</w:t>
            </w:r>
            <w:r w:rsidRPr="002E6897">
              <w:rPr>
                <w:rFonts w:ascii="Times New Roman" w:hAnsi="Times New Roman" w:cs="Times New Roman"/>
                <w:noProof/>
                <w:sz w:val="18"/>
                <w:szCs w:val="18"/>
              </w:rPr>
              <w:t xml:space="preserve"> </w:t>
            </w:r>
          </w:p>
        </w:tc>
      </w:tr>
      <w:tr w:rsidR="003734A7" w:rsidRPr="002E6897" w14:paraId="1AA810C8" w14:textId="77777777" w:rsidTr="002E6897">
        <w:trPr>
          <w:cantSplit/>
          <w:trHeight w:val="302"/>
          <w:jc w:val="center"/>
        </w:trPr>
        <w:tc>
          <w:tcPr>
            <w:tcW w:w="1726" w:type="dxa"/>
            <w:shd w:val="clear" w:color="auto" w:fill="C6EFCE"/>
            <w:noWrap/>
          </w:tcPr>
          <w:p w14:paraId="16EE1D57"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37</w:t>
            </w:r>
          </w:p>
        </w:tc>
        <w:tc>
          <w:tcPr>
            <w:tcW w:w="4227" w:type="dxa"/>
            <w:shd w:val="clear" w:color="auto" w:fill="C6EFCE"/>
            <w:noWrap/>
          </w:tcPr>
          <w:p w14:paraId="47E83D8A"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C2.1I5</w:t>
            </w:r>
          </w:p>
          <w:p w14:paraId="338DB40C" w14:textId="5F5E4972"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Energy Efficiency investment in</w:t>
            </w:r>
            <w:r w:rsidR="00064579" w:rsidRPr="002E6897">
              <w:rPr>
                <w:rFonts w:ascii="Times New Roman" w:eastAsia="Times New Roman" w:hAnsi="Times New Roman" w:cs="Times New Roman"/>
                <w:noProof/>
                <w:color w:val="000000" w:themeColor="text1"/>
                <w:sz w:val="18"/>
                <w:szCs w:val="18"/>
              </w:rPr>
              <w:t xml:space="preserve"> </w:t>
            </w:r>
            <w:r w:rsidRPr="002E6897">
              <w:rPr>
                <w:rFonts w:ascii="Times New Roman" w:eastAsia="Times New Roman" w:hAnsi="Times New Roman" w:cs="Times New Roman"/>
                <w:noProof/>
                <w:color w:val="000000" w:themeColor="text1"/>
                <w:sz w:val="18"/>
                <w:szCs w:val="18"/>
              </w:rPr>
              <w:t>public buildings</w:t>
            </w:r>
          </w:p>
        </w:tc>
        <w:tc>
          <w:tcPr>
            <w:tcW w:w="1130" w:type="dxa"/>
            <w:shd w:val="clear" w:color="auto" w:fill="C6EFCE"/>
            <w:noWrap/>
          </w:tcPr>
          <w:p w14:paraId="5E40ECD3"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7BCA4AE4" w14:textId="4A5E9E03"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Installation of photovoltaic systems in Fire Service Properties</w:t>
            </w:r>
          </w:p>
        </w:tc>
      </w:tr>
      <w:tr w:rsidR="003734A7" w:rsidRPr="002E6897" w14:paraId="486E98A8" w14:textId="77777777" w:rsidTr="002E6897">
        <w:trPr>
          <w:cantSplit/>
          <w:trHeight w:val="302"/>
          <w:jc w:val="center"/>
        </w:trPr>
        <w:tc>
          <w:tcPr>
            <w:tcW w:w="1726" w:type="dxa"/>
            <w:shd w:val="clear" w:color="auto" w:fill="C6EFCE"/>
            <w:noWrap/>
          </w:tcPr>
          <w:p w14:paraId="3C987730"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44</w:t>
            </w:r>
          </w:p>
        </w:tc>
        <w:tc>
          <w:tcPr>
            <w:tcW w:w="4227" w:type="dxa"/>
            <w:shd w:val="clear" w:color="auto" w:fill="C6EFCE"/>
            <w:noWrap/>
          </w:tcPr>
          <w:p w14:paraId="40213E8F"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C2.1I8</w:t>
            </w:r>
          </w:p>
          <w:p w14:paraId="5669D0C9"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Monitoring and reduction of GHG emissions in agriculture</w:t>
            </w:r>
          </w:p>
        </w:tc>
        <w:tc>
          <w:tcPr>
            <w:tcW w:w="1130" w:type="dxa"/>
            <w:shd w:val="clear" w:color="auto" w:fill="C6EFCE"/>
            <w:noWrap/>
          </w:tcPr>
          <w:p w14:paraId="347B8AE2"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028BCE1B"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Reduction of GHG emissions from agriculture</w:t>
            </w:r>
          </w:p>
        </w:tc>
      </w:tr>
      <w:tr w:rsidR="003734A7" w:rsidRPr="002E6897" w14:paraId="44F79536" w14:textId="77777777" w:rsidTr="002E6897">
        <w:trPr>
          <w:cantSplit/>
          <w:trHeight w:val="302"/>
          <w:jc w:val="center"/>
        </w:trPr>
        <w:tc>
          <w:tcPr>
            <w:tcW w:w="1726" w:type="dxa"/>
            <w:shd w:val="clear" w:color="auto" w:fill="C6EFCE"/>
            <w:noWrap/>
          </w:tcPr>
          <w:p w14:paraId="55E33D5F"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48a</w:t>
            </w:r>
          </w:p>
        </w:tc>
        <w:tc>
          <w:tcPr>
            <w:tcW w:w="4227" w:type="dxa"/>
            <w:shd w:val="clear" w:color="auto" w:fill="C6EFCE"/>
            <w:noWrap/>
          </w:tcPr>
          <w:p w14:paraId="09B65C47"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C2.1I10</w:t>
            </w:r>
          </w:p>
          <w:p w14:paraId="33FEBF73"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Market Management System (MMS) to facilitate the opening of the electricity market to competition</w:t>
            </w:r>
          </w:p>
          <w:p w14:paraId="4F036655" w14:textId="77777777" w:rsidR="003734A7" w:rsidRPr="002E6897" w:rsidRDefault="003734A7" w:rsidP="00D8670B">
            <w:pPr>
              <w:spacing w:after="0" w:line="240" w:lineRule="auto"/>
              <w:rPr>
                <w:rFonts w:ascii="Times New Roman" w:hAnsi="Times New Roman" w:cs="Times New Roman"/>
                <w:noProof/>
                <w:sz w:val="18"/>
                <w:szCs w:val="18"/>
              </w:rPr>
            </w:pPr>
          </w:p>
        </w:tc>
        <w:tc>
          <w:tcPr>
            <w:tcW w:w="1130" w:type="dxa"/>
            <w:shd w:val="clear" w:color="auto" w:fill="C6EFCE"/>
            <w:noWrap/>
          </w:tcPr>
          <w:p w14:paraId="5079B6A0"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685FF99B" w14:textId="5C0BDFE3"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First financial transactions</w:t>
            </w:r>
            <w:r w:rsidR="00064579" w:rsidRPr="002E6897">
              <w:rPr>
                <w:rFonts w:ascii="Times New Roman" w:eastAsia="Times New Roman" w:hAnsi="Times New Roman" w:cs="Times New Roman"/>
                <w:noProof/>
                <w:color w:val="000000" w:themeColor="text1"/>
                <w:sz w:val="18"/>
                <w:szCs w:val="18"/>
              </w:rPr>
              <w:t xml:space="preserve"> </w:t>
            </w:r>
            <w:r w:rsidRPr="002E6897">
              <w:rPr>
                <w:rFonts w:ascii="Times New Roman" w:eastAsia="Times New Roman" w:hAnsi="Times New Roman" w:cs="Times New Roman"/>
                <w:noProof/>
                <w:color w:val="000000" w:themeColor="text1"/>
                <w:sz w:val="18"/>
                <w:szCs w:val="18"/>
              </w:rPr>
              <w:t>of the MMS</w:t>
            </w:r>
          </w:p>
        </w:tc>
      </w:tr>
      <w:tr w:rsidR="003734A7" w:rsidRPr="002E6897" w14:paraId="783925E5" w14:textId="77777777" w:rsidTr="002E6897">
        <w:trPr>
          <w:cantSplit/>
          <w:trHeight w:val="302"/>
          <w:jc w:val="center"/>
        </w:trPr>
        <w:tc>
          <w:tcPr>
            <w:tcW w:w="1726" w:type="dxa"/>
            <w:shd w:val="clear" w:color="auto" w:fill="C6EFCE"/>
            <w:noWrap/>
          </w:tcPr>
          <w:p w14:paraId="692413A7"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53</w:t>
            </w:r>
          </w:p>
        </w:tc>
        <w:tc>
          <w:tcPr>
            <w:tcW w:w="4227" w:type="dxa"/>
            <w:shd w:val="clear" w:color="auto" w:fill="C6EFCE"/>
            <w:noWrap/>
          </w:tcPr>
          <w:p w14:paraId="2812E21C"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C2.2R1</w:t>
            </w:r>
          </w:p>
          <w:p w14:paraId="777909FC"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Installation of an Intelligent Transport System using Digital Twin technologies</w:t>
            </w:r>
          </w:p>
        </w:tc>
        <w:tc>
          <w:tcPr>
            <w:tcW w:w="1130" w:type="dxa"/>
            <w:shd w:val="clear" w:color="auto" w:fill="C6EFCE"/>
            <w:noWrap/>
          </w:tcPr>
          <w:p w14:paraId="79810320"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6561E91F"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Installation and connection to the National Access Point of a total of 300 sensors</w:t>
            </w:r>
          </w:p>
        </w:tc>
      </w:tr>
      <w:tr w:rsidR="003734A7" w:rsidRPr="002E6897" w14:paraId="6772613A" w14:textId="77777777" w:rsidTr="002E6897">
        <w:trPr>
          <w:cantSplit/>
          <w:trHeight w:val="302"/>
          <w:jc w:val="center"/>
        </w:trPr>
        <w:tc>
          <w:tcPr>
            <w:tcW w:w="1726" w:type="dxa"/>
            <w:shd w:val="clear" w:color="auto" w:fill="C6EFCE"/>
            <w:noWrap/>
          </w:tcPr>
          <w:p w14:paraId="436FC803"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70</w:t>
            </w:r>
          </w:p>
        </w:tc>
        <w:tc>
          <w:tcPr>
            <w:tcW w:w="4227" w:type="dxa"/>
            <w:shd w:val="clear" w:color="auto" w:fill="C6EFCE"/>
            <w:noWrap/>
          </w:tcPr>
          <w:p w14:paraId="325904D1"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C2.3I2 </w:t>
            </w:r>
          </w:p>
          <w:p w14:paraId="1C1A84B8"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Water Treatment Plants</w:t>
            </w:r>
          </w:p>
        </w:tc>
        <w:tc>
          <w:tcPr>
            <w:tcW w:w="1130" w:type="dxa"/>
            <w:shd w:val="clear" w:color="auto" w:fill="C6EFCE"/>
            <w:noWrap/>
          </w:tcPr>
          <w:p w14:paraId="40624290"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14A05F3D" w14:textId="0B1490ED"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Projects in Water Treatments Plants</w:t>
            </w:r>
          </w:p>
        </w:tc>
      </w:tr>
      <w:tr w:rsidR="003734A7" w:rsidRPr="002E6897" w14:paraId="5A2D5B15" w14:textId="77777777" w:rsidTr="002E6897">
        <w:trPr>
          <w:cantSplit/>
          <w:trHeight w:val="302"/>
          <w:jc w:val="center"/>
        </w:trPr>
        <w:tc>
          <w:tcPr>
            <w:tcW w:w="1726" w:type="dxa"/>
            <w:shd w:val="clear" w:color="auto" w:fill="C6EFCE"/>
            <w:noWrap/>
          </w:tcPr>
          <w:p w14:paraId="2A08E582"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79</w:t>
            </w:r>
          </w:p>
        </w:tc>
        <w:tc>
          <w:tcPr>
            <w:tcW w:w="4227" w:type="dxa"/>
            <w:shd w:val="clear" w:color="auto" w:fill="C6EFCE"/>
            <w:noWrap/>
          </w:tcPr>
          <w:p w14:paraId="3259743C"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C2.3I5</w:t>
            </w:r>
          </w:p>
          <w:p w14:paraId="2CCCEAA1"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Anti-flood and water collection measures</w:t>
            </w:r>
          </w:p>
        </w:tc>
        <w:tc>
          <w:tcPr>
            <w:tcW w:w="1130" w:type="dxa"/>
            <w:shd w:val="clear" w:color="auto" w:fill="C6EFCE"/>
            <w:noWrap/>
          </w:tcPr>
          <w:p w14:paraId="4C51EB3E"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7DBA91AC" w14:textId="619AB9DA" w:rsidR="003734A7" w:rsidRPr="002E6897" w:rsidRDefault="003734A7" w:rsidP="002E6897">
            <w:pPr>
              <w:spacing w:after="0" w:line="240" w:lineRule="auto"/>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Landscaping of flood channel(s) in Livadia</w:t>
            </w:r>
          </w:p>
          <w:p w14:paraId="79735FC1" w14:textId="77777777" w:rsidR="003734A7" w:rsidRPr="002E6897" w:rsidRDefault="003734A7" w:rsidP="002E6897">
            <w:pPr>
              <w:spacing w:after="0"/>
              <w:jc w:val="both"/>
              <w:rPr>
                <w:rFonts w:ascii="Times New Roman" w:hAnsi="Times New Roman" w:cs="Times New Roman"/>
                <w:noProof/>
                <w:sz w:val="18"/>
                <w:szCs w:val="18"/>
              </w:rPr>
            </w:pPr>
          </w:p>
        </w:tc>
      </w:tr>
      <w:tr w:rsidR="003734A7" w:rsidRPr="002E6897" w14:paraId="7581A966" w14:textId="77777777" w:rsidTr="002E6897">
        <w:trPr>
          <w:cantSplit/>
          <w:trHeight w:val="302"/>
          <w:jc w:val="center"/>
        </w:trPr>
        <w:tc>
          <w:tcPr>
            <w:tcW w:w="1726" w:type="dxa"/>
            <w:shd w:val="clear" w:color="auto" w:fill="C6EFCE"/>
            <w:noWrap/>
          </w:tcPr>
          <w:p w14:paraId="190C2B18"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108</w:t>
            </w:r>
          </w:p>
        </w:tc>
        <w:tc>
          <w:tcPr>
            <w:tcW w:w="4227" w:type="dxa"/>
            <w:shd w:val="clear" w:color="auto" w:fill="C6EFCE"/>
            <w:noWrap/>
          </w:tcPr>
          <w:p w14:paraId="02DDF1DE"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C3.1I10</w:t>
            </w:r>
          </w:p>
          <w:p w14:paraId="17948354"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Enrichment of tourism </w:t>
            </w:r>
          </w:p>
        </w:tc>
        <w:tc>
          <w:tcPr>
            <w:tcW w:w="1130" w:type="dxa"/>
            <w:shd w:val="clear" w:color="auto" w:fill="C6EFCE"/>
            <w:noWrap/>
          </w:tcPr>
          <w:p w14:paraId="377EF167"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1BFFDCA1" w14:textId="07D8D71C" w:rsidR="003734A7" w:rsidRPr="002E6897" w:rsidRDefault="003734A7" w:rsidP="002E6897">
            <w:pPr>
              <w:spacing w:after="0" w:line="240" w:lineRule="auto"/>
              <w:jc w:val="both"/>
              <w:rPr>
                <w:rFonts w:ascii="Times New Roman" w:eastAsia="Times New Roman" w:hAnsi="Times New Roman" w:cs="Times New Roman"/>
                <w:noProof/>
                <w:sz w:val="18"/>
                <w:szCs w:val="18"/>
              </w:rPr>
            </w:pPr>
          </w:p>
          <w:p w14:paraId="41BFC8A8" w14:textId="77777777" w:rsidR="003734A7" w:rsidRPr="002E6897" w:rsidRDefault="003734A7" w:rsidP="002E6897">
            <w:pPr>
              <w:spacing w:after="0" w:line="240" w:lineRule="auto"/>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sz w:val="18"/>
                <w:szCs w:val="18"/>
              </w:rPr>
              <w:t>Investments, including but not limited to construction works, equipment, information and communication services, and advisory services</w:t>
            </w:r>
          </w:p>
        </w:tc>
      </w:tr>
      <w:tr w:rsidR="003734A7" w:rsidRPr="002E6897" w14:paraId="7F235843" w14:textId="77777777" w:rsidTr="002E6897">
        <w:trPr>
          <w:cantSplit/>
          <w:trHeight w:val="302"/>
          <w:jc w:val="center"/>
        </w:trPr>
        <w:tc>
          <w:tcPr>
            <w:tcW w:w="1726" w:type="dxa"/>
            <w:shd w:val="clear" w:color="auto" w:fill="C6EFCE"/>
            <w:noWrap/>
          </w:tcPr>
          <w:p w14:paraId="0A4C9C21"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115</w:t>
            </w:r>
          </w:p>
        </w:tc>
        <w:tc>
          <w:tcPr>
            <w:tcW w:w="4227" w:type="dxa"/>
            <w:shd w:val="clear" w:color="auto" w:fill="C6EFCE"/>
            <w:noWrap/>
          </w:tcPr>
          <w:p w14:paraId="380E4B05"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C3.1I12</w:t>
            </w:r>
          </w:p>
          <w:p w14:paraId="1760DF07"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Waste management towards circular economy </w:t>
            </w:r>
          </w:p>
        </w:tc>
        <w:tc>
          <w:tcPr>
            <w:tcW w:w="1130" w:type="dxa"/>
            <w:shd w:val="clear" w:color="auto" w:fill="C6EFCE"/>
            <w:noWrap/>
          </w:tcPr>
          <w:p w14:paraId="7A58CBB5"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3B8BD97D" w14:textId="59504749"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Installation of green kiosks</w:t>
            </w:r>
            <w:r w:rsidR="00064579" w:rsidRPr="002E6897">
              <w:rPr>
                <w:rFonts w:ascii="Times New Roman" w:eastAsia="Times New Roman" w:hAnsi="Times New Roman" w:cs="Times New Roman"/>
                <w:noProof/>
                <w:color w:val="000000" w:themeColor="text1"/>
                <w:sz w:val="18"/>
                <w:szCs w:val="18"/>
              </w:rPr>
              <w:t xml:space="preserve"> </w:t>
            </w:r>
          </w:p>
        </w:tc>
      </w:tr>
      <w:tr w:rsidR="003734A7" w:rsidRPr="002E6897" w14:paraId="1639A5D2" w14:textId="77777777" w:rsidTr="002E6897">
        <w:trPr>
          <w:cantSplit/>
          <w:trHeight w:val="302"/>
          <w:jc w:val="center"/>
        </w:trPr>
        <w:tc>
          <w:tcPr>
            <w:tcW w:w="1726" w:type="dxa"/>
            <w:shd w:val="clear" w:color="auto" w:fill="C6EFCE"/>
            <w:noWrap/>
          </w:tcPr>
          <w:p w14:paraId="09FE09F7"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126</w:t>
            </w:r>
          </w:p>
        </w:tc>
        <w:tc>
          <w:tcPr>
            <w:tcW w:w="4227" w:type="dxa"/>
            <w:shd w:val="clear" w:color="auto" w:fill="C6EFCE"/>
            <w:noWrap/>
          </w:tcPr>
          <w:p w14:paraId="71D0F383"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C3.2I1</w:t>
            </w:r>
          </w:p>
          <w:p w14:paraId="781ADDED"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Set up a central Knowledge Transfer Office (KTO)</w:t>
            </w:r>
          </w:p>
        </w:tc>
        <w:tc>
          <w:tcPr>
            <w:tcW w:w="1130" w:type="dxa"/>
            <w:shd w:val="clear" w:color="auto" w:fill="C6EFCE"/>
            <w:noWrap/>
          </w:tcPr>
          <w:p w14:paraId="39C0B852"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316BF8EF"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Progress report on the provision of knowledge transfer support services</w:t>
            </w:r>
          </w:p>
        </w:tc>
      </w:tr>
      <w:tr w:rsidR="003734A7" w:rsidRPr="002E6897" w14:paraId="45BE2F62" w14:textId="77777777" w:rsidTr="002E6897">
        <w:trPr>
          <w:cantSplit/>
          <w:trHeight w:val="302"/>
          <w:jc w:val="center"/>
        </w:trPr>
        <w:tc>
          <w:tcPr>
            <w:tcW w:w="1726" w:type="dxa"/>
            <w:shd w:val="clear" w:color="auto" w:fill="C6EFCE"/>
            <w:noWrap/>
          </w:tcPr>
          <w:p w14:paraId="3C9B1738"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137</w:t>
            </w:r>
          </w:p>
        </w:tc>
        <w:tc>
          <w:tcPr>
            <w:tcW w:w="4227" w:type="dxa"/>
            <w:shd w:val="clear" w:color="auto" w:fill="C6EFCE"/>
            <w:noWrap/>
          </w:tcPr>
          <w:p w14:paraId="24D6A672"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C3.3R2</w:t>
            </w:r>
          </w:p>
          <w:p w14:paraId="59BC3ADB"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Supporting Fast-Track Business Activation Mechanism</w:t>
            </w:r>
          </w:p>
        </w:tc>
        <w:tc>
          <w:tcPr>
            <w:tcW w:w="1130" w:type="dxa"/>
            <w:shd w:val="clear" w:color="auto" w:fill="C6EFCE"/>
            <w:noWrap/>
          </w:tcPr>
          <w:p w14:paraId="252ABC6D"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738B6568" w14:textId="24C10AC4"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color w:val="000000" w:themeColor="text1"/>
                <w:sz w:val="18"/>
                <w:szCs w:val="18"/>
              </w:rPr>
              <w:t xml:space="preserve"> Investment a</w:t>
            </w:r>
            <w:r w:rsidRPr="002E6897">
              <w:rPr>
                <w:rFonts w:ascii="Times New Roman" w:eastAsia="Times New Roman" w:hAnsi="Times New Roman" w:cs="Times New Roman"/>
                <w:noProof/>
                <w:color w:val="000000" w:themeColor="text1"/>
                <w:sz w:val="18"/>
                <w:szCs w:val="18"/>
              </w:rPr>
              <w:t>pplication assessment through the platform</w:t>
            </w:r>
          </w:p>
        </w:tc>
      </w:tr>
      <w:tr w:rsidR="003734A7" w:rsidRPr="002E6897" w14:paraId="53784646" w14:textId="77777777" w:rsidTr="002E6897">
        <w:trPr>
          <w:cantSplit/>
          <w:trHeight w:val="302"/>
          <w:jc w:val="center"/>
        </w:trPr>
        <w:tc>
          <w:tcPr>
            <w:tcW w:w="1726" w:type="dxa"/>
            <w:shd w:val="clear" w:color="auto" w:fill="C6EFCE"/>
            <w:noWrap/>
          </w:tcPr>
          <w:p w14:paraId="2C2C8BF5"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 141</w:t>
            </w:r>
          </w:p>
        </w:tc>
        <w:tc>
          <w:tcPr>
            <w:tcW w:w="4227" w:type="dxa"/>
            <w:shd w:val="clear" w:color="auto" w:fill="C6EFCE"/>
            <w:noWrap/>
          </w:tcPr>
          <w:p w14:paraId="4402092D"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C3.3R4</w:t>
            </w:r>
          </w:p>
          <w:p w14:paraId="1D26CEA7" w14:textId="1CC6C085"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National Promotional Agency</w:t>
            </w:r>
          </w:p>
        </w:tc>
        <w:tc>
          <w:tcPr>
            <w:tcW w:w="1130" w:type="dxa"/>
            <w:shd w:val="clear" w:color="auto" w:fill="C6EFCE"/>
            <w:noWrap/>
          </w:tcPr>
          <w:p w14:paraId="74D2A532"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501868C6" w14:textId="0FD47474"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Cyprus National Promotional Agency</w:t>
            </w:r>
          </w:p>
        </w:tc>
      </w:tr>
      <w:tr w:rsidR="003734A7" w:rsidRPr="002E6897" w14:paraId="5E753725" w14:textId="77777777" w:rsidTr="002E6897">
        <w:trPr>
          <w:cantSplit/>
          <w:trHeight w:val="302"/>
          <w:jc w:val="center"/>
        </w:trPr>
        <w:tc>
          <w:tcPr>
            <w:tcW w:w="1726" w:type="dxa"/>
            <w:shd w:val="clear" w:color="auto" w:fill="C6EFCE"/>
            <w:noWrap/>
          </w:tcPr>
          <w:p w14:paraId="482CDD2C"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157</w:t>
            </w:r>
          </w:p>
        </w:tc>
        <w:tc>
          <w:tcPr>
            <w:tcW w:w="4227" w:type="dxa"/>
            <w:shd w:val="clear" w:color="auto" w:fill="C6EFCE"/>
            <w:noWrap/>
          </w:tcPr>
          <w:p w14:paraId="7C2DB07B"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C3.4R1</w:t>
            </w:r>
          </w:p>
          <w:p w14:paraId="7FD8542B"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Support the functioning of public administration</w:t>
            </w:r>
          </w:p>
          <w:p w14:paraId="2921EEA2" w14:textId="77777777" w:rsidR="003734A7" w:rsidRPr="002E6897" w:rsidRDefault="003734A7" w:rsidP="00D8670B">
            <w:pPr>
              <w:spacing w:after="0" w:line="240" w:lineRule="auto"/>
              <w:rPr>
                <w:rFonts w:ascii="Times New Roman" w:hAnsi="Times New Roman" w:cs="Times New Roman"/>
                <w:noProof/>
                <w:sz w:val="18"/>
                <w:szCs w:val="18"/>
              </w:rPr>
            </w:pPr>
          </w:p>
        </w:tc>
        <w:tc>
          <w:tcPr>
            <w:tcW w:w="1130" w:type="dxa"/>
            <w:shd w:val="clear" w:color="auto" w:fill="C6EFCE"/>
            <w:noWrap/>
          </w:tcPr>
          <w:p w14:paraId="15CC7DD1"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610380E8"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Guidelines and manuals, legal act(s) and trainings on management of human resources in the public administration</w:t>
            </w:r>
          </w:p>
        </w:tc>
      </w:tr>
      <w:tr w:rsidR="003734A7" w:rsidRPr="002E6897" w14:paraId="5976B0A4" w14:textId="77777777" w:rsidTr="002E6897">
        <w:trPr>
          <w:cantSplit/>
          <w:trHeight w:val="302"/>
          <w:jc w:val="center"/>
        </w:trPr>
        <w:tc>
          <w:tcPr>
            <w:tcW w:w="1726" w:type="dxa"/>
            <w:shd w:val="clear" w:color="auto" w:fill="C6EFCE"/>
            <w:noWrap/>
          </w:tcPr>
          <w:p w14:paraId="51D171BD"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162</w:t>
            </w:r>
          </w:p>
        </w:tc>
        <w:tc>
          <w:tcPr>
            <w:tcW w:w="4227" w:type="dxa"/>
            <w:shd w:val="clear" w:color="auto" w:fill="C6EFCE"/>
            <w:noWrap/>
          </w:tcPr>
          <w:p w14:paraId="6B053DB1"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C3.4R4</w:t>
            </w:r>
          </w:p>
          <w:p w14:paraId="431CADEE"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Digitalisation of public procurement</w:t>
            </w:r>
          </w:p>
        </w:tc>
        <w:tc>
          <w:tcPr>
            <w:tcW w:w="1130" w:type="dxa"/>
            <w:shd w:val="clear" w:color="auto" w:fill="C6EFCE"/>
            <w:noWrap/>
          </w:tcPr>
          <w:p w14:paraId="3E495C67"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1F6AA633"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E-procurement system</w:t>
            </w:r>
            <w:r w:rsidRPr="002E6897">
              <w:rPr>
                <w:rFonts w:ascii="Times New Roman" w:hAnsi="Times New Roman" w:cs="Times New Roman"/>
                <w:noProof/>
                <w:sz w:val="18"/>
                <w:szCs w:val="18"/>
              </w:rPr>
              <w:t xml:space="preserve"> </w:t>
            </w:r>
          </w:p>
        </w:tc>
      </w:tr>
      <w:tr w:rsidR="003734A7" w:rsidRPr="002E6897" w14:paraId="1F548439" w14:textId="77777777" w:rsidTr="002E6897">
        <w:trPr>
          <w:cantSplit/>
          <w:trHeight w:val="302"/>
          <w:jc w:val="center"/>
        </w:trPr>
        <w:tc>
          <w:tcPr>
            <w:tcW w:w="1726" w:type="dxa"/>
            <w:shd w:val="clear" w:color="auto" w:fill="C6EFCE"/>
            <w:noWrap/>
          </w:tcPr>
          <w:p w14:paraId="396373AC"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168</w:t>
            </w:r>
          </w:p>
        </w:tc>
        <w:tc>
          <w:tcPr>
            <w:tcW w:w="4227" w:type="dxa"/>
            <w:shd w:val="clear" w:color="auto" w:fill="C6EFCE"/>
            <w:noWrap/>
          </w:tcPr>
          <w:p w14:paraId="37595D22"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C3.4I3</w:t>
            </w:r>
          </w:p>
          <w:p w14:paraId="7A56BE69"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Economic Policy Modelling Hub </w:t>
            </w:r>
          </w:p>
        </w:tc>
        <w:tc>
          <w:tcPr>
            <w:tcW w:w="1130" w:type="dxa"/>
            <w:shd w:val="clear" w:color="auto" w:fill="C6EFCE"/>
            <w:noWrap/>
          </w:tcPr>
          <w:p w14:paraId="6CD3B2E9"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10837CB9" w14:textId="64843A3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 Report of the director of the Economics Research Centre</w:t>
            </w:r>
          </w:p>
        </w:tc>
      </w:tr>
      <w:tr w:rsidR="003734A7" w:rsidRPr="002E6897" w14:paraId="0E879921" w14:textId="77777777" w:rsidTr="002E6897">
        <w:trPr>
          <w:cantSplit/>
          <w:trHeight w:val="302"/>
          <w:jc w:val="center"/>
        </w:trPr>
        <w:tc>
          <w:tcPr>
            <w:tcW w:w="1726" w:type="dxa"/>
            <w:shd w:val="clear" w:color="auto" w:fill="C6EFCE"/>
            <w:noWrap/>
          </w:tcPr>
          <w:p w14:paraId="08614F55"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172</w:t>
            </w:r>
          </w:p>
        </w:tc>
        <w:tc>
          <w:tcPr>
            <w:tcW w:w="4227" w:type="dxa"/>
            <w:shd w:val="clear" w:color="auto" w:fill="C6EFCE"/>
            <w:noWrap/>
          </w:tcPr>
          <w:p w14:paraId="182D3471"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C3.4R7</w:t>
            </w:r>
          </w:p>
          <w:p w14:paraId="19418E3F"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Urban land consolidation </w:t>
            </w:r>
          </w:p>
        </w:tc>
        <w:tc>
          <w:tcPr>
            <w:tcW w:w="1130" w:type="dxa"/>
            <w:shd w:val="clear" w:color="auto" w:fill="C6EFCE"/>
            <w:noWrap/>
          </w:tcPr>
          <w:p w14:paraId="02FACD66"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6AA6729B"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Number of plans for urban land planning </w:t>
            </w:r>
          </w:p>
        </w:tc>
      </w:tr>
      <w:tr w:rsidR="003734A7" w:rsidRPr="002E6897" w14:paraId="258CAA46" w14:textId="77777777" w:rsidTr="002E6897">
        <w:trPr>
          <w:cantSplit/>
          <w:trHeight w:val="302"/>
          <w:jc w:val="center"/>
        </w:trPr>
        <w:tc>
          <w:tcPr>
            <w:tcW w:w="1726" w:type="dxa"/>
            <w:shd w:val="clear" w:color="auto" w:fill="C6EFCE"/>
            <w:noWrap/>
          </w:tcPr>
          <w:p w14:paraId="030A31ED"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185</w:t>
            </w:r>
          </w:p>
        </w:tc>
        <w:tc>
          <w:tcPr>
            <w:tcW w:w="4227" w:type="dxa"/>
            <w:shd w:val="clear" w:color="auto" w:fill="C6EFCE"/>
            <w:noWrap/>
          </w:tcPr>
          <w:p w14:paraId="392A07A5"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C3.4I7</w:t>
            </w:r>
          </w:p>
          <w:p w14:paraId="1C7427C7"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Training of judges</w:t>
            </w:r>
          </w:p>
        </w:tc>
        <w:tc>
          <w:tcPr>
            <w:tcW w:w="1130" w:type="dxa"/>
            <w:shd w:val="clear" w:color="auto" w:fill="C6EFCE"/>
            <w:noWrap/>
          </w:tcPr>
          <w:p w14:paraId="2F26B7D0"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7B667B14"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Training of judges </w:t>
            </w:r>
          </w:p>
        </w:tc>
      </w:tr>
      <w:tr w:rsidR="003734A7" w:rsidRPr="002E6897" w14:paraId="2E8BCEB5" w14:textId="77777777" w:rsidTr="002E6897">
        <w:trPr>
          <w:cantSplit/>
          <w:trHeight w:val="302"/>
          <w:jc w:val="center"/>
        </w:trPr>
        <w:tc>
          <w:tcPr>
            <w:tcW w:w="1726" w:type="dxa"/>
            <w:shd w:val="clear" w:color="auto" w:fill="C6EFCE"/>
            <w:noWrap/>
          </w:tcPr>
          <w:p w14:paraId="206D0A96"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213</w:t>
            </w:r>
          </w:p>
        </w:tc>
        <w:tc>
          <w:tcPr>
            <w:tcW w:w="4227" w:type="dxa"/>
            <w:shd w:val="clear" w:color="auto" w:fill="C6EFCE"/>
            <w:noWrap/>
          </w:tcPr>
          <w:p w14:paraId="123BD717" w14:textId="57648525"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C3.5I2</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br/>
              <w:t xml:space="preserve">Modernisation of Customs and Electronic Payment System </w:t>
            </w:r>
          </w:p>
        </w:tc>
        <w:tc>
          <w:tcPr>
            <w:tcW w:w="1130" w:type="dxa"/>
            <w:shd w:val="clear" w:color="auto" w:fill="C6EFCE"/>
            <w:noWrap/>
          </w:tcPr>
          <w:p w14:paraId="1CB7427B"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3D7E3A35" w14:textId="12B8FE35"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Information systems</w:t>
            </w:r>
            <w:r w:rsidR="00ED5BD7">
              <w:rPr>
                <w:rFonts w:ascii="Times New Roman" w:eastAsia="Times New Roman" w:hAnsi="Times New Roman" w:cs="Times New Roman"/>
                <w:noProof/>
                <w:color w:val="000000" w:themeColor="text1"/>
                <w:sz w:val="18"/>
                <w:szCs w:val="18"/>
              </w:rPr>
              <w:t xml:space="preserve"> or functionalities</w:t>
            </w:r>
          </w:p>
        </w:tc>
      </w:tr>
      <w:tr w:rsidR="003734A7" w:rsidRPr="002E6897" w14:paraId="6CE20723" w14:textId="77777777" w:rsidTr="002E6897">
        <w:trPr>
          <w:cantSplit/>
          <w:trHeight w:val="302"/>
          <w:jc w:val="center"/>
        </w:trPr>
        <w:tc>
          <w:tcPr>
            <w:tcW w:w="1726" w:type="dxa"/>
            <w:shd w:val="clear" w:color="auto" w:fill="C6EFCE"/>
            <w:noWrap/>
          </w:tcPr>
          <w:p w14:paraId="4485CC39"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219</w:t>
            </w:r>
          </w:p>
        </w:tc>
        <w:tc>
          <w:tcPr>
            <w:tcW w:w="4227" w:type="dxa"/>
            <w:shd w:val="clear" w:color="auto" w:fill="C6EFCE"/>
            <w:noWrap/>
          </w:tcPr>
          <w:p w14:paraId="5BF871B5"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C4.1I1</w:t>
            </w:r>
          </w:p>
          <w:p w14:paraId="652F2623"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Expansion of Very High Capacity Networks in underserved areas</w:t>
            </w:r>
          </w:p>
        </w:tc>
        <w:tc>
          <w:tcPr>
            <w:tcW w:w="1130" w:type="dxa"/>
            <w:shd w:val="clear" w:color="auto" w:fill="C6EFCE"/>
            <w:noWrap/>
          </w:tcPr>
          <w:p w14:paraId="5CD6F071"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3CD31630" w14:textId="1D5210B1" w:rsidR="003734A7" w:rsidRPr="002E6897" w:rsidRDefault="003734A7" w:rsidP="002E6897">
            <w:pPr>
              <w:spacing w:after="0" w:line="240" w:lineRule="auto"/>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Very high capacity networks are accessible in areas of no </w:t>
            </w:r>
            <w:r w:rsidR="002E6897" w:rsidRPr="002E6897">
              <w:rPr>
                <w:rFonts w:ascii="Times New Roman" w:eastAsia="Times New Roman" w:hAnsi="Times New Roman" w:cs="Times New Roman"/>
                <w:noProof/>
                <w:color w:val="000000" w:themeColor="text1"/>
                <w:sz w:val="18"/>
                <w:szCs w:val="18"/>
              </w:rPr>
              <w:t>interest</w:t>
            </w:r>
            <w:r w:rsidRPr="002E6897">
              <w:rPr>
                <w:rFonts w:ascii="Times New Roman" w:eastAsia="Times New Roman" w:hAnsi="Times New Roman" w:cs="Times New Roman"/>
                <w:noProof/>
                <w:color w:val="000000" w:themeColor="text1"/>
                <w:sz w:val="18"/>
                <w:szCs w:val="18"/>
              </w:rPr>
              <w:t xml:space="preserve"> to private investors</w:t>
            </w:r>
          </w:p>
          <w:p w14:paraId="090701F0" w14:textId="77777777" w:rsidR="003734A7" w:rsidRPr="002E6897" w:rsidRDefault="003734A7" w:rsidP="002E6897">
            <w:pPr>
              <w:spacing w:after="0"/>
              <w:jc w:val="both"/>
              <w:rPr>
                <w:rFonts w:ascii="Times New Roman" w:hAnsi="Times New Roman" w:cs="Times New Roman"/>
                <w:noProof/>
                <w:sz w:val="18"/>
                <w:szCs w:val="18"/>
              </w:rPr>
            </w:pPr>
          </w:p>
        </w:tc>
      </w:tr>
      <w:tr w:rsidR="003734A7" w:rsidRPr="002E6897" w14:paraId="10817E23" w14:textId="77777777" w:rsidTr="002E6897">
        <w:trPr>
          <w:cantSplit/>
          <w:trHeight w:val="302"/>
          <w:jc w:val="center"/>
        </w:trPr>
        <w:tc>
          <w:tcPr>
            <w:tcW w:w="1726" w:type="dxa"/>
            <w:shd w:val="clear" w:color="auto" w:fill="C6EFCE"/>
            <w:noWrap/>
          </w:tcPr>
          <w:p w14:paraId="3638B756"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sidDel="00797D12">
              <w:rPr>
                <w:rFonts w:ascii="Times New Roman" w:hAnsi="Times New Roman" w:cs="Times New Roman"/>
                <w:noProof/>
                <w:sz w:val="18"/>
                <w:szCs w:val="18"/>
              </w:rPr>
              <w:t>228</w:t>
            </w:r>
          </w:p>
        </w:tc>
        <w:tc>
          <w:tcPr>
            <w:tcW w:w="4227" w:type="dxa"/>
            <w:shd w:val="clear" w:color="auto" w:fill="C6EFCE"/>
            <w:noWrap/>
          </w:tcPr>
          <w:p w14:paraId="38DE2E31" w14:textId="77777777" w:rsidR="003734A7" w:rsidRPr="002E6897" w:rsidDel="00797D12" w:rsidRDefault="003734A7" w:rsidP="00D8670B">
            <w:pPr>
              <w:spacing w:after="0" w:line="240" w:lineRule="auto"/>
              <w:rPr>
                <w:rFonts w:ascii="Times New Roman" w:eastAsia="Times New Roman" w:hAnsi="Times New Roman" w:cs="Times New Roman"/>
                <w:noProof/>
                <w:sz w:val="18"/>
                <w:szCs w:val="18"/>
              </w:rPr>
            </w:pPr>
            <w:r w:rsidRPr="002E6897" w:rsidDel="00797D12">
              <w:rPr>
                <w:rFonts w:ascii="Times New Roman" w:hAnsi="Times New Roman" w:cs="Times New Roman"/>
                <w:noProof/>
                <w:sz w:val="18"/>
                <w:szCs w:val="18"/>
              </w:rPr>
              <w:t>C4.2R2</w:t>
            </w:r>
          </w:p>
          <w:p w14:paraId="3E9EE05F" w14:textId="1AFD5AAC"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New</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cloud policy</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with regard to</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government IT systems and services and infrastructure set-up</w:t>
            </w:r>
          </w:p>
        </w:tc>
        <w:tc>
          <w:tcPr>
            <w:tcW w:w="1130" w:type="dxa"/>
            <w:shd w:val="clear" w:color="auto" w:fill="C6EFCE"/>
            <w:noWrap/>
          </w:tcPr>
          <w:p w14:paraId="70127CCB"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104A6140" w14:textId="1000D3BC"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Adoption of a</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national</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cloud</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policy</w:t>
            </w:r>
            <w:r w:rsidR="002E6897">
              <w:rPr>
                <w:rFonts w:ascii="Times New Roman" w:hAnsi="Times New Roman" w:cs="Times New Roman"/>
                <w:noProof/>
                <w:sz w:val="18"/>
                <w:szCs w:val="18"/>
              </w:rPr>
              <w:t xml:space="preserve"> b</w:t>
            </w:r>
            <w:r w:rsidRPr="002E6897">
              <w:rPr>
                <w:rFonts w:ascii="Times New Roman" w:hAnsi="Times New Roman" w:cs="Times New Roman"/>
                <w:noProof/>
                <w:sz w:val="18"/>
                <w:szCs w:val="18"/>
              </w:rPr>
              <w:t>y the Council of Ministers</w:t>
            </w:r>
          </w:p>
        </w:tc>
      </w:tr>
      <w:tr w:rsidR="003734A7" w:rsidRPr="002E6897" w14:paraId="380255A4" w14:textId="77777777" w:rsidTr="002E6897">
        <w:trPr>
          <w:cantSplit/>
          <w:trHeight w:val="302"/>
          <w:jc w:val="center"/>
        </w:trPr>
        <w:tc>
          <w:tcPr>
            <w:tcW w:w="1726" w:type="dxa"/>
            <w:shd w:val="clear" w:color="auto" w:fill="C6EFCE"/>
            <w:noWrap/>
          </w:tcPr>
          <w:p w14:paraId="52D0CCCC"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230</w:t>
            </w:r>
          </w:p>
        </w:tc>
        <w:tc>
          <w:tcPr>
            <w:tcW w:w="4227" w:type="dxa"/>
            <w:shd w:val="clear" w:color="auto" w:fill="C6EFCE"/>
            <w:noWrap/>
          </w:tcPr>
          <w:p w14:paraId="2F4D7DE9"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C4.2R3</w:t>
            </w:r>
          </w:p>
          <w:p w14:paraId="4AE41847"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Police Procedures digitalisation (Digipol)</w:t>
            </w:r>
          </w:p>
        </w:tc>
        <w:tc>
          <w:tcPr>
            <w:tcW w:w="1130" w:type="dxa"/>
            <w:shd w:val="clear" w:color="auto" w:fill="C6EFCE"/>
            <w:noWrap/>
          </w:tcPr>
          <w:p w14:paraId="2B844452"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0C3DC02E" w14:textId="77777777" w:rsidR="003734A7" w:rsidRPr="002E6897" w:rsidRDefault="003734A7" w:rsidP="002E6897">
            <w:pPr>
              <w:spacing w:after="0"/>
              <w:jc w:val="both"/>
              <w:rPr>
                <w:rFonts w:ascii="Times New Roman" w:eastAsia="Times New Roman" w:hAnsi="Times New Roman" w:cs="Times New Roman"/>
                <w:noProof/>
                <w:color w:val="000000" w:themeColor="text1"/>
                <w:sz w:val="18"/>
                <w:szCs w:val="18"/>
              </w:rPr>
            </w:pPr>
            <w:r w:rsidRPr="002E6897">
              <w:rPr>
                <w:rFonts w:ascii="Times New Roman" w:eastAsia="Times New Roman" w:hAnsi="Times New Roman" w:cs="Times New Roman"/>
                <w:noProof/>
                <w:color w:val="000000" w:themeColor="text1"/>
                <w:sz w:val="18"/>
                <w:szCs w:val="18"/>
              </w:rPr>
              <w:t xml:space="preserve">Digipol accessible </w:t>
            </w:r>
          </w:p>
        </w:tc>
      </w:tr>
      <w:tr w:rsidR="003734A7" w:rsidRPr="002E6897" w14:paraId="43E31FAE" w14:textId="77777777" w:rsidTr="002E6897">
        <w:trPr>
          <w:cantSplit/>
          <w:trHeight w:val="302"/>
          <w:jc w:val="center"/>
        </w:trPr>
        <w:tc>
          <w:tcPr>
            <w:tcW w:w="1726" w:type="dxa"/>
            <w:shd w:val="clear" w:color="auto" w:fill="C6EFCE"/>
            <w:noWrap/>
          </w:tcPr>
          <w:p w14:paraId="4C9C3F82"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235</w:t>
            </w:r>
          </w:p>
        </w:tc>
        <w:tc>
          <w:tcPr>
            <w:tcW w:w="4227" w:type="dxa"/>
            <w:shd w:val="clear" w:color="auto" w:fill="C6EFCE"/>
            <w:noWrap/>
          </w:tcPr>
          <w:p w14:paraId="428BCDA5" w14:textId="6B3CA5A4"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 C4.2I1 </w:t>
            </w:r>
            <w:r w:rsidRPr="002E6897">
              <w:rPr>
                <w:rFonts w:ascii="Times New Roman" w:eastAsia="Times New Roman" w:hAnsi="Times New Roman" w:cs="Times New Roman"/>
                <w:noProof/>
                <w:color w:val="000000" w:themeColor="text1"/>
                <w:sz w:val="18"/>
                <w:szCs w:val="18"/>
              </w:rPr>
              <w:t>Digitalisation of Central Government Ministries or departments</w:t>
            </w:r>
          </w:p>
        </w:tc>
        <w:tc>
          <w:tcPr>
            <w:tcW w:w="1130" w:type="dxa"/>
            <w:shd w:val="clear" w:color="auto" w:fill="C6EFCE"/>
            <w:noWrap/>
          </w:tcPr>
          <w:p w14:paraId="085D0358" w14:textId="77777777" w:rsidR="003734A7" w:rsidRPr="002E6897" w:rsidRDefault="003734A7" w:rsidP="002E6897">
            <w:pPr>
              <w:spacing w:after="0" w:line="240" w:lineRule="auto"/>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7355F69F" w14:textId="10AB6B88"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Delivery of digital systems of five central government ministries or departments</w:t>
            </w:r>
          </w:p>
        </w:tc>
      </w:tr>
      <w:tr w:rsidR="003734A7" w:rsidRPr="002E6897" w14:paraId="2E2656FE" w14:textId="77777777" w:rsidTr="002E6897">
        <w:trPr>
          <w:cantSplit/>
          <w:trHeight w:val="302"/>
          <w:jc w:val="center"/>
        </w:trPr>
        <w:tc>
          <w:tcPr>
            <w:tcW w:w="1726" w:type="dxa"/>
            <w:shd w:val="clear" w:color="auto" w:fill="C6EFCE"/>
            <w:noWrap/>
          </w:tcPr>
          <w:p w14:paraId="7B434208"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238</w:t>
            </w:r>
          </w:p>
        </w:tc>
        <w:tc>
          <w:tcPr>
            <w:tcW w:w="4227" w:type="dxa"/>
            <w:shd w:val="clear" w:color="auto" w:fill="C6EFCE"/>
            <w:noWrap/>
          </w:tcPr>
          <w:p w14:paraId="5E49155B"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C4.2I2</w:t>
            </w:r>
          </w:p>
          <w:p w14:paraId="34C525FE"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Digitalisation of the Cyprus Ports Authority</w:t>
            </w:r>
          </w:p>
        </w:tc>
        <w:tc>
          <w:tcPr>
            <w:tcW w:w="1130" w:type="dxa"/>
            <w:shd w:val="clear" w:color="auto" w:fill="C6EFCE"/>
            <w:noWrap/>
          </w:tcPr>
          <w:p w14:paraId="0A4F4443"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1DFA80A7"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IT infrastructure of Cyprus Ports Authority</w:t>
            </w:r>
          </w:p>
        </w:tc>
      </w:tr>
      <w:tr w:rsidR="003734A7" w:rsidRPr="002E6897" w14:paraId="511A4CC8" w14:textId="77777777" w:rsidTr="002E6897">
        <w:trPr>
          <w:cantSplit/>
          <w:trHeight w:val="302"/>
          <w:jc w:val="center"/>
        </w:trPr>
        <w:tc>
          <w:tcPr>
            <w:tcW w:w="1726" w:type="dxa"/>
            <w:shd w:val="clear" w:color="auto" w:fill="C6EFCE"/>
            <w:noWrap/>
          </w:tcPr>
          <w:p w14:paraId="0FE41D53"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250</w:t>
            </w:r>
          </w:p>
        </w:tc>
        <w:tc>
          <w:tcPr>
            <w:tcW w:w="4227" w:type="dxa"/>
            <w:shd w:val="clear" w:color="auto" w:fill="C6EFCE"/>
            <w:noWrap/>
          </w:tcPr>
          <w:p w14:paraId="3D45C4D5"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C5.1R5</w:t>
            </w:r>
          </w:p>
          <w:p w14:paraId="389CE463"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E-skills Action Plan – Delivery of specific actions</w:t>
            </w:r>
          </w:p>
          <w:p w14:paraId="75F28EF7" w14:textId="77777777" w:rsidR="003734A7" w:rsidRPr="002E6897" w:rsidRDefault="003734A7" w:rsidP="00D8670B">
            <w:pPr>
              <w:spacing w:after="0" w:line="240" w:lineRule="auto"/>
              <w:rPr>
                <w:rFonts w:ascii="Times New Roman" w:hAnsi="Times New Roman" w:cs="Times New Roman"/>
                <w:noProof/>
                <w:sz w:val="18"/>
                <w:szCs w:val="18"/>
              </w:rPr>
            </w:pPr>
          </w:p>
        </w:tc>
        <w:tc>
          <w:tcPr>
            <w:tcW w:w="1130" w:type="dxa"/>
            <w:shd w:val="clear" w:color="auto" w:fill="C6EFCE"/>
            <w:noWrap/>
          </w:tcPr>
          <w:p w14:paraId="7563943C"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083AC167" w14:textId="3DCD1834"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Measures related to the e-Skills Action Plan</w:t>
            </w:r>
            <w:r w:rsidR="00064579" w:rsidRPr="002E6897">
              <w:rPr>
                <w:rFonts w:ascii="Times New Roman" w:eastAsia="Times New Roman" w:hAnsi="Times New Roman" w:cs="Times New Roman"/>
                <w:noProof/>
                <w:color w:val="000000" w:themeColor="text1"/>
                <w:sz w:val="18"/>
                <w:szCs w:val="18"/>
              </w:rPr>
              <w:t xml:space="preserve"> </w:t>
            </w:r>
          </w:p>
        </w:tc>
      </w:tr>
      <w:tr w:rsidR="003734A7" w:rsidRPr="002E6897" w14:paraId="4E83C061" w14:textId="77777777" w:rsidTr="002E6897">
        <w:trPr>
          <w:cantSplit/>
          <w:trHeight w:val="302"/>
          <w:jc w:val="center"/>
        </w:trPr>
        <w:tc>
          <w:tcPr>
            <w:tcW w:w="1726" w:type="dxa"/>
            <w:shd w:val="clear" w:color="auto" w:fill="C6EFCE"/>
            <w:noWrap/>
          </w:tcPr>
          <w:p w14:paraId="79006F9E"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254</w:t>
            </w:r>
          </w:p>
        </w:tc>
        <w:tc>
          <w:tcPr>
            <w:tcW w:w="4227" w:type="dxa"/>
            <w:shd w:val="clear" w:color="auto" w:fill="C6EFCE"/>
            <w:noWrap/>
          </w:tcPr>
          <w:p w14:paraId="20C6EDDF" w14:textId="77777777" w:rsidR="003734A7" w:rsidRPr="00547ADA" w:rsidRDefault="003734A7" w:rsidP="00D8670B">
            <w:pPr>
              <w:spacing w:after="0" w:line="240" w:lineRule="auto"/>
              <w:rPr>
                <w:rFonts w:ascii="Times New Roman" w:eastAsia="Times New Roman" w:hAnsi="Times New Roman" w:cs="Times New Roman"/>
                <w:noProof/>
                <w:sz w:val="18"/>
                <w:szCs w:val="18"/>
                <w:lang w:val="da-DK"/>
              </w:rPr>
            </w:pPr>
            <w:r w:rsidRPr="00547ADA">
              <w:rPr>
                <w:rFonts w:ascii="Times New Roman" w:hAnsi="Times New Roman" w:cs="Times New Roman"/>
                <w:noProof/>
                <w:sz w:val="18"/>
                <w:szCs w:val="18"/>
                <w:lang w:val="da-DK"/>
              </w:rPr>
              <w:t>C5.1I2</w:t>
            </w:r>
          </w:p>
          <w:p w14:paraId="0AA04607" w14:textId="77777777" w:rsidR="003734A7" w:rsidRPr="00547ADA" w:rsidRDefault="003734A7" w:rsidP="00D8670B">
            <w:pPr>
              <w:spacing w:after="0" w:line="240" w:lineRule="auto"/>
              <w:rPr>
                <w:rFonts w:ascii="Times New Roman" w:eastAsia="Times New Roman" w:hAnsi="Times New Roman" w:cs="Times New Roman"/>
                <w:noProof/>
                <w:sz w:val="18"/>
                <w:szCs w:val="18"/>
                <w:lang w:val="da-DK"/>
              </w:rPr>
            </w:pPr>
            <w:r w:rsidRPr="00547ADA">
              <w:rPr>
                <w:rFonts w:ascii="Times New Roman" w:hAnsi="Times New Roman" w:cs="Times New Roman"/>
                <w:noProof/>
                <w:sz w:val="18"/>
                <w:szCs w:val="18"/>
                <w:lang w:val="da-DK"/>
              </w:rPr>
              <w:t xml:space="preserve">Skilling, Reskilling and Upskilling </w:t>
            </w:r>
          </w:p>
        </w:tc>
        <w:tc>
          <w:tcPr>
            <w:tcW w:w="1130" w:type="dxa"/>
            <w:shd w:val="clear" w:color="auto" w:fill="C6EFCE"/>
            <w:noWrap/>
          </w:tcPr>
          <w:p w14:paraId="41AB2EFE"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5F36A5CE"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Trainings in programmes for digital, green, blue and entrepreneurial skills</w:t>
            </w:r>
          </w:p>
        </w:tc>
      </w:tr>
      <w:tr w:rsidR="003734A7" w:rsidRPr="002E6897" w14:paraId="00FB98F2" w14:textId="77777777" w:rsidTr="002E6897">
        <w:trPr>
          <w:cantSplit/>
          <w:trHeight w:val="302"/>
          <w:jc w:val="center"/>
        </w:trPr>
        <w:tc>
          <w:tcPr>
            <w:tcW w:w="1726" w:type="dxa"/>
            <w:shd w:val="clear" w:color="auto" w:fill="C6EFCE"/>
            <w:noWrap/>
          </w:tcPr>
          <w:p w14:paraId="2F781C56"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256</w:t>
            </w:r>
          </w:p>
        </w:tc>
        <w:tc>
          <w:tcPr>
            <w:tcW w:w="4227" w:type="dxa"/>
            <w:shd w:val="clear" w:color="auto" w:fill="C6EFCE"/>
            <w:noWrap/>
          </w:tcPr>
          <w:p w14:paraId="2DE3D394" w14:textId="77777777" w:rsidR="003734A7" w:rsidRPr="002E6897" w:rsidRDefault="003734A7" w:rsidP="00D8670B">
            <w:pPr>
              <w:keepNext/>
              <w:keepLines/>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C5.2R2</w:t>
            </w:r>
          </w:p>
          <w:p w14:paraId="1838A16C"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Flexible Work Arrangements in the Form of Telework</w:t>
            </w:r>
          </w:p>
        </w:tc>
        <w:tc>
          <w:tcPr>
            <w:tcW w:w="1130" w:type="dxa"/>
            <w:shd w:val="clear" w:color="auto" w:fill="C6EFCE"/>
            <w:noWrap/>
          </w:tcPr>
          <w:p w14:paraId="4F9558BE"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2F7A46D1" w14:textId="48A54B08"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Grants disbursed to employers for hiring at least 300 persons</w:t>
            </w:r>
          </w:p>
        </w:tc>
      </w:tr>
      <w:tr w:rsidR="003734A7" w:rsidRPr="002E6897" w14:paraId="72DFF9B5" w14:textId="77777777" w:rsidTr="002E6897">
        <w:trPr>
          <w:cantSplit/>
          <w:trHeight w:val="302"/>
          <w:jc w:val="center"/>
        </w:trPr>
        <w:tc>
          <w:tcPr>
            <w:tcW w:w="1726" w:type="dxa"/>
            <w:shd w:val="clear" w:color="auto" w:fill="C6EFCE"/>
            <w:noWrap/>
          </w:tcPr>
          <w:p w14:paraId="4F27274C"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259</w:t>
            </w:r>
          </w:p>
        </w:tc>
        <w:tc>
          <w:tcPr>
            <w:tcW w:w="4227" w:type="dxa"/>
            <w:shd w:val="clear" w:color="auto" w:fill="C6EFCE"/>
            <w:noWrap/>
          </w:tcPr>
          <w:p w14:paraId="2C1B6EF8"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C5.2I1</w:t>
            </w:r>
          </w:p>
          <w:p w14:paraId="337CF5AA" w14:textId="647197B8"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Supporting the Department of Labour</w:t>
            </w:r>
            <w:r w:rsidR="00064579" w:rsidRPr="002E6897">
              <w:rPr>
                <w:rFonts w:ascii="Times New Roman" w:eastAsia="Times New Roman" w:hAnsi="Times New Roman" w:cs="Times New Roman"/>
                <w:noProof/>
                <w:color w:val="000000" w:themeColor="text1"/>
                <w:sz w:val="18"/>
                <w:szCs w:val="18"/>
              </w:rPr>
              <w:t xml:space="preserve"> </w:t>
            </w:r>
            <w:r w:rsidRPr="002E6897">
              <w:rPr>
                <w:rFonts w:ascii="Times New Roman" w:eastAsia="Times New Roman" w:hAnsi="Times New Roman" w:cs="Times New Roman"/>
                <w:noProof/>
                <w:color w:val="000000" w:themeColor="text1"/>
                <w:sz w:val="18"/>
                <w:szCs w:val="18"/>
              </w:rPr>
              <w:t>and Public Employment Services and reinforcing support for young people</w:t>
            </w:r>
            <w:r w:rsidR="00064579" w:rsidRPr="002E6897">
              <w:rPr>
                <w:rFonts w:ascii="Times New Roman" w:eastAsia="Times New Roman" w:hAnsi="Times New Roman" w:cs="Times New Roman"/>
                <w:noProof/>
                <w:color w:val="000000" w:themeColor="text1"/>
                <w:sz w:val="18"/>
                <w:szCs w:val="18"/>
              </w:rPr>
              <w:t xml:space="preserve"> </w:t>
            </w:r>
          </w:p>
        </w:tc>
        <w:tc>
          <w:tcPr>
            <w:tcW w:w="1130" w:type="dxa"/>
            <w:shd w:val="clear" w:color="auto" w:fill="C6EFCE"/>
            <w:noWrap/>
          </w:tcPr>
          <w:p w14:paraId="5BE93EDE"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1E1DA8C3" w14:textId="48AB4849"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Grants disbursed</w:t>
            </w:r>
            <w:r w:rsidR="00064579" w:rsidRPr="002E6897">
              <w:rPr>
                <w:rFonts w:ascii="Times New Roman" w:eastAsia="Times New Roman" w:hAnsi="Times New Roman" w:cs="Times New Roman"/>
                <w:noProof/>
                <w:color w:val="000000" w:themeColor="text1"/>
                <w:sz w:val="18"/>
                <w:szCs w:val="18"/>
              </w:rPr>
              <w:t xml:space="preserve"> </w:t>
            </w:r>
            <w:r w:rsidRPr="002E6897">
              <w:rPr>
                <w:rFonts w:ascii="Times New Roman" w:eastAsia="Times New Roman" w:hAnsi="Times New Roman" w:cs="Times New Roman"/>
                <w:noProof/>
                <w:color w:val="000000" w:themeColor="text1"/>
                <w:sz w:val="18"/>
                <w:szCs w:val="18"/>
              </w:rPr>
              <w:t>to employers for hiring at least 450 young people not in employment or in education or training (NEETs)</w:t>
            </w:r>
            <w:r w:rsidR="00064579" w:rsidRPr="002E6897">
              <w:rPr>
                <w:rFonts w:ascii="Times New Roman" w:eastAsia="Times New Roman" w:hAnsi="Times New Roman" w:cs="Times New Roman"/>
                <w:noProof/>
                <w:color w:val="000000" w:themeColor="text1"/>
                <w:sz w:val="18"/>
                <w:szCs w:val="18"/>
              </w:rPr>
              <w:t xml:space="preserve"> </w:t>
            </w:r>
            <w:r w:rsidRPr="002E6897">
              <w:rPr>
                <w:rFonts w:ascii="Times New Roman" w:hAnsi="Times New Roman" w:cs="Times New Roman"/>
                <w:noProof/>
                <w:sz w:val="18"/>
                <w:szCs w:val="18"/>
              </w:rPr>
              <w:t xml:space="preserve"> </w:t>
            </w:r>
          </w:p>
        </w:tc>
      </w:tr>
      <w:tr w:rsidR="003734A7" w:rsidRPr="002E6897" w14:paraId="7F606E03" w14:textId="77777777" w:rsidTr="002E6897">
        <w:trPr>
          <w:cantSplit/>
          <w:trHeight w:val="302"/>
          <w:jc w:val="center"/>
        </w:trPr>
        <w:tc>
          <w:tcPr>
            <w:tcW w:w="1726" w:type="dxa"/>
            <w:shd w:val="clear" w:color="auto" w:fill="C6EFCE"/>
            <w:noWrap/>
          </w:tcPr>
          <w:p w14:paraId="157B8FCA"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269</w:t>
            </w:r>
          </w:p>
        </w:tc>
        <w:tc>
          <w:tcPr>
            <w:tcW w:w="4227" w:type="dxa"/>
            <w:shd w:val="clear" w:color="auto" w:fill="C6EFCE"/>
            <w:noWrap/>
          </w:tcPr>
          <w:p w14:paraId="4047F5C0"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C5.2I5</w:t>
            </w:r>
          </w:p>
          <w:p w14:paraId="23AB9786" w14:textId="77777777" w:rsidR="003734A7" w:rsidRPr="002E6897" w:rsidRDefault="003734A7" w:rsidP="00D8670B">
            <w:pPr>
              <w:spacing w:after="0" w:line="240" w:lineRule="auto"/>
              <w:rPr>
                <w:rFonts w:ascii="Times New Roman" w:eastAsia="Times New Roman" w:hAnsi="Times New Roman" w:cs="Times New Roman"/>
                <w:noProof/>
                <w:color w:val="000000" w:themeColor="text1"/>
                <w:sz w:val="18"/>
                <w:szCs w:val="18"/>
              </w:rPr>
            </w:pPr>
            <w:r w:rsidRPr="002E6897">
              <w:rPr>
                <w:rFonts w:ascii="Times New Roman" w:hAnsi="Times New Roman" w:cs="Times New Roman"/>
                <w:noProof/>
                <w:sz w:val="18"/>
                <w:szCs w:val="18"/>
              </w:rPr>
              <w:t>Construction of Two Model Special Education Schools</w:t>
            </w:r>
          </w:p>
        </w:tc>
        <w:tc>
          <w:tcPr>
            <w:tcW w:w="1130" w:type="dxa"/>
            <w:shd w:val="clear" w:color="auto" w:fill="C6EFCE"/>
            <w:noWrap/>
          </w:tcPr>
          <w:p w14:paraId="08E0C22E"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tcPr>
          <w:p w14:paraId="318611AA" w14:textId="083C5D6F"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Construction of two Special Education Schools</w:t>
            </w:r>
          </w:p>
        </w:tc>
      </w:tr>
      <w:tr w:rsidR="003734A7" w:rsidRPr="002E6897" w14:paraId="4CA92E42" w14:textId="77777777" w:rsidTr="002E6897">
        <w:trPr>
          <w:cantSplit/>
          <w:trHeight w:val="302"/>
          <w:jc w:val="center"/>
        </w:trPr>
        <w:tc>
          <w:tcPr>
            <w:tcW w:w="1726" w:type="dxa"/>
            <w:shd w:val="clear" w:color="auto" w:fill="C6EFCE"/>
            <w:noWrap/>
            <w:vAlign w:val="bottom"/>
          </w:tcPr>
          <w:p w14:paraId="31695F54" w14:textId="77777777" w:rsidR="003734A7" w:rsidRPr="002E6897" w:rsidRDefault="003734A7" w:rsidP="00D8670B">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272</w:t>
            </w:r>
          </w:p>
        </w:tc>
        <w:tc>
          <w:tcPr>
            <w:tcW w:w="4227" w:type="dxa"/>
            <w:shd w:val="clear" w:color="auto" w:fill="C6EFCE"/>
            <w:noWrap/>
            <w:vAlign w:val="bottom"/>
          </w:tcPr>
          <w:p w14:paraId="327AE545" w14:textId="368977A5" w:rsidR="003734A7" w:rsidRPr="002E6897" w:rsidRDefault="003734A7" w:rsidP="00D8670B">
            <w:pPr>
              <w:spacing w:after="0"/>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C6.1R1</w:t>
            </w:r>
            <w:r w:rsidR="00064579" w:rsidRPr="002E6897">
              <w:rPr>
                <w:rFonts w:ascii="Times New Roman" w:hAnsi="Times New Roman" w:cs="Times New Roman"/>
                <w:noProof/>
                <w:sz w:val="18"/>
                <w:szCs w:val="18"/>
              </w:rPr>
              <w:t xml:space="preserve"> </w:t>
            </w:r>
            <w:r w:rsidRPr="002E6897">
              <w:rPr>
                <w:rFonts w:ascii="Times New Roman" w:eastAsia="Times New Roman" w:hAnsi="Times New Roman" w:cs="Times New Roman"/>
                <w:noProof/>
                <w:color w:val="000000" w:themeColor="text1"/>
                <w:sz w:val="18"/>
                <w:szCs w:val="18"/>
              </w:rPr>
              <w:t>Regulating and facilitating the participation of citizens in the electricity market</w:t>
            </w:r>
          </w:p>
        </w:tc>
        <w:tc>
          <w:tcPr>
            <w:tcW w:w="1130" w:type="dxa"/>
            <w:shd w:val="clear" w:color="auto" w:fill="C6EFCE"/>
            <w:noWrap/>
            <w:vAlign w:val="center"/>
          </w:tcPr>
          <w:p w14:paraId="2FBA540C" w14:textId="77777777"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Milestone</w:t>
            </w:r>
          </w:p>
        </w:tc>
        <w:tc>
          <w:tcPr>
            <w:tcW w:w="2977" w:type="dxa"/>
            <w:shd w:val="clear" w:color="auto" w:fill="C6EFCE"/>
            <w:noWrap/>
            <w:vAlign w:val="center"/>
          </w:tcPr>
          <w:p w14:paraId="1A370AE2"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Single contact point for the participation of citizens in the electricity market</w:t>
            </w:r>
          </w:p>
        </w:tc>
      </w:tr>
      <w:tr w:rsidR="003734A7" w:rsidRPr="002E6897" w14:paraId="261CD6AA" w14:textId="77777777" w:rsidTr="002E6897">
        <w:trPr>
          <w:cantSplit/>
          <w:trHeight w:val="302"/>
          <w:jc w:val="center"/>
        </w:trPr>
        <w:tc>
          <w:tcPr>
            <w:tcW w:w="1726" w:type="dxa"/>
            <w:shd w:val="clear" w:color="auto" w:fill="C6EFCE"/>
            <w:noWrap/>
            <w:vAlign w:val="bottom"/>
          </w:tcPr>
          <w:p w14:paraId="11606F9F" w14:textId="77777777" w:rsidR="003734A7" w:rsidRPr="002E6897" w:rsidRDefault="003734A7" w:rsidP="00D8670B">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273</w:t>
            </w:r>
          </w:p>
        </w:tc>
        <w:tc>
          <w:tcPr>
            <w:tcW w:w="4227" w:type="dxa"/>
            <w:shd w:val="clear" w:color="auto" w:fill="C6EFCE"/>
            <w:noWrap/>
            <w:vAlign w:val="bottom"/>
          </w:tcPr>
          <w:p w14:paraId="3BA6F1D7" w14:textId="6909CFDC" w:rsidR="003734A7" w:rsidRPr="002E6897" w:rsidRDefault="003734A7" w:rsidP="00D8670B">
            <w:pPr>
              <w:spacing w:after="0"/>
              <w:rPr>
                <w:rFonts w:ascii="Times New Roman" w:hAnsi="Times New Roman" w:cs="Times New Roman"/>
                <w:noProof/>
                <w:sz w:val="18"/>
                <w:szCs w:val="18"/>
              </w:rPr>
            </w:pPr>
            <w:r w:rsidRPr="002E6897">
              <w:rPr>
                <w:rFonts w:ascii="Times New Roman" w:hAnsi="Times New Roman" w:cs="Times New Roman"/>
                <w:noProof/>
                <w:sz w:val="18"/>
                <w:szCs w:val="18"/>
              </w:rPr>
              <w:t>C6.1R2</w:t>
            </w:r>
            <w:r w:rsidRPr="002E6897">
              <w:rPr>
                <w:rFonts w:ascii="Times New Roman" w:eastAsia="Times New Roman" w:hAnsi="Times New Roman" w:cs="Times New Roman"/>
                <w:noProof/>
                <w:color w:val="000000" w:themeColor="text1"/>
                <w:sz w:val="18"/>
                <w:szCs w:val="18"/>
              </w:rPr>
              <w:t xml:space="preserve"> Establishment of the regulatory framework for the connection of EV charging points</w:t>
            </w:r>
            <w:r w:rsidR="00064579" w:rsidRPr="002E6897">
              <w:rPr>
                <w:rFonts w:ascii="Times New Roman" w:eastAsia="Times New Roman" w:hAnsi="Times New Roman" w:cs="Times New Roman"/>
                <w:noProof/>
                <w:color w:val="000000" w:themeColor="text1"/>
                <w:sz w:val="18"/>
                <w:szCs w:val="18"/>
              </w:rPr>
              <w:t xml:space="preserve"> </w:t>
            </w:r>
          </w:p>
        </w:tc>
        <w:tc>
          <w:tcPr>
            <w:tcW w:w="1130" w:type="dxa"/>
            <w:shd w:val="clear" w:color="auto" w:fill="C6EFCE"/>
            <w:noWrap/>
            <w:vAlign w:val="center"/>
          </w:tcPr>
          <w:p w14:paraId="0E989F19" w14:textId="77777777"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Milestone</w:t>
            </w:r>
          </w:p>
        </w:tc>
        <w:tc>
          <w:tcPr>
            <w:tcW w:w="2977" w:type="dxa"/>
            <w:shd w:val="clear" w:color="auto" w:fill="C6EFCE"/>
            <w:noWrap/>
            <w:vAlign w:val="center"/>
          </w:tcPr>
          <w:p w14:paraId="101C3B55"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Entry into force of Regulatory Decision/s on the connection of EV charging points</w:t>
            </w:r>
          </w:p>
        </w:tc>
      </w:tr>
      <w:tr w:rsidR="003734A7" w:rsidRPr="002E6897" w14:paraId="225BE5F4" w14:textId="77777777" w:rsidTr="002E6897">
        <w:trPr>
          <w:cantSplit/>
          <w:trHeight w:val="302"/>
          <w:jc w:val="center"/>
        </w:trPr>
        <w:tc>
          <w:tcPr>
            <w:tcW w:w="1726" w:type="dxa"/>
            <w:shd w:val="clear" w:color="auto" w:fill="C6EFCE"/>
            <w:noWrap/>
          </w:tcPr>
          <w:p w14:paraId="3B6406BC" w14:textId="77777777" w:rsidR="003734A7" w:rsidRPr="002E6897" w:rsidRDefault="003734A7" w:rsidP="00D8670B">
            <w:pPr>
              <w:spacing w:after="0"/>
              <w:jc w:val="center"/>
              <w:rPr>
                <w:rFonts w:ascii="Times New Roman" w:eastAsia="Times New Roman" w:hAnsi="Times New Roman" w:cs="Times New Roman"/>
                <w:noProof/>
                <w:color w:val="006100"/>
                <w:sz w:val="18"/>
                <w:szCs w:val="18"/>
                <w:lang w:eastAsia="en-GB"/>
              </w:rPr>
            </w:pPr>
            <w:r w:rsidRPr="002E6897">
              <w:rPr>
                <w:rFonts w:ascii="Times New Roman" w:hAnsi="Times New Roman" w:cs="Times New Roman"/>
                <w:noProof/>
                <w:sz w:val="18"/>
                <w:szCs w:val="18"/>
              </w:rPr>
              <w:t>154</w:t>
            </w:r>
          </w:p>
        </w:tc>
        <w:tc>
          <w:tcPr>
            <w:tcW w:w="4227" w:type="dxa"/>
            <w:shd w:val="clear" w:color="auto" w:fill="C6EFCE"/>
            <w:noWrap/>
          </w:tcPr>
          <w:p w14:paraId="07631F03"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C3.3I1</w:t>
            </w:r>
          </w:p>
          <w:p w14:paraId="00A958DC" w14:textId="23F938D8" w:rsidR="003734A7" w:rsidRPr="002E6897" w:rsidRDefault="003734A7" w:rsidP="00D8670B">
            <w:pPr>
              <w:spacing w:after="0"/>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Information system for the Department of</w:t>
            </w:r>
            <w:r w:rsidR="00064579" w:rsidRPr="002E6897">
              <w:rPr>
                <w:rFonts w:ascii="Times New Roman" w:eastAsia="Times New Roman" w:hAnsi="Times New Roman" w:cs="Times New Roman"/>
                <w:noProof/>
                <w:color w:val="000000" w:themeColor="text1"/>
                <w:sz w:val="18"/>
                <w:szCs w:val="18"/>
              </w:rPr>
              <w:t xml:space="preserve"> </w:t>
            </w:r>
            <w:r w:rsidRPr="002E6897">
              <w:rPr>
                <w:rFonts w:ascii="Times New Roman" w:eastAsia="Times New Roman" w:hAnsi="Times New Roman" w:cs="Times New Roman"/>
                <w:noProof/>
                <w:color w:val="000000" w:themeColor="text1"/>
                <w:sz w:val="18"/>
                <w:szCs w:val="18"/>
              </w:rPr>
              <w:t>Registrar of Companies and Intellectual Property</w:t>
            </w:r>
          </w:p>
        </w:tc>
        <w:tc>
          <w:tcPr>
            <w:tcW w:w="1130" w:type="dxa"/>
            <w:shd w:val="clear" w:color="auto" w:fill="C6EFCE"/>
            <w:noWrap/>
          </w:tcPr>
          <w:p w14:paraId="7BC2AE2F" w14:textId="77777777" w:rsidR="003734A7" w:rsidRPr="002E6897" w:rsidRDefault="003734A7" w:rsidP="002E6897">
            <w:pPr>
              <w:spacing w:after="0"/>
              <w:jc w:val="center"/>
              <w:rPr>
                <w:rFonts w:ascii="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2977" w:type="dxa"/>
            <w:shd w:val="clear" w:color="auto" w:fill="C6EFCE"/>
            <w:noWrap/>
          </w:tcPr>
          <w:p w14:paraId="22FEC1C2" w14:textId="08FCD12A" w:rsidR="003734A7" w:rsidRPr="002E6897" w:rsidRDefault="003734A7" w:rsidP="002E6897">
            <w:pPr>
              <w:spacing w:after="0"/>
              <w:jc w:val="both"/>
              <w:rPr>
                <w:rFonts w:ascii="Times New Roman" w:hAnsi="Times New Roman" w:cs="Times New Roman"/>
                <w:noProof/>
                <w:color w:val="006100"/>
                <w:sz w:val="18"/>
                <w:szCs w:val="18"/>
              </w:rPr>
            </w:pPr>
            <w:r w:rsidRPr="002E6897">
              <w:rPr>
                <w:rFonts w:ascii="Times New Roman" w:hAnsi="Times New Roman" w:cs="Times New Roman"/>
                <w:noProof/>
                <w:sz w:val="18"/>
                <w:szCs w:val="18"/>
              </w:rPr>
              <w:t xml:space="preserve">Training courses </w:t>
            </w:r>
          </w:p>
        </w:tc>
      </w:tr>
      <w:tr w:rsidR="003734A7" w:rsidRPr="002E6897" w14:paraId="43347841" w14:textId="77777777" w:rsidTr="002E6897">
        <w:trPr>
          <w:cantSplit/>
          <w:trHeight w:val="302"/>
          <w:jc w:val="center"/>
        </w:trPr>
        <w:tc>
          <w:tcPr>
            <w:tcW w:w="1726" w:type="dxa"/>
            <w:shd w:val="clear" w:color="auto" w:fill="C6EFCE"/>
            <w:noWrap/>
          </w:tcPr>
          <w:p w14:paraId="3A917724" w14:textId="77777777" w:rsidR="003734A7" w:rsidRPr="002E6897" w:rsidRDefault="003734A7" w:rsidP="00D8670B">
            <w:pPr>
              <w:spacing w:after="0"/>
              <w:jc w:val="center"/>
              <w:rPr>
                <w:rFonts w:ascii="Times New Roman" w:eastAsia="Times New Roman" w:hAnsi="Times New Roman" w:cs="Times New Roman"/>
                <w:noProof/>
                <w:color w:val="006100"/>
                <w:sz w:val="18"/>
                <w:szCs w:val="18"/>
                <w:lang w:eastAsia="en-GB"/>
              </w:rPr>
            </w:pPr>
            <w:r w:rsidRPr="002E6897">
              <w:rPr>
                <w:rFonts w:ascii="Times New Roman" w:hAnsi="Times New Roman" w:cs="Times New Roman"/>
                <w:noProof/>
                <w:sz w:val="18"/>
                <w:szCs w:val="18"/>
              </w:rPr>
              <w:t>104c</w:t>
            </w:r>
          </w:p>
        </w:tc>
        <w:tc>
          <w:tcPr>
            <w:tcW w:w="4227" w:type="dxa"/>
            <w:shd w:val="clear" w:color="auto" w:fill="C6EFCE"/>
            <w:noWrap/>
            <w:vAlign w:val="bottom"/>
          </w:tcPr>
          <w:p w14:paraId="79946E13" w14:textId="77777777" w:rsidR="003734A7" w:rsidRPr="002E6897" w:rsidRDefault="003734A7" w:rsidP="00D8670B">
            <w:pPr>
              <w:spacing w:after="0" w:line="240" w:lineRule="auto"/>
              <w:rPr>
                <w:rFonts w:ascii="Times New Roman" w:eastAsia="Calibri" w:hAnsi="Times New Roman" w:cs="Times New Roman"/>
                <w:noProof/>
                <w:sz w:val="18"/>
                <w:szCs w:val="18"/>
              </w:rPr>
            </w:pPr>
            <w:r w:rsidRPr="002E6897">
              <w:rPr>
                <w:rFonts w:ascii="Times New Roman" w:eastAsia="Calibri" w:hAnsi="Times New Roman" w:cs="Times New Roman"/>
                <w:noProof/>
                <w:sz w:val="18"/>
                <w:szCs w:val="18"/>
              </w:rPr>
              <w:t>C3.1I8</w:t>
            </w:r>
          </w:p>
          <w:p w14:paraId="4E4FD27A" w14:textId="77777777" w:rsidR="003734A7" w:rsidRPr="002E6897" w:rsidRDefault="003734A7" w:rsidP="00D8670B">
            <w:pPr>
              <w:spacing w:after="0"/>
              <w:rPr>
                <w:rFonts w:ascii="Times New Roman" w:eastAsia="Times New Roman" w:hAnsi="Times New Roman" w:cs="Times New Roman"/>
                <w:noProof/>
                <w:color w:val="006100"/>
                <w:sz w:val="18"/>
                <w:szCs w:val="18"/>
                <w:lang w:eastAsia="en-GB"/>
              </w:rPr>
            </w:pPr>
            <w:r w:rsidRPr="002E6897">
              <w:rPr>
                <w:rFonts w:ascii="Times New Roman" w:eastAsia="Times New Roman" w:hAnsi="Times New Roman" w:cs="Times New Roman"/>
                <w:noProof/>
                <w:color w:val="000000" w:themeColor="text1"/>
                <w:sz w:val="18"/>
                <w:szCs w:val="18"/>
              </w:rPr>
              <w:t>Added value of tourism</w:t>
            </w:r>
            <w:r w:rsidRPr="002E6897">
              <w:rPr>
                <w:rFonts w:ascii="Times New Roman" w:eastAsia="Times New Roman" w:hAnsi="Times New Roman" w:cs="Times New Roman"/>
                <w:noProof/>
                <w:sz w:val="18"/>
                <w:szCs w:val="18"/>
              </w:rPr>
              <w:t xml:space="preserve"> </w:t>
            </w:r>
          </w:p>
        </w:tc>
        <w:tc>
          <w:tcPr>
            <w:tcW w:w="1130" w:type="dxa"/>
            <w:shd w:val="clear" w:color="auto" w:fill="C6EFCE"/>
            <w:noWrap/>
          </w:tcPr>
          <w:p w14:paraId="674A6AA9" w14:textId="77777777" w:rsidR="003734A7" w:rsidRPr="002E6897" w:rsidRDefault="003734A7" w:rsidP="002E6897">
            <w:pPr>
              <w:spacing w:after="0"/>
              <w:jc w:val="center"/>
              <w:rPr>
                <w:rFonts w:ascii="Times New Roman" w:hAnsi="Times New Roman" w:cs="Times New Roman"/>
                <w:noProof/>
                <w:color w:val="006100"/>
                <w:sz w:val="18"/>
                <w:szCs w:val="18"/>
              </w:rPr>
            </w:pPr>
            <w:r w:rsidRPr="002E6897">
              <w:rPr>
                <w:rFonts w:ascii="Times New Roman" w:eastAsia="Calibri" w:hAnsi="Times New Roman" w:cs="Times New Roman"/>
                <w:noProof/>
                <w:sz w:val="18"/>
                <w:szCs w:val="18"/>
              </w:rPr>
              <w:t>Milestone</w:t>
            </w:r>
          </w:p>
        </w:tc>
        <w:tc>
          <w:tcPr>
            <w:tcW w:w="2977" w:type="dxa"/>
            <w:shd w:val="clear" w:color="auto" w:fill="C6EFCE"/>
            <w:noWrap/>
          </w:tcPr>
          <w:p w14:paraId="2CEAB528" w14:textId="352300A6" w:rsidR="003734A7" w:rsidRPr="002E6897" w:rsidRDefault="003734A7" w:rsidP="002E6897">
            <w:pPr>
              <w:spacing w:after="0"/>
              <w:jc w:val="both"/>
              <w:rPr>
                <w:rFonts w:ascii="Times New Roman" w:hAnsi="Times New Roman" w:cs="Times New Roman"/>
                <w:noProof/>
                <w:color w:val="006100"/>
                <w:sz w:val="18"/>
                <w:szCs w:val="18"/>
              </w:rPr>
            </w:pPr>
            <w:r w:rsidRPr="002E6897">
              <w:rPr>
                <w:rFonts w:ascii="Times New Roman" w:eastAsia="Calibri" w:hAnsi="Times New Roman" w:cs="Times New Roman"/>
                <w:noProof/>
                <w:sz w:val="18"/>
                <w:szCs w:val="18"/>
              </w:rPr>
              <w:t>Renovation works and equipment for</w:t>
            </w:r>
            <w:r w:rsidR="00064579" w:rsidRPr="002E6897">
              <w:rPr>
                <w:rFonts w:ascii="Times New Roman" w:eastAsia="Calibri" w:hAnsi="Times New Roman" w:cs="Times New Roman"/>
                <w:noProof/>
                <w:sz w:val="18"/>
                <w:szCs w:val="18"/>
              </w:rPr>
              <w:t xml:space="preserve"> </w:t>
            </w:r>
            <w:r w:rsidRPr="002E6897">
              <w:rPr>
                <w:rFonts w:ascii="Times New Roman" w:eastAsia="Calibri" w:hAnsi="Times New Roman" w:cs="Times New Roman"/>
                <w:noProof/>
                <w:sz w:val="18"/>
                <w:szCs w:val="18"/>
              </w:rPr>
              <w:t>Filoxenia Conference Centre</w:t>
            </w:r>
          </w:p>
        </w:tc>
      </w:tr>
      <w:tr w:rsidR="003734A7" w:rsidRPr="002E6897" w14:paraId="6604832F" w14:textId="77777777" w:rsidTr="002E6897">
        <w:trPr>
          <w:cantSplit/>
          <w:trHeight w:val="302"/>
          <w:jc w:val="center"/>
        </w:trPr>
        <w:tc>
          <w:tcPr>
            <w:tcW w:w="1726" w:type="dxa"/>
            <w:shd w:val="clear" w:color="auto" w:fill="C6EFCE"/>
            <w:noWrap/>
            <w:vAlign w:val="bottom"/>
          </w:tcPr>
          <w:p w14:paraId="4EF61C58" w14:textId="77777777" w:rsidR="003734A7" w:rsidRPr="002E6897" w:rsidRDefault="003734A7" w:rsidP="00D8670B">
            <w:pPr>
              <w:spacing w:after="0"/>
              <w:jc w:val="center"/>
              <w:rPr>
                <w:rFonts w:ascii="Times New Roman" w:eastAsia="Times New Roman" w:hAnsi="Times New Roman" w:cs="Times New Roman"/>
                <w:noProof/>
                <w:sz w:val="18"/>
                <w:szCs w:val="18"/>
                <w:lang w:eastAsia="en-GB"/>
              </w:rPr>
            </w:pPr>
            <w:r w:rsidRPr="002E6897">
              <w:rPr>
                <w:rFonts w:ascii="Times New Roman" w:eastAsia="Times New Roman" w:hAnsi="Times New Roman" w:cs="Times New Roman"/>
                <w:noProof/>
                <w:sz w:val="18"/>
                <w:szCs w:val="18"/>
                <w:lang w:eastAsia="en-GB"/>
              </w:rPr>
              <w:t>191a</w:t>
            </w:r>
          </w:p>
        </w:tc>
        <w:tc>
          <w:tcPr>
            <w:tcW w:w="4227" w:type="dxa"/>
            <w:shd w:val="clear" w:color="auto" w:fill="C6EFCE"/>
            <w:noWrap/>
            <w:vAlign w:val="bottom"/>
          </w:tcPr>
          <w:p w14:paraId="52AA47CA" w14:textId="77777777" w:rsidR="003734A7" w:rsidRPr="002E6897" w:rsidRDefault="003734A7" w:rsidP="00D8670B">
            <w:pPr>
              <w:spacing w:after="0"/>
              <w:rPr>
                <w:rFonts w:ascii="Times New Roman" w:eastAsia="Times New Roman" w:hAnsi="Times New Roman" w:cs="Times New Roman"/>
                <w:noProof/>
                <w:sz w:val="18"/>
                <w:szCs w:val="18"/>
                <w:lang w:eastAsia="en-GB"/>
              </w:rPr>
            </w:pPr>
            <w:r w:rsidRPr="002E6897">
              <w:rPr>
                <w:rFonts w:ascii="Times New Roman" w:eastAsia="Times New Roman" w:hAnsi="Times New Roman" w:cs="Times New Roman"/>
                <w:noProof/>
                <w:sz w:val="18"/>
                <w:szCs w:val="18"/>
                <w:lang w:eastAsia="en-GB"/>
              </w:rPr>
              <w:t>C3.5R11</w:t>
            </w:r>
          </w:p>
          <w:p w14:paraId="6990F8D5" w14:textId="2014B82B" w:rsidR="003734A7" w:rsidRPr="002E6897" w:rsidRDefault="003734A7" w:rsidP="00D8670B">
            <w:pPr>
              <w:spacing w:after="0" w:line="240" w:lineRule="auto"/>
              <w:rPr>
                <w:rFonts w:ascii="Times New Roman" w:eastAsia="Times New Roman" w:hAnsi="Times New Roman" w:cs="Times New Roman"/>
                <w:noProof/>
                <w:sz w:val="18"/>
                <w:szCs w:val="18"/>
                <w:lang w:eastAsia="en-IE"/>
              </w:rPr>
            </w:pPr>
            <w:r w:rsidRPr="002E6897">
              <w:rPr>
                <w:rFonts w:ascii="Times New Roman" w:eastAsia="Times New Roman" w:hAnsi="Times New Roman" w:cs="Times New Roman"/>
                <w:noProof/>
                <w:sz w:val="18"/>
                <w:szCs w:val="18"/>
              </w:rPr>
              <w:t>Legal framework for a National Sanctions Implementation Unit</w:t>
            </w:r>
            <w:r w:rsidR="00064579" w:rsidRPr="002E6897">
              <w:rPr>
                <w:rFonts w:ascii="Times New Roman" w:eastAsia="Times New Roman" w:hAnsi="Times New Roman" w:cs="Times New Roman"/>
                <w:noProof/>
                <w:sz w:val="18"/>
                <w:szCs w:val="18"/>
              </w:rPr>
              <w:t xml:space="preserve"> </w:t>
            </w:r>
          </w:p>
          <w:p w14:paraId="79A6E528" w14:textId="77777777" w:rsidR="003734A7" w:rsidRPr="002E6897" w:rsidRDefault="003734A7" w:rsidP="00D8670B">
            <w:pPr>
              <w:spacing w:after="0"/>
              <w:rPr>
                <w:rFonts w:ascii="Times New Roman" w:eastAsia="Times New Roman" w:hAnsi="Times New Roman" w:cs="Times New Roman"/>
                <w:noProof/>
                <w:sz w:val="18"/>
                <w:szCs w:val="18"/>
                <w:lang w:eastAsia="en-GB"/>
              </w:rPr>
            </w:pPr>
          </w:p>
        </w:tc>
        <w:tc>
          <w:tcPr>
            <w:tcW w:w="1130" w:type="dxa"/>
            <w:shd w:val="clear" w:color="auto" w:fill="C6EFCE"/>
            <w:noWrap/>
            <w:vAlign w:val="bottom"/>
          </w:tcPr>
          <w:p w14:paraId="12B2314F"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2977" w:type="dxa"/>
            <w:shd w:val="clear" w:color="auto" w:fill="C6EFCE"/>
            <w:noWrap/>
            <w:vAlign w:val="bottom"/>
          </w:tcPr>
          <w:p w14:paraId="591A6E40" w14:textId="0F8AD822" w:rsidR="003734A7" w:rsidRPr="002E6897" w:rsidRDefault="003734A7" w:rsidP="00905EAD">
            <w:pPr>
              <w:spacing w:after="0" w:line="240" w:lineRule="auto"/>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Legal framework for a National Sanctions Implementation Unit</w:t>
            </w:r>
            <w:r w:rsidR="00064579" w:rsidRPr="002E6897">
              <w:rPr>
                <w:rFonts w:ascii="Times New Roman" w:eastAsia="Times New Roman" w:hAnsi="Times New Roman" w:cs="Times New Roman"/>
                <w:noProof/>
                <w:color w:val="000000" w:themeColor="text1"/>
                <w:sz w:val="18"/>
                <w:szCs w:val="18"/>
              </w:rPr>
              <w:t xml:space="preserve"> </w:t>
            </w:r>
          </w:p>
        </w:tc>
      </w:tr>
      <w:tr w:rsidR="003734A7" w:rsidRPr="002E6897" w14:paraId="01924B38" w14:textId="77777777" w:rsidTr="002E6897">
        <w:trPr>
          <w:cantSplit/>
          <w:trHeight w:val="302"/>
          <w:jc w:val="center"/>
        </w:trPr>
        <w:tc>
          <w:tcPr>
            <w:tcW w:w="1726" w:type="dxa"/>
            <w:shd w:val="clear" w:color="auto" w:fill="C6EFCE"/>
            <w:noWrap/>
            <w:vAlign w:val="bottom"/>
          </w:tcPr>
          <w:p w14:paraId="56299E87" w14:textId="77777777" w:rsidR="003734A7" w:rsidRPr="002E6897" w:rsidRDefault="003734A7" w:rsidP="00D8670B">
            <w:pPr>
              <w:spacing w:after="0"/>
              <w:jc w:val="center"/>
              <w:rPr>
                <w:rFonts w:ascii="Times New Roman" w:eastAsia="Times New Roman" w:hAnsi="Times New Roman" w:cs="Times New Roman"/>
                <w:noProof/>
                <w:color w:val="006100"/>
                <w:sz w:val="18"/>
                <w:szCs w:val="18"/>
                <w:lang w:eastAsia="en-GB"/>
              </w:rPr>
            </w:pPr>
          </w:p>
        </w:tc>
        <w:tc>
          <w:tcPr>
            <w:tcW w:w="4227" w:type="dxa"/>
            <w:shd w:val="clear" w:color="auto" w:fill="C6EFCE"/>
            <w:noWrap/>
            <w:vAlign w:val="bottom"/>
          </w:tcPr>
          <w:p w14:paraId="15B395EF" w14:textId="77777777" w:rsidR="003734A7" w:rsidRPr="002E6897" w:rsidRDefault="003734A7" w:rsidP="00D8670B">
            <w:pPr>
              <w:spacing w:after="0"/>
              <w:rPr>
                <w:rFonts w:ascii="Times New Roman" w:eastAsia="Times New Roman" w:hAnsi="Times New Roman" w:cs="Times New Roman"/>
                <w:noProof/>
                <w:color w:val="006100"/>
                <w:sz w:val="18"/>
                <w:szCs w:val="18"/>
                <w:lang w:eastAsia="en-GB"/>
              </w:rPr>
            </w:pPr>
          </w:p>
        </w:tc>
        <w:tc>
          <w:tcPr>
            <w:tcW w:w="1130" w:type="dxa"/>
            <w:shd w:val="clear" w:color="auto" w:fill="C6EFCE"/>
            <w:noWrap/>
            <w:vAlign w:val="bottom"/>
            <w:hideMark/>
          </w:tcPr>
          <w:p w14:paraId="258BB317" w14:textId="77777777"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color w:val="006100"/>
                <w:sz w:val="18"/>
                <w:szCs w:val="18"/>
              </w:rPr>
              <w:t>Instalment Amount</w:t>
            </w:r>
          </w:p>
        </w:tc>
        <w:tc>
          <w:tcPr>
            <w:tcW w:w="2977" w:type="dxa"/>
            <w:shd w:val="clear" w:color="auto" w:fill="C6EFCE"/>
            <w:noWrap/>
            <w:vAlign w:val="bottom"/>
            <w:hideMark/>
          </w:tcPr>
          <w:p w14:paraId="7B6234D8" w14:textId="7151AB19" w:rsidR="003734A7" w:rsidRPr="002E6897" w:rsidRDefault="003734A7" w:rsidP="000345F8">
            <w:pPr>
              <w:spacing w:after="0"/>
              <w:rPr>
                <w:rFonts w:ascii="Times New Roman" w:eastAsia="Times New Roman" w:hAnsi="Times New Roman" w:cs="Times New Roman"/>
                <w:noProof/>
                <w:color w:val="006100"/>
                <w:sz w:val="18"/>
                <w:szCs w:val="18"/>
              </w:rPr>
            </w:pPr>
            <w:r w:rsidRPr="002E6897">
              <w:rPr>
                <w:rFonts w:ascii="Times New Roman" w:hAnsi="Times New Roman" w:cs="Times New Roman"/>
                <w:noProof/>
                <w:color w:val="006100"/>
                <w:sz w:val="18"/>
                <w:szCs w:val="18"/>
              </w:rPr>
              <w:t>EUR</w:t>
            </w:r>
            <w:r w:rsidR="00905EAD">
              <w:rPr>
                <w:rFonts w:ascii="Times New Roman" w:hAnsi="Times New Roman" w:cs="Times New Roman"/>
                <w:noProof/>
                <w:color w:val="006100"/>
                <w:sz w:val="18"/>
                <w:szCs w:val="18"/>
              </w:rPr>
              <w:t> </w:t>
            </w:r>
            <w:r w:rsidR="26FC56B6" w:rsidRPr="002E6897">
              <w:rPr>
                <w:rFonts w:ascii="Times New Roman" w:hAnsi="Times New Roman" w:cs="Times New Roman"/>
                <w:noProof/>
                <w:color w:val="006100"/>
                <w:sz w:val="18"/>
                <w:szCs w:val="18"/>
              </w:rPr>
              <w:t>125</w:t>
            </w:r>
            <w:r w:rsidR="00905EAD">
              <w:rPr>
                <w:rFonts w:ascii="Times New Roman" w:hAnsi="Times New Roman" w:cs="Times New Roman"/>
                <w:noProof/>
                <w:color w:val="006100"/>
                <w:sz w:val="18"/>
                <w:szCs w:val="18"/>
              </w:rPr>
              <w:t> </w:t>
            </w:r>
            <w:r w:rsidR="26FC56B6" w:rsidRPr="002E6897">
              <w:rPr>
                <w:rFonts w:ascii="Times New Roman" w:hAnsi="Times New Roman" w:cs="Times New Roman"/>
                <w:noProof/>
                <w:color w:val="006100"/>
                <w:sz w:val="18"/>
                <w:szCs w:val="18"/>
              </w:rPr>
              <w:t>604</w:t>
            </w:r>
            <w:r w:rsidR="00905EAD">
              <w:rPr>
                <w:rFonts w:ascii="Times New Roman" w:hAnsi="Times New Roman" w:cs="Times New Roman"/>
                <w:noProof/>
                <w:color w:val="006100"/>
                <w:sz w:val="18"/>
                <w:szCs w:val="18"/>
              </w:rPr>
              <w:t> </w:t>
            </w:r>
            <w:r w:rsidR="26FC56B6" w:rsidRPr="002E6897">
              <w:rPr>
                <w:rFonts w:ascii="Times New Roman" w:hAnsi="Times New Roman" w:cs="Times New Roman"/>
                <w:noProof/>
                <w:color w:val="006100"/>
                <w:sz w:val="18"/>
                <w:szCs w:val="18"/>
              </w:rPr>
              <w:t>020</w:t>
            </w:r>
          </w:p>
        </w:tc>
      </w:tr>
    </w:tbl>
    <w:p w14:paraId="645C437C" w14:textId="77777777" w:rsidR="003734A7" w:rsidRPr="000F04FA" w:rsidRDefault="003734A7" w:rsidP="00D8670B">
      <w:pPr>
        <w:rPr>
          <w:noProof/>
        </w:rPr>
        <w:sectPr w:rsidR="003734A7" w:rsidRPr="000F04FA" w:rsidSect="003734A7">
          <w:headerReference w:type="default" r:id="rId124"/>
          <w:footerReference w:type="default" r:id="rId125"/>
          <w:pgSz w:w="11907" w:h="16839"/>
          <w:pgMar w:top="1134" w:right="1134" w:bottom="1134" w:left="1134" w:header="567" w:footer="567" w:gutter="0"/>
          <w:cols w:space="720"/>
          <w:docGrid w:linePitch="360"/>
        </w:sectPr>
      </w:pPr>
    </w:p>
    <w:p w14:paraId="4295E954" w14:textId="77777777" w:rsidR="003734A7" w:rsidRPr="000F04FA" w:rsidRDefault="003734A7" w:rsidP="00D8670B">
      <w:pPr>
        <w:pStyle w:val="NumPar2"/>
        <w:tabs>
          <w:tab w:val="num" w:pos="850"/>
        </w:tabs>
        <w:ind w:left="850" w:hanging="850"/>
        <w:rPr>
          <w:noProof/>
          <w:lang w:val="en-US"/>
        </w:rPr>
      </w:pPr>
      <w:r w:rsidRPr="000F04FA">
        <w:rPr>
          <w:noProof/>
          <w:lang w:val="en-US"/>
        </w:rPr>
        <w:t xml:space="preserve">Ninth Instalment (non-repayable support): </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3324"/>
        <w:gridCol w:w="1607"/>
        <w:gridCol w:w="3525"/>
      </w:tblGrid>
      <w:tr w:rsidR="003734A7" w:rsidRPr="002E6897" w14:paraId="5DB3325C" w14:textId="77777777" w:rsidTr="00905EAD">
        <w:trPr>
          <w:cantSplit/>
          <w:trHeight w:val="509"/>
          <w:tblHeader/>
          <w:jc w:val="center"/>
        </w:trPr>
        <w:tc>
          <w:tcPr>
            <w:tcW w:w="1177" w:type="dxa"/>
            <w:vMerge w:val="restart"/>
            <w:shd w:val="clear" w:color="auto" w:fill="BDD7EE"/>
            <w:vAlign w:val="center"/>
            <w:hideMark/>
          </w:tcPr>
          <w:p w14:paraId="0C25156F" w14:textId="77777777" w:rsidR="003734A7" w:rsidRPr="002E6897" w:rsidRDefault="003734A7" w:rsidP="00D8670B">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Sequential Number</w:t>
            </w:r>
          </w:p>
        </w:tc>
        <w:tc>
          <w:tcPr>
            <w:tcW w:w="3301" w:type="dxa"/>
            <w:vMerge w:val="restart"/>
            <w:shd w:val="clear" w:color="auto" w:fill="BDD7EE"/>
            <w:vAlign w:val="center"/>
            <w:hideMark/>
          </w:tcPr>
          <w:p w14:paraId="05B3F59B" w14:textId="77777777" w:rsidR="003734A7" w:rsidRPr="002E6897" w:rsidRDefault="003734A7" w:rsidP="00D8670B">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Related Measure (Reform or Investment)</w:t>
            </w:r>
          </w:p>
        </w:tc>
        <w:tc>
          <w:tcPr>
            <w:tcW w:w="1613" w:type="dxa"/>
            <w:vMerge w:val="restart"/>
            <w:shd w:val="clear" w:color="auto" w:fill="BDD7EE"/>
            <w:vAlign w:val="center"/>
            <w:hideMark/>
          </w:tcPr>
          <w:p w14:paraId="63E1EA36" w14:textId="5FA12B1B" w:rsidR="003734A7" w:rsidRPr="002E6897" w:rsidRDefault="003734A7" w:rsidP="002E6897">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Milestone/Target</w:t>
            </w:r>
          </w:p>
        </w:tc>
        <w:tc>
          <w:tcPr>
            <w:tcW w:w="3538" w:type="dxa"/>
            <w:vMerge w:val="restart"/>
            <w:shd w:val="clear" w:color="auto" w:fill="BDD7EE"/>
            <w:vAlign w:val="center"/>
            <w:hideMark/>
          </w:tcPr>
          <w:p w14:paraId="6CE30E94" w14:textId="77777777" w:rsidR="003734A7" w:rsidRPr="002E6897" w:rsidRDefault="003734A7" w:rsidP="002E6897">
            <w:pPr>
              <w:spacing w:after="0"/>
              <w:jc w:val="center"/>
              <w:rPr>
                <w:rFonts w:ascii="Times New Roman" w:eastAsia="Times New Roman" w:hAnsi="Times New Roman" w:cs="Times New Roman"/>
                <w:b/>
                <w:noProof/>
                <w:sz w:val="18"/>
                <w:szCs w:val="18"/>
              </w:rPr>
            </w:pPr>
            <w:r w:rsidRPr="002E6897">
              <w:rPr>
                <w:rFonts w:ascii="Times New Roman" w:hAnsi="Times New Roman" w:cs="Times New Roman"/>
                <w:b/>
                <w:noProof/>
                <w:sz w:val="18"/>
                <w:szCs w:val="18"/>
              </w:rPr>
              <w:t>Name</w:t>
            </w:r>
          </w:p>
        </w:tc>
      </w:tr>
      <w:tr w:rsidR="003734A7" w:rsidRPr="002E6897" w14:paraId="76EC9695" w14:textId="77777777" w:rsidTr="00905EAD">
        <w:trPr>
          <w:cantSplit/>
          <w:trHeight w:val="509"/>
          <w:tblHeader/>
          <w:jc w:val="center"/>
        </w:trPr>
        <w:tc>
          <w:tcPr>
            <w:tcW w:w="1177" w:type="dxa"/>
            <w:vMerge/>
            <w:vAlign w:val="center"/>
            <w:hideMark/>
          </w:tcPr>
          <w:p w14:paraId="3E9FD128" w14:textId="77777777" w:rsidR="003734A7" w:rsidRPr="002E6897" w:rsidRDefault="003734A7" w:rsidP="00D8670B">
            <w:pPr>
              <w:spacing w:after="0"/>
              <w:rPr>
                <w:rFonts w:ascii="Times New Roman" w:eastAsia="Times New Roman" w:hAnsi="Times New Roman" w:cs="Times New Roman"/>
                <w:b/>
                <w:noProof/>
                <w:sz w:val="18"/>
                <w:szCs w:val="18"/>
                <w:lang w:eastAsia="en-GB"/>
              </w:rPr>
            </w:pPr>
          </w:p>
        </w:tc>
        <w:tc>
          <w:tcPr>
            <w:tcW w:w="3301" w:type="dxa"/>
            <w:vMerge/>
            <w:vAlign w:val="center"/>
            <w:hideMark/>
          </w:tcPr>
          <w:p w14:paraId="1427CE4A" w14:textId="77777777" w:rsidR="003734A7" w:rsidRPr="002E6897" w:rsidRDefault="003734A7" w:rsidP="00D8670B">
            <w:pPr>
              <w:spacing w:after="0"/>
              <w:rPr>
                <w:rFonts w:ascii="Times New Roman" w:eastAsia="Times New Roman" w:hAnsi="Times New Roman" w:cs="Times New Roman"/>
                <w:b/>
                <w:noProof/>
                <w:sz w:val="18"/>
                <w:szCs w:val="18"/>
                <w:lang w:eastAsia="en-GB"/>
              </w:rPr>
            </w:pPr>
          </w:p>
        </w:tc>
        <w:tc>
          <w:tcPr>
            <w:tcW w:w="1613" w:type="dxa"/>
            <w:vMerge/>
            <w:vAlign w:val="center"/>
            <w:hideMark/>
          </w:tcPr>
          <w:p w14:paraId="5621AFCB" w14:textId="77777777" w:rsidR="003734A7" w:rsidRPr="002E6897" w:rsidRDefault="003734A7" w:rsidP="002E6897">
            <w:pPr>
              <w:spacing w:after="0"/>
              <w:jc w:val="center"/>
              <w:rPr>
                <w:rFonts w:ascii="Times New Roman" w:eastAsia="Times New Roman" w:hAnsi="Times New Roman" w:cs="Times New Roman"/>
                <w:b/>
                <w:noProof/>
                <w:sz w:val="18"/>
                <w:szCs w:val="18"/>
                <w:lang w:eastAsia="en-GB"/>
              </w:rPr>
            </w:pPr>
          </w:p>
        </w:tc>
        <w:tc>
          <w:tcPr>
            <w:tcW w:w="3538" w:type="dxa"/>
            <w:vMerge/>
            <w:vAlign w:val="center"/>
            <w:hideMark/>
          </w:tcPr>
          <w:p w14:paraId="6561E073" w14:textId="77777777" w:rsidR="003734A7" w:rsidRPr="002E6897" w:rsidRDefault="003734A7" w:rsidP="002E6897">
            <w:pPr>
              <w:spacing w:after="0"/>
              <w:jc w:val="both"/>
              <w:rPr>
                <w:rFonts w:ascii="Times New Roman" w:eastAsia="Times New Roman" w:hAnsi="Times New Roman" w:cs="Times New Roman"/>
                <w:b/>
                <w:noProof/>
                <w:sz w:val="18"/>
                <w:szCs w:val="18"/>
                <w:lang w:eastAsia="en-GB"/>
              </w:rPr>
            </w:pPr>
          </w:p>
        </w:tc>
      </w:tr>
      <w:tr w:rsidR="003734A7" w:rsidRPr="002E6897" w14:paraId="07C927A8" w14:textId="77777777" w:rsidTr="00905EAD">
        <w:trPr>
          <w:cantSplit/>
          <w:trHeight w:val="302"/>
          <w:jc w:val="center"/>
        </w:trPr>
        <w:tc>
          <w:tcPr>
            <w:tcW w:w="1177" w:type="dxa"/>
            <w:shd w:val="clear" w:color="auto" w:fill="C6EFCE"/>
            <w:noWrap/>
          </w:tcPr>
          <w:p w14:paraId="6D59C72A"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12</w:t>
            </w:r>
          </w:p>
        </w:tc>
        <w:tc>
          <w:tcPr>
            <w:tcW w:w="3301" w:type="dxa"/>
            <w:shd w:val="clear" w:color="auto" w:fill="C6EFCE"/>
            <w:noWrap/>
          </w:tcPr>
          <w:p w14:paraId="283A8BF9"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C1.1I4</w:t>
            </w:r>
          </w:p>
          <w:p w14:paraId="691890B8" w14:textId="651DD358"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Accreditation of health institutions</w:t>
            </w:r>
            <w:r w:rsidRPr="002E6897">
              <w:rPr>
                <w:rFonts w:ascii="Times New Roman" w:hAnsi="Times New Roman" w:cs="Times New Roman"/>
                <w:noProof/>
                <w:sz w:val="18"/>
                <w:szCs w:val="18"/>
              </w:rPr>
              <w:t xml:space="preserve"> </w:t>
            </w:r>
          </w:p>
        </w:tc>
        <w:tc>
          <w:tcPr>
            <w:tcW w:w="1613" w:type="dxa"/>
            <w:shd w:val="clear" w:color="auto" w:fill="C6EFCE"/>
            <w:noWrap/>
          </w:tcPr>
          <w:p w14:paraId="6E74C4B3"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10AAE969"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Health institutions have received financial support for their accreditation</w:t>
            </w:r>
          </w:p>
        </w:tc>
      </w:tr>
      <w:tr w:rsidR="0045606D" w:rsidRPr="002E6897" w14:paraId="6AF8D04F" w14:textId="77777777" w:rsidTr="00905EAD">
        <w:trPr>
          <w:cantSplit/>
          <w:trHeight w:val="302"/>
          <w:jc w:val="center"/>
        </w:trPr>
        <w:tc>
          <w:tcPr>
            <w:tcW w:w="1177" w:type="dxa"/>
            <w:shd w:val="clear" w:color="auto" w:fill="C6EFCE"/>
            <w:noWrap/>
          </w:tcPr>
          <w:p w14:paraId="29174263" w14:textId="12204DD2" w:rsidR="0045606D" w:rsidRPr="002E6897" w:rsidRDefault="0045606D" w:rsidP="0045606D">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19</w:t>
            </w:r>
          </w:p>
        </w:tc>
        <w:tc>
          <w:tcPr>
            <w:tcW w:w="3301" w:type="dxa"/>
            <w:shd w:val="clear" w:color="auto" w:fill="C6EFCE"/>
            <w:noWrap/>
          </w:tcPr>
          <w:p w14:paraId="1384BA12" w14:textId="77777777" w:rsidR="0045606D" w:rsidRPr="002E6897" w:rsidRDefault="0045606D" w:rsidP="0045606D">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C2.1R1</w:t>
            </w:r>
          </w:p>
          <w:p w14:paraId="7C5A9F63" w14:textId="65E308A6" w:rsidR="0045606D" w:rsidRPr="002E6897" w:rsidRDefault="0045606D" w:rsidP="0045606D">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Green Taxation </w:t>
            </w:r>
          </w:p>
        </w:tc>
        <w:tc>
          <w:tcPr>
            <w:tcW w:w="1613" w:type="dxa"/>
            <w:shd w:val="clear" w:color="auto" w:fill="C6EFCE"/>
            <w:noWrap/>
          </w:tcPr>
          <w:p w14:paraId="3BA1877C" w14:textId="51CFA66A" w:rsidR="0045606D" w:rsidRPr="002E6897" w:rsidRDefault="0045606D"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3ED776E4" w14:textId="18DE6A60" w:rsidR="0045606D" w:rsidRPr="002E6897" w:rsidRDefault="0045606D" w:rsidP="002E6897">
            <w:pPr>
              <w:spacing w:after="0"/>
              <w:jc w:val="both"/>
              <w:rPr>
                <w:rFonts w:ascii="Times New Roman" w:eastAsia="Times New Roman" w:hAnsi="Times New Roman" w:cs="Times New Roman"/>
                <w:noProof/>
                <w:color w:val="000000" w:themeColor="text1"/>
                <w:sz w:val="18"/>
                <w:szCs w:val="18"/>
              </w:rPr>
            </w:pPr>
            <w:r w:rsidRPr="002E6897">
              <w:rPr>
                <w:rFonts w:ascii="Times New Roman" w:hAnsi="Times New Roman" w:cs="Times New Roman"/>
                <w:noProof/>
                <w:sz w:val="18"/>
                <w:szCs w:val="18"/>
              </w:rPr>
              <w:t>Entry into force of legal acts introducing a carbon tax on transport fuels, an increase of existing water fees</w:t>
            </w:r>
            <w:r w:rsidR="001F4285"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 charge on the landfill of municipal waste</w:t>
            </w:r>
            <w:r w:rsidR="001F4285" w:rsidRPr="002E6897">
              <w:rPr>
                <w:rFonts w:ascii="Times New Roman" w:hAnsi="Times New Roman" w:cs="Times New Roman"/>
                <w:noProof/>
                <w:sz w:val="18"/>
                <w:szCs w:val="18"/>
              </w:rPr>
              <w:t>, and tax incentives for enterprises and individual</w:t>
            </w:r>
            <w:r w:rsidR="00FE1886" w:rsidRPr="002E6897">
              <w:rPr>
                <w:rFonts w:ascii="Times New Roman" w:hAnsi="Times New Roman" w:cs="Times New Roman"/>
                <w:noProof/>
                <w:sz w:val="18"/>
                <w:szCs w:val="18"/>
              </w:rPr>
              <w:t>s.</w:t>
            </w:r>
          </w:p>
        </w:tc>
      </w:tr>
      <w:tr w:rsidR="003734A7" w:rsidRPr="002E6897" w14:paraId="5868E301" w14:textId="77777777" w:rsidTr="00905EAD">
        <w:trPr>
          <w:cantSplit/>
          <w:trHeight w:val="302"/>
          <w:jc w:val="center"/>
        </w:trPr>
        <w:tc>
          <w:tcPr>
            <w:tcW w:w="1177" w:type="dxa"/>
            <w:shd w:val="clear" w:color="auto" w:fill="C6EFCE"/>
            <w:noWrap/>
          </w:tcPr>
          <w:p w14:paraId="4B030896" w14:textId="77777777" w:rsidR="003734A7" w:rsidRPr="002E6897" w:rsidDel="5562373A"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32c</w:t>
            </w:r>
          </w:p>
        </w:tc>
        <w:tc>
          <w:tcPr>
            <w:tcW w:w="3301" w:type="dxa"/>
            <w:shd w:val="clear" w:color="auto" w:fill="C6EFCE"/>
            <w:noWrap/>
          </w:tcPr>
          <w:p w14:paraId="4E6D30F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C2.1I3</w:t>
            </w:r>
          </w:p>
          <w:p w14:paraId="4DFB6E35" w14:textId="4441BB26" w:rsidR="003734A7" w:rsidRPr="002E6897" w:rsidDel="5562373A"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Facilitating the transition of local communities towards climate investments</w:t>
            </w:r>
          </w:p>
        </w:tc>
        <w:tc>
          <w:tcPr>
            <w:tcW w:w="1613" w:type="dxa"/>
            <w:shd w:val="clear" w:color="auto" w:fill="C6EFCE"/>
            <w:noWrap/>
          </w:tcPr>
          <w:p w14:paraId="41BFCD3B" w14:textId="77777777" w:rsidR="003734A7" w:rsidRPr="002E6897" w:rsidDel="5562373A"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76313270" w14:textId="77777777" w:rsidR="003734A7" w:rsidRPr="002E6897" w:rsidDel="5562373A"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Grant scheme to support sustainable climate adaptation investments</w:t>
            </w:r>
          </w:p>
        </w:tc>
      </w:tr>
      <w:tr w:rsidR="003734A7" w:rsidRPr="002E6897" w14:paraId="4F1722AC" w14:textId="77777777" w:rsidTr="00905EAD">
        <w:trPr>
          <w:cantSplit/>
          <w:trHeight w:val="302"/>
          <w:jc w:val="center"/>
        </w:trPr>
        <w:tc>
          <w:tcPr>
            <w:tcW w:w="1177" w:type="dxa"/>
            <w:shd w:val="clear" w:color="auto" w:fill="C6EFCE"/>
            <w:noWrap/>
          </w:tcPr>
          <w:p w14:paraId="4AD981FE"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42</w:t>
            </w:r>
          </w:p>
        </w:tc>
        <w:tc>
          <w:tcPr>
            <w:tcW w:w="3301" w:type="dxa"/>
            <w:shd w:val="clear" w:color="auto" w:fill="C6EFCE"/>
            <w:noWrap/>
          </w:tcPr>
          <w:p w14:paraId="155CC4F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C2.1I7</w:t>
            </w:r>
          </w:p>
          <w:p w14:paraId="22FC18F6"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Mass installation by the Distribution System Operator (DSO) of Smart Metering Infrastructure (Advanced Metering Infrastructure)</w:t>
            </w:r>
          </w:p>
        </w:tc>
        <w:tc>
          <w:tcPr>
            <w:tcW w:w="1613" w:type="dxa"/>
            <w:shd w:val="clear" w:color="auto" w:fill="C6EFCE"/>
            <w:noWrap/>
          </w:tcPr>
          <w:p w14:paraId="3C564CD1"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55CDB149"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 Acceptance and installation of smart meters</w:t>
            </w:r>
          </w:p>
        </w:tc>
      </w:tr>
      <w:tr w:rsidR="003734A7" w:rsidRPr="002E6897" w14:paraId="341E274C" w14:textId="77777777" w:rsidTr="00905EAD">
        <w:trPr>
          <w:cantSplit/>
          <w:trHeight w:val="302"/>
          <w:jc w:val="center"/>
        </w:trPr>
        <w:tc>
          <w:tcPr>
            <w:tcW w:w="1177" w:type="dxa"/>
            <w:shd w:val="clear" w:color="auto" w:fill="C6EFCE"/>
            <w:noWrap/>
          </w:tcPr>
          <w:p w14:paraId="459A0291"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47</w:t>
            </w:r>
          </w:p>
        </w:tc>
        <w:tc>
          <w:tcPr>
            <w:tcW w:w="3301" w:type="dxa"/>
            <w:shd w:val="clear" w:color="auto" w:fill="C6EFCE"/>
            <w:noWrap/>
          </w:tcPr>
          <w:p w14:paraId="40614599"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C2.1I9</w:t>
            </w:r>
          </w:p>
          <w:p w14:paraId="6EB7DF03"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Fire protection</w:t>
            </w:r>
          </w:p>
        </w:tc>
        <w:tc>
          <w:tcPr>
            <w:tcW w:w="1613" w:type="dxa"/>
            <w:shd w:val="clear" w:color="auto" w:fill="C6EFCE"/>
            <w:noWrap/>
          </w:tcPr>
          <w:p w14:paraId="1EF36D87"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7BBD9C32" w14:textId="447A1B8F"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Acceptance of firefighting aircraft vehicles and equipment</w:t>
            </w:r>
          </w:p>
        </w:tc>
      </w:tr>
      <w:tr w:rsidR="003734A7" w:rsidRPr="002E6897" w14:paraId="1D237795" w14:textId="77777777" w:rsidTr="00905EAD">
        <w:trPr>
          <w:cantSplit/>
          <w:trHeight w:val="302"/>
          <w:jc w:val="center"/>
        </w:trPr>
        <w:tc>
          <w:tcPr>
            <w:tcW w:w="1177" w:type="dxa"/>
            <w:shd w:val="clear" w:color="auto" w:fill="C6EFCE"/>
            <w:noWrap/>
          </w:tcPr>
          <w:p w14:paraId="03D64F47"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61</w:t>
            </w:r>
          </w:p>
        </w:tc>
        <w:tc>
          <w:tcPr>
            <w:tcW w:w="3301" w:type="dxa"/>
            <w:shd w:val="clear" w:color="auto" w:fill="C6EFCE"/>
            <w:noWrap/>
          </w:tcPr>
          <w:p w14:paraId="4FAC00E7"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C2.2I2</w:t>
            </w:r>
          </w:p>
          <w:p w14:paraId="14AB7AE8"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Creation of electro-mobility infrastructure</w:t>
            </w:r>
          </w:p>
        </w:tc>
        <w:tc>
          <w:tcPr>
            <w:tcW w:w="1613" w:type="dxa"/>
            <w:shd w:val="clear" w:color="auto" w:fill="C6EFCE"/>
            <w:noWrap/>
          </w:tcPr>
          <w:p w14:paraId="1196D9B8"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A814AE9" w14:textId="28B57507" w:rsidR="003734A7" w:rsidRPr="002E6897" w:rsidRDefault="003734A7" w:rsidP="00905EAD">
            <w:pPr>
              <w:spacing w:after="0" w:line="240" w:lineRule="auto"/>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 xml:space="preserve">Installation </w:t>
            </w:r>
            <w:r w:rsidR="00470646" w:rsidRPr="002E6897">
              <w:rPr>
                <w:rFonts w:ascii="Times New Roman" w:eastAsia="Times New Roman" w:hAnsi="Times New Roman" w:cs="Times New Roman"/>
                <w:noProof/>
                <w:color w:val="000000" w:themeColor="text1"/>
                <w:sz w:val="18"/>
                <w:szCs w:val="18"/>
              </w:rPr>
              <w:t xml:space="preserve">or delivery </w:t>
            </w:r>
            <w:r w:rsidRPr="002E6897">
              <w:rPr>
                <w:rFonts w:ascii="Times New Roman" w:eastAsia="Times New Roman" w:hAnsi="Times New Roman" w:cs="Times New Roman"/>
                <w:noProof/>
                <w:color w:val="000000" w:themeColor="text1"/>
                <w:sz w:val="18"/>
                <w:szCs w:val="18"/>
              </w:rPr>
              <w:t>of charging points</w:t>
            </w:r>
            <w:r w:rsidR="00064579" w:rsidRPr="002E6897">
              <w:rPr>
                <w:rFonts w:ascii="Times New Roman" w:eastAsia="Times New Roman" w:hAnsi="Times New Roman" w:cs="Times New Roman"/>
                <w:noProof/>
                <w:color w:val="000000" w:themeColor="text1"/>
                <w:sz w:val="18"/>
                <w:szCs w:val="18"/>
              </w:rPr>
              <w:t xml:space="preserve"> </w:t>
            </w:r>
          </w:p>
        </w:tc>
      </w:tr>
      <w:tr w:rsidR="003734A7" w:rsidRPr="002E6897" w14:paraId="10FA1385" w14:textId="77777777" w:rsidTr="00905EAD">
        <w:trPr>
          <w:cantSplit/>
          <w:trHeight w:val="302"/>
          <w:jc w:val="center"/>
        </w:trPr>
        <w:tc>
          <w:tcPr>
            <w:tcW w:w="1177" w:type="dxa"/>
            <w:shd w:val="clear" w:color="auto" w:fill="C6EFCE"/>
            <w:noWrap/>
          </w:tcPr>
          <w:p w14:paraId="74AF45AC"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63a</w:t>
            </w:r>
          </w:p>
        </w:tc>
        <w:tc>
          <w:tcPr>
            <w:tcW w:w="3301" w:type="dxa"/>
            <w:shd w:val="clear" w:color="auto" w:fill="C6EFCE"/>
            <w:noWrap/>
          </w:tcPr>
          <w:p w14:paraId="0310E0AF"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C2.2I3</w:t>
            </w:r>
          </w:p>
          <w:p w14:paraId="39883D2A"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Advance the use of Electric Vehicles (EVs)</w:t>
            </w:r>
          </w:p>
        </w:tc>
        <w:tc>
          <w:tcPr>
            <w:tcW w:w="1613" w:type="dxa"/>
            <w:shd w:val="clear" w:color="auto" w:fill="C6EFCE"/>
            <w:noWrap/>
          </w:tcPr>
          <w:p w14:paraId="3A9F58D1"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57FFF22A" w14:textId="54574750" w:rsidR="003734A7" w:rsidRPr="002E6897" w:rsidRDefault="003734A7" w:rsidP="00905EAD">
            <w:pPr>
              <w:spacing w:after="0" w:line="240" w:lineRule="auto"/>
              <w:jc w:val="both"/>
              <w:rPr>
                <w:rFonts w:ascii="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Purchase and registration of electric vehicles and electric bicycles</w:t>
            </w:r>
          </w:p>
        </w:tc>
      </w:tr>
      <w:tr w:rsidR="003734A7" w:rsidRPr="002E6897" w14:paraId="108E84B2" w14:textId="77777777" w:rsidTr="00905EAD">
        <w:trPr>
          <w:cantSplit/>
          <w:trHeight w:val="302"/>
          <w:jc w:val="center"/>
        </w:trPr>
        <w:tc>
          <w:tcPr>
            <w:tcW w:w="1177" w:type="dxa"/>
            <w:shd w:val="clear" w:color="auto" w:fill="C6EFCE"/>
            <w:noWrap/>
          </w:tcPr>
          <w:p w14:paraId="64CB9C1F"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65</w:t>
            </w:r>
          </w:p>
        </w:tc>
        <w:tc>
          <w:tcPr>
            <w:tcW w:w="3301" w:type="dxa"/>
            <w:shd w:val="clear" w:color="auto" w:fill="C6EFCE"/>
            <w:noWrap/>
          </w:tcPr>
          <w:p w14:paraId="7231440D"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C2.2I3</w:t>
            </w:r>
          </w:p>
          <w:p w14:paraId="670C8B0D"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Advance the use of Electric Vehicles (EVs)</w:t>
            </w:r>
          </w:p>
        </w:tc>
        <w:tc>
          <w:tcPr>
            <w:tcW w:w="1613" w:type="dxa"/>
            <w:shd w:val="clear" w:color="auto" w:fill="C6EFCE"/>
            <w:noWrap/>
          </w:tcPr>
          <w:p w14:paraId="673F53F4"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3849681"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eastAsia="Times New Roman" w:hAnsi="Times New Roman" w:cs="Times New Roman"/>
                <w:noProof/>
                <w:color w:val="000000" w:themeColor="text1"/>
                <w:sz w:val="18"/>
                <w:szCs w:val="18"/>
              </w:rPr>
              <w:t>Scrapping of high emission vehicles</w:t>
            </w:r>
          </w:p>
        </w:tc>
      </w:tr>
      <w:tr w:rsidR="003734A7" w:rsidRPr="002E6897" w14:paraId="25C16FA9" w14:textId="77777777" w:rsidTr="00905EAD">
        <w:trPr>
          <w:cantSplit/>
          <w:trHeight w:val="302"/>
          <w:jc w:val="center"/>
        </w:trPr>
        <w:tc>
          <w:tcPr>
            <w:tcW w:w="1177" w:type="dxa"/>
            <w:shd w:val="clear" w:color="auto" w:fill="C6EFCE"/>
            <w:noWrap/>
          </w:tcPr>
          <w:p w14:paraId="46854C1F"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76b</w:t>
            </w:r>
          </w:p>
        </w:tc>
        <w:tc>
          <w:tcPr>
            <w:tcW w:w="3301" w:type="dxa"/>
            <w:shd w:val="clear" w:color="auto" w:fill="C6EFCE"/>
            <w:noWrap/>
          </w:tcPr>
          <w:p w14:paraId="02C62898"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C2.3I4</w:t>
            </w:r>
          </w:p>
          <w:p w14:paraId="070FEED8"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Smart Water and Sewerage Networks Management</w:t>
            </w:r>
          </w:p>
        </w:tc>
        <w:tc>
          <w:tcPr>
            <w:tcW w:w="1613" w:type="dxa"/>
            <w:shd w:val="clear" w:color="auto" w:fill="C6EFCE"/>
            <w:noWrap/>
          </w:tcPr>
          <w:p w14:paraId="094A7A9D"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094E8E9A" w14:textId="5F601DDC"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Projects</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in Larnaca and</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Limassol</w:t>
            </w:r>
          </w:p>
        </w:tc>
      </w:tr>
      <w:tr w:rsidR="003734A7" w:rsidRPr="002E6897" w14:paraId="6B8A653F" w14:textId="77777777" w:rsidTr="00905EAD">
        <w:trPr>
          <w:cantSplit/>
          <w:trHeight w:val="302"/>
          <w:jc w:val="center"/>
        </w:trPr>
        <w:tc>
          <w:tcPr>
            <w:tcW w:w="1177" w:type="dxa"/>
            <w:shd w:val="clear" w:color="auto" w:fill="C6EFCE"/>
            <w:noWrap/>
          </w:tcPr>
          <w:p w14:paraId="08E55E6F"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90</w:t>
            </w:r>
          </w:p>
        </w:tc>
        <w:tc>
          <w:tcPr>
            <w:tcW w:w="3301" w:type="dxa"/>
            <w:shd w:val="clear" w:color="auto" w:fill="C6EFCE"/>
            <w:noWrap/>
          </w:tcPr>
          <w:p w14:paraId="62648DD2"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C3.1R3</w:t>
            </w:r>
          </w:p>
          <w:p w14:paraId="46A18A0B"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Genetic improvement of the Cyprus sheep and goat population</w:t>
            </w:r>
          </w:p>
        </w:tc>
        <w:tc>
          <w:tcPr>
            <w:tcW w:w="1613" w:type="dxa"/>
            <w:shd w:val="clear" w:color="auto" w:fill="C6EFCE"/>
            <w:noWrap/>
          </w:tcPr>
          <w:p w14:paraId="3E399493"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4205974E" w14:textId="7B541FE0"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Genomic identification registered in ARI database.</w:t>
            </w:r>
          </w:p>
        </w:tc>
      </w:tr>
      <w:tr w:rsidR="003734A7" w:rsidRPr="002E6897" w14:paraId="0CA2112B" w14:textId="77777777" w:rsidTr="00905EAD">
        <w:trPr>
          <w:cantSplit/>
          <w:trHeight w:val="302"/>
          <w:jc w:val="center"/>
        </w:trPr>
        <w:tc>
          <w:tcPr>
            <w:tcW w:w="1177" w:type="dxa"/>
            <w:shd w:val="clear" w:color="auto" w:fill="C6EFCE"/>
            <w:noWrap/>
          </w:tcPr>
          <w:p w14:paraId="375B20E4"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99</w:t>
            </w:r>
          </w:p>
        </w:tc>
        <w:tc>
          <w:tcPr>
            <w:tcW w:w="3301" w:type="dxa"/>
            <w:shd w:val="clear" w:color="auto" w:fill="C6EFCE"/>
            <w:noWrap/>
          </w:tcPr>
          <w:p w14:paraId="3E09A02C"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C3.1I6</w:t>
            </w:r>
          </w:p>
          <w:p w14:paraId="12528D8E" w14:textId="1351F568"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Scheme for supporting the production of enterprises</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in</w:t>
            </w:r>
            <w:r w:rsidR="002E6897">
              <w:rPr>
                <w:rFonts w:ascii="Times New Roman" w:hAnsi="Times New Roman" w:cs="Times New Roman"/>
                <w:noProof/>
                <w:sz w:val="18"/>
                <w:szCs w:val="18"/>
              </w:rPr>
              <w:t xml:space="preserve"> </w:t>
            </w:r>
            <w:r w:rsidR="002E6897" w:rsidRPr="002E6897">
              <w:rPr>
                <w:rFonts w:ascii="Times New Roman" w:hAnsi="Times New Roman" w:cs="Times New Roman"/>
                <w:noProof/>
                <w:sz w:val="18"/>
                <w:szCs w:val="18"/>
              </w:rPr>
              <w:t>agricultural</w:t>
            </w:r>
            <w:r w:rsidRPr="002E6897">
              <w:rPr>
                <w:rFonts w:ascii="Times New Roman" w:hAnsi="Times New Roman" w:cs="Times New Roman"/>
                <w:noProof/>
                <w:sz w:val="18"/>
                <w:szCs w:val="18"/>
              </w:rPr>
              <w:t xml:space="preserve"> sector</w:t>
            </w:r>
          </w:p>
        </w:tc>
        <w:tc>
          <w:tcPr>
            <w:tcW w:w="1613" w:type="dxa"/>
            <w:shd w:val="clear" w:color="auto" w:fill="C6EFCE"/>
            <w:noWrap/>
          </w:tcPr>
          <w:p w14:paraId="040D44B3"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C113EC7" w14:textId="1BA09A82"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Grant</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agreements signed with</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enterprises</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in the</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agricultural</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sector</w:t>
            </w:r>
          </w:p>
        </w:tc>
      </w:tr>
      <w:tr w:rsidR="003734A7" w:rsidRPr="002E6897" w14:paraId="4865499B" w14:textId="77777777" w:rsidTr="00905EAD">
        <w:trPr>
          <w:cantSplit/>
          <w:trHeight w:val="302"/>
          <w:jc w:val="center"/>
        </w:trPr>
        <w:tc>
          <w:tcPr>
            <w:tcW w:w="1177" w:type="dxa"/>
            <w:shd w:val="clear" w:color="auto" w:fill="C6EFCE"/>
            <w:noWrap/>
          </w:tcPr>
          <w:p w14:paraId="40794CED"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102a</w:t>
            </w:r>
          </w:p>
        </w:tc>
        <w:tc>
          <w:tcPr>
            <w:tcW w:w="3301" w:type="dxa"/>
            <w:shd w:val="clear" w:color="auto" w:fill="C6EFCE"/>
            <w:noWrap/>
          </w:tcPr>
          <w:p w14:paraId="088903AE"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C3.1I7</w:t>
            </w:r>
          </w:p>
          <w:p w14:paraId="0B5EED0D"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Scheme for the competitiveness and/or the energy efficiency of large enterprises in Cyprus </w:t>
            </w:r>
          </w:p>
        </w:tc>
        <w:tc>
          <w:tcPr>
            <w:tcW w:w="1613" w:type="dxa"/>
            <w:shd w:val="clear" w:color="auto" w:fill="C6EFCE"/>
            <w:noWrap/>
          </w:tcPr>
          <w:p w14:paraId="53B8C019"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71AE57A5"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Grant agreements signed with enterprises</w:t>
            </w:r>
          </w:p>
        </w:tc>
      </w:tr>
      <w:tr w:rsidR="003734A7" w:rsidRPr="002E6897" w14:paraId="090A13FC" w14:textId="77777777" w:rsidTr="00905EAD">
        <w:trPr>
          <w:cantSplit/>
          <w:trHeight w:val="302"/>
          <w:jc w:val="center"/>
        </w:trPr>
        <w:tc>
          <w:tcPr>
            <w:tcW w:w="1177" w:type="dxa"/>
            <w:shd w:val="clear" w:color="auto" w:fill="C6EFCE"/>
            <w:noWrap/>
          </w:tcPr>
          <w:p w14:paraId="70C5921A"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104</w:t>
            </w:r>
          </w:p>
        </w:tc>
        <w:tc>
          <w:tcPr>
            <w:tcW w:w="3301" w:type="dxa"/>
            <w:shd w:val="clear" w:color="auto" w:fill="C6EFCE"/>
            <w:noWrap/>
          </w:tcPr>
          <w:p w14:paraId="6682E4A2"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C3.1I8</w:t>
            </w:r>
          </w:p>
          <w:p w14:paraId="4689F7FD" w14:textId="02B7351E"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Added</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value of</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tourism</w:t>
            </w:r>
          </w:p>
        </w:tc>
        <w:tc>
          <w:tcPr>
            <w:tcW w:w="1613" w:type="dxa"/>
            <w:shd w:val="clear" w:color="auto" w:fill="C6EFCE"/>
            <w:noWrap/>
          </w:tcPr>
          <w:p w14:paraId="35FB7649"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AF58C0A" w14:textId="436123B4"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Grant to hotels</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or other</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tourism</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establishments</w:t>
            </w:r>
          </w:p>
        </w:tc>
      </w:tr>
      <w:tr w:rsidR="003734A7" w:rsidRPr="002E6897" w14:paraId="23E60C06" w14:textId="77777777" w:rsidTr="00905EAD">
        <w:trPr>
          <w:cantSplit/>
          <w:trHeight w:val="302"/>
          <w:jc w:val="center"/>
        </w:trPr>
        <w:tc>
          <w:tcPr>
            <w:tcW w:w="1177" w:type="dxa"/>
            <w:shd w:val="clear" w:color="auto" w:fill="C6EFCE"/>
            <w:noWrap/>
          </w:tcPr>
          <w:p w14:paraId="62AD4E70"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106</w:t>
            </w:r>
          </w:p>
        </w:tc>
        <w:tc>
          <w:tcPr>
            <w:tcW w:w="3301" w:type="dxa"/>
            <w:shd w:val="clear" w:color="auto" w:fill="C6EFCE"/>
            <w:noWrap/>
          </w:tcPr>
          <w:p w14:paraId="2DA6F8C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C3.1I9</w:t>
            </w:r>
          </w:p>
          <w:p w14:paraId="79A1C453"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Circular economy in hotel establishments</w:t>
            </w:r>
          </w:p>
        </w:tc>
        <w:tc>
          <w:tcPr>
            <w:tcW w:w="1613" w:type="dxa"/>
            <w:shd w:val="clear" w:color="auto" w:fill="C6EFCE"/>
            <w:noWrap/>
          </w:tcPr>
          <w:p w14:paraId="4DF5978B"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61C37ED8" w14:textId="02CBB329"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Certified</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circular</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hotels</w:t>
            </w:r>
          </w:p>
        </w:tc>
      </w:tr>
      <w:tr w:rsidR="003734A7" w:rsidRPr="002E6897" w14:paraId="090FD41F" w14:textId="77777777" w:rsidTr="00905EAD">
        <w:trPr>
          <w:cantSplit/>
          <w:trHeight w:val="302"/>
          <w:jc w:val="center"/>
        </w:trPr>
        <w:tc>
          <w:tcPr>
            <w:tcW w:w="1177" w:type="dxa"/>
            <w:shd w:val="clear" w:color="auto" w:fill="C6EFCE"/>
            <w:noWrap/>
          </w:tcPr>
          <w:p w14:paraId="4B67F6B4"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110</w:t>
            </w:r>
          </w:p>
        </w:tc>
        <w:tc>
          <w:tcPr>
            <w:tcW w:w="3301" w:type="dxa"/>
            <w:shd w:val="clear" w:color="auto" w:fill="C6EFCE"/>
            <w:noWrap/>
          </w:tcPr>
          <w:p w14:paraId="6E703DE4"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C3.1R4</w:t>
            </w:r>
          </w:p>
          <w:p w14:paraId="6303403F"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Circular economy</w:t>
            </w:r>
          </w:p>
        </w:tc>
        <w:tc>
          <w:tcPr>
            <w:tcW w:w="1613" w:type="dxa"/>
            <w:shd w:val="clear" w:color="auto" w:fill="C6EFCE"/>
            <w:noWrap/>
          </w:tcPr>
          <w:p w14:paraId="0EC4AACC"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29D91BE4" w14:textId="3C00B926"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Signed grant agreement</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with</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companies</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which are moving into a circular operating model</w:t>
            </w:r>
          </w:p>
        </w:tc>
      </w:tr>
      <w:tr w:rsidR="003734A7" w:rsidRPr="002E6897" w14:paraId="653CD886" w14:textId="77777777" w:rsidTr="00905EAD">
        <w:trPr>
          <w:cantSplit/>
          <w:trHeight w:val="302"/>
          <w:jc w:val="center"/>
        </w:trPr>
        <w:tc>
          <w:tcPr>
            <w:tcW w:w="1177" w:type="dxa"/>
            <w:shd w:val="clear" w:color="auto" w:fill="C6EFCE"/>
            <w:noWrap/>
          </w:tcPr>
          <w:p w14:paraId="3F495804"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121</w:t>
            </w:r>
          </w:p>
        </w:tc>
        <w:tc>
          <w:tcPr>
            <w:tcW w:w="3301" w:type="dxa"/>
            <w:shd w:val="clear" w:color="auto" w:fill="C6EFCE"/>
            <w:noWrap/>
          </w:tcPr>
          <w:p w14:paraId="7BC2787A" w14:textId="77777777" w:rsidR="003734A7" w:rsidRPr="002E6897" w:rsidRDefault="003734A7" w:rsidP="00D8670B">
            <w:pPr>
              <w:spacing w:after="0"/>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C3.2R1</w:t>
            </w:r>
          </w:p>
          <w:p w14:paraId="6E94D727"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National Research and Innovation Policy </w:t>
            </w:r>
          </w:p>
        </w:tc>
        <w:tc>
          <w:tcPr>
            <w:tcW w:w="1613" w:type="dxa"/>
            <w:shd w:val="clear" w:color="auto" w:fill="C6EFCE"/>
            <w:noWrap/>
          </w:tcPr>
          <w:p w14:paraId="5F0EF6AA"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5C19CF91" w14:textId="51F5E96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Performance-based</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funding mechanism; open access policy framework for publicly funded research and technological infrastructure;</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framework</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for monitoring and coordinating the</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participation</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in ESFRI Landmarks</w:t>
            </w:r>
          </w:p>
        </w:tc>
      </w:tr>
      <w:tr w:rsidR="003734A7" w:rsidRPr="002E6897" w14:paraId="6BD82732" w14:textId="77777777" w:rsidTr="00905EAD">
        <w:trPr>
          <w:cantSplit/>
          <w:trHeight w:val="302"/>
          <w:jc w:val="center"/>
        </w:trPr>
        <w:tc>
          <w:tcPr>
            <w:tcW w:w="1177" w:type="dxa"/>
            <w:shd w:val="clear" w:color="auto" w:fill="C6EFCE"/>
            <w:noWrap/>
          </w:tcPr>
          <w:p w14:paraId="6A4B6744"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129</w:t>
            </w:r>
          </w:p>
        </w:tc>
        <w:tc>
          <w:tcPr>
            <w:tcW w:w="3301" w:type="dxa"/>
            <w:shd w:val="clear" w:color="auto" w:fill="C6EFCE"/>
            <w:noWrap/>
          </w:tcPr>
          <w:p w14:paraId="69C58CB1"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C3.2I2</w:t>
            </w:r>
          </w:p>
          <w:p w14:paraId="5AB35F34"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Innovation funding programmes</w:t>
            </w:r>
          </w:p>
        </w:tc>
        <w:tc>
          <w:tcPr>
            <w:tcW w:w="1613" w:type="dxa"/>
            <w:shd w:val="clear" w:color="auto" w:fill="C6EFCE"/>
            <w:noWrap/>
          </w:tcPr>
          <w:p w14:paraId="2E58463A"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B8AEDF9"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Projects on R&amp;I activities</w:t>
            </w:r>
          </w:p>
        </w:tc>
      </w:tr>
      <w:tr w:rsidR="003734A7" w:rsidRPr="002E6897" w14:paraId="2C56B81E" w14:textId="77777777" w:rsidTr="00905EAD">
        <w:trPr>
          <w:cantSplit/>
          <w:trHeight w:val="302"/>
          <w:jc w:val="center"/>
        </w:trPr>
        <w:tc>
          <w:tcPr>
            <w:tcW w:w="1177" w:type="dxa"/>
            <w:shd w:val="clear" w:color="auto" w:fill="C6EFCE"/>
            <w:noWrap/>
          </w:tcPr>
          <w:p w14:paraId="5E649CC7"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131a</w:t>
            </w:r>
          </w:p>
        </w:tc>
        <w:tc>
          <w:tcPr>
            <w:tcW w:w="3301" w:type="dxa"/>
            <w:shd w:val="clear" w:color="auto" w:fill="C6EFCE"/>
            <w:noWrap/>
          </w:tcPr>
          <w:p w14:paraId="54DF629F"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C3.2I3</w:t>
            </w:r>
          </w:p>
          <w:p w14:paraId="18D74FEC"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R&amp;I funding program on green transition</w:t>
            </w:r>
          </w:p>
        </w:tc>
        <w:tc>
          <w:tcPr>
            <w:tcW w:w="1613" w:type="dxa"/>
            <w:shd w:val="clear" w:color="auto" w:fill="C6EFCE"/>
            <w:noWrap/>
          </w:tcPr>
          <w:p w14:paraId="1721C244"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52660A8"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Projects on green transition R&amp;I activities</w:t>
            </w:r>
          </w:p>
        </w:tc>
      </w:tr>
      <w:tr w:rsidR="003734A7" w:rsidRPr="002E6897" w14:paraId="3F2B63A4" w14:textId="77777777" w:rsidTr="00905EAD">
        <w:trPr>
          <w:cantSplit/>
          <w:trHeight w:val="302"/>
          <w:jc w:val="center"/>
        </w:trPr>
        <w:tc>
          <w:tcPr>
            <w:tcW w:w="1177" w:type="dxa"/>
            <w:shd w:val="clear" w:color="auto" w:fill="C6EFCE"/>
            <w:noWrap/>
          </w:tcPr>
          <w:p w14:paraId="15E21B63"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133</w:t>
            </w:r>
          </w:p>
        </w:tc>
        <w:tc>
          <w:tcPr>
            <w:tcW w:w="3301" w:type="dxa"/>
            <w:shd w:val="clear" w:color="auto" w:fill="C6EFCE"/>
            <w:noWrap/>
          </w:tcPr>
          <w:p w14:paraId="1E415931"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C3.2I4</w:t>
            </w:r>
          </w:p>
          <w:p w14:paraId="4C07776E" w14:textId="5E48ACD9"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Funding</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schemes for</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R&amp;D</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activities</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on</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dual-use</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technologies</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and classified laboratories </w:t>
            </w:r>
          </w:p>
        </w:tc>
        <w:tc>
          <w:tcPr>
            <w:tcW w:w="1613" w:type="dxa"/>
            <w:shd w:val="clear" w:color="auto" w:fill="C6EFCE"/>
            <w:noWrap/>
          </w:tcPr>
          <w:p w14:paraId="557D8D81"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4CAA5FD6" w14:textId="32A8D583"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At least 16</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facility</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security</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clearance</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certificates</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issued.</w:t>
            </w:r>
          </w:p>
        </w:tc>
      </w:tr>
      <w:tr w:rsidR="003734A7" w:rsidRPr="002E6897" w14:paraId="21C99E87" w14:textId="77777777" w:rsidTr="00905EAD">
        <w:trPr>
          <w:cantSplit/>
          <w:trHeight w:val="302"/>
          <w:jc w:val="center"/>
        </w:trPr>
        <w:tc>
          <w:tcPr>
            <w:tcW w:w="1177" w:type="dxa"/>
            <w:shd w:val="clear" w:color="auto" w:fill="C6EFCE"/>
            <w:noWrap/>
          </w:tcPr>
          <w:p w14:paraId="7E9A6EAE"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148</w:t>
            </w:r>
          </w:p>
        </w:tc>
        <w:tc>
          <w:tcPr>
            <w:tcW w:w="3301" w:type="dxa"/>
            <w:shd w:val="clear" w:color="auto" w:fill="C6EFCE"/>
            <w:noWrap/>
          </w:tcPr>
          <w:p w14:paraId="0594FCD4"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C3.3I4</w:t>
            </w:r>
          </w:p>
          <w:p w14:paraId="3FB40EFB"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Scheme for the digital upgrade of enterprises </w:t>
            </w:r>
          </w:p>
        </w:tc>
        <w:tc>
          <w:tcPr>
            <w:tcW w:w="1613" w:type="dxa"/>
            <w:shd w:val="clear" w:color="auto" w:fill="C6EFCE"/>
            <w:noWrap/>
          </w:tcPr>
          <w:p w14:paraId="79AF9556"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6001027F"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Grant agreements signed </w:t>
            </w:r>
          </w:p>
        </w:tc>
      </w:tr>
      <w:tr w:rsidR="003734A7" w:rsidRPr="002E6897" w14:paraId="60E1E8E9" w14:textId="77777777" w:rsidTr="00905EAD">
        <w:trPr>
          <w:cantSplit/>
          <w:trHeight w:val="302"/>
          <w:jc w:val="center"/>
        </w:trPr>
        <w:tc>
          <w:tcPr>
            <w:tcW w:w="1177" w:type="dxa"/>
            <w:shd w:val="clear" w:color="auto" w:fill="C6EFCE"/>
            <w:noWrap/>
          </w:tcPr>
          <w:p w14:paraId="4ED35318"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152</w:t>
            </w:r>
          </w:p>
        </w:tc>
        <w:tc>
          <w:tcPr>
            <w:tcW w:w="3301" w:type="dxa"/>
            <w:shd w:val="clear" w:color="auto" w:fill="C6EFCE"/>
            <w:noWrap/>
          </w:tcPr>
          <w:p w14:paraId="1C27A673"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C3.3I6</w:t>
            </w:r>
          </w:p>
          <w:p w14:paraId="38293E6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State funded equity fund </w:t>
            </w:r>
          </w:p>
        </w:tc>
        <w:tc>
          <w:tcPr>
            <w:tcW w:w="1613" w:type="dxa"/>
            <w:shd w:val="clear" w:color="auto" w:fill="C6EFCE"/>
            <w:noWrap/>
          </w:tcPr>
          <w:p w14:paraId="214AD659"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4F0DD645"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Investees supported through the Fund</w:t>
            </w:r>
          </w:p>
        </w:tc>
      </w:tr>
      <w:tr w:rsidR="003734A7" w:rsidRPr="002E6897" w14:paraId="3C0EB06B" w14:textId="77777777" w:rsidTr="00905EAD">
        <w:trPr>
          <w:cantSplit/>
          <w:trHeight w:val="302"/>
          <w:jc w:val="center"/>
        </w:trPr>
        <w:tc>
          <w:tcPr>
            <w:tcW w:w="1177" w:type="dxa"/>
            <w:shd w:val="clear" w:color="auto" w:fill="C6EFCE"/>
            <w:noWrap/>
          </w:tcPr>
          <w:p w14:paraId="55B1164C"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176</w:t>
            </w:r>
          </w:p>
        </w:tc>
        <w:tc>
          <w:tcPr>
            <w:tcW w:w="3301" w:type="dxa"/>
            <w:shd w:val="clear" w:color="auto" w:fill="C6EFCE"/>
            <w:noWrap/>
          </w:tcPr>
          <w:p w14:paraId="05B151C8"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C3.4I5</w:t>
            </w:r>
          </w:p>
          <w:p w14:paraId="7E9B15E8"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Smart cities </w:t>
            </w:r>
          </w:p>
        </w:tc>
        <w:tc>
          <w:tcPr>
            <w:tcW w:w="1613" w:type="dxa"/>
            <w:shd w:val="clear" w:color="auto" w:fill="C6EFCE"/>
            <w:noWrap/>
          </w:tcPr>
          <w:p w14:paraId="1EA46496"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23B39959"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Mobile applications and smart sensors</w:t>
            </w:r>
          </w:p>
        </w:tc>
      </w:tr>
      <w:tr w:rsidR="003734A7" w:rsidRPr="002E6897" w14:paraId="5BE01EC2" w14:textId="77777777" w:rsidTr="00905EAD">
        <w:trPr>
          <w:cantSplit/>
          <w:trHeight w:val="302"/>
          <w:jc w:val="center"/>
        </w:trPr>
        <w:tc>
          <w:tcPr>
            <w:tcW w:w="1177" w:type="dxa"/>
            <w:shd w:val="clear" w:color="auto" w:fill="C6EFCE"/>
            <w:noWrap/>
          </w:tcPr>
          <w:p w14:paraId="1A92BE7B"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178</w:t>
            </w:r>
          </w:p>
        </w:tc>
        <w:tc>
          <w:tcPr>
            <w:tcW w:w="3301" w:type="dxa"/>
            <w:shd w:val="clear" w:color="auto" w:fill="C6EFCE"/>
            <w:noWrap/>
          </w:tcPr>
          <w:p w14:paraId="0AA244B6"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C3.4I6a</w:t>
            </w:r>
          </w:p>
          <w:p w14:paraId="0E32AD4C"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 xml:space="preserve">Regeneration and Revitalisation of Nicosia Inner City </w:t>
            </w:r>
          </w:p>
        </w:tc>
        <w:tc>
          <w:tcPr>
            <w:tcW w:w="1613" w:type="dxa"/>
            <w:shd w:val="clear" w:color="auto" w:fill="C6EFCE"/>
            <w:noWrap/>
          </w:tcPr>
          <w:p w14:paraId="492EF268"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291669A8" w14:textId="65AF0B63"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 xml:space="preserve">Renovation of rooms in Nicosia </w:t>
            </w:r>
          </w:p>
        </w:tc>
      </w:tr>
      <w:tr w:rsidR="003734A7" w:rsidRPr="002E6897" w14:paraId="240825FF" w14:textId="77777777" w:rsidTr="00905EAD">
        <w:trPr>
          <w:cantSplit/>
          <w:trHeight w:val="302"/>
          <w:jc w:val="center"/>
        </w:trPr>
        <w:tc>
          <w:tcPr>
            <w:tcW w:w="1177" w:type="dxa"/>
            <w:shd w:val="clear" w:color="auto" w:fill="C6EFCE"/>
            <w:noWrap/>
          </w:tcPr>
          <w:p w14:paraId="4008D251" w14:textId="77777777" w:rsidR="003734A7" w:rsidRPr="002E6897" w:rsidRDefault="003734A7" w:rsidP="00681B1C">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183</w:t>
            </w:r>
          </w:p>
        </w:tc>
        <w:tc>
          <w:tcPr>
            <w:tcW w:w="3301" w:type="dxa"/>
            <w:shd w:val="clear" w:color="auto" w:fill="C6EFCE"/>
            <w:noWrap/>
          </w:tcPr>
          <w:p w14:paraId="2D793F19"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C3.4R9</w:t>
            </w:r>
          </w:p>
          <w:p w14:paraId="1F767B79"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Digital transformation of courts</w:t>
            </w:r>
          </w:p>
        </w:tc>
        <w:tc>
          <w:tcPr>
            <w:tcW w:w="1613" w:type="dxa"/>
            <w:shd w:val="clear" w:color="auto" w:fill="C6EFCE"/>
            <w:noWrap/>
          </w:tcPr>
          <w:p w14:paraId="1F6B9F2F"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7EC699D3"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i-justice system</w:t>
            </w:r>
          </w:p>
        </w:tc>
      </w:tr>
      <w:tr w:rsidR="003734A7" w:rsidRPr="002E6897" w14:paraId="5440FFBE" w14:textId="77777777" w:rsidTr="00905EAD">
        <w:trPr>
          <w:cantSplit/>
          <w:trHeight w:val="302"/>
          <w:jc w:val="center"/>
        </w:trPr>
        <w:tc>
          <w:tcPr>
            <w:tcW w:w="1177" w:type="dxa"/>
            <w:shd w:val="clear" w:color="auto" w:fill="C6EFCE"/>
            <w:noWrap/>
          </w:tcPr>
          <w:p w14:paraId="67A6624E"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208</w:t>
            </w:r>
          </w:p>
        </w:tc>
        <w:tc>
          <w:tcPr>
            <w:tcW w:w="3301" w:type="dxa"/>
            <w:shd w:val="clear" w:color="auto" w:fill="C6EFCE"/>
            <w:noWrap/>
          </w:tcPr>
          <w:p w14:paraId="75162CCA"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C3.5R9 Digitalising tax collection </w:t>
            </w:r>
          </w:p>
        </w:tc>
        <w:tc>
          <w:tcPr>
            <w:tcW w:w="1613" w:type="dxa"/>
            <w:shd w:val="clear" w:color="auto" w:fill="C6EFCE"/>
            <w:noWrap/>
          </w:tcPr>
          <w:p w14:paraId="6EC13525"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0520BEB6" w14:textId="5974BF54"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Direct</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tax</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administration</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services of the Tax</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department within the ITAS</w:t>
            </w:r>
          </w:p>
        </w:tc>
      </w:tr>
      <w:tr w:rsidR="003734A7" w:rsidRPr="002E6897" w14:paraId="7B58C609" w14:textId="77777777" w:rsidTr="00905EAD">
        <w:trPr>
          <w:cantSplit/>
          <w:trHeight w:val="302"/>
          <w:jc w:val="center"/>
        </w:trPr>
        <w:tc>
          <w:tcPr>
            <w:tcW w:w="1177" w:type="dxa"/>
            <w:shd w:val="clear" w:color="auto" w:fill="C6EFCE"/>
            <w:noWrap/>
          </w:tcPr>
          <w:p w14:paraId="5C9FFBA1"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211</w:t>
            </w:r>
          </w:p>
        </w:tc>
        <w:tc>
          <w:tcPr>
            <w:tcW w:w="3301" w:type="dxa"/>
            <w:shd w:val="clear" w:color="auto" w:fill="C6EFCE"/>
            <w:noWrap/>
          </w:tcPr>
          <w:p w14:paraId="00854701" w14:textId="3328EA2E"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C3.5R10</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br/>
              <w:t>Addressing Aggressive Tax Planning</w:t>
            </w:r>
          </w:p>
        </w:tc>
        <w:tc>
          <w:tcPr>
            <w:tcW w:w="1613" w:type="dxa"/>
            <w:shd w:val="clear" w:color="auto" w:fill="C6EFCE"/>
            <w:noWrap/>
          </w:tcPr>
          <w:p w14:paraId="140199FA"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1C7CD089" w14:textId="2EDD6DA4"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Entry into force of</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legal act(s)</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addressing</w:t>
            </w:r>
            <w:r w:rsid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aggressive tax planning</w:t>
            </w:r>
          </w:p>
        </w:tc>
      </w:tr>
      <w:tr w:rsidR="003734A7" w:rsidRPr="002E6897" w14:paraId="482F0996" w14:textId="77777777" w:rsidTr="00905EAD">
        <w:trPr>
          <w:cantSplit/>
          <w:trHeight w:val="302"/>
          <w:jc w:val="center"/>
        </w:trPr>
        <w:tc>
          <w:tcPr>
            <w:tcW w:w="1177" w:type="dxa"/>
            <w:shd w:val="clear" w:color="auto" w:fill="C6EFCE"/>
            <w:noWrap/>
          </w:tcPr>
          <w:p w14:paraId="17B23A8D"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226</w:t>
            </w:r>
          </w:p>
        </w:tc>
        <w:tc>
          <w:tcPr>
            <w:tcW w:w="3301" w:type="dxa"/>
            <w:shd w:val="clear" w:color="auto" w:fill="C6EFCE"/>
            <w:noWrap/>
          </w:tcPr>
          <w:p w14:paraId="2B7CE50D" w14:textId="77777777" w:rsidR="003734A7" w:rsidRPr="00547ADA" w:rsidRDefault="003734A7" w:rsidP="00D8670B">
            <w:pPr>
              <w:spacing w:after="0" w:line="240" w:lineRule="auto"/>
              <w:rPr>
                <w:rFonts w:ascii="Times New Roman" w:eastAsia="Times New Roman" w:hAnsi="Times New Roman" w:cs="Times New Roman"/>
                <w:noProof/>
                <w:sz w:val="18"/>
                <w:szCs w:val="18"/>
                <w:lang w:val="pt-PT"/>
              </w:rPr>
            </w:pPr>
            <w:r w:rsidRPr="00547ADA">
              <w:rPr>
                <w:rFonts w:ascii="Times New Roman" w:hAnsi="Times New Roman" w:cs="Times New Roman"/>
                <w:noProof/>
                <w:sz w:val="18"/>
                <w:szCs w:val="18"/>
                <w:lang w:val="pt-PT"/>
              </w:rPr>
              <w:t>C4.2R1</w:t>
            </w:r>
          </w:p>
          <w:p w14:paraId="716BF58B" w14:textId="77777777" w:rsidR="003734A7" w:rsidRPr="00547ADA" w:rsidRDefault="003734A7" w:rsidP="00D8670B">
            <w:pPr>
              <w:spacing w:after="0" w:line="240" w:lineRule="auto"/>
              <w:rPr>
                <w:rFonts w:ascii="Times New Roman" w:hAnsi="Times New Roman" w:cs="Times New Roman"/>
                <w:noProof/>
                <w:sz w:val="18"/>
                <w:szCs w:val="18"/>
                <w:lang w:val="pt-PT"/>
              </w:rPr>
            </w:pPr>
            <w:r w:rsidRPr="00547ADA">
              <w:rPr>
                <w:rFonts w:ascii="Times New Roman" w:hAnsi="Times New Roman" w:cs="Times New Roman"/>
                <w:noProof/>
                <w:sz w:val="18"/>
                <w:szCs w:val="18"/>
                <w:lang w:val="pt-PT"/>
              </w:rPr>
              <w:t>Digital Services Factory </w:t>
            </w:r>
          </w:p>
        </w:tc>
        <w:tc>
          <w:tcPr>
            <w:tcW w:w="1613" w:type="dxa"/>
            <w:shd w:val="clear" w:color="auto" w:fill="C6EFCE"/>
            <w:noWrap/>
          </w:tcPr>
          <w:p w14:paraId="55B7BCD2"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4D3B0B7" w14:textId="7777777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At least 70 services through the Digital Services Factory</w:t>
            </w:r>
          </w:p>
        </w:tc>
      </w:tr>
      <w:tr w:rsidR="003734A7" w:rsidRPr="002E6897" w14:paraId="1DC7DA0B" w14:textId="77777777" w:rsidTr="00905EAD">
        <w:trPr>
          <w:cantSplit/>
          <w:trHeight w:val="302"/>
          <w:jc w:val="center"/>
        </w:trPr>
        <w:tc>
          <w:tcPr>
            <w:tcW w:w="1177" w:type="dxa"/>
            <w:shd w:val="clear" w:color="auto" w:fill="C6EFCE"/>
            <w:noWrap/>
          </w:tcPr>
          <w:p w14:paraId="4F8FA6AB"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239b</w:t>
            </w:r>
          </w:p>
        </w:tc>
        <w:tc>
          <w:tcPr>
            <w:tcW w:w="3301" w:type="dxa"/>
            <w:shd w:val="clear" w:color="auto" w:fill="C6EFCE"/>
            <w:noWrap/>
          </w:tcPr>
          <w:p w14:paraId="54F9CC88"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C5.1R1</w:t>
            </w:r>
          </w:p>
          <w:p w14:paraId="0E285227"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Addressing skills mismatch between education and labour market (Secondary and Higher Education)</w:t>
            </w:r>
          </w:p>
        </w:tc>
        <w:tc>
          <w:tcPr>
            <w:tcW w:w="1613" w:type="dxa"/>
            <w:shd w:val="clear" w:color="auto" w:fill="C6EFCE"/>
            <w:noWrap/>
          </w:tcPr>
          <w:p w14:paraId="3BE4665A"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44376FC6"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In-job shadowing programme </w:t>
            </w:r>
          </w:p>
        </w:tc>
      </w:tr>
      <w:tr w:rsidR="003734A7" w:rsidRPr="002E6897" w14:paraId="3B31061C" w14:textId="77777777" w:rsidTr="00905EAD">
        <w:trPr>
          <w:cantSplit/>
          <w:trHeight w:val="302"/>
          <w:jc w:val="center"/>
        </w:trPr>
        <w:tc>
          <w:tcPr>
            <w:tcW w:w="1177" w:type="dxa"/>
            <w:shd w:val="clear" w:color="auto" w:fill="C6EFCE"/>
            <w:noWrap/>
          </w:tcPr>
          <w:p w14:paraId="1704AD0B"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239c</w:t>
            </w:r>
          </w:p>
        </w:tc>
        <w:tc>
          <w:tcPr>
            <w:tcW w:w="3301" w:type="dxa"/>
            <w:shd w:val="clear" w:color="auto" w:fill="C6EFCE"/>
            <w:noWrap/>
          </w:tcPr>
          <w:p w14:paraId="296F38B1"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C5.1R1</w:t>
            </w:r>
          </w:p>
          <w:p w14:paraId="2ADEB2E5"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Addressing skills mismatch between education and labour market (Secondary and Higher Education)</w:t>
            </w:r>
          </w:p>
        </w:tc>
        <w:tc>
          <w:tcPr>
            <w:tcW w:w="1613" w:type="dxa"/>
            <w:shd w:val="clear" w:color="auto" w:fill="C6EFCE"/>
            <w:noWrap/>
          </w:tcPr>
          <w:p w14:paraId="3C81D7CE"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5C40C0CB"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Laboratories equipped and updated</w:t>
            </w:r>
          </w:p>
        </w:tc>
      </w:tr>
      <w:tr w:rsidR="003734A7" w:rsidRPr="002E6897" w14:paraId="14A5B4FA" w14:textId="77777777" w:rsidTr="00905EAD">
        <w:trPr>
          <w:cantSplit/>
          <w:trHeight w:val="302"/>
          <w:jc w:val="center"/>
        </w:trPr>
        <w:tc>
          <w:tcPr>
            <w:tcW w:w="1177" w:type="dxa"/>
            <w:shd w:val="clear" w:color="auto" w:fill="C6EFCE"/>
            <w:noWrap/>
          </w:tcPr>
          <w:p w14:paraId="62C43C42"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244</w:t>
            </w:r>
          </w:p>
        </w:tc>
        <w:tc>
          <w:tcPr>
            <w:tcW w:w="3301" w:type="dxa"/>
            <w:shd w:val="clear" w:color="auto" w:fill="C6EFCE"/>
            <w:noWrap/>
          </w:tcPr>
          <w:p w14:paraId="1D4892E2" w14:textId="77777777" w:rsidR="003734A7" w:rsidRPr="002E6897" w:rsidRDefault="003734A7" w:rsidP="00D8670B">
            <w:pPr>
              <w:spacing w:after="0"/>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C5.1R3</w:t>
            </w:r>
          </w:p>
          <w:p w14:paraId="0437B8F4"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Gradual extension of free compulsory pre-primary education from the age of four</w:t>
            </w:r>
          </w:p>
        </w:tc>
        <w:tc>
          <w:tcPr>
            <w:tcW w:w="1613" w:type="dxa"/>
            <w:shd w:val="clear" w:color="auto" w:fill="C6EFCE"/>
            <w:noWrap/>
          </w:tcPr>
          <w:p w14:paraId="68BF1BBD"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6981D39"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 xml:space="preserve">Children aged between 4 years and 4 years and 8 months enrolled in public, communal and private kindergartens </w:t>
            </w:r>
          </w:p>
        </w:tc>
      </w:tr>
      <w:tr w:rsidR="0008144D" w:rsidRPr="002E6897" w14:paraId="7C92464D" w14:textId="77777777" w:rsidTr="00905EAD">
        <w:trPr>
          <w:cantSplit/>
          <w:trHeight w:val="1364"/>
          <w:jc w:val="center"/>
        </w:trPr>
        <w:tc>
          <w:tcPr>
            <w:tcW w:w="1177" w:type="dxa"/>
            <w:shd w:val="clear" w:color="auto" w:fill="C6EFCE"/>
            <w:noWrap/>
            <w:vAlign w:val="center"/>
          </w:tcPr>
          <w:p w14:paraId="341CA72C"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245</w:t>
            </w:r>
          </w:p>
        </w:tc>
        <w:tc>
          <w:tcPr>
            <w:tcW w:w="3301" w:type="dxa"/>
            <w:shd w:val="clear" w:color="auto" w:fill="C6EFCE"/>
            <w:noWrap/>
          </w:tcPr>
          <w:p w14:paraId="4A462058"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C5.1R3</w:t>
            </w:r>
          </w:p>
          <w:p w14:paraId="7F53B63E"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Gradual extension of free compulsory pre-primary education from the age of four</w:t>
            </w:r>
          </w:p>
        </w:tc>
        <w:tc>
          <w:tcPr>
            <w:tcW w:w="1613" w:type="dxa"/>
            <w:shd w:val="clear" w:color="auto" w:fill="C6EFCE"/>
            <w:noWrap/>
          </w:tcPr>
          <w:p w14:paraId="49836667"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50FC5D40" w14:textId="77777777" w:rsidR="003734A7" w:rsidRPr="002E6897" w:rsidRDefault="003734A7" w:rsidP="002E6897">
            <w:pPr>
              <w:spacing w:after="0"/>
              <w:jc w:val="both"/>
              <w:rPr>
                <w:rFonts w:ascii="Times New Roman" w:eastAsia="Times New Roman" w:hAnsi="Times New Roman" w:cs="Times New Roman"/>
                <w:noProof/>
                <w:sz w:val="18"/>
                <w:szCs w:val="18"/>
              </w:rPr>
            </w:pPr>
            <w:r w:rsidRPr="002E6897">
              <w:rPr>
                <w:rStyle w:val="ui-provider"/>
                <w:rFonts w:ascii="Times New Roman" w:hAnsi="Times New Roman" w:cs="Times New Roman"/>
                <w:noProof/>
                <w:sz w:val="18"/>
                <w:szCs w:val="18"/>
              </w:rPr>
              <w:t>New places in new or extended public kindergartens</w:t>
            </w:r>
          </w:p>
        </w:tc>
      </w:tr>
      <w:tr w:rsidR="003734A7" w:rsidRPr="002E6897" w14:paraId="0C17950A" w14:textId="77777777" w:rsidTr="00905EAD">
        <w:trPr>
          <w:cantSplit/>
          <w:trHeight w:val="302"/>
          <w:jc w:val="center"/>
        </w:trPr>
        <w:tc>
          <w:tcPr>
            <w:tcW w:w="1177" w:type="dxa"/>
            <w:shd w:val="clear" w:color="auto" w:fill="C6EFCE"/>
            <w:noWrap/>
          </w:tcPr>
          <w:p w14:paraId="129FE0F3"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246b</w:t>
            </w:r>
          </w:p>
        </w:tc>
        <w:tc>
          <w:tcPr>
            <w:tcW w:w="3301" w:type="dxa"/>
            <w:shd w:val="clear" w:color="auto" w:fill="C6EFCE"/>
            <w:noWrap/>
          </w:tcPr>
          <w:p w14:paraId="1A859030"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C5.1R4</w:t>
            </w:r>
          </w:p>
          <w:p w14:paraId="10F946F9"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Digital transformation of school units with the aim of enhancing digital skills and skills related to STEM education</w:t>
            </w:r>
          </w:p>
        </w:tc>
        <w:tc>
          <w:tcPr>
            <w:tcW w:w="1613" w:type="dxa"/>
            <w:shd w:val="clear" w:color="auto" w:fill="C6EFCE"/>
            <w:noWrap/>
          </w:tcPr>
          <w:p w14:paraId="46248783" w14:textId="77777777" w:rsidR="003734A7" w:rsidRPr="002E6897" w:rsidRDefault="003734A7" w:rsidP="002E6897">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26F8A41" w14:textId="7B7951D0" w:rsidR="003734A7" w:rsidRPr="002E6897" w:rsidRDefault="003734A7" w:rsidP="002E6897">
            <w:pPr>
              <w:spacing w:after="0"/>
              <w:jc w:val="both"/>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Support scheme</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for the</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digital</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equipment</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for</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pupils</w:t>
            </w:r>
          </w:p>
        </w:tc>
      </w:tr>
      <w:tr w:rsidR="003734A7" w:rsidRPr="002E6897" w14:paraId="4238B564" w14:textId="77777777" w:rsidTr="00905EAD">
        <w:trPr>
          <w:cantSplit/>
          <w:trHeight w:val="302"/>
          <w:jc w:val="center"/>
        </w:trPr>
        <w:tc>
          <w:tcPr>
            <w:tcW w:w="1177" w:type="dxa"/>
            <w:shd w:val="clear" w:color="auto" w:fill="C6EFCE"/>
            <w:noWrap/>
          </w:tcPr>
          <w:p w14:paraId="0CB8990E"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263</w:t>
            </w:r>
          </w:p>
        </w:tc>
        <w:tc>
          <w:tcPr>
            <w:tcW w:w="3301" w:type="dxa"/>
            <w:shd w:val="clear" w:color="auto" w:fill="C6EFCE"/>
            <w:noWrap/>
          </w:tcPr>
          <w:p w14:paraId="20D472A6"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C5.2I2</w:t>
            </w:r>
          </w:p>
          <w:p w14:paraId="113F0580"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Establishment of multifunctional centres and childcare centres</w:t>
            </w:r>
          </w:p>
        </w:tc>
        <w:tc>
          <w:tcPr>
            <w:tcW w:w="1613" w:type="dxa"/>
            <w:shd w:val="clear" w:color="auto" w:fill="C6EFCE"/>
            <w:noWrap/>
          </w:tcPr>
          <w:p w14:paraId="39C2C602"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03311A6" w14:textId="645BF8DE"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Grant</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disbursed</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to at least</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9</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local authorities/ Non-Governmental Organisations for</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Multifunctional Centres or Childcare Centres</w:t>
            </w:r>
          </w:p>
        </w:tc>
      </w:tr>
      <w:tr w:rsidR="003734A7" w:rsidRPr="002E6897" w14:paraId="25EDBB51" w14:textId="77777777" w:rsidTr="00905EAD">
        <w:trPr>
          <w:cantSplit/>
          <w:trHeight w:val="302"/>
          <w:jc w:val="center"/>
        </w:trPr>
        <w:tc>
          <w:tcPr>
            <w:tcW w:w="1177" w:type="dxa"/>
            <w:shd w:val="clear" w:color="auto" w:fill="C6EFCE"/>
            <w:noWrap/>
            <w:vAlign w:val="bottom"/>
          </w:tcPr>
          <w:p w14:paraId="14939DFD"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29b</w:t>
            </w:r>
          </w:p>
        </w:tc>
        <w:tc>
          <w:tcPr>
            <w:tcW w:w="3301" w:type="dxa"/>
            <w:shd w:val="clear" w:color="auto" w:fill="C6EFCE"/>
            <w:noWrap/>
            <w:vAlign w:val="center"/>
          </w:tcPr>
          <w:p w14:paraId="7E20C0E8" w14:textId="77777777" w:rsidR="003734A7" w:rsidRPr="002E6897" w:rsidRDefault="003734A7" w:rsidP="00D8670B">
            <w:pPr>
              <w:spacing w:after="0"/>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 xml:space="preserve">C6.1I1 Scaled-up measure: Promoting renewables and individual energy efficiency measures in dwellings </w:t>
            </w:r>
          </w:p>
        </w:tc>
        <w:tc>
          <w:tcPr>
            <w:tcW w:w="1613" w:type="dxa"/>
            <w:shd w:val="clear" w:color="auto" w:fill="C6EFCE"/>
            <w:noWrap/>
            <w:vAlign w:val="center"/>
          </w:tcPr>
          <w:p w14:paraId="499587DB" w14:textId="77777777"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vAlign w:val="center"/>
          </w:tcPr>
          <w:p w14:paraId="0889B4E7" w14:textId="77777777" w:rsidR="003734A7" w:rsidRPr="002E6897" w:rsidRDefault="003734A7" w:rsidP="002E6897">
            <w:pPr>
              <w:spacing w:after="0"/>
              <w:jc w:val="both"/>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Energy efficiency measures in dwellings and tackling energy poverty</w:t>
            </w:r>
          </w:p>
        </w:tc>
      </w:tr>
      <w:tr w:rsidR="003734A7" w:rsidRPr="002E6897" w14:paraId="52DA94FD" w14:textId="77777777" w:rsidTr="00905EAD">
        <w:trPr>
          <w:cantSplit/>
          <w:trHeight w:val="302"/>
          <w:jc w:val="center"/>
        </w:trPr>
        <w:tc>
          <w:tcPr>
            <w:tcW w:w="1177" w:type="dxa"/>
            <w:shd w:val="clear" w:color="auto" w:fill="C6EFCE"/>
            <w:noWrap/>
            <w:vAlign w:val="bottom"/>
          </w:tcPr>
          <w:p w14:paraId="2C37CB26"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275</w:t>
            </w:r>
          </w:p>
        </w:tc>
        <w:tc>
          <w:tcPr>
            <w:tcW w:w="3301" w:type="dxa"/>
            <w:shd w:val="clear" w:color="auto" w:fill="C6EFCE"/>
            <w:noWrap/>
            <w:vAlign w:val="bottom"/>
          </w:tcPr>
          <w:p w14:paraId="73793789" w14:textId="57A6F5B0" w:rsidR="003734A7" w:rsidRPr="002E6897" w:rsidRDefault="003734A7" w:rsidP="00D8670B">
            <w:pPr>
              <w:spacing w:after="0"/>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C6.1I3</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Promoting energy renovations of dwellings</w:t>
            </w:r>
          </w:p>
        </w:tc>
        <w:tc>
          <w:tcPr>
            <w:tcW w:w="1613" w:type="dxa"/>
            <w:shd w:val="clear" w:color="auto" w:fill="C6EFCE"/>
            <w:noWrap/>
            <w:vAlign w:val="center"/>
          </w:tcPr>
          <w:p w14:paraId="0C546E98" w14:textId="0535A189"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vAlign w:val="center"/>
          </w:tcPr>
          <w:p w14:paraId="1E237F62" w14:textId="77777777" w:rsidR="003734A7" w:rsidRPr="002E6897" w:rsidRDefault="003734A7" w:rsidP="002E6897">
            <w:pPr>
              <w:spacing w:after="0"/>
              <w:jc w:val="both"/>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Improving energy performance of dwellings</w:t>
            </w:r>
          </w:p>
        </w:tc>
      </w:tr>
      <w:tr w:rsidR="003734A7" w:rsidRPr="002E6897" w14:paraId="0936C7E8" w14:textId="77777777" w:rsidTr="00905EAD">
        <w:trPr>
          <w:cantSplit/>
          <w:trHeight w:val="302"/>
          <w:jc w:val="center"/>
        </w:trPr>
        <w:tc>
          <w:tcPr>
            <w:tcW w:w="1177" w:type="dxa"/>
            <w:shd w:val="clear" w:color="auto" w:fill="C6EFCE"/>
            <w:noWrap/>
            <w:vAlign w:val="bottom"/>
          </w:tcPr>
          <w:p w14:paraId="26928534"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102b</w:t>
            </w:r>
          </w:p>
        </w:tc>
        <w:tc>
          <w:tcPr>
            <w:tcW w:w="3301" w:type="dxa"/>
            <w:shd w:val="clear" w:color="auto" w:fill="C6EFCE"/>
            <w:noWrap/>
            <w:vAlign w:val="bottom"/>
          </w:tcPr>
          <w:p w14:paraId="5E0CE6D1" w14:textId="2EA909FF" w:rsidR="003734A7" w:rsidRPr="002E6897" w:rsidRDefault="003734A7" w:rsidP="00D8670B">
            <w:pPr>
              <w:spacing w:after="0"/>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C6.1I5</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Scaled-up measure: Scheme for the enhancement of the competitiveness and the energy efficiency of large enterprises in Cyprus</w:t>
            </w:r>
          </w:p>
        </w:tc>
        <w:tc>
          <w:tcPr>
            <w:tcW w:w="1613" w:type="dxa"/>
            <w:shd w:val="clear" w:color="auto" w:fill="C6EFCE"/>
            <w:noWrap/>
            <w:vAlign w:val="center"/>
          </w:tcPr>
          <w:p w14:paraId="2FFFD258" w14:textId="7582A848"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vAlign w:val="center"/>
          </w:tcPr>
          <w:p w14:paraId="04353B76" w14:textId="77777777" w:rsidR="003734A7" w:rsidRPr="002E6897" w:rsidRDefault="003734A7" w:rsidP="002E6897">
            <w:pPr>
              <w:spacing w:after="0"/>
              <w:jc w:val="both"/>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Signature of grants with 12 enterprises</w:t>
            </w:r>
          </w:p>
        </w:tc>
      </w:tr>
      <w:tr w:rsidR="003734A7" w:rsidRPr="002E6897" w14:paraId="26537544" w14:textId="77777777" w:rsidTr="00905EAD">
        <w:trPr>
          <w:cantSplit/>
          <w:trHeight w:val="302"/>
          <w:jc w:val="center"/>
        </w:trPr>
        <w:tc>
          <w:tcPr>
            <w:tcW w:w="1177" w:type="dxa"/>
            <w:shd w:val="clear" w:color="auto" w:fill="C6EFCE"/>
            <w:noWrap/>
            <w:vAlign w:val="bottom"/>
          </w:tcPr>
          <w:p w14:paraId="159FBEF0"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131b</w:t>
            </w:r>
          </w:p>
        </w:tc>
        <w:tc>
          <w:tcPr>
            <w:tcW w:w="3301" w:type="dxa"/>
            <w:shd w:val="clear" w:color="auto" w:fill="C6EFCE"/>
            <w:noWrap/>
            <w:vAlign w:val="bottom"/>
          </w:tcPr>
          <w:p w14:paraId="2C6CC4BF" w14:textId="33555E6E" w:rsidR="003734A7" w:rsidRPr="002E6897" w:rsidRDefault="003734A7" w:rsidP="00D8670B">
            <w:pPr>
              <w:spacing w:after="0"/>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C6.1I6</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Scaled-up measure: Thematic research and innovation funding program on green transition</w:t>
            </w:r>
          </w:p>
        </w:tc>
        <w:tc>
          <w:tcPr>
            <w:tcW w:w="1613" w:type="dxa"/>
            <w:shd w:val="clear" w:color="auto" w:fill="C6EFCE"/>
            <w:noWrap/>
            <w:vAlign w:val="center"/>
          </w:tcPr>
          <w:p w14:paraId="63C498C5" w14:textId="307ED61B"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vAlign w:val="center"/>
          </w:tcPr>
          <w:p w14:paraId="08259F0D" w14:textId="77777777" w:rsidR="003734A7" w:rsidRPr="002E6897" w:rsidRDefault="003734A7" w:rsidP="002E6897">
            <w:pPr>
              <w:spacing w:after="0"/>
              <w:jc w:val="both"/>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Projects on green transition R&amp;I activities</w:t>
            </w:r>
          </w:p>
        </w:tc>
      </w:tr>
      <w:tr w:rsidR="003734A7" w:rsidRPr="002E6897" w14:paraId="725CB516" w14:textId="77777777" w:rsidTr="00905EAD">
        <w:trPr>
          <w:cantSplit/>
          <w:trHeight w:val="302"/>
          <w:jc w:val="center"/>
        </w:trPr>
        <w:tc>
          <w:tcPr>
            <w:tcW w:w="1177" w:type="dxa"/>
            <w:shd w:val="clear" w:color="auto" w:fill="C6EFCE"/>
            <w:noWrap/>
            <w:vAlign w:val="bottom"/>
          </w:tcPr>
          <w:p w14:paraId="6AC66660" w14:textId="77777777" w:rsidR="003734A7" w:rsidRPr="002E6897" w:rsidRDefault="003734A7" w:rsidP="00D8670B">
            <w:pPr>
              <w:spacing w:after="0"/>
              <w:jc w:val="center"/>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277</w:t>
            </w:r>
          </w:p>
        </w:tc>
        <w:tc>
          <w:tcPr>
            <w:tcW w:w="3301" w:type="dxa"/>
            <w:shd w:val="clear" w:color="auto" w:fill="C6EFCE"/>
            <w:noWrap/>
            <w:vAlign w:val="center"/>
          </w:tcPr>
          <w:p w14:paraId="58526550" w14:textId="428B5F6D" w:rsidR="003734A7" w:rsidRPr="002E6897" w:rsidRDefault="003734A7" w:rsidP="00D8670B">
            <w:pPr>
              <w:spacing w:after="0"/>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C6.1I7</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Thematic research in enterprises for energy production, storage, transmission and distribution solutions</w:t>
            </w:r>
          </w:p>
        </w:tc>
        <w:tc>
          <w:tcPr>
            <w:tcW w:w="1613" w:type="dxa"/>
            <w:shd w:val="clear" w:color="auto" w:fill="C6EFCE"/>
            <w:noWrap/>
            <w:vAlign w:val="center"/>
          </w:tcPr>
          <w:p w14:paraId="6C059264" w14:textId="77777777"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vAlign w:val="center"/>
          </w:tcPr>
          <w:p w14:paraId="2CCDE87C" w14:textId="0CFA47DC" w:rsidR="003734A7" w:rsidRPr="002E6897" w:rsidRDefault="003734A7" w:rsidP="002E6897">
            <w:pPr>
              <w:spacing w:after="0"/>
              <w:jc w:val="both"/>
              <w:rPr>
                <w:rFonts w:ascii="Times New Roman" w:eastAsia="Times New Roman" w:hAnsi="Times New Roman" w:cs="Times New Roman"/>
                <w:noProof/>
                <w:color w:val="006100"/>
                <w:sz w:val="18"/>
                <w:szCs w:val="18"/>
              </w:rPr>
            </w:pPr>
            <w:r w:rsidRPr="002E6897">
              <w:rPr>
                <w:rFonts w:ascii="Times New Roman" w:hAnsi="Times New Roman" w:cs="Times New Roman"/>
                <w:noProof/>
                <w:sz w:val="18"/>
                <w:szCs w:val="18"/>
              </w:rPr>
              <w:t>Projects</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on</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energy production, storage,</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transmission</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and distribution solutions R&amp;I activities</w:t>
            </w:r>
          </w:p>
        </w:tc>
      </w:tr>
      <w:tr w:rsidR="003734A7" w:rsidRPr="002E6897" w14:paraId="16B7FF73" w14:textId="77777777" w:rsidTr="00905EAD">
        <w:trPr>
          <w:cantSplit/>
          <w:trHeight w:val="302"/>
          <w:jc w:val="center"/>
        </w:trPr>
        <w:tc>
          <w:tcPr>
            <w:tcW w:w="1177" w:type="dxa"/>
            <w:shd w:val="clear" w:color="auto" w:fill="C6EFCE"/>
            <w:noWrap/>
          </w:tcPr>
          <w:p w14:paraId="699BF73D"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81</w:t>
            </w:r>
          </w:p>
        </w:tc>
        <w:tc>
          <w:tcPr>
            <w:tcW w:w="3301" w:type="dxa"/>
            <w:shd w:val="clear" w:color="auto" w:fill="C6EFCE"/>
            <w:noWrap/>
          </w:tcPr>
          <w:p w14:paraId="1F68CEE1"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C2.3I6</w:t>
            </w:r>
          </w:p>
          <w:p w14:paraId="12D560E9" w14:textId="77777777" w:rsidR="003734A7" w:rsidRPr="002E6897" w:rsidRDefault="003734A7" w:rsidP="00D8670B">
            <w:pPr>
              <w:spacing w:after="0"/>
              <w:rPr>
                <w:rFonts w:ascii="Times New Roman" w:hAnsi="Times New Roman" w:cs="Times New Roman"/>
                <w:noProof/>
                <w:sz w:val="18"/>
                <w:szCs w:val="18"/>
              </w:rPr>
            </w:pPr>
            <w:r w:rsidRPr="002E6897">
              <w:rPr>
                <w:rFonts w:ascii="Times New Roman" w:hAnsi="Times New Roman" w:cs="Times New Roman"/>
                <w:noProof/>
                <w:sz w:val="18"/>
                <w:szCs w:val="18"/>
              </w:rPr>
              <w:t>Water security projects</w:t>
            </w:r>
          </w:p>
        </w:tc>
        <w:tc>
          <w:tcPr>
            <w:tcW w:w="1613" w:type="dxa"/>
            <w:shd w:val="clear" w:color="auto" w:fill="C6EFCE"/>
            <w:noWrap/>
          </w:tcPr>
          <w:p w14:paraId="1EF395F3"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1CC53D0" w14:textId="6DBBB502"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 xml:space="preserve">Water reservoir(s) and water treatment plant </w:t>
            </w:r>
          </w:p>
        </w:tc>
      </w:tr>
      <w:tr w:rsidR="003734A7" w:rsidRPr="002E6897" w14:paraId="27A5F7EA" w14:textId="77777777" w:rsidTr="00905EAD">
        <w:trPr>
          <w:cantSplit/>
          <w:trHeight w:val="302"/>
          <w:jc w:val="center"/>
        </w:trPr>
        <w:tc>
          <w:tcPr>
            <w:tcW w:w="1177" w:type="dxa"/>
            <w:shd w:val="clear" w:color="auto" w:fill="C6EFCE"/>
            <w:noWrap/>
          </w:tcPr>
          <w:p w14:paraId="2BCF8AB0" w14:textId="77777777" w:rsidR="003734A7" w:rsidRPr="002E6897" w:rsidRDefault="003734A7" w:rsidP="00D8670B">
            <w:pPr>
              <w:spacing w:after="0"/>
              <w:jc w:val="center"/>
              <w:rPr>
                <w:rFonts w:ascii="Times New Roman" w:eastAsia="Times New Roman" w:hAnsi="Times New Roman" w:cs="Times New Roman"/>
                <w:noProof/>
                <w:sz w:val="18"/>
                <w:szCs w:val="18"/>
                <w:lang w:eastAsia="en-GB"/>
              </w:rPr>
            </w:pPr>
            <w:r w:rsidRPr="002E6897">
              <w:rPr>
                <w:rFonts w:ascii="Times New Roman" w:hAnsi="Times New Roman" w:cs="Times New Roman"/>
                <w:noProof/>
                <w:sz w:val="18"/>
                <w:szCs w:val="18"/>
              </w:rPr>
              <w:t>77b</w:t>
            </w:r>
          </w:p>
        </w:tc>
        <w:tc>
          <w:tcPr>
            <w:tcW w:w="3301" w:type="dxa"/>
            <w:shd w:val="clear" w:color="auto" w:fill="C6EFCE"/>
            <w:noWrap/>
          </w:tcPr>
          <w:p w14:paraId="54085D59" w14:textId="77777777" w:rsidR="003734A7" w:rsidRPr="002E6897" w:rsidRDefault="003734A7" w:rsidP="00D8670B">
            <w:pPr>
              <w:spacing w:after="0" w:line="240" w:lineRule="auto"/>
              <w:rPr>
                <w:rFonts w:ascii="Times New Roman" w:hAnsi="Times New Roman" w:cs="Times New Roman"/>
                <w:noProof/>
                <w:sz w:val="18"/>
                <w:szCs w:val="18"/>
              </w:rPr>
            </w:pPr>
            <w:r w:rsidRPr="002E6897">
              <w:rPr>
                <w:rFonts w:ascii="Times New Roman" w:hAnsi="Times New Roman" w:cs="Times New Roman"/>
                <w:noProof/>
                <w:sz w:val="18"/>
                <w:szCs w:val="18"/>
              </w:rPr>
              <w:t>C2.3I5</w:t>
            </w:r>
          </w:p>
          <w:p w14:paraId="5FF2103F" w14:textId="77777777" w:rsidR="003734A7" w:rsidRPr="002E6897" w:rsidRDefault="003734A7" w:rsidP="00D8670B">
            <w:pPr>
              <w:spacing w:after="0"/>
              <w:rPr>
                <w:rFonts w:ascii="Times New Roman" w:eastAsia="Times New Roman" w:hAnsi="Times New Roman" w:cs="Times New Roman"/>
                <w:noProof/>
                <w:color w:val="006100"/>
                <w:sz w:val="18"/>
                <w:szCs w:val="18"/>
                <w:lang w:eastAsia="en-GB"/>
              </w:rPr>
            </w:pPr>
            <w:r w:rsidRPr="002E6897">
              <w:rPr>
                <w:rFonts w:ascii="Times New Roman" w:hAnsi="Times New Roman" w:cs="Times New Roman"/>
                <w:noProof/>
                <w:sz w:val="18"/>
                <w:szCs w:val="18"/>
              </w:rPr>
              <w:t>Anti-flood and water collection measures</w:t>
            </w:r>
          </w:p>
        </w:tc>
        <w:tc>
          <w:tcPr>
            <w:tcW w:w="1613" w:type="dxa"/>
            <w:shd w:val="clear" w:color="auto" w:fill="C6EFCE"/>
            <w:noWrap/>
          </w:tcPr>
          <w:p w14:paraId="646636D2" w14:textId="77777777" w:rsidR="003734A7" w:rsidRPr="002E6897" w:rsidRDefault="003734A7" w:rsidP="002E6897">
            <w:pPr>
              <w:spacing w:after="0"/>
              <w:jc w:val="center"/>
              <w:rPr>
                <w:rFonts w:ascii="Times New Roman" w:hAnsi="Times New Roman" w:cs="Times New Roman"/>
                <w:noProof/>
                <w:color w:val="006100"/>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405212BF" w14:textId="6207F6B9" w:rsidR="003734A7" w:rsidRPr="002E6897" w:rsidRDefault="003734A7" w:rsidP="002E6897">
            <w:pPr>
              <w:spacing w:after="0"/>
              <w:jc w:val="both"/>
              <w:rPr>
                <w:rFonts w:ascii="Times New Roman" w:hAnsi="Times New Roman" w:cs="Times New Roman"/>
                <w:noProof/>
                <w:color w:val="006100"/>
                <w:sz w:val="18"/>
                <w:szCs w:val="18"/>
              </w:rPr>
            </w:pPr>
            <w:r w:rsidRPr="002E6897">
              <w:rPr>
                <w:rFonts w:ascii="Times New Roman" w:hAnsi="Times New Roman" w:cs="Times New Roman"/>
                <w:noProof/>
                <w:sz w:val="18"/>
                <w:szCs w:val="18"/>
              </w:rPr>
              <w:t>Anti-flood work(s) or reconstruction or constructions of streets</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and</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pavements</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in</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Nicosia</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and</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Limmasol</w:t>
            </w:r>
          </w:p>
        </w:tc>
      </w:tr>
      <w:tr w:rsidR="003734A7" w:rsidRPr="002E6897" w14:paraId="338612D4" w14:textId="77777777" w:rsidTr="00905EAD">
        <w:trPr>
          <w:cantSplit/>
          <w:trHeight w:val="302"/>
          <w:jc w:val="center"/>
        </w:trPr>
        <w:tc>
          <w:tcPr>
            <w:tcW w:w="1177" w:type="dxa"/>
            <w:shd w:val="clear" w:color="auto" w:fill="C6EFCE"/>
            <w:noWrap/>
          </w:tcPr>
          <w:p w14:paraId="25248D46" w14:textId="77777777" w:rsidR="003734A7" w:rsidRPr="002E6897" w:rsidRDefault="003734A7" w:rsidP="00D8670B">
            <w:pPr>
              <w:spacing w:after="0"/>
              <w:jc w:val="center"/>
              <w:rPr>
                <w:rFonts w:ascii="Times New Roman" w:eastAsia="Times New Roman" w:hAnsi="Times New Roman" w:cs="Times New Roman"/>
                <w:noProof/>
                <w:sz w:val="18"/>
                <w:szCs w:val="18"/>
                <w:lang w:eastAsia="en-GB"/>
              </w:rPr>
            </w:pPr>
            <w:r w:rsidRPr="002E6897">
              <w:rPr>
                <w:rFonts w:ascii="Times New Roman" w:hAnsi="Times New Roman" w:cs="Times New Roman"/>
                <w:noProof/>
                <w:sz w:val="18"/>
                <w:szCs w:val="18"/>
              </w:rPr>
              <w:t>18</w:t>
            </w:r>
          </w:p>
        </w:tc>
        <w:tc>
          <w:tcPr>
            <w:tcW w:w="3301" w:type="dxa"/>
            <w:shd w:val="clear" w:color="auto" w:fill="C6EFCE"/>
            <w:noWrap/>
          </w:tcPr>
          <w:p w14:paraId="064C71ED" w14:textId="3CB58F16" w:rsidR="003734A7" w:rsidRPr="002E6897" w:rsidRDefault="003734A7" w:rsidP="00D8670B">
            <w:pPr>
              <w:spacing w:after="0"/>
              <w:rPr>
                <w:rFonts w:ascii="Times New Roman" w:eastAsia="Times New Roman" w:hAnsi="Times New Roman" w:cs="Times New Roman"/>
                <w:noProof/>
                <w:color w:val="006100"/>
                <w:sz w:val="18"/>
                <w:szCs w:val="18"/>
                <w:lang w:eastAsia="en-GB"/>
              </w:rPr>
            </w:pPr>
            <w:r w:rsidRPr="002E6897">
              <w:rPr>
                <w:rFonts w:ascii="Times New Roman" w:hAnsi="Times New Roman" w:cs="Times New Roman"/>
                <w:noProof/>
                <w:sz w:val="18"/>
                <w:szCs w:val="18"/>
              </w:rPr>
              <w:t>C1.1I5</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br/>
              <w:t>Construction works and new equipment</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in</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Cyprus State Hospitals</w:t>
            </w:r>
          </w:p>
        </w:tc>
        <w:tc>
          <w:tcPr>
            <w:tcW w:w="1613" w:type="dxa"/>
            <w:shd w:val="clear" w:color="auto" w:fill="C6EFCE"/>
            <w:noWrap/>
          </w:tcPr>
          <w:p w14:paraId="3DBB4D1E" w14:textId="77777777" w:rsidR="003734A7" w:rsidRPr="002E6897" w:rsidRDefault="003734A7" w:rsidP="002E6897">
            <w:pPr>
              <w:spacing w:after="0"/>
              <w:jc w:val="center"/>
              <w:rPr>
                <w:rFonts w:ascii="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558A3E54" w14:textId="062C512C" w:rsidR="003734A7" w:rsidRPr="002E6897" w:rsidRDefault="003734A7" w:rsidP="002E6897">
            <w:pPr>
              <w:spacing w:after="0"/>
              <w:jc w:val="both"/>
              <w:rPr>
                <w:rFonts w:ascii="Times New Roman" w:hAnsi="Times New Roman" w:cs="Times New Roman"/>
                <w:noProof/>
                <w:color w:val="006100"/>
                <w:sz w:val="18"/>
                <w:szCs w:val="18"/>
              </w:rPr>
            </w:pPr>
            <w:r w:rsidRPr="002E6897">
              <w:rPr>
                <w:rFonts w:ascii="Times New Roman" w:hAnsi="Times New Roman" w:cs="Times New Roman"/>
                <w:noProof/>
                <w:sz w:val="18"/>
                <w:szCs w:val="18"/>
              </w:rPr>
              <w:t>Construction</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works</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or</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purchase of equipment</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in</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Cyprus</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State hospitals </w:t>
            </w:r>
          </w:p>
        </w:tc>
      </w:tr>
      <w:tr w:rsidR="003734A7" w:rsidRPr="002E6897" w14:paraId="402641FA" w14:textId="77777777" w:rsidTr="00905EAD">
        <w:trPr>
          <w:cantSplit/>
          <w:trHeight w:val="302"/>
          <w:jc w:val="center"/>
        </w:trPr>
        <w:tc>
          <w:tcPr>
            <w:tcW w:w="1177" w:type="dxa"/>
            <w:shd w:val="clear" w:color="auto" w:fill="C6EFCE"/>
            <w:noWrap/>
          </w:tcPr>
          <w:p w14:paraId="398D2196" w14:textId="77777777" w:rsidR="003734A7" w:rsidRPr="002E6897" w:rsidRDefault="003734A7" w:rsidP="00D8670B">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264</w:t>
            </w:r>
          </w:p>
        </w:tc>
        <w:tc>
          <w:tcPr>
            <w:tcW w:w="3301" w:type="dxa"/>
            <w:shd w:val="clear" w:color="auto" w:fill="C6EFCE"/>
            <w:noWrap/>
          </w:tcPr>
          <w:p w14:paraId="764E57C6"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C5.2I3</w:t>
            </w:r>
          </w:p>
          <w:p w14:paraId="368A306E" w14:textId="77777777" w:rsidR="003734A7" w:rsidRPr="002E6897" w:rsidRDefault="003734A7" w:rsidP="00D8670B">
            <w:pPr>
              <w:spacing w:after="0"/>
              <w:rPr>
                <w:rFonts w:ascii="Times New Roman" w:hAnsi="Times New Roman" w:cs="Times New Roman"/>
                <w:noProof/>
                <w:sz w:val="18"/>
                <w:szCs w:val="18"/>
              </w:rPr>
            </w:pPr>
            <w:r w:rsidRPr="002E6897">
              <w:rPr>
                <w:rFonts w:ascii="Times New Roman" w:hAnsi="Times New Roman" w:cs="Times New Roman"/>
                <w:noProof/>
                <w:sz w:val="18"/>
                <w:szCs w:val="18"/>
              </w:rPr>
              <w:t>Establishment of Home structures for people in need of long term care (LTC) </w:t>
            </w:r>
          </w:p>
        </w:tc>
        <w:tc>
          <w:tcPr>
            <w:tcW w:w="1613" w:type="dxa"/>
            <w:shd w:val="clear" w:color="auto" w:fill="C6EFCE"/>
            <w:noWrap/>
          </w:tcPr>
          <w:p w14:paraId="6E70BC35" w14:textId="77777777" w:rsidR="003734A7" w:rsidRPr="002E6897" w:rsidRDefault="003734A7" w:rsidP="002E6897">
            <w:pPr>
              <w:spacing w:after="0"/>
              <w:jc w:val="center"/>
              <w:rPr>
                <w:rFonts w:ascii="Times New Roman" w:hAnsi="Times New Roman" w:cs="Times New Roman"/>
                <w:noProof/>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75F12BB2" w14:textId="5FE97147" w:rsidR="003734A7" w:rsidRPr="002E6897" w:rsidRDefault="003734A7" w:rsidP="002E6897">
            <w:pPr>
              <w:spacing w:after="0"/>
              <w:jc w:val="both"/>
              <w:rPr>
                <w:rFonts w:ascii="Times New Roman" w:hAnsi="Times New Roman" w:cs="Times New Roman"/>
                <w:noProof/>
                <w:sz w:val="18"/>
                <w:szCs w:val="18"/>
              </w:rPr>
            </w:pPr>
            <w:r w:rsidRPr="002E6897">
              <w:rPr>
                <w:rFonts w:ascii="Times New Roman" w:hAnsi="Times New Roman" w:cs="Times New Roman"/>
                <w:noProof/>
                <w:sz w:val="18"/>
                <w:szCs w:val="18"/>
              </w:rPr>
              <w:t>Home</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structures</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for</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people in need of long-term care</w:t>
            </w:r>
          </w:p>
        </w:tc>
      </w:tr>
      <w:tr w:rsidR="003734A7" w:rsidRPr="002E6897" w14:paraId="01519140" w14:textId="77777777" w:rsidTr="00905EAD">
        <w:trPr>
          <w:cantSplit/>
          <w:trHeight w:val="302"/>
          <w:jc w:val="center"/>
        </w:trPr>
        <w:tc>
          <w:tcPr>
            <w:tcW w:w="1177" w:type="dxa"/>
            <w:shd w:val="clear" w:color="auto" w:fill="C6EFCE"/>
            <w:noWrap/>
          </w:tcPr>
          <w:p w14:paraId="16BDE678" w14:textId="77777777" w:rsidR="003734A7" w:rsidRPr="002E6897" w:rsidRDefault="003734A7" w:rsidP="00D8670B">
            <w:pPr>
              <w:spacing w:after="0"/>
              <w:jc w:val="center"/>
              <w:rPr>
                <w:rFonts w:ascii="Times New Roman" w:eastAsia="Times New Roman" w:hAnsi="Times New Roman" w:cs="Times New Roman"/>
                <w:noProof/>
                <w:sz w:val="18"/>
                <w:szCs w:val="18"/>
                <w:lang w:eastAsia="en-GB"/>
              </w:rPr>
            </w:pPr>
            <w:r w:rsidRPr="002E6897">
              <w:rPr>
                <w:rFonts w:ascii="Times New Roman" w:hAnsi="Times New Roman" w:cs="Times New Roman"/>
                <w:noProof/>
                <w:sz w:val="18"/>
                <w:szCs w:val="18"/>
              </w:rPr>
              <w:t>204</w:t>
            </w:r>
          </w:p>
        </w:tc>
        <w:tc>
          <w:tcPr>
            <w:tcW w:w="3301" w:type="dxa"/>
            <w:shd w:val="clear" w:color="auto" w:fill="C6EFCE"/>
            <w:noWrap/>
          </w:tcPr>
          <w:p w14:paraId="0E3F4A7C" w14:textId="1BF6F2B7" w:rsidR="003734A7" w:rsidRPr="002E6897" w:rsidRDefault="003734A7" w:rsidP="00D8670B">
            <w:pPr>
              <w:spacing w:after="0"/>
              <w:rPr>
                <w:rFonts w:ascii="Times New Roman" w:eastAsia="Times New Roman" w:hAnsi="Times New Roman" w:cs="Times New Roman"/>
                <w:noProof/>
                <w:color w:val="006100"/>
                <w:sz w:val="18"/>
                <w:szCs w:val="18"/>
                <w:lang w:eastAsia="en-GB"/>
              </w:rPr>
            </w:pPr>
            <w:r w:rsidRPr="002E6897">
              <w:rPr>
                <w:rFonts w:ascii="Times New Roman" w:hAnsi="Times New Roman" w:cs="Times New Roman"/>
                <w:noProof/>
                <w:sz w:val="18"/>
                <w:szCs w:val="18"/>
              </w:rPr>
              <w:t>C3.5R8</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br/>
              <w:t>Enhancing supervision of Insurance and Pension Funds</w:t>
            </w:r>
          </w:p>
        </w:tc>
        <w:tc>
          <w:tcPr>
            <w:tcW w:w="1613" w:type="dxa"/>
            <w:shd w:val="clear" w:color="auto" w:fill="C6EFCE"/>
            <w:noWrap/>
          </w:tcPr>
          <w:p w14:paraId="2D193610" w14:textId="77777777" w:rsidR="003734A7" w:rsidRPr="002E6897" w:rsidRDefault="003734A7" w:rsidP="002E6897">
            <w:pPr>
              <w:spacing w:after="0"/>
              <w:jc w:val="center"/>
              <w:rPr>
                <w:rFonts w:ascii="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3B3BD470" w14:textId="6ED363CC" w:rsidR="003734A7" w:rsidRPr="002E6897" w:rsidRDefault="003734A7" w:rsidP="002E6897">
            <w:pPr>
              <w:spacing w:after="0"/>
              <w:jc w:val="both"/>
              <w:rPr>
                <w:rFonts w:ascii="Times New Roman" w:hAnsi="Times New Roman" w:cs="Times New Roman"/>
                <w:noProof/>
                <w:color w:val="006100"/>
                <w:sz w:val="18"/>
                <w:szCs w:val="18"/>
              </w:rPr>
            </w:pPr>
            <w:r w:rsidRPr="002E6897">
              <w:rPr>
                <w:rFonts w:ascii="Times New Roman" w:hAnsi="Times New Roman" w:cs="Times New Roman"/>
                <w:noProof/>
                <w:sz w:val="18"/>
                <w:szCs w:val="18"/>
              </w:rPr>
              <w:t>Employment of</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additional</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permanent</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employees</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of the Registrar of</w:t>
            </w:r>
            <w:r w:rsidR="00910683">
              <w:rPr>
                <w:rFonts w:ascii="Times New Roman" w:hAnsi="Times New Roman" w:cs="Times New Roman"/>
                <w:noProof/>
                <w:sz w:val="18"/>
                <w:szCs w:val="18"/>
              </w:rPr>
              <w:t xml:space="preserve"> </w:t>
            </w:r>
            <w:r w:rsidRPr="002E6897">
              <w:rPr>
                <w:rFonts w:ascii="Times New Roman" w:hAnsi="Times New Roman" w:cs="Times New Roman"/>
                <w:noProof/>
                <w:sz w:val="18"/>
                <w:szCs w:val="18"/>
              </w:rPr>
              <w:t>Occupational Retirement Benefits Fund (RORBF) and the Insurance Companies Control Service (ICCS)</w:t>
            </w:r>
          </w:p>
        </w:tc>
      </w:tr>
      <w:tr w:rsidR="003734A7" w:rsidRPr="002E6897" w14:paraId="6B79E6B9" w14:textId="77777777" w:rsidTr="00905EAD">
        <w:trPr>
          <w:cantSplit/>
          <w:trHeight w:val="302"/>
          <w:jc w:val="center"/>
        </w:trPr>
        <w:tc>
          <w:tcPr>
            <w:tcW w:w="1177" w:type="dxa"/>
            <w:shd w:val="clear" w:color="auto" w:fill="C6EFCE"/>
            <w:noWrap/>
          </w:tcPr>
          <w:p w14:paraId="313DFF72" w14:textId="77777777" w:rsidR="003734A7" w:rsidRPr="002E6897" w:rsidRDefault="003734A7" w:rsidP="00D8670B">
            <w:pPr>
              <w:spacing w:after="0"/>
              <w:jc w:val="center"/>
              <w:rPr>
                <w:rFonts w:ascii="Times New Roman" w:eastAsia="Times New Roman" w:hAnsi="Times New Roman" w:cs="Times New Roman"/>
                <w:noProof/>
                <w:color w:val="000000" w:themeColor="text1"/>
                <w:sz w:val="18"/>
                <w:szCs w:val="18"/>
                <w:lang w:eastAsia="en-GB"/>
              </w:rPr>
            </w:pPr>
            <w:r w:rsidRPr="002E6897">
              <w:rPr>
                <w:rFonts w:ascii="Times New Roman" w:eastAsia="Times New Roman" w:hAnsi="Times New Roman" w:cs="Times New Roman"/>
                <w:noProof/>
                <w:color w:val="000000" w:themeColor="text1"/>
                <w:sz w:val="18"/>
                <w:szCs w:val="18"/>
                <w:lang w:eastAsia="en-GB"/>
              </w:rPr>
              <w:t>138a</w:t>
            </w:r>
          </w:p>
        </w:tc>
        <w:tc>
          <w:tcPr>
            <w:tcW w:w="3301" w:type="dxa"/>
            <w:shd w:val="clear" w:color="auto" w:fill="C6EFCE"/>
            <w:noWrap/>
          </w:tcPr>
          <w:p w14:paraId="327D7EED" w14:textId="77777777" w:rsidR="003734A7" w:rsidRPr="002E6897" w:rsidRDefault="003734A7" w:rsidP="00D8670B">
            <w:pPr>
              <w:spacing w:after="0"/>
              <w:rPr>
                <w:rFonts w:ascii="Times New Roman" w:eastAsia="Times New Roman" w:hAnsi="Times New Roman" w:cs="Times New Roman"/>
                <w:noProof/>
                <w:color w:val="000000" w:themeColor="text1"/>
                <w:sz w:val="18"/>
                <w:szCs w:val="18"/>
                <w:lang w:eastAsia="en-GB"/>
              </w:rPr>
            </w:pPr>
            <w:r w:rsidRPr="002E6897">
              <w:rPr>
                <w:rFonts w:ascii="Times New Roman" w:eastAsia="Times New Roman" w:hAnsi="Times New Roman" w:cs="Times New Roman"/>
                <w:noProof/>
                <w:color w:val="000000" w:themeColor="text1"/>
                <w:sz w:val="18"/>
                <w:szCs w:val="18"/>
                <w:lang w:eastAsia="en-GB"/>
              </w:rPr>
              <w:t>C3.3R7</w:t>
            </w:r>
          </w:p>
          <w:p w14:paraId="137B0628" w14:textId="77777777" w:rsidR="003734A7" w:rsidRPr="002E6897" w:rsidRDefault="003734A7" w:rsidP="00D8670B">
            <w:pPr>
              <w:spacing w:after="0"/>
              <w:rPr>
                <w:rFonts w:ascii="Times New Roman" w:eastAsia="Times New Roman" w:hAnsi="Times New Roman" w:cs="Times New Roman"/>
                <w:noProof/>
                <w:color w:val="000000" w:themeColor="text1"/>
                <w:sz w:val="18"/>
                <w:szCs w:val="18"/>
                <w:lang w:eastAsia="en-GB"/>
              </w:rPr>
            </w:pPr>
            <w:r w:rsidRPr="002E6897">
              <w:rPr>
                <w:rFonts w:ascii="Times New Roman" w:eastAsia="Times New Roman" w:hAnsi="Times New Roman" w:cs="Times New Roman"/>
                <w:noProof/>
                <w:color w:val="000000" w:themeColor="text1"/>
                <w:sz w:val="18"/>
                <w:szCs w:val="18"/>
                <w:lang w:eastAsia="en-GB"/>
              </w:rPr>
              <w:t>Screening of Foreign Direct Investment</w:t>
            </w:r>
          </w:p>
        </w:tc>
        <w:tc>
          <w:tcPr>
            <w:tcW w:w="1613" w:type="dxa"/>
            <w:shd w:val="clear" w:color="auto" w:fill="C6EFCE"/>
            <w:noWrap/>
          </w:tcPr>
          <w:p w14:paraId="71A7E343" w14:textId="77777777" w:rsidR="003734A7" w:rsidRPr="002E6897" w:rsidRDefault="003734A7" w:rsidP="002E6897">
            <w:pPr>
              <w:spacing w:after="0"/>
              <w:jc w:val="center"/>
              <w:rPr>
                <w:rFonts w:ascii="Times New Roman" w:hAnsi="Times New Roman" w:cs="Times New Roman"/>
                <w:noProof/>
                <w:color w:val="000000" w:themeColor="text1"/>
                <w:sz w:val="18"/>
                <w:szCs w:val="18"/>
              </w:rPr>
            </w:pPr>
            <w:r w:rsidRPr="002E6897">
              <w:rPr>
                <w:rFonts w:ascii="Times New Roman" w:hAnsi="Times New Roman" w:cs="Times New Roman"/>
                <w:noProof/>
                <w:color w:val="000000" w:themeColor="text1"/>
                <w:sz w:val="18"/>
                <w:szCs w:val="18"/>
              </w:rPr>
              <w:t>Milestone</w:t>
            </w:r>
          </w:p>
        </w:tc>
        <w:tc>
          <w:tcPr>
            <w:tcW w:w="3538" w:type="dxa"/>
            <w:shd w:val="clear" w:color="auto" w:fill="C6EFCE"/>
            <w:noWrap/>
          </w:tcPr>
          <w:p w14:paraId="50C688C6" w14:textId="02A28EF6" w:rsidR="003734A7" w:rsidRPr="002E6897" w:rsidRDefault="003734A7" w:rsidP="002E6897">
            <w:pPr>
              <w:spacing w:after="0"/>
              <w:jc w:val="both"/>
              <w:rPr>
                <w:rFonts w:ascii="Times New Roman" w:hAnsi="Times New Roman" w:cs="Times New Roman"/>
                <w:noProof/>
                <w:color w:val="000000" w:themeColor="text1"/>
                <w:sz w:val="18"/>
                <w:szCs w:val="18"/>
              </w:rPr>
            </w:pPr>
            <w:r w:rsidRPr="002E6897">
              <w:rPr>
                <w:rFonts w:ascii="Times New Roman" w:eastAsia="Times New Roman" w:hAnsi="Times New Roman" w:cs="Times New Roman"/>
                <w:noProof/>
                <w:color w:val="000000" w:themeColor="text1"/>
                <w:sz w:val="18"/>
                <w:szCs w:val="18"/>
                <w:lang w:eastAsia="en-GB"/>
              </w:rPr>
              <w:t>Entry into force of the</w:t>
            </w:r>
            <w:r w:rsidR="00910683">
              <w:rPr>
                <w:rFonts w:ascii="Times New Roman" w:eastAsia="Times New Roman" w:hAnsi="Times New Roman" w:cs="Times New Roman"/>
                <w:noProof/>
                <w:color w:val="000000" w:themeColor="text1"/>
                <w:sz w:val="18"/>
                <w:szCs w:val="18"/>
                <w:lang w:eastAsia="en-GB"/>
              </w:rPr>
              <w:t xml:space="preserve"> </w:t>
            </w:r>
            <w:r w:rsidRPr="002E6897">
              <w:rPr>
                <w:rFonts w:ascii="Times New Roman" w:eastAsia="Times New Roman" w:hAnsi="Times New Roman" w:cs="Times New Roman"/>
                <w:noProof/>
                <w:color w:val="000000" w:themeColor="text1"/>
                <w:sz w:val="18"/>
                <w:szCs w:val="18"/>
                <w:lang w:eastAsia="en-GB"/>
              </w:rPr>
              <w:t>legal</w:t>
            </w:r>
            <w:r w:rsidR="00910683">
              <w:rPr>
                <w:rFonts w:ascii="Times New Roman" w:eastAsia="Times New Roman" w:hAnsi="Times New Roman" w:cs="Times New Roman"/>
                <w:noProof/>
                <w:color w:val="000000" w:themeColor="text1"/>
                <w:sz w:val="18"/>
                <w:szCs w:val="18"/>
                <w:lang w:eastAsia="en-GB"/>
              </w:rPr>
              <w:t xml:space="preserve"> </w:t>
            </w:r>
            <w:r w:rsidRPr="002E6897">
              <w:rPr>
                <w:rFonts w:ascii="Times New Roman" w:eastAsia="Times New Roman" w:hAnsi="Times New Roman" w:cs="Times New Roman"/>
                <w:noProof/>
                <w:color w:val="000000" w:themeColor="text1"/>
                <w:sz w:val="18"/>
                <w:szCs w:val="18"/>
                <w:lang w:eastAsia="en-GB"/>
              </w:rPr>
              <w:t>act(s)</w:t>
            </w:r>
            <w:r w:rsidR="00910683">
              <w:rPr>
                <w:rFonts w:ascii="Times New Roman" w:eastAsia="Times New Roman" w:hAnsi="Times New Roman" w:cs="Times New Roman"/>
                <w:noProof/>
                <w:color w:val="000000" w:themeColor="text1"/>
                <w:sz w:val="18"/>
                <w:szCs w:val="18"/>
                <w:lang w:eastAsia="en-GB"/>
              </w:rPr>
              <w:t xml:space="preserve"> </w:t>
            </w:r>
            <w:r w:rsidRPr="002E6897">
              <w:rPr>
                <w:rFonts w:ascii="Times New Roman" w:eastAsia="Times New Roman" w:hAnsi="Times New Roman" w:cs="Times New Roman"/>
                <w:noProof/>
                <w:color w:val="000000" w:themeColor="text1"/>
                <w:sz w:val="18"/>
                <w:szCs w:val="18"/>
                <w:lang w:eastAsia="en-GB"/>
              </w:rPr>
              <w:t>on</w:t>
            </w:r>
            <w:r w:rsidR="00910683">
              <w:rPr>
                <w:rFonts w:ascii="Times New Roman" w:eastAsia="Times New Roman" w:hAnsi="Times New Roman" w:cs="Times New Roman"/>
                <w:noProof/>
                <w:color w:val="000000" w:themeColor="text1"/>
                <w:sz w:val="18"/>
                <w:szCs w:val="18"/>
                <w:lang w:eastAsia="en-GB"/>
              </w:rPr>
              <w:t xml:space="preserve"> </w:t>
            </w:r>
            <w:r w:rsidRPr="002E6897">
              <w:rPr>
                <w:rFonts w:ascii="Times New Roman" w:eastAsia="Times New Roman" w:hAnsi="Times New Roman" w:cs="Times New Roman"/>
                <w:noProof/>
                <w:color w:val="000000" w:themeColor="text1"/>
                <w:sz w:val="18"/>
                <w:szCs w:val="18"/>
                <w:lang w:eastAsia="en-GB"/>
              </w:rPr>
              <w:t>foreign Direct Investment screening</w:t>
            </w:r>
          </w:p>
        </w:tc>
      </w:tr>
      <w:tr w:rsidR="003734A7" w:rsidRPr="002E6897" w14:paraId="6A3295BE" w14:textId="77777777" w:rsidTr="00905EAD">
        <w:trPr>
          <w:cantSplit/>
          <w:trHeight w:val="302"/>
          <w:jc w:val="center"/>
        </w:trPr>
        <w:tc>
          <w:tcPr>
            <w:tcW w:w="1177" w:type="dxa"/>
            <w:shd w:val="clear" w:color="auto" w:fill="C6EFCE"/>
            <w:noWrap/>
          </w:tcPr>
          <w:p w14:paraId="3E953C65" w14:textId="77777777" w:rsidR="003734A7" w:rsidRPr="002E6897" w:rsidRDefault="003734A7" w:rsidP="00D8670B">
            <w:pPr>
              <w:spacing w:after="0"/>
              <w:jc w:val="center"/>
              <w:rPr>
                <w:rFonts w:ascii="Times New Roman" w:eastAsia="Times New Roman" w:hAnsi="Times New Roman" w:cs="Times New Roman"/>
                <w:noProof/>
                <w:color w:val="000000" w:themeColor="text1"/>
                <w:sz w:val="18"/>
                <w:szCs w:val="18"/>
                <w:lang w:eastAsia="en-GB"/>
              </w:rPr>
            </w:pPr>
            <w:r w:rsidRPr="002E6897">
              <w:rPr>
                <w:rFonts w:ascii="Times New Roman" w:eastAsia="Times New Roman" w:hAnsi="Times New Roman" w:cs="Times New Roman"/>
                <w:noProof/>
                <w:color w:val="000000" w:themeColor="text1"/>
                <w:sz w:val="18"/>
                <w:szCs w:val="18"/>
                <w:lang w:eastAsia="en-GB"/>
              </w:rPr>
              <w:t>28b</w:t>
            </w:r>
          </w:p>
        </w:tc>
        <w:tc>
          <w:tcPr>
            <w:tcW w:w="3301" w:type="dxa"/>
            <w:shd w:val="clear" w:color="auto" w:fill="C6EFCE"/>
            <w:noWrap/>
          </w:tcPr>
          <w:p w14:paraId="7E3ACBD3" w14:textId="77777777" w:rsidR="003734A7" w:rsidRPr="002E6897" w:rsidRDefault="003734A7" w:rsidP="00D8670B">
            <w:pPr>
              <w:spacing w:after="0"/>
              <w:rPr>
                <w:rFonts w:ascii="Times New Roman" w:eastAsia="Times New Roman" w:hAnsi="Times New Roman" w:cs="Times New Roman"/>
                <w:noProof/>
                <w:color w:val="000000" w:themeColor="text1"/>
                <w:sz w:val="18"/>
                <w:szCs w:val="18"/>
                <w:lang w:eastAsia="en-GB"/>
              </w:rPr>
            </w:pPr>
            <w:r w:rsidRPr="002E6897">
              <w:rPr>
                <w:rFonts w:ascii="Times New Roman" w:eastAsia="Times New Roman" w:hAnsi="Times New Roman" w:cs="Times New Roman"/>
                <w:noProof/>
                <w:color w:val="000000" w:themeColor="text1"/>
                <w:sz w:val="18"/>
                <w:szCs w:val="18"/>
                <w:lang w:eastAsia="en-GB"/>
              </w:rPr>
              <w:t>C2.1I2</w:t>
            </w:r>
          </w:p>
          <w:p w14:paraId="30AA5564" w14:textId="77777777" w:rsidR="003734A7" w:rsidRPr="002E6897" w:rsidRDefault="003734A7" w:rsidP="00D8670B">
            <w:pPr>
              <w:spacing w:after="0"/>
              <w:rPr>
                <w:rFonts w:ascii="Times New Roman" w:eastAsia="Times New Roman" w:hAnsi="Times New Roman" w:cs="Times New Roman"/>
                <w:noProof/>
                <w:color w:val="000000" w:themeColor="text1"/>
                <w:sz w:val="18"/>
                <w:szCs w:val="18"/>
                <w:lang w:eastAsia="en-GB"/>
              </w:rPr>
            </w:pPr>
            <w:r w:rsidRPr="002E6897">
              <w:rPr>
                <w:rFonts w:ascii="Times New Roman" w:eastAsia="Times New Roman" w:hAnsi="Times New Roman" w:cs="Times New Roman"/>
                <w:noProof/>
                <w:color w:val="000000" w:themeColor="text1"/>
                <w:sz w:val="18"/>
                <w:szCs w:val="18"/>
                <w:lang w:eastAsia="en-GB"/>
              </w:rPr>
              <w:t>Renewables and individual energy efficiency measures in dwellings and tackling energy poverty in households with vulnerable electricity consumers</w:t>
            </w:r>
          </w:p>
        </w:tc>
        <w:tc>
          <w:tcPr>
            <w:tcW w:w="1613" w:type="dxa"/>
            <w:shd w:val="clear" w:color="auto" w:fill="C6EFCE"/>
            <w:noWrap/>
          </w:tcPr>
          <w:p w14:paraId="119A9AFF" w14:textId="77777777" w:rsidR="003734A7" w:rsidRPr="002E6897" w:rsidRDefault="003734A7" w:rsidP="002E6897">
            <w:pPr>
              <w:spacing w:after="0"/>
              <w:jc w:val="center"/>
              <w:rPr>
                <w:rFonts w:ascii="Times New Roman" w:hAnsi="Times New Roman" w:cs="Times New Roman"/>
                <w:noProof/>
                <w:color w:val="000000" w:themeColor="text1"/>
                <w:sz w:val="18"/>
                <w:szCs w:val="18"/>
              </w:rPr>
            </w:pPr>
            <w:r w:rsidRPr="002E6897">
              <w:rPr>
                <w:rFonts w:ascii="Times New Roman" w:hAnsi="Times New Roman" w:cs="Times New Roman"/>
                <w:noProof/>
                <w:color w:val="000000" w:themeColor="text1"/>
                <w:sz w:val="18"/>
                <w:szCs w:val="18"/>
              </w:rPr>
              <w:t>Target</w:t>
            </w:r>
          </w:p>
        </w:tc>
        <w:tc>
          <w:tcPr>
            <w:tcW w:w="3538" w:type="dxa"/>
            <w:shd w:val="clear" w:color="auto" w:fill="C6EFCE"/>
            <w:noWrap/>
          </w:tcPr>
          <w:p w14:paraId="7338EEEB" w14:textId="77777777" w:rsidR="003734A7" w:rsidRPr="002E6897" w:rsidRDefault="003734A7" w:rsidP="002E6897">
            <w:pPr>
              <w:spacing w:after="0"/>
              <w:jc w:val="both"/>
              <w:rPr>
                <w:rFonts w:ascii="Times New Roman" w:hAnsi="Times New Roman" w:cs="Times New Roman"/>
                <w:noProof/>
                <w:color w:val="000000" w:themeColor="text1"/>
                <w:sz w:val="18"/>
                <w:szCs w:val="18"/>
              </w:rPr>
            </w:pPr>
            <w:r w:rsidRPr="002E6897">
              <w:rPr>
                <w:rFonts w:ascii="Times New Roman" w:hAnsi="Times New Roman" w:cs="Times New Roman"/>
                <w:noProof/>
                <w:color w:val="000000" w:themeColor="text1"/>
                <w:sz w:val="18"/>
                <w:szCs w:val="18"/>
              </w:rPr>
              <w:t>Energy efficiency measures in dwellings</w:t>
            </w:r>
          </w:p>
        </w:tc>
      </w:tr>
      <w:tr w:rsidR="003734A7" w:rsidRPr="002E6897" w14:paraId="4A425537" w14:textId="77777777" w:rsidTr="00905EAD">
        <w:trPr>
          <w:cantSplit/>
          <w:trHeight w:val="302"/>
          <w:jc w:val="center"/>
        </w:trPr>
        <w:tc>
          <w:tcPr>
            <w:tcW w:w="1177" w:type="dxa"/>
            <w:shd w:val="clear" w:color="auto" w:fill="C6EFCE"/>
            <w:noWrap/>
          </w:tcPr>
          <w:p w14:paraId="31A79B47" w14:textId="77777777" w:rsidR="003734A7" w:rsidRPr="002E6897" w:rsidRDefault="003734A7" w:rsidP="00D8670B">
            <w:pPr>
              <w:spacing w:after="0"/>
              <w:jc w:val="center"/>
              <w:rPr>
                <w:rFonts w:ascii="Times New Roman" w:eastAsia="Times New Roman" w:hAnsi="Times New Roman" w:cs="Times New Roman"/>
                <w:noProof/>
                <w:sz w:val="18"/>
                <w:szCs w:val="18"/>
                <w:lang w:eastAsia="en-GB"/>
              </w:rPr>
            </w:pPr>
            <w:r w:rsidRPr="002E6897">
              <w:rPr>
                <w:rFonts w:ascii="Times New Roman" w:hAnsi="Times New Roman" w:cs="Times New Roman"/>
                <w:noProof/>
                <w:sz w:val="18"/>
                <w:szCs w:val="18"/>
              </w:rPr>
              <w:t>116b</w:t>
            </w:r>
          </w:p>
        </w:tc>
        <w:tc>
          <w:tcPr>
            <w:tcW w:w="3301" w:type="dxa"/>
            <w:shd w:val="clear" w:color="auto" w:fill="C6EFCE"/>
            <w:noWrap/>
          </w:tcPr>
          <w:p w14:paraId="05FCB2EF" w14:textId="41150BDE" w:rsidR="003734A7" w:rsidRPr="002E6897" w:rsidRDefault="003734A7" w:rsidP="00D8670B">
            <w:pPr>
              <w:spacing w:after="0"/>
              <w:rPr>
                <w:rFonts w:ascii="Times New Roman" w:eastAsia="Times New Roman" w:hAnsi="Times New Roman" w:cs="Times New Roman"/>
                <w:noProof/>
                <w:color w:val="006100"/>
                <w:sz w:val="18"/>
                <w:szCs w:val="18"/>
                <w:lang w:eastAsia="en-GB"/>
              </w:rPr>
            </w:pPr>
            <w:r w:rsidRPr="002E6897">
              <w:rPr>
                <w:rFonts w:ascii="Times New Roman" w:hAnsi="Times New Roman" w:cs="Times New Roman"/>
                <w:noProof/>
                <w:sz w:val="18"/>
                <w:szCs w:val="18"/>
              </w:rPr>
              <w:t>C3.1I11 Extension of the Cyprus Green Points Network</w:t>
            </w:r>
            <w:r w:rsidR="00064579" w:rsidRPr="002E6897">
              <w:rPr>
                <w:rFonts w:ascii="Times New Roman" w:hAnsi="Times New Roman" w:cs="Times New Roman"/>
                <w:noProof/>
                <w:sz w:val="18"/>
                <w:szCs w:val="18"/>
              </w:rPr>
              <w:t xml:space="preserve"> </w:t>
            </w:r>
          </w:p>
        </w:tc>
        <w:tc>
          <w:tcPr>
            <w:tcW w:w="1613" w:type="dxa"/>
            <w:shd w:val="clear" w:color="auto" w:fill="C6EFCE"/>
            <w:noWrap/>
          </w:tcPr>
          <w:p w14:paraId="4A6940E2" w14:textId="77777777" w:rsidR="003734A7" w:rsidRPr="002E6897" w:rsidRDefault="003734A7" w:rsidP="002E6897">
            <w:pPr>
              <w:spacing w:after="0"/>
              <w:jc w:val="center"/>
              <w:rPr>
                <w:rFonts w:ascii="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42EAF192" w14:textId="259CD88B" w:rsidR="003734A7" w:rsidRPr="002E6897" w:rsidRDefault="003734A7" w:rsidP="002E6897">
            <w:pPr>
              <w:spacing w:after="0"/>
              <w:jc w:val="both"/>
              <w:rPr>
                <w:rFonts w:ascii="Times New Roman" w:hAnsi="Times New Roman" w:cs="Times New Roman"/>
                <w:noProof/>
                <w:color w:val="006100"/>
                <w:sz w:val="18"/>
                <w:szCs w:val="18"/>
              </w:rPr>
            </w:pPr>
            <w:r w:rsidRPr="002E6897">
              <w:rPr>
                <w:rFonts w:ascii="Times New Roman" w:hAnsi="Times New Roman" w:cs="Times New Roman"/>
                <w:noProof/>
                <w:sz w:val="18"/>
                <w:szCs w:val="18"/>
              </w:rPr>
              <w:t>Installation of</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six</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Green</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Points</w:t>
            </w:r>
          </w:p>
        </w:tc>
      </w:tr>
      <w:tr w:rsidR="003734A7" w:rsidRPr="002E6897" w14:paraId="0251C8EB" w14:textId="77777777" w:rsidTr="00905EAD">
        <w:trPr>
          <w:cantSplit/>
          <w:trHeight w:val="302"/>
          <w:jc w:val="center"/>
        </w:trPr>
        <w:tc>
          <w:tcPr>
            <w:tcW w:w="1177" w:type="dxa"/>
            <w:shd w:val="clear" w:color="auto" w:fill="C6EFCE"/>
            <w:noWrap/>
          </w:tcPr>
          <w:p w14:paraId="6DCBFD63" w14:textId="77777777" w:rsidR="003734A7" w:rsidRPr="002E6897" w:rsidRDefault="003734A7" w:rsidP="00D8670B">
            <w:pPr>
              <w:spacing w:after="0"/>
              <w:jc w:val="center"/>
              <w:rPr>
                <w:rFonts w:ascii="Times New Roman" w:eastAsia="Times New Roman" w:hAnsi="Times New Roman" w:cs="Times New Roman"/>
                <w:noProof/>
                <w:sz w:val="18"/>
                <w:szCs w:val="18"/>
                <w:lang w:eastAsia="en-GB"/>
              </w:rPr>
            </w:pPr>
            <w:r w:rsidRPr="002E6897">
              <w:rPr>
                <w:rFonts w:ascii="Times New Roman" w:hAnsi="Times New Roman" w:cs="Times New Roman"/>
                <w:noProof/>
                <w:sz w:val="18"/>
                <w:szCs w:val="18"/>
              </w:rPr>
              <w:t>271</w:t>
            </w:r>
          </w:p>
        </w:tc>
        <w:tc>
          <w:tcPr>
            <w:tcW w:w="3301" w:type="dxa"/>
            <w:shd w:val="clear" w:color="auto" w:fill="C6EFCE"/>
            <w:noWrap/>
          </w:tcPr>
          <w:p w14:paraId="45C4BA12"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C5.2R1</w:t>
            </w:r>
          </w:p>
          <w:p w14:paraId="27232F2A" w14:textId="6E9727A4" w:rsidR="003734A7" w:rsidRPr="002E6897" w:rsidRDefault="003734A7" w:rsidP="00D8670B">
            <w:pPr>
              <w:spacing w:after="0"/>
              <w:rPr>
                <w:rFonts w:ascii="Times New Roman" w:eastAsia="Times New Roman" w:hAnsi="Times New Roman" w:cs="Times New Roman"/>
                <w:noProof/>
                <w:color w:val="006100"/>
                <w:sz w:val="18"/>
                <w:szCs w:val="18"/>
                <w:lang w:eastAsia="en-GB"/>
              </w:rPr>
            </w:pPr>
            <w:r w:rsidRPr="002E6897">
              <w:rPr>
                <w:rFonts w:ascii="Times New Roman" w:hAnsi="Times New Roman" w:cs="Times New Roman"/>
                <w:noProof/>
                <w:sz w:val="18"/>
                <w:szCs w:val="18"/>
              </w:rPr>
              <w:t>Reform of the Social Insurance System and Restructuring of the Social</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Insurance Services</w:t>
            </w:r>
            <w:r w:rsidR="00064579" w:rsidRPr="002E6897">
              <w:rPr>
                <w:rFonts w:ascii="Times New Roman" w:hAnsi="Times New Roman" w:cs="Times New Roman"/>
                <w:noProof/>
                <w:sz w:val="18"/>
                <w:szCs w:val="18"/>
              </w:rPr>
              <w:t xml:space="preserve"> </w:t>
            </w:r>
            <w:r w:rsidRPr="002E6897">
              <w:rPr>
                <w:rFonts w:ascii="Times New Roman" w:hAnsi="Times New Roman" w:cs="Times New Roman"/>
                <w:noProof/>
                <w:sz w:val="18"/>
                <w:szCs w:val="18"/>
              </w:rPr>
              <w:t xml:space="preserve"> </w:t>
            </w:r>
          </w:p>
        </w:tc>
        <w:tc>
          <w:tcPr>
            <w:tcW w:w="1613" w:type="dxa"/>
            <w:shd w:val="clear" w:color="auto" w:fill="C6EFCE"/>
            <w:noWrap/>
          </w:tcPr>
          <w:p w14:paraId="0BD523F2" w14:textId="77777777" w:rsidR="003734A7" w:rsidRPr="002E6897" w:rsidRDefault="003734A7" w:rsidP="002E6897">
            <w:pPr>
              <w:spacing w:after="0"/>
              <w:jc w:val="center"/>
              <w:rPr>
                <w:rFonts w:ascii="Times New Roman" w:hAnsi="Times New Roman" w:cs="Times New Roman"/>
                <w:noProof/>
                <w:color w:val="006100"/>
                <w:sz w:val="18"/>
                <w:szCs w:val="18"/>
              </w:rPr>
            </w:pPr>
            <w:r w:rsidRPr="002E6897">
              <w:rPr>
                <w:rFonts w:ascii="Times New Roman" w:hAnsi="Times New Roman" w:cs="Times New Roman"/>
                <w:noProof/>
                <w:sz w:val="18"/>
                <w:szCs w:val="18"/>
              </w:rPr>
              <w:t>Milestone</w:t>
            </w:r>
          </w:p>
        </w:tc>
        <w:tc>
          <w:tcPr>
            <w:tcW w:w="3538" w:type="dxa"/>
            <w:shd w:val="clear" w:color="auto" w:fill="C6EFCE"/>
            <w:noWrap/>
          </w:tcPr>
          <w:p w14:paraId="0AD0AB8C" w14:textId="5A02BB16" w:rsidR="003734A7" w:rsidRPr="002E6897" w:rsidRDefault="003734A7" w:rsidP="002E6897">
            <w:pPr>
              <w:spacing w:after="0"/>
              <w:jc w:val="both"/>
              <w:rPr>
                <w:rFonts w:ascii="Times New Roman" w:hAnsi="Times New Roman" w:cs="Times New Roman"/>
                <w:noProof/>
                <w:color w:val="006100"/>
                <w:sz w:val="18"/>
                <w:szCs w:val="18"/>
              </w:rPr>
            </w:pPr>
            <w:r w:rsidRPr="002E6897">
              <w:rPr>
                <w:rFonts w:ascii="Times New Roman" w:hAnsi="Times New Roman" w:cs="Times New Roman"/>
                <w:noProof/>
                <w:sz w:val="18"/>
                <w:szCs w:val="18"/>
              </w:rPr>
              <w:t>Integrated Social</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Insurance</w:t>
            </w:r>
            <w:r w:rsidR="00905EAD">
              <w:rPr>
                <w:rFonts w:ascii="Times New Roman" w:hAnsi="Times New Roman" w:cs="Times New Roman"/>
                <w:noProof/>
                <w:sz w:val="18"/>
                <w:szCs w:val="18"/>
              </w:rPr>
              <w:t xml:space="preserve"> </w:t>
            </w:r>
            <w:r w:rsidRPr="002E6897">
              <w:rPr>
                <w:rFonts w:ascii="Times New Roman" w:hAnsi="Times New Roman" w:cs="Times New Roman"/>
                <w:noProof/>
                <w:sz w:val="18"/>
                <w:szCs w:val="18"/>
              </w:rPr>
              <w:t>Information System.</w:t>
            </w:r>
          </w:p>
        </w:tc>
      </w:tr>
      <w:tr w:rsidR="003734A7" w:rsidRPr="002E6897" w14:paraId="290FDAC8" w14:textId="77777777" w:rsidTr="00905EAD">
        <w:trPr>
          <w:cantSplit/>
          <w:trHeight w:val="302"/>
          <w:jc w:val="center"/>
        </w:trPr>
        <w:tc>
          <w:tcPr>
            <w:tcW w:w="1177" w:type="dxa"/>
            <w:shd w:val="clear" w:color="auto" w:fill="C6EFCE"/>
            <w:noWrap/>
          </w:tcPr>
          <w:p w14:paraId="1695958C" w14:textId="77777777" w:rsidR="003734A7" w:rsidRPr="002E6897" w:rsidRDefault="003734A7" w:rsidP="00D8670B">
            <w:pPr>
              <w:spacing w:after="0"/>
              <w:jc w:val="center"/>
              <w:rPr>
                <w:rFonts w:ascii="Times New Roman" w:eastAsia="Times New Roman" w:hAnsi="Times New Roman" w:cs="Times New Roman"/>
                <w:noProof/>
                <w:sz w:val="18"/>
                <w:szCs w:val="18"/>
                <w:lang w:eastAsia="en-GB"/>
              </w:rPr>
            </w:pPr>
            <w:r w:rsidRPr="002E6897">
              <w:rPr>
                <w:rFonts w:ascii="Times New Roman" w:hAnsi="Times New Roman" w:cs="Times New Roman"/>
                <w:noProof/>
                <w:sz w:val="18"/>
                <w:szCs w:val="18"/>
              </w:rPr>
              <w:t>58</w:t>
            </w:r>
          </w:p>
        </w:tc>
        <w:tc>
          <w:tcPr>
            <w:tcW w:w="3301" w:type="dxa"/>
            <w:shd w:val="clear" w:color="auto" w:fill="C6EFCE"/>
            <w:noWrap/>
          </w:tcPr>
          <w:p w14:paraId="0396DBDB" w14:textId="77777777" w:rsidR="003734A7" w:rsidRPr="002E6897" w:rsidRDefault="003734A7" w:rsidP="00D8670B">
            <w:pPr>
              <w:spacing w:after="0" w:line="240" w:lineRule="auto"/>
              <w:rPr>
                <w:rFonts w:ascii="Times New Roman" w:eastAsia="Times New Roman" w:hAnsi="Times New Roman" w:cs="Times New Roman"/>
                <w:noProof/>
                <w:sz w:val="18"/>
                <w:szCs w:val="18"/>
              </w:rPr>
            </w:pPr>
            <w:r w:rsidRPr="002E6897">
              <w:rPr>
                <w:rFonts w:ascii="Times New Roman" w:hAnsi="Times New Roman" w:cs="Times New Roman"/>
                <w:noProof/>
                <w:sz w:val="18"/>
                <w:szCs w:val="18"/>
              </w:rPr>
              <w:t>C2.2I1</w:t>
            </w:r>
          </w:p>
          <w:p w14:paraId="4D7D0952" w14:textId="77777777" w:rsidR="003734A7" w:rsidRPr="002E6897" w:rsidRDefault="003734A7" w:rsidP="00D8670B">
            <w:pPr>
              <w:spacing w:after="0"/>
              <w:rPr>
                <w:rFonts w:ascii="Times New Roman" w:eastAsia="Times New Roman" w:hAnsi="Times New Roman" w:cs="Times New Roman"/>
                <w:noProof/>
                <w:color w:val="006100"/>
                <w:sz w:val="18"/>
                <w:szCs w:val="18"/>
                <w:lang w:eastAsia="en-GB"/>
              </w:rPr>
            </w:pPr>
            <w:r w:rsidRPr="002E6897">
              <w:rPr>
                <w:rFonts w:ascii="Times New Roman" w:hAnsi="Times New Roman" w:cs="Times New Roman"/>
                <w:noProof/>
                <w:sz w:val="18"/>
                <w:szCs w:val="18"/>
              </w:rPr>
              <w:t>Sustainable Urban Mobility Projects (SUMP) and accessibility enhancing measures</w:t>
            </w:r>
          </w:p>
        </w:tc>
        <w:tc>
          <w:tcPr>
            <w:tcW w:w="1613" w:type="dxa"/>
            <w:shd w:val="clear" w:color="auto" w:fill="C6EFCE"/>
            <w:noWrap/>
          </w:tcPr>
          <w:p w14:paraId="50DB616F" w14:textId="77777777" w:rsidR="003734A7" w:rsidRPr="002E6897" w:rsidRDefault="003734A7" w:rsidP="002E6897">
            <w:pPr>
              <w:spacing w:after="0"/>
              <w:jc w:val="center"/>
              <w:rPr>
                <w:rFonts w:ascii="Times New Roman" w:hAnsi="Times New Roman" w:cs="Times New Roman"/>
                <w:noProof/>
                <w:color w:val="006100"/>
                <w:sz w:val="18"/>
                <w:szCs w:val="18"/>
              </w:rPr>
            </w:pPr>
            <w:r w:rsidRPr="002E6897">
              <w:rPr>
                <w:rFonts w:ascii="Times New Roman" w:hAnsi="Times New Roman" w:cs="Times New Roman"/>
                <w:noProof/>
                <w:sz w:val="18"/>
                <w:szCs w:val="18"/>
              </w:rPr>
              <w:t>Target</w:t>
            </w:r>
          </w:p>
        </w:tc>
        <w:tc>
          <w:tcPr>
            <w:tcW w:w="3538" w:type="dxa"/>
            <w:shd w:val="clear" w:color="auto" w:fill="C6EFCE"/>
            <w:noWrap/>
          </w:tcPr>
          <w:p w14:paraId="0B35C694" w14:textId="288CB6C5" w:rsidR="003734A7" w:rsidRPr="002E6897" w:rsidRDefault="00910683" w:rsidP="002E6897">
            <w:pPr>
              <w:spacing w:after="0"/>
              <w:jc w:val="both"/>
              <w:rPr>
                <w:rFonts w:ascii="Times New Roman" w:hAnsi="Times New Roman" w:cs="Times New Roman"/>
                <w:noProof/>
                <w:color w:val="006100"/>
                <w:sz w:val="18"/>
                <w:szCs w:val="18"/>
              </w:rPr>
            </w:pPr>
            <w:r w:rsidRPr="002E6897">
              <w:rPr>
                <w:rFonts w:ascii="Times New Roman" w:hAnsi="Times New Roman" w:cs="Times New Roman"/>
                <w:noProof/>
                <w:sz w:val="18"/>
                <w:szCs w:val="18"/>
              </w:rPr>
              <w:t>Construction</w:t>
            </w:r>
            <w:r w:rsidR="003734A7" w:rsidRPr="002E6897">
              <w:rPr>
                <w:rFonts w:ascii="Times New Roman" w:hAnsi="Times New Roman" w:cs="Times New Roman"/>
                <w:noProof/>
                <w:sz w:val="18"/>
                <w:szCs w:val="18"/>
              </w:rPr>
              <w:t xml:space="preserve"> work for at least 35 km of sustainable transport routes</w:t>
            </w:r>
          </w:p>
        </w:tc>
      </w:tr>
      <w:tr w:rsidR="003734A7" w:rsidRPr="002E6897" w14:paraId="00FF10DF" w14:textId="77777777" w:rsidTr="00905EAD">
        <w:trPr>
          <w:cantSplit/>
          <w:trHeight w:val="302"/>
          <w:jc w:val="center"/>
        </w:trPr>
        <w:tc>
          <w:tcPr>
            <w:tcW w:w="1177" w:type="dxa"/>
            <w:shd w:val="clear" w:color="auto" w:fill="C6EFCE"/>
            <w:noWrap/>
            <w:vAlign w:val="bottom"/>
          </w:tcPr>
          <w:p w14:paraId="6048FB47" w14:textId="77777777" w:rsidR="003734A7" w:rsidRPr="002E6897" w:rsidRDefault="003734A7" w:rsidP="00D8670B">
            <w:pPr>
              <w:spacing w:after="0"/>
              <w:jc w:val="center"/>
              <w:rPr>
                <w:rFonts w:ascii="Times New Roman" w:eastAsia="Times New Roman" w:hAnsi="Times New Roman" w:cs="Times New Roman"/>
                <w:noProof/>
                <w:sz w:val="18"/>
                <w:szCs w:val="18"/>
                <w:lang w:eastAsia="en-GB"/>
              </w:rPr>
            </w:pPr>
          </w:p>
        </w:tc>
        <w:tc>
          <w:tcPr>
            <w:tcW w:w="3301" w:type="dxa"/>
            <w:shd w:val="clear" w:color="auto" w:fill="C6EFCE"/>
            <w:noWrap/>
            <w:vAlign w:val="bottom"/>
          </w:tcPr>
          <w:p w14:paraId="6ADCBDB7" w14:textId="77777777" w:rsidR="003734A7" w:rsidRPr="002E6897" w:rsidRDefault="003734A7" w:rsidP="00D8670B">
            <w:pPr>
              <w:spacing w:after="0"/>
              <w:rPr>
                <w:rFonts w:ascii="Times New Roman" w:eastAsia="Times New Roman" w:hAnsi="Times New Roman" w:cs="Times New Roman"/>
                <w:noProof/>
                <w:color w:val="006100"/>
                <w:sz w:val="18"/>
                <w:szCs w:val="18"/>
                <w:lang w:eastAsia="en-GB"/>
              </w:rPr>
            </w:pPr>
          </w:p>
        </w:tc>
        <w:tc>
          <w:tcPr>
            <w:tcW w:w="1613" w:type="dxa"/>
            <w:shd w:val="clear" w:color="auto" w:fill="C6EFCE"/>
            <w:noWrap/>
            <w:vAlign w:val="bottom"/>
            <w:hideMark/>
          </w:tcPr>
          <w:p w14:paraId="3166F70A" w14:textId="77777777" w:rsidR="003734A7" w:rsidRPr="002E6897" w:rsidRDefault="003734A7" w:rsidP="002E6897">
            <w:pPr>
              <w:spacing w:after="0"/>
              <w:jc w:val="center"/>
              <w:rPr>
                <w:rFonts w:ascii="Times New Roman" w:eastAsia="Times New Roman" w:hAnsi="Times New Roman" w:cs="Times New Roman"/>
                <w:noProof/>
                <w:color w:val="006100"/>
                <w:sz w:val="18"/>
                <w:szCs w:val="18"/>
              </w:rPr>
            </w:pPr>
            <w:r w:rsidRPr="002E6897">
              <w:rPr>
                <w:rFonts w:ascii="Times New Roman" w:hAnsi="Times New Roman" w:cs="Times New Roman"/>
                <w:noProof/>
                <w:color w:val="006100"/>
                <w:sz w:val="18"/>
                <w:szCs w:val="18"/>
              </w:rPr>
              <w:t>Instalment Amount</w:t>
            </w:r>
          </w:p>
        </w:tc>
        <w:tc>
          <w:tcPr>
            <w:tcW w:w="3538" w:type="dxa"/>
            <w:shd w:val="clear" w:color="auto" w:fill="C6EFCE"/>
            <w:noWrap/>
            <w:vAlign w:val="bottom"/>
            <w:hideMark/>
          </w:tcPr>
          <w:p w14:paraId="5620014A" w14:textId="4338C412" w:rsidR="003734A7" w:rsidRPr="002E6897" w:rsidRDefault="003734A7" w:rsidP="000345F8">
            <w:pPr>
              <w:spacing w:after="0"/>
              <w:rPr>
                <w:rFonts w:ascii="Times New Roman" w:hAnsi="Times New Roman" w:cs="Times New Roman"/>
                <w:noProof/>
                <w:color w:val="006100"/>
                <w:sz w:val="18"/>
                <w:szCs w:val="18"/>
              </w:rPr>
            </w:pPr>
            <w:r w:rsidRPr="002E6897">
              <w:rPr>
                <w:rFonts w:ascii="Times New Roman" w:hAnsi="Times New Roman" w:cs="Times New Roman"/>
                <w:noProof/>
                <w:color w:val="006100"/>
                <w:sz w:val="18"/>
                <w:szCs w:val="18"/>
              </w:rPr>
              <w:t>EUR</w:t>
            </w:r>
            <w:r w:rsidR="00910683">
              <w:rPr>
                <w:rFonts w:ascii="Times New Roman" w:hAnsi="Times New Roman" w:cs="Times New Roman"/>
                <w:noProof/>
                <w:color w:val="006100"/>
                <w:sz w:val="18"/>
                <w:szCs w:val="18"/>
              </w:rPr>
              <w:t> </w:t>
            </w:r>
            <w:r w:rsidR="3C62B45A" w:rsidRPr="002E6897">
              <w:rPr>
                <w:rFonts w:ascii="Times New Roman" w:hAnsi="Times New Roman" w:cs="Times New Roman"/>
                <w:noProof/>
                <w:color w:val="006100"/>
                <w:sz w:val="18"/>
                <w:szCs w:val="18"/>
              </w:rPr>
              <w:t>265</w:t>
            </w:r>
            <w:r w:rsidR="00910683">
              <w:rPr>
                <w:rFonts w:ascii="Times New Roman" w:hAnsi="Times New Roman" w:cs="Times New Roman"/>
                <w:noProof/>
                <w:color w:val="006100"/>
                <w:sz w:val="18"/>
                <w:szCs w:val="18"/>
              </w:rPr>
              <w:t> </w:t>
            </w:r>
            <w:r w:rsidR="3C62B45A" w:rsidRPr="002E6897">
              <w:rPr>
                <w:rFonts w:ascii="Times New Roman" w:hAnsi="Times New Roman" w:cs="Times New Roman"/>
                <w:noProof/>
                <w:color w:val="006100"/>
                <w:sz w:val="18"/>
                <w:szCs w:val="18"/>
              </w:rPr>
              <w:t>772</w:t>
            </w:r>
            <w:r w:rsidR="00910683">
              <w:rPr>
                <w:rFonts w:ascii="Times New Roman" w:hAnsi="Times New Roman" w:cs="Times New Roman"/>
                <w:noProof/>
                <w:color w:val="006100"/>
                <w:sz w:val="18"/>
                <w:szCs w:val="18"/>
              </w:rPr>
              <w:t> </w:t>
            </w:r>
            <w:r w:rsidR="3C62B45A" w:rsidRPr="002E6897">
              <w:rPr>
                <w:rFonts w:ascii="Times New Roman" w:hAnsi="Times New Roman" w:cs="Times New Roman"/>
                <w:noProof/>
                <w:color w:val="006100"/>
                <w:sz w:val="18"/>
                <w:szCs w:val="18"/>
              </w:rPr>
              <w:t>568</w:t>
            </w:r>
          </w:p>
          <w:p w14:paraId="24DE58BD" w14:textId="77777777" w:rsidR="003734A7" w:rsidRPr="002E6897" w:rsidRDefault="003734A7" w:rsidP="00910683">
            <w:pPr>
              <w:spacing w:after="0"/>
              <w:jc w:val="center"/>
              <w:rPr>
                <w:rFonts w:ascii="Times New Roman" w:eastAsia="Times New Roman" w:hAnsi="Times New Roman" w:cs="Times New Roman"/>
                <w:noProof/>
                <w:color w:val="006100"/>
                <w:sz w:val="18"/>
                <w:szCs w:val="18"/>
              </w:rPr>
            </w:pPr>
          </w:p>
        </w:tc>
      </w:tr>
    </w:tbl>
    <w:p w14:paraId="5436F60E" w14:textId="77777777" w:rsidR="003734A7" w:rsidRPr="000F04FA" w:rsidRDefault="003734A7" w:rsidP="00D8670B">
      <w:pPr>
        <w:pStyle w:val="Text1"/>
        <w:ind w:left="0"/>
        <w:rPr>
          <w:noProof/>
          <w:lang w:val="en-US"/>
        </w:rPr>
        <w:sectPr w:rsidR="003734A7" w:rsidRPr="000F04FA" w:rsidSect="003734A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p>
    <w:p w14:paraId="5B8A5605" w14:textId="77777777" w:rsidR="003734A7" w:rsidRPr="000F04FA" w:rsidRDefault="003734A7" w:rsidP="00D8670B">
      <w:pPr>
        <w:keepNext/>
        <w:spacing w:before="360" w:after="240" w:line="240" w:lineRule="auto"/>
        <w:jc w:val="both"/>
        <w:outlineLvl w:val="0"/>
        <w:rPr>
          <w:rFonts w:ascii="Times New Roman" w:hAnsi="Times New Roman" w:cs="Times New Roman"/>
          <w:b/>
          <w:bCs/>
          <w:smallCaps/>
          <w:noProof/>
        </w:rPr>
      </w:pPr>
      <w:r w:rsidRPr="000F04FA">
        <w:rPr>
          <w:rFonts w:ascii="Times New Roman" w:hAnsi="Times New Roman"/>
          <w:b/>
          <w:bCs/>
          <w:smallCaps/>
          <w:noProof/>
        </w:rPr>
        <w:t xml:space="preserve">SECTION 3: ADDITIONAL ARRANGEMENTS </w:t>
      </w:r>
    </w:p>
    <w:p w14:paraId="6512E870" w14:textId="77777777" w:rsidR="003734A7" w:rsidRPr="000F04FA" w:rsidRDefault="003734A7" w:rsidP="003734A7">
      <w:pPr>
        <w:pStyle w:val="NumPar1"/>
        <w:numPr>
          <w:ilvl w:val="0"/>
          <w:numId w:val="36"/>
        </w:numPr>
        <w:rPr>
          <w:b/>
          <w:bCs/>
          <w:noProof/>
          <w:lang w:val="en-US"/>
        </w:rPr>
      </w:pPr>
      <w:r w:rsidRPr="000F04FA">
        <w:rPr>
          <w:b/>
          <w:noProof/>
          <w:lang w:val="en-US"/>
        </w:rPr>
        <w:t>Arrangements for monitoring and implementation of the recovery and resilience plan</w:t>
      </w:r>
    </w:p>
    <w:p w14:paraId="216BFCBC" w14:textId="1DFF92EF" w:rsidR="003734A7" w:rsidRPr="000F04FA" w:rsidRDefault="003734A7" w:rsidP="00D8670B">
      <w:pPr>
        <w:pStyle w:val="Text1"/>
        <w:ind w:left="851"/>
        <w:rPr>
          <w:noProof/>
          <w:lang w:val="en-US"/>
        </w:rPr>
      </w:pPr>
      <w:r w:rsidRPr="000F04FA">
        <w:rPr>
          <w:noProof/>
          <w:lang w:val="en-US"/>
        </w:rPr>
        <w:t>The monitoring and implementation of the recovery and resilience plan of Cyprus has been set out in the Council of Ministers decision of 14</w:t>
      </w:r>
      <w:r w:rsidR="00910683">
        <w:rPr>
          <w:noProof/>
          <w:lang w:val="en-US"/>
        </w:rPr>
        <w:t> </w:t>
      </w:r>
      <w:r w:rsidRPr="000F04FA">
        <w:rPr>
          <w:noProof/>
          <w:lang w:val="en-US"/>
        </w:rPr>
        <w:t>May</w:t>
      </w:r>
      <w:r w:rsidR="00910683">
        <w:rPr>
          <w:noProof/>
          <w:lang w:val="en-US"/>
        </w:rPr>
        <w:t> </w:t>
      </w:r>
      <w:r w:rsidRPr="000F04FA">
        <w:rPr>
          <w:noProof/>
          <w:lang w:val="en-US"/>
        </w:rPr>
        <w:t xml:space="preserve">2021, which approved the plan. They shall take place in accordance with the following arrangements: </w:t>
      </w:r>
    </w:p>
    <w:p w14:paraId="46CB8F4A" w14:textId="77777777" w:rsidR="003734A7" w:rsidRPr="000F04FA" w:rsidRDefault="003734A7" w:rsidP="003734A7">
      <w:pPr>
        <w:pStyle w:val="Text1"/>
        <w:numPr>
          <w:ilvl w:val="0"/>
          <w:numId w:val="35"/>
        </w:numPr>
        <w:ind w:left="1208" w:hanging="357"/>
        <w:rPr>
          <w:noProof/>
          <w:lang w:val="en-US"/>
        </w:rPr>
      </w:pPr>
      <w:bookmarkStart w:id="9" w:name="_Ref74300103"/>
      <w:r w:rsidRPr="000F04FA">
        <w:rPr>
          <w:noProof/>
          <w:lang w:val="en-US"/>
        </w:rPr>
        <w:t>The Monitoring Committee, chaired by the Director General of the Directorate General Growth, Ministry of Finance and attended by the Directors-General of Ministries and Deputy Ministries involved in the plan, shall be responsible for centrally monitoring progress in implementation, resolving issues and responding to risks at the highest technical level. It shall convene at least before each submission to the Commission of requests for payment and progress reports provided for under Regulation (EU) 2021/241. It may rely on reporting and other support from the Coordinating Authority.</w:t>
      </w:r>
    </w:p>
    <w:p w14:paraId="0A44DF4E" w14:textId="77777777" w:rsidR="003734A7" w:rsidRPr="000F04FA" w:rsidRDefault="003734A7" w:rsidP="003734A7">
      <w:pPr>
        <w:pStyle w:val="Text1"/>
        <w:numPr>
          <w:ilvl w:val="0"/>
          <w:numId w:val="35"/>
        </w:numPr>
        <w:ind w:left="1208" w:hanging="357"/>
        <w:rPr>
          <w:noProof/>
          <w:lang w:val="en-US"/>
        </w:rPr>
      </w:pPr>
      <w:r w:rsidRPr="000F04FA">
        <w:rPr>
          <w:noProof/>
          <w:lang w:val="en-US"/>
        </w:rPr>
        <w:t xml:space="preserve">The Coordinating Authority, which is the Directorate for Recovery and Resilience of the Directorate General Growth, shall be responsible for the monitoring and implementation of the recovery and resilience plan at operational level. Specifically, the Coordinating Authority is responsible for monitoring, verifying and certifying the achievement of the milestones and targets of measures of the plan and ensuring the timely submission of all information described in Article 22(2), point (d) of Regulation (EU) 2021/241. In performing its monitoring functions, the Coordinating Authority is assisted by two specialised Monitoring Bodies designated for specific measures of the plan. </w:t>
      </w:r>
    </w:p>
    <w:p w14:paraId="0F376983" w14:textId="3CB77E1E" w:rsidR="003734A7" w:rsidRPr="000F04FA" w:rsidRDefault="003734A7" w:rsidP="003734A7">
      <w:pPr>
        <w:pStyle w:val="Text1"/>
        <w:numPr>
          <w:ilvl w:val="0"/>
          <w:numId w:val="35"/>
        </w:numPr>
        <w:ind w:left="1208" w:hanging="357"/>
        <w:rPr>
          <w:noProof/>
          <w:lang w:val="en-US"/>
        </w:rPr>
      </w:pPr>
      <w:r w:rsidRPr="000F04FA">
        <w:rPr>
          <w:noProof/>
          <w:lang w:val="en-US"/>
        </w:rPr>
        <w:t xml:space="preserve">The National Control and Audit Coordinator for the implementation of the plan, which is the Verifications and Certification Directorate of the Treasury of the Republic of Cyprus, shall be responsible for supporting the Coordinating Authority in overseeing controls by all stakeholders, including Implementing Bodies, in accordance with the management and control system of the plan and the national and EU legislation. In that respect, it shall also monitor the status of the findings of ex post audits, acting as the intermediate body between the Coordinating Authority and the Internal Audit Service of the Republic of Cyprus and the Audit Office of the Republic of Cyprus (together, “the audit bodies”). The National Control and Audit Coordinator shall not be involved in the planning and execution of the audits, which is within the sole responsibility of the audit bodies. It shall manage and process all information described in Article 22(2), point (d) of Regulation (EU) 2021/241, collected by the Implementing Bodies. In this respect, it has the responsibility to oversee the treatment of serious irregularities, meaning fraud, corruption and conflicts of interests, and ensure that double funding is avoided through controls of the information submitted by the Implementing Bodies. </w:t>
      </w:r>
    </w:p>
    <w:p w14:paraId="5BD78694" w14:textId="77777777" w:rsidR="003734A7" w:rsidRPr="000F04FA" w:rsidRDefault="003734A7" w:rsidP="003734A7">
      <w:pPr>
        <w:pStyle w:val="Text1"/>
        <w:numPr>
          <w:ilvl w:val="0"/>
          <w:numId w:val="35"/>
        </w:numPr>
        <w:ind w:left="1208" w:hanging="357"/>
        <w:rPr>
          <w:noProof/>
          <w:lang w:val="en-US"/>
        </w:rPr>
      </w:pPr>
      <w:r w:rsidRPr="000F04FA">
        <w:rPr>
          <w:noProof/>
          <w:lang w:val="en-US"/>
        </w:rPr>
        <w:t>The Implementing Bodies shall have the first line responsibility to prevent, detect, report and correct conflicts of interest, corruption and fraud, and avoid double funding. To that end, they shall undertake first level controls and verifications of the physical and financial aspect of the measures under their responsibility and regularly update the Coordinating Authority and the specialised Monitoring Bodies, where relevant, regarding progress in achieving the milestones and targets of the measures under their responsibility and by providing all the necessary supporting documentation.</w:t>
      </w:r>
    </w:p>
    <w:bookmarkEnd w:id="9"/>
    <w:p w14:paraId="7652BA3F" w14:textId="3B617982" w:rsidR="003734A7" w:rsidRPr="000F04FA" w:rsidRDefault="003734A7" w:rsidP="003734A7">
      <w:pPr>
        <w:pStyle w:val="Text1"/>
        <w:numPr>
          <w:ilvl w:val="0"/>
          <w:numId w:val="35"/>
        </w:numPr>
        <w:ind w:left="1208" w:hanging="357"/>
        <w:rPr>
          <w:noProof/>
          <w:lang w:val="en-US"/>
        </w:rPr>
      </w:pPr>
      <w:r w:rsidRPr="000F04FA">
        <w:rPr>
          <w:noProof/>
          <w:lang w:val="en-US"/>
        </w:rPr>
        <w:t xml:space="preserve">The Internal Audit Service of the Republic of Cyprus is responsible for conducting ex post internal audits in any central government body including the audit of the achievement of milestones and targets of the plan, through an appropriate sampling method. The Audit Office of the Republic of Cyprus is responsible for conducting financial, performance and compliance ex post (and in some cases real time) external audits for projects implemented under the national budget through an appropriate sampling method which complies with the </w:t>
      </w:r>
      <w:r w:rsidRPr="000F04FA">
        <w:rPr>
          <w:noProof/>
          <w:color w:val="000000" w:themeColor="text1"/>
          <w:lang w:val="en-US"/>
        </w:rPr>
        <w:t xml:space="preserve">International Organisation of Supreme Audit Institutions (INTOSAI) </w:t>
      </w:r>
      <w:r w:rsidRPr="000F04FA">
        <w:rPr>
          <w:noProof/>
          <w:lang w:val="en-US"/>
        </w:rPr>
        <w:t xml:space="preserve">standards. It shall be ensured that the selected sample necessarily includes a sufficient number of measures implemented through the recovery and resilience plan. </w:t>
      </w:r>
    </w:p>
    <w:p w14:paraId="5EC004F6" w14:textId="77777777" w:rsidR="003734A7" w:rsidRPr="000F04FA" w:rsidRDefault="003734A7" w:rsidP="003734A7">
      <w:pPr>
        <w:pStyle w:val="Text1"/>
        <w:numPr>
          <w:ilvl w:val="0"/>
          <w:numId w:val="35"/>
        </w:numPr>
        <w:ind w:left="1208" w:hanging="357"/>
        <w:rPr>
          <w:noProof/>
          <w:lang w:val="en-US"/>
        </w:rPr>
      </w:pPr>
      <w:r w:rsidRPr="000F04FA">
        <w:rPr>
          <w:noProof/>
          <w:lang w:val="en-US"/>
        </w:rPr>
        <w:t xml:space="preserve">The Coordinating Authority shall be the body drawing up the requests for payment to the European Commission. The Coordinating Authority shall be supported by the National Control and Audit Coordinator in retrieving the results of audit procedures undertaken by the audit bodies (including the Internal Audit Service and the Audit Office), as well as all cases of serious irregularities, including cases of fraud or suspicion of fraud, corruption and conflicts of interest, that shall feed into the summary of audits, which shall accompany payment applications. </w:t>
      </w:r>
    </w:p>
    <w:p w14:paraId="078B37CC" w14:textId="77777777" w:rsidR="003734A7" w:rsidRPr="000F04FA" w:rsidRDefault="003734A7" w:rsidP="00D8670B">
      <w:pPr>
        <w:pStyle w:val="Text1"/>
        <w:ind w:left="970"/>
        <w:rPr>
          <w:noProof/>
          <w:lang w:val="en-US"/>
        </w:rPr>
      </w:pPr>
    </w:p>
    <w:p w14:paraId="02E84C34" w14:textId="77777777" w:rsidR="003734A7" w:rsidRPr="000F04FA" w:rsidRDefault="003734A7" w:rsidP="00D8670B">
      <w:pPr>
        <w:pStyle w:val="NumPar1"/>
        <w:tabs>
          <w:tab w:val="num" w:pos="850"/>
        </w:tabs>
        <w:ind w:left="850" w:hanging="850"/>
        <w:rPr>
          <w:b/>
          <w:bCs/>
          <w:noProof/>
          <w:lang w:val="en-US"/>
        </w:rPr>
      </w:pPr>
      <w:r w:rsidRPr="000F04FA">
        <w:rPr>
          <w:b/>
          <w:noProof/>
          <w:lang w:val="en-US"/>
        </w:rPr>
        <w:t>Arrangements for providing full access by the Commission to the underlying data</w:t>
      </w:r>
    </w:p>
    <w:p w14:paraId="24C0181F" w14:textId="111A69C0" w:rsidR="003734A7" w:rsidRPr="000F04FA" w:rsidRDefault="003734A7" w:rsidP="00D8670B">
      <w:pPr>
        <w:pStyle w:val="Text1"/>
        <w:ind w:left="851"/>
        <w:rPr>
          <w:noProof/>
          <w:lang w:val="en-US"/>
        </w:rPr>
      </w:pPr>
      <w:r w:rsidRPr="000F04FA">
        <w:rPr>
          <w:noProof/>
          <w:lang w:val="en-US"/>
        </w:rPr>
        <w:t>A dedicated Monitoring Information System (MIS) shall be used by the Directorate for Recovery and Resilience of the Directorate General Growth for the implementation of the plan. Its core functionalities, or a contingent repository system with the required functionalities, shall be in place as attested by an audit report by 31</w:t>
      </w:r>
      <w:r w:rsidR="00910683">
        <w:rPr>
          <w:noProof/>
          <w:lang w:val="en-US"/>
        </w:rPr>
        <w:t> </w:t>
      </w:r>
      <w:r w:rsidRPr="000F04FA">
        <w:rPr>
          <w:noProof/>
          <w:lang w:val="en-US"/>
        </w:rPr>
        <w:t>March</w:t>
      </w:r>
      <w:r w:rsidR="00910683">
        <w:rPr>
          <w:noProof/>
          <w:lang w:val="en-US"/>
        </w:rPr>
        <w:t> </w:t>
      </w:r>
      <w:r w:rsidRPr="000F04FA">
        <w:rPr>
          <w:noProof/>
          <w:lang w:val="en-US"/>
        </w:rPr>
        <w:t>2022. In terms of required functionalities, a repository system shall record and store the relevant data related to the implementation of the recovery and resilience plan, in particular on the achievement of milestones and targets, data on final recipients, contractors, subcontractors and beneficial owners in line with Article 22(2), point (d), sections (i) to (iii) of Regulation (EU) 2021/241, by the first payment request.</w:t>
      </w:r>
    </w:p>
    <w:p w14:paraId="2E23268C" w14:textId="3DCCCD99" w:rsidR="003734A7" w:rsidRPr="000345F8" w:rsidRDefault="003734A7" w:rsidP="000345F8">
      <w:pPr>
        <w:pStyle w:val="Text1"/>
        <w:ind w:left="851"/>
        <w:rPr>
          <w:noProof/>
          <w:lang w:val="en-US"/>
        </w:rPr>
      </w:pPr>
      <w:r w:rsidRPr="000F04FA">
        <w:rPr>
          <w:noProof/>
          <w:lang w:val="en-US"/>
        </w:rPr>
        <w:t>In accordance with Article 24(2) of Regulation (EU) 2021/241, upon completion of the relevant agreed milestones and targets in Section 1 of this Annex, Cyprus shall submit to the Commission a duly justified request for payment of the financial contribution and of the loan. Cyprus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25619331" w14:textId="4D705369" w:rsidR="7DCC22BF" w:rsidRPr="000F72B9" w:rsidRDefault="7DCC22BF" w:rsidP="7DCC22BF">
      <w:pPr>
        <w:rPr>
          <w:noProof/>
        </w:rPr>
      </w:pPr>
    </w:p>
    <w:sectPr w:rsidR="7DCC22BF" w:rsidRPr="000F72B9" w:rsidSect="003734A7">
      <w:headerReference w:type="default" r:id="rId132"/>
      <w:footerReference w:type="default" r:id="rId13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42AB8" w14:textId="77777777" w:rsidR="006F1D15" w:rsidRPr="000F04FA" w:rsidRDefault="006F1D15" w:rsidP="00C04BFF">
      <w:pPr>
        <w:spacing w:after="0" w:line="240" w:lineRule="auto"/>
      </w:pPr>
      <w:r w:rsidRPr="000F04FA">
        <w:separator/>
      </w:r>
    </w:p>
  </w:endnote>
  <w:endnote w:type="continuationSeparator" w:id="0">
    <w:p w14:paraId="13E5F9B1" w14:textId="77777777" w:rsidR="006F1D15" w:rsidRPr="000F04FA" w:rsidRDefault="006F1D15" w:rsidP="00C04BFF">
      <w:pPr>
        <w:spacing w:after="0" w:line="240" w:lineRule="auto"/>
      </w:pPr>
      <w:r w:rsidRPr="000F04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04D75" w14:textId="31D0B6F9" w:rsidR="00BE554E" w:rsidRPr="00BE554E" w:rsidRDefault="00BE554E" w:rsidP="00BE554E">
    <w:pPr>
      <w:pStyle w:val="FooterCoverPage"/>
      <w:rPr>
        <w:rFonts w:ascii="Arial" w:hAnsi="Arial" w:cs="Arial" w:hint="eastAsia"/>
        <w:b/>
        <w:sz w:val="48"/>
      </w:rPr>
    </w:pPr>
    <w:r w:rsidRPr="00BE554E">
      <w:rPr>
        <w:rFonts w:ascii="Arial" w:hAnsi="Arial" w:cs="Arial"/>
        <w:b/>
        <w:sz w:val="48"/>
      </w:rPr>
      <w:t>EN</w:t>
    </w:r>
    <w:r w:rsidRPr="00BE554E">
      <w:rPr>
        <w:rFonts w:ascii="Arial" w:hAnsi="Arial" w:cs="Arial"/>
        <w:b/>
        <w:sz w:val="48"/>
      </w:rPr>
      <w:tab/>
    </w:r>
    <w:r w:rsidRPr="00BE554E">
      <w:rPr>
        <w:rFonts w:ascii="Arial" w:hAnsi="Arial" w:cs="Arial"/>
        <w:b/>
        <w:sz w:val="48"/>
      </w:rPr>
      <w:tab/>
    </w:r>
    <w:r w:rsidRPr="00BE554E">
      <w:tab/>
    </w:r>
    <w:r w:rsidRPr="00BE554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6C618" w14:textId="6007731B" w:rsidR="00BE554E" w:rsidRPr="00BE554E" w:rsidRDefault="00BE554E" w:rsidP="00BE554E">
    <w:pPr>
      <w:pStyle w:val="FooterCoverPage"/>
      <w:rPr>
        <w:rFonts w:ascii="Arial" w:hAnsi="Arial" w:cs="Arial" w:hint="eastAsia"/>
        <w:b/>
        <w:sz w:val="48"/>
      </w:rPr>
    </w:pPr>
    <w:r w:rsidRPr="00BE554E">
      <w:rPr>
        <w:rFonts w:ascii="Arial" w:hAnsi="Arial" w:cs="Arial"/>
        <w:b/>
        <w:sz w:val="48"/>
      </w:rPr>
      <w:t>EN</w:t>
    </w:r>
    <w:r w:rsidRPr="00BE554E">
      <w:rPr>
        <w:rFonts w:ascii="Arial" w:hAnsi="Arial" w:cs="Arial"/>
        <w:b/>
        <w:sz w:val="48"/>
      </w:rPr>
      <w:tab/>
    </w:r>
    <w:r w:rsidRPr="00BE554E">
      <w:rPr>
        <w:rFonts w:ascii="Arial" w:hAnsi="Arial" w:cs="Arial"/>
        <w:b/>
        <w:sz w:val="48"/>
      </w:rPr>
      <w:tab/>
    </w:r>
    <w:r w:rsidRPr="00BE554E">
      <w:tab/>
    </w:r>
    <w:r w:rsidRPr="00BE554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921B1" w14:textId="77777777" w:rsidR="00BE554E" w:rsidRPr="00BE554E" w:rsidRDefault="00BE554E" w:rsidP="00BE554E">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9E367" w14:textId="77777777" w:rsidR="007A5D8D" w:rsidRDefault="007A5D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767157"/>
      <w:docPartObj>
        <w:docPartGallery w:val="Page Numbers (Bottom of Page)"/>
        <w:docPartUnique/>
      </w:docPartObj>
    </w:sdtPr>
    <w:sdtEndPr>
      <w:rPr>
        <w:rFonts w:ascii="Times New Roman" w:hAnsi="Times New Roman" w:cs="Times New Roman"/>
      </w:rPr>
    </w:sdtEndPr>
    <w:sdtContent>
      <w:p w14:paraId="7DBA22AC" w14:textId="29C1110E" w:rsidR="007A5D8D" w:rsidRPr="000F04FA" w:rsidRDefault="007A5D8D" w:rsidP="000F04FA">
        <w:pPr>
          <w:pStyle w:val="Footer"/>
          <w:jc w:val="center"/>
          <w:rPr>
            <w:rFonts w:ascii="Times New Roman" w:hAnsi="Times New Roman" w:cs="Times New Roman"/>
          </w:rPr>
        </w:pPr>
        <w:r w:rsidRPr="000F04FA">
          <w:rPr>
            <w:rFonts w:ascii="Times New Roman" w:hAnsi="Times New Roman" w:cs="Times New Roman"/>
          </w:rPr>
          <w:fldChar w:fldCharType="begin"/>
        </w:r>
        <w:r w:rsidRPr="000F04FA">
          <w:rPr>
            <w:rFonts w:ascii="Times New Roman" w:hAnsi="Times New Roman" w:cs="Times New Roman"/>
          </w:rPr>
          <w:instrText xml:space="preserve"> PAGE   \* MERGEFORMAT </w:instrText>
        </w:r>
        <w:r w:rsidRPr="000F04FA">
          <w:rPr>
            <w:rFonts w:ascii="Times New Roman" w:hAnsi="Times New Roman" w:cs="Times New Roman"/>
          </w:rPr>
          <w:fldChar w:fldCharType="separate"/>
        </w:r>
        <w:r w:rsidR="00BE554E">
          <w:rPr>
            <w:rFonts w:ascii="Times New Roman" w:hAnsi="Times New Roman" w:cs="Times New Roman"/>
            <w:noProof/>
          </w:rPr>
          <w:t>3</w:t>
        </w:r>
        <w:r w:rsidRPr="000F04FA">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997F" w14:textId="77777777" w:rsidR="007A5D8D" w:rsidRDefault="007A5D8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052996"/>
      <w:docPartObj>
        <w:docPartGallery w:val="Page Numbers (Bottom of Page)"/>
        <w:docPartUnique/>
      </w:docPartObj>
    </w:sdtPr>
    <w:sdtEndPr>
      <w:rPr>
        <w:rFonts w:ascii="Times New Roman" w:hAnsi="Times New Roman" w:cs="Times New Roman"/>
      </w:rPr>
    </w:sdtEndPr>
    <w:sdtContent>
      <w:p w14:paraId="532E88CD" w14:textId="2848FD4C" w:rsidR="007A5D8D" w:rsidRPr="000F04FA" w:rsidRDefault="007A5D8D" w:rsidP="000F04FA">
        <w:pPr>
          <w:pStyle w:val="Footer"/>
          <w:jc w:val="center"/>
          <w:rPr>
            <w:rFonts w:ascii="Times New Roman" w:hAnsi="Times New Roman" w:cs="Times New Roman"/>
          </w:rPr>
        </w:pPr>
        <w:r w:rsidRPr="000F04FA">
          <w:rPr>
            <w:rFonts w:ascii="Times New Roman" w:hAnsi="Times New Roman" w:cs="Times New Roman"/>
          </w:rPr>
          <w:fldChar w:fldCharType="begin"/>
        </w:r>
        <w:r w:rsidRPr="000F04FA">
          <w:rPr>
            <w:rFonts w:ascii="Times New Roman" w:hAnsi="Times New Roman" w:cs="Times New Roman"/>
          </w:rPr>
          <w:instrText xml:space="preserve"> PAGE   \* MERGEFORMAT </w:instrText>
        </w:r>
        <w:r w:rsidRPr="000F04FA">
          <w:rPr>
            <w:rFonts w:ascii="Times New Roman" w:hAnsi="Times New Roman" w:cs="Times New Roman"/>
          </w:rPr>
          <w:fldChar w:fldCharType="separate"/>
        </w:r>
        <w:r w:rsidR="00BE554E">
          <w:rPr>
            <w:rFonts w:ascii="Times New Roman" w:hAnsi="Times New Roman" w:cs="Times New Roman"/>
            <w:noProof/>
          </w:rPr>
          <w:t>4</w:t>
        </w:r>
        <w:r w:rsidRPr="000F04FA">
          <w:rPr>
            <w:rFonts w:ascii="Times New Roman" w:hAnsi="Times New Roman" w:cs="Times New Roman"/>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3DB90" w14:textId="77777777" w:rsidR="00C04BFF" w:rsidRPr="000F04FA" w:rsidRDefault="00C04B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500234"/>
      <w:docPartObj>
        <w:docPartGallery w:val="Page Numbers (Bottom of Page)"/>
        <w:docPartUnique/>
      </w:docPartObj>
    </w:sdtPr>
    <w:sdtEndPr>
      <w:rPr>
        <w:rFonts w:ascii="Times New Roman" w:hAnsi="Times New Roman" w:cs="Times New Roman"/>
        <w:noProof/>
      </w:rPr>
    </w:sdtEndPr>
    <w:sdtContent>
      <w:p w14:paraId="326ACA77" w14:textId="1A3C01B1" w:rsidR="00FC4C5E" w:rsidRPr="00FC4C5E" w:rsidRDefault="00FC4C5E">
        <w:pPr>
          <w:pStyle w:val="Footer"/>
          <w:jc w:val="center"/>
          <w:rPr>
            <w:rFonts w:ascii="Times New Roman" w:hAnsi="Times New Roman" w:cs="Times New Roman"/>
          </w:rPr>
        </w:pPr>
        <w:r w:rsidRPr="00FC4C5E">
          <w:rPr>
            <w:rFonts w:ascii="Times New Roman" w:hAnsi="Times New Roman" w:cs="Times New Roman"/>
          </w:rPr>
          <w:fldChar w:fldCharType="begin"/>
        </w:r>
        <w:r w:rsidRPr="00FC4C5E">
          <w:rPr>
            <w:rFonts w:ascii="Times New Roman" w:hAnsi="Times New Roman" w:cs="Times New Roman"/>
          </w:rPr>
          <w:instrText xml:space="preserve"> PAGE   \* MERGEFORMAT </w:instrText>
        </w:r>
        <w:r w:rsidRPr="00FC4C5E">
          <w:rPr>
            <w:rFonts w:ascii="Times New Roman" w:hAnsi="Times New Roman" w:cs="Times New Roman"/>
          </w:rPr>
          <w:fldChar w:fldCharType="separate"/>
        </w:r>
        <w:r w:rsidRPr="00FC4C5E">
          <w:rPr>
            <w:rFonts w:ascii="Times New Roman" w:hAnsi="Times New Roman" w:cs="Times New Roman"/>
            <w:noProof/>
          </w:rPr>
          <w:t>2</w:t>
        </w:r>
        <w:r w:rsidRPr="00FC4C5E">
          <w:rPr>
            <w:rFonts w:ascii="Times New Roman" w:hAnsi="Times New Roman" w:cs="Times New Roman"/>
            <w:noProof/>
          </w:rPr>
          <w:fldChar w:fldCharType="end"/>
        </w:r>
      </w:p>
    </w:sdtContent>
  </w:sdt>
  <w:p w14:paraId="22D4BA28" w14:textId="77777777" w:rsidR="00C04BFF" w:rsidRPr="000F04FA" w:rsidRDefault="00C04BF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3828D" w14:textId="77777777" w:rsidR="00C04BFF" w:rsidRPr="000F04FA" w:rsidRDefault="00C04B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375208"/>
      <w:docPartObj>
        <w:docPartGallery w:val="Page Numbers (Bottom of Page)"/>
        <w:docPartUnique/>
      </w:docPartObj>
    </w:sdtPr>
    <w:sdtEndPr>
      <w:rPr>
        <w:rFonts w:ascii="Times New Roman" w:hAnsi="Times New Roman" w:cs="Times New Roman"/>
        <w:noProof/>
      </w:rPr>
    </w:sdtEndPr>
    <w:sdtContent>
      <w:p w14:paraId="461B9F56" w14:textId="3D18E99C" w:rsidR="007A5D8D" w:rsidRPr="00FC4C5E" w:rsidRDefault="00FC4C5E" w:rsidP="00FC4C5E">
        <w:pPr>
          <w:pStyle w:val="Footer"/>
          <w:jc w:val="center"/>
          <w:rPr>
            <w:rFonts w:ascii="Times New Roman" w:hAnsi="Times New Roman" w:cs="Times New Roman"/>
          </w:rPr>
        </w:pPr>
        <w:r w:rsidRPr="00FC4C5E">
          <w:rPr>
            <w:rFonts w:ascii="Times New Roman" w:hAnsi="Times New Roman" w:cs="Times New Roman"/>
          </w:rPr>
          <w:fldChar w:fldCharType="begin"/>
        </w:r>
        <w:r w:rsidRPr="00FC4C5E">
          <w:rPr>
            <w:rFonts w:ascii="Times New Roman" w:hAnsi="Times New Roman" w:cs="Times New Roman"/>
          </w:rPr>
          <w:instrText xml:space="preserve"> PAGE   \* MERGEFORMAT </w:instrText>
        </w:r>
        <w:r w:rsidRPr="00FC4C5E">
          <w:rPr>
            <w:rFonts w:ascii="Times New Roman" w:hAnsi="Times New Roman" w:cs="Times New Roman"/>
          </w:rPr>
          <w:fldChar w:fldCharType="separate"/>
        </w:r>
        <w:r w:rsidRPr="00FC4C5E">
          <w:rPr>
            <w:rFonts w:ascii="Times New Roman" w:hAnsi="Times New Roman" w:cs="Times New Roman"/>
            <w:noProof/>
          </w:rPr>
          <w:t>2</w:t>
        </w:r>
        <w:r w:rsidRPr="00FC4C5E">
          <w:rPr>
            <w:rFonts w:ascii="Times New Roman" w:hAnsi="Times New Roman" w:cs="Times New Roman"/>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72D0E" w14:textId="77777777" w:rsidR="00C04BFF" w:rsidRPr="000F04FA" w:rsidRDefault="00C04BF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017463311"/>
      <w:docPartObj>
        <w:docPartGallery w:val="Page Numbers (Bottom of Page)"/>
        <w:docPartUnique/>
      </w:docPartObj>
    </w:sdtPr>
    <w:sdtEndPr/>
    <w:sdtContent>
      <w:p w14:paraId="46AD5254" w14:textId="77777777" w:rsidR="00C04BFF" w:rsidRPr="00FC4C5E" w:rsidRDefault="00C04BFF">
        <w:pPr>
          <w:pStyle w:val="Footer"/>
          <w:jc w:val="center"/>
          <w:rPr>
            <w:rFonts w:ascii="Times New Roman" w:hAnsi="Times New Roman" w:cs="Times New Roman"/>
          </w:rPr>
        </w:pPr>
        <w:r w:rsidRPr="00FC4C5E">
          <w:rPr>
            <w:rFonts w:ascii="Times New Roman" w:hAnsi="Times New Roman" w:cs="Times New Roman"/>
          </w:rPr>
          <w:fldChar w:fldCharType="begin"/>
        </w:r>
        <w:r w:rsidRPr="00FC4C5E">
          <w:rPr>
            <w:rFonts w:ascii="Times New Roman" w:hAnsi="Times New Roman" w:cs="Times New Roman"/>
          </w:rPr>
          <w:instrText xml:space="preserve"> PAGE   \* MERGEFORMAT </w:instrText>
        </w:r>
        <w:r w:rsidRPr="00FC4C5E">
          <w:rPr>
            <w:rFonts w:ascii="Times New Roman" w:hAnsi="Times New Roman" w:cs="Times New Roman"/>
          </w:rPr>
          <w:fldChar w:fldCharType="separate"/>
        </w:r>
        <w:r w:rsidRPr="00FC4C5E">
          <w:rPr>
            <w:rFonts w:ascii="Times New Roman" w:hAnsi="Times New Roman" w:cs="Times New Roman"/>
          </w:rPr>
          <w:t>2</w:t>
        </w:r>
        <w:r w:rsidRPr="00FC4C5E">
          <w:rPr>
            <w:rFonts w:ascii="Times New Roman" w:hAnsi="Times New Roman" w:cs="Times New Roman"/>
          </w:rPr>
          <w:fldChar w:fldCharType="end"/>
        </w:r>
      </w:p>
    </w:sdtContent>
  </w:sdt>
  <w:p w14:paraId="023C3F01" w14:textId="77777777" w:rsidR="00C04BFF" w:rsidRPr="000F04FA" w:rsidRDefault="00C04BFF">
    <w:pPr>
      <w:pStyle w:val="FooterCouncil"/>
      <w:rPr>
        <w:noProof w:val="0"/>
        <w:lang w:val="en-US"/>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1312A" w14:textId="77777777" w:rsidR="00C04BFF" w:rsidRPr="000F04FA" w:rsidRDefault="00C04BF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153461"/>
      <w:docPartObj>
        <w:docPartGallery w:val="Page Numbers (Bottom of Page)"/>
        <w:docPartUnique/>
      </w:docPartObj>
    </w:sdtPr>
    <w:sdtEndPr>
      <w:rPr>
        <w:rFonts w:ascii="Times New Roman" w:hAnsi="Times New Roman" w:cs="Times New Roman"/>
        <w:noProof/>
      </w:rPr>
    </w:sdtEndPr>
    <w:sdtContent>
      <w:p w14:paraId="127078AA" w14:textId="4A75685D" w:rsidR="00FC4C5E" w:rsidRPr="00FC4C5E" w:rsidRDefault="00FC4C5E">
        <w:pPr>
          <w:pStyle w:val="Footer"/>
          <w:jc w:val="center"/>
          <w:rPr>
            <w:rFonts w:ascii="Times New Roman" w:hAnsi="Times New Roman" w:cs="Times New Roman"/>
          </w:rPr>
        </w:pPr>
        <w:r w:rsidRPr="00FC4C5E">
          <w:rPr>
            <w:rFonts w:ascii="Times New Roman" w:hAnsi="Times New Roman" w:cs="Times New Roman"/>
          </w:rPr>
          <w:fldChar w:fldCharType="begin"/>
        </w:r>
        <w:r w:rsidRPr="00FC4C5E">
          <w:rPr>
            <w:rFonts w:ascii="Times New Roman" w:hAnsi="Times New Roman" w:cs="Times New Roman"/>
          </w:rPr>
          <w:instrText xml:space="preserve"> PAGE   \* MERGEFORMAT </w:instrText>
        </w:r>
        <w:r w:rsidRPr="00FC4C5E">
          <w:rPr>
            <w:rFonts w:ascii="Times New Roman" w:hAnsi="Times New Roman" w:cs="Times New Roman"/>
          </w:rPr>
          <w:fldChar w:fldCharType="separate"/>
        </w:r>
        <w:r w:rsidRPr="00FC4C5E">
          <w:rPr>
            <w:rFonts w:ascii="Times New Roman" w:hAnsi="Times New Roman" w:cs="Times New Roman"/>
            <w:noProof/>
          </w:rPr>
          <w:t>2</w:t>
        </w:r>
        <w:r w:rsidRPr="00FC4C5E">
          <w:rPr>
            <w:rFonts w:ascii="Times New Roman" w:hAnsi="Times New Roman" w:cs="Times New Roman"/>
            <w:noProof/>
          </w:rPr>
          <w:fldChar w:fldCharType="end"/>
        </w:r>
      </w:p>
    </w:sdtContent>
  </w:sdt>
  <w:p w14:paraId="632FC886" w14:textId="77777777" w:rsidR="007A5D8D" w:rsidRPr="000F04FA" w:rsidRDefault="007A5D8D">
    <w:pPr>
      <w:pStyle w:val="FooterCouncil"/>
      <w:rPr>
        <w:noProof w:val="0"/>
        <w:lang w:val="en-US"/>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34742736"/>
      <w:docPartObj>
        <w:docPartGallery w:val="Page Numbers (Bottom of Page)"/>
        <w:docPartUnique/>
      </w:docPartObj>
    </w:sdtPr>
    <w:sdtEndPr>
      <w:rPr>
        <w:noProof/>
      </w:rPr>
    </w:sdtEndPr>
    <w:sdtContent>
      <w:p w14:paraId="5157B628" w14:textId="01342A98" w:rsidR="00BF3173" w:rsidRPr="00BF3173" w:rsidRDefault="00BF3173">
        <w:pPr>
          <w:pStyle w:val="Footer"/>
          <w:jc w:val="center"/>
          <w:rPr>
            <w:rFonts w:ascii="Times New Roman" w:hAnsi="Times New Roman" w:cs="Times New Roman"/>
          </w:rPr>
        </w:pPr>
        <w:r w:rsidRPr="00BF3173">
          <w:rPr>
            <w:rFonts w:ascii="Times New Roman" w:hAnsi="Times New Roman" w:cs="Times New Roman"/>
          </w:rPr>
          <w:fldChar w:fldCharType="begin"/>
        </w:r>
        <w:r w:rsidRPr="00BF3173">
          <w:rPr>
            <w:rFonts w:ascii="Times New Roman" w:hAnsi="Times New Roman" w:cs="Times New Roman"/>
          </w:rPr>
          <w:instrText xml:space="preserve"> PAGE   \* MERGEFORMAT </w:instrText>
        </w:r>
        <w:r w:rsidRPr="00BF3173">
          <w:rPr>
            <w:rFonts w:ascii="Times New Roman" w:hAnsi="Times New Roman" w:cs="Times New Roman"/>
          </w:rPr>
          <w:fldChar w:fldCharType="separate"/>
        </w:r>
        <w:r w:rsidRPr="00BF3173">
          <w:rPr>
            <w:rFonts w:ascii="Times New Roman" w:hAnsi="Times New Roman" w:cs="Times New Roman"/>
            <w:noProof/>
          </w:rPr>
          <w:t>2</w:t>
        </w:r>
        <w:r w:rsidRPr="00BF3173">
          <w:rPr>
            <w:rFonts w:ascii="Times New Roman" w:hAnsi="Times New Roman" w:cs="Times New Roman"/>
            <w:noProof/>
          </w:rPr>
          <w:fldChar w:fldCharType="end"/>
        </w:r>
      </w:p>
    </w:sdtContent>
  </w:sdt>
  <w:p w14:paraId="18D46C1E" w14:textId="77777777" w:rsidR="007A5D8D" w:rsidRPr="000F04FA" w:rsidRDefault="007A5D8D">
    <w:pPr>
      <w:pStyle w:val="FooterCouncil"/>
      <w:rPr>
        <w:noProof w:val="0"/>
        <w:lang w:val="en-US"/>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591520"/>
      <w:docPartObj>
        <w:docPartGallery w:val="Page Numbers (Bottom of Page)"/>
        <w:docPartUnique/>
      </w:docPartObj>
    </w:sdtPr>
    <w:sdtEndPr>
      <w:rPr>
        <w:rFonts w:ascii="Times New Roman" w:hAnsi="Times New Roman" w:cs="Times New Roman"/>
        <w:noProof/>
      </w:rPr>
    </w:sdtEndPr>
    <w:sdtContent>
      <w:p w14:paraId="40591190" w14:textId="0DBD425E" w:rsidR="00BF3173" w:rsidRPr="00BF3173" w:rsidRDefault="00BF3173">
        <w:pPr>
          <w:pStyle w:val="Footer"/>
          <w:jc w:val="center"/>
          <w:rPr>
            <w:rFonts w:ascii="Times New Roman" w:hAnsi="Times New Roman" w:cs="Times New Roman"/>
          </w:rPr>
        </w:pPr>
        <w:r w:rsidRPr="00BF3173">
          <w:rPr>
            <w:rFonts w:ascii="Times New Roman" w:hAnsi="Times New Roman" w:cs="Times New Roman"/>
          </w:rPr>
          <w:fldChar w:fldCharType="begin"/>
        </w:r>
        <w:r w:rsidRPr="00BF3173">
          <w:rPr>
            <w:rFonts w:ascii="Times New Roman" w:hAnsi="Times New Roman" w:cs="Times New Roman"/>
          </w:rPr>
          <w:instrText xml:space="preserve"> PAGE   \* MERGEFORMAT </w:instrText>
        </w:r>
        <w:r w:rsidRPr="00BF3173">
          <w:rPr>
            <w:rFonts w:ascii="Times New Roman" w:hAnsi="Times New Roman" w:cs="Times New Roman"/>
          </w:rPr>
          <w:fldChar w:fldCharType="separate"/>
        </w:r>
        <w:r w:rsidRPr="00BF3173">
          <w:rPr>
            <w:rFonts w:ascii="Times New Roman" w:hAnsi="Times New Roman" w:cs="Times New Roman"/>
            <w:noProof/>
          </w:rPr>
          <w:t>2</w:t>
        </w:r>
        <w:r w:rsidRPr="00BF3173">
          <w:rPr>
            <w:rFonts w:ascii="Times New Roman" w:hAnsi="Times New Roman" w:cs="Times New Roman"/>
            <w:noProof/>
          </w:rPr>
          <w:fldChar w:fldCharType="end"/>
        </w:r>
      </w:p>
    </w:sdtContent>
  </w:sdt>
  <w:p w14:paraId="34325C39" w14:textId="003789D8" w:rsidR="00C04BFF" w:rsidRPr="000F04FA" w:rsidRDefault="00C04BFF">
    <w:pPr>
      <w:pStyle w:val="FooterCouncil"/>
      <w:rPr>
        <w:noProof w:val="0"/>
        <w:lang w:val="en-US"/>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2929560"/>
      <w:docPartObj>
        <w:docPartGallery w:val="Page Numbers (Bottom of Page)"/>
        <w:docPartUnique/>
      </w:docPartObj>
    </w:sdtPr>
    <w:sdtEndPr>
      <w:rPr>
        <w:rFonts w:ascii="Times New Roman" w:hAnsi="Times New Roman" w:cs="Times New Roman"/>
        <w:noProof/>
      </w:rPr>
    </w:sdtEndPr>
    <w:sdtContent>
      <w:p w14:paraId="7DA5F93D" w14:textId="60A68694" w:rsidR="00BF3173" w:rsidRPr="00BF3173" w:rsidRDefault="00BF3173">
        <w:pPr>
          <w:pStyle w:val="Footer"/>
          <w:jc w:val="center"/>
          <w:rPr>
            <w:rFonts w:ascii="Times New Roman" w:hAnsi="Times New Roman" w:cs="Times New Roman"/>
          </w:rPr>
        </w:pPr>
        <w:r w:rsidRPr="00BF3173">
          <w:rPr>
            <w:rFonts w:ascii="Times New Roman" w:hAnsi="Times New Roman" w:cs="Times New Roman"/>
          </w:rPr>
          <w:fldChar w:fldCharType="begin"/>
        </w:r>
        <w:r w:rsidRPr="00BF3173">
          <w:rPr>
            <w:rFonts w:ascii="Times New Roman" w:hAnsi="Times New Roman" w:cs="Times New Roman"/>
          </w:rPr>
          <w:instrText xml:space="preserve"> PAGE   \* MERGEFORMAT </w:instrText>
        </w:r>
        <w:r w:rsidRPr="00BF3173">
          <w:rPr>
            <w:rFonts w:ascii="Times New Roman" w:hAnsi="Times New Roman" w:cs="Times New Roman"/>
          </w:rPr>
          <w:fldChar w:fldCharType="separate"/>
        </w:r>
        <w:r w:rsidRPr="00BF3173">
          <w:rPr>
            <w:rFonts w:ascii="Times New Roman" w:hAnsi="Times New Roman" w:cs="Times New Roman"/>
            <w:noProof/>
          </w:rPr>
          <w:t>2</w:t>
        </w:r>
        <w:r w:rsidRPr="00BF3173">
          <w:rPr>
            <w:rFonts w:ascii="Times New Roman" w:hAnsi="Times New Roman" w:cs="Times New Roman"/>
            <w:noProof/>
          </w:rPr>
          <w:fldChar w:fldCharType="end"/>
        </w:r>
      </w:p>
    </w:sdtContent>
  </w:sdt>
  <w:p w14:paraId="2E39129A" w14:textId="77777777" w:rsidR="007A5D8D" w:rsidRPr="000F04FA" w:rsidRDefault="007A5D8D">
    <w:pPr>
      <w:pStyle w:val="FooterCouncil"/>
      <w:rPr>
        <w:noProof w:val="0"/>
        <w:lang w:val="en-US"/>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220491"/>
      <w:docPartObj>
        <w:docPartGallery w:val="Page Numbers (Bottom of Page)"/>
        <w:docPartUnique/>
      </w:docPartObj>
    </w:sdtPr>
    <w:sdtEndPr>
      <w:rPr>
        <w:rFonts w:ascii="Times New Roman" w:hAnsi="Times New Roman" w:cs="Times New Roman"/>
        <w:noProof/>
      </w:rPr>
    </w:sdtEndPr>
    <w:sdtContent>
      <w:p w14:paraId="3D641DCA" w14:textId="29584C92" w:rsidR="00BF3173" w:rsidRPr="00BF3173" w:rsidRDefault="00BF3173">
        <w:pPr>
          <w:pStyle w:val="Footer"/>
          <w:jc w:val="center"/>
          <w:rPr>
            <w:rFonts w:ascii="Times New Roman" w:hAnsi="Times New Roman" w:cs="Times New Roman"/>
          </w:rPr>
        </w:pPr>
        <w:r w:rsidRPr="00BF3173">
          <w:rPr>
            <w:rFonts w:ascii="Times New Roman" w:hAnsi="Times New Roman" w:cs="Times New Roman"/>
          </w:rPr>
          <w:fldChar w:fldCharType="begin"/>
        </w:r>
        <w:r w:rsidRPr="00BF3173">
          <w:rPr>
            <w:rFonts w:ascii="Times New Roman" w:hAnsi="Times New Roman" w:cs="Times New Roman"/>
          </w:rPr>
          <w:instrText xml:space="preserve"> PAGE   \* MERGEFORMAT </w:instrText>
        </w:r>
        <w:r w:rsidRPr="00BF3173">
          <w:rPr>
            <w:rFonts w:ascii="Times New Roman" w:hAnsi="Times New Roman" w:cs="Times New Roman"/>
          </w:rPr>
          <w:fldChar w:fldCharType="separate"/>
        </w:r>
        <w:r w:rsidRPr="00BF3173">
          <w:rPr>
            <w:rFonts w:ascii="Times New Roman" w:hAnsi="Times New Roman" w:cs="Times New Roman"/>
            <w:noProof/>
          </w:rPr>
          <w:t>2</w:t>
        </w:r>
        <w:r w:rsidRPr="00BF3173">
          <w:rPr>
            <w:rFonts w:ascii="Times New Roman" w:hAnsi="Times New Roman" w:cs="Times New Roman"/>
            <w:noProof/>
          </w:rPr>
          <w:fldChar w:fldCharType="end"/>
        </w:r>
      </w:p>
    </w:sdtContent>
  </w:sdt>
  <w:p w14:paraId="672DDFFE" w14:textId="77777777" w:rsidR="007A5D8D" w:rsidRPr="000F04FA" w:rsidRDefault="007A5D8D">
    <w:pPr>
      <w:pStyle w:val="FooterCouncil"/>
      <w:rPr>
        <w:noProof w:val="0"/>
        <w:lang w:val="en-US"/>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5C472" w14:textId="77777777" w:rsidR="000F72B9" w:rsidRPr="000F04FA" w:rsidRDefault="000F72B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369060"/>
      <w:docPartObj>
        <w:docPartGallery w:val="Page Numbers (Bottom of Page)"/>
        <w:docPartUnique/>
      </w:docPartObj>
    </w:sdtPr>
    <w:sdtEndPr>
      <w:rPr>
        <w:rFonts w:ascii="Times New Roman" w:hAnsi="Times New Roman" w:cs="Times New Roman"/>
        <w:noProof/>
      </w:rPr>
    </w:sdtEndPr>
    <w:sdtContent>
      <w:p w14:paraId="7A698223" w14:textId="463CC8CB" w:rsidR="00C443D9" w:rsidRPr="00C443D9" w:rsidRDefault="00C443D9">
        <w:pPr>
          <w:pStyle w:val="Footer"/>
          <w:jc w:val="center"/>
          <w:rPr>
            <w:rFonts w:ascii="Times New Roman" w:hAnsi="Times New Roman" w:cs="Times New Roman"/>
          </w:rPr>
        </w:pPr>
        <w:r w:rsidRPr="00C443D9">
          <w:rPr>
            <w:rFonts w:ascii="Times New Roman" w:hAnsi="Times New Roman" w:cs="Times New Roman"/>
          </w:rPr>
          <w:fldChar w:fldCharType="begin"/>
        </w:r>
        <w:r w:rsidRPr="00C443D9">
          <w:rPr>
            <w:rFonts w:ascii="Times New Roman" w:hAnsi="Times New Roman" w:cs="Times New Roman"/>
          </w:rPr>
          <w:instrText xml:space="preserve"> PAGE   \* MERGEFORMAT </w:instrText>
        </w:r>
        <w:r w:rsidRPr="00C443D9">
          <w:rPr>
            <w:rFonts w:ascii="Times New Roman" w:hAnsi="Times New Roman" w:cs="Times New Roman"/>
          </w:rPr>
          <w:fldChar w:fldCharType="separate"/>
        </w:r>
        <w:r w:rsidRPr="00C443D9">
          <w:rPr>
            <w:rFonts w:ascii="Times New Roman" w:hAnsi="Times New Roman" w:cs="Times New Roman"/>
            <w:noProof/>
          </w:rPr>
          <w:t>2</w:t>
        </w:r>
        <w:r w:rsidRPr="00C443D9">
          <w:rPr>
            <w:rFonts w:ascii="Times New Roman" w:hAnsi="Times New Roman" w:cs="Times New Roman"/>
            <w:noProof/>
          </w:rPr>
          <w:fldChar w:fldCharType="end"/>
        </w:r>
      </w:p>
    </w:sdtContent>
  </w:sdt>
  <w:p w14:paraId="15F3AC49" w14:textId="77777777" w:rsidR="000F72B9" w:rsidRPr="000F04FA" w:rsidRDefault="000F72B9" w:rsidP="00D8670B">
    <w:pPr>
      <w:pStyle w:val="FooterCouncil"/>
      <w:rPr>
        <w:noProof w:val="0"/>
        <w:lang w:val="en-US"/>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4390" w14:textId="77777777" w:rsidR="000F72B9" w:rsidRPr="000F04FA" w:rsidRDefault="000F72B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DD1BF" w14:textId="77777777" w:rsidR="000F72B9" w:rsidRPr="000F04FA" w:rsidRDefault="000F72B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473636"/>
      <w:docPartObj>
        <w:docPartGallery w:val="Page Numbers (Bottom of Page)"/>
        <w:docPartUnique/>
      </w:docPartObj>
    </w:sdtPr>
    <w:sdtEndPr>
      <w:rPr>
        <w:rFonts w:ascii="Times New Roman" w:hAnsi="Times New Roman" w:cs="Times New Roman"/>
        <w:noProof/>
      </w:rPr>
    </w:sdtEndPr>
    <w:sdtContent>
      <w:p w14:paraId="1688AC15" w14:textId="7B0C7274" w:rsidR="00C443D9" w:rsidRPr="00C443D9" w:rsidRDefault="00C443D9">
        <w:pPr>
          <w:pStyle w:val="Footer"/>
          <w:jc w:val="center"/>
          <w:rPr>
            <w:rFonts w:ascii="Times New Roman" w:hAnsi="Times New Roman" w:cs="Times New Roman"/>
          </w:rPr>
        </w:pPr>
        <w:r w:rsidRPr="00C443D9">
          <w:rPr>
            <w:rFonts w:ascii="Times New Roman" w:hAnsi="Times New Roman" w:cs="Times New Roman"/>
          </w:rPr>
          <w:fldChar w:fldCharType="begin"/>
        </w:r>
        <w:r w:rsidRPr="00C443D9">
          <w:rPr>
            <w:rFonts w:ascii="Times New Roman" w:hAnsi="Times New Roman" w:cs="Times New Roman"/>
          </w:rPr>
          <w:instrText xml:space="preserve"> PAGE   \* MERGEFORMAT </w:instrText>
        </w:r>
        <w:r w:rsidRPr="00C443D9">
          <w:rPr>
            <w:rFonts w:ascii="Times New Roman" w:hAnsi="Times New Roman" w:cs="Times New Roman"/>
          </w:rPr>
          <w:fldChar w:fldCharType="separate"/>
        </w:r>
        <w:r w:rsidRPr="00C443D9">
          <w:rPr>
            <w:rFonts w:ascii="Times New Roman" w:hAnsi="Times New Roman" w:cs="Times New Roman"/>
            <w:noProof/>
          </w:rPr>
          <w:t>2</w:t>
        </w:r>
        <w:r w:rsidRPr="00C443D9">
          <w:rPr>
            <w:rFonts w:ascii="Times New Roman" w:hAnsi="Times New Roman" w:cs="Times New Roman"/>
            <w:noProof/>
          </w:rPr>
          <w:fldChar w:fldCharType="end"/>
        </w:r>
      </w:p>
    </w:sdtContent>
  </w:sdt>
  <w:p w14:paraId="07BB40B9" w14:textId="77777777" w:rsidR="000F72B9" w:rsidRPr="000F04FA" w:rsidRDefault="000F72B9">
    <w:pPr>
      <w:pStyle w:val="FooterCouncil"/>
      <w:rPr>
        <w:noProof w:val="0"/>
        <w:lang w:val="en-US"/>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90466" w14:textId="77777777" w:rsidR="000F72B9" w:rsidRPr="000F04FA" w:rsidRDefault="000F72B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332288"/>
      <w:docPartObj>
        <w:docPartGallery w:val="Page Numbers (Bottom of Page)"/>
        <w:docPartUnique/>
      </w:docPartObj>
    </w:sdtPr>
    <w:sdtEndPr>
      <w:rPr>
        <w:rFonts w:ascii="Times New Roman" w:hAnsi="Times New Roman" w:cs="Times New Roman"/>
        <w:noProof/>
      </w:rPr>
    </w:sdtEndPr>
    <w:sdtContent>
      <w:p w14:paraId="4DF5C567" w14:textId="2AA4CB14" w:rsidR="00C443D9" w:rsidRPr="00C443D9" w:rsidRDefault="00C443D9">
        <w:pPr>
          <w:pStyle w:val="Footer"/>
          <w:jc w:val="center"/>
          <w:rPr>
            <w:rFonts w:ascii="Times New Roman" w:hAnsi="Times New Roman" w:cs="Times New Roman"/>
          </w:rPr>
        </w:pPr>
        <w:r w:rsidRPr="00C443D9">
          <w:rPr>
            <w:rFonts w:ascii="Times New Roman" w:hAnsi="Times New Roman" w:cs="Times New Roman"/>
          </w:rPr>
          <w:fldChar w:fldCharType="begin"/>
        </w:r>
        <w:r w:rsidRPr="00C443D9">
          <w:rPr>
            <w:rFonts w:ascii="Times New Roman" w:hAnsi="Times New Roman" w:cs="Times New Roman"/>
          </w:rPr>
          <w:instrText xml:space="preserve"> PAGE   \* MERGEFORMAT </w:instrText>
        </w:r>
        <w:r w:rsidRPr="00C443D9">
          <w:rPr>
            <w:rFonts w:ascii="Times New Roman" w:hAnsi="Times New Roman" w:cs="Times New Roman"/>
          </w:rPr>
          <w:fldChar w:fldCharType="separate"/>
        </w:r>
        <w:r w:rsidRPr="00C443D9">
          <w:rPr>
            <w:rFonts w:ascii="Times New Roman" w:hAnsi="Times New Roman" w:cs="Times New Roman"/>
            <w:noProof/>
          </w:rPr>
          <w:t>2</w:t>
        </w:r>
        <w:r w:rsidRPr="00C443D9">
          <w:rPr>
            <w:rFonts w:ascii="Times New Roman" w:hAnsi="Times New Roman" w:cs="Times New Roman"/>
            <w:noProof/>
          </w:rPr>
          <w:fldChar w:fldCharType="end"/>
        </w:r>
      </w:p>
    </w:sdtContent>
  </w:sdt>
  <w:p w14:paraId="42BE1BCF" w14:textId="77777777" w:rsidR="007A5D8D" w:rsidRPr="000F04FA" w:rsidRDefault="007A5D8D">
    <w:pPr>
      <w:pStyle w:val="FooterCouncil"/>
      <w:rPr>
        <w:noProof w:val="0"/>
        <w:lang w:val="en-US"/>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443774"/>
      <w:docPartObj>
        <w:docPartGallery w:val="Page Numbers (Bottom of Page)"/>
        <w:docPartUnique/>
      </w:docPartObj>
    </w:sdtPr>
    <w:sdtEndPr>
      <w:rPr>
        <w:rFonts w:ascii="Times New Roman" w:hAnsi="Times New Roman" w:cs="Times New Roman"/>
        <w:noProof/>
      </w:rPr>
    </w:sdtEndPr>
    <w:sdtContent>
      <w:p w14:paraId="011F1417" w14:textId="7184C4B8" w:rsidR="00C443D9" w:rsidRPr="00C443D9" w:rsidRDefault="00C443D9">
        <w:pPr>
          <w:pStyle w:val="Footer"/>
          <w:jc w:val="center"/>
          <w:rPr>
            <w:rFonts w:ascii="Times New Roman" w:hAnsi="Times New Roman" w:cs="Times New Roman"/>
          </w:rPr>
        </w:pPr>
        <w:r w:rsidRPr="00C443D9">
          <w:rPr>
            <w:rFonts w:ascii="Times New Roman" w:hAnsi="Times New Roman" w:cs="Times New Roman"/>
          </w:rPr>
          <w:fldChar w:fldCharType="begin"/>
        </w:r>
        <w:r w:rsidRPr="00C443D9">
          <w:rPr>
            <w:rFonts w:ascii="Times New Roman" w:hAnsi="Times New Roman" w:cs="Times New Roman"/>
          </w:rPr>
          <w:instrText xml:space="preserve"> PAGE   \* MERGEFORMAT </w:instrText>
        </w:r>
        <w:r w:rsidRPr="00C443D9">
          <w:rPr>
            <w:rFonts w:ascii="Times New Roman" w:hAnsi="Times New Roman" w:cs="Times New Roman"/>
          </w:rPr>
          <w:fldChar w:fldCharType="separate"/>
        </w:r>
        <w:r w:rsidRPr="00C443D9">
          <w:rPr>
            <w:rFonts w:ascii="Times New Roman" w:hAnsi="Times New Roman" w:cs="Times New Roman"/>
            <w:noProof/>
          </w:rPr>
          <w:t>2</w:t>
        </w:r>
        <w:r w:rsidRPr="00C443D9">
          <w:rPr>
            <w:rFonts w:ascii="Times New Roman" w:hAnsi="Times New Roman" w:cs="Times New Roman"/>
            <w:noProof/>
          </w:rPr>
          <w:fldChar w:fldCharType="end"/>
        </w:r>
      </w:p>
    </w:sdtContent>
  </w:sdt>
  <w:p w14:paraId="238E8A6A" w14:textId="77777777" w:rsidR="007A5D8D" w:rsidRPr="000F04FA" w:rsidRDefault="007A5D8D">
    <w:pPr>
      <w:pStyle w:val="FooterCouncil"/>
      <w:rPr>
        <w:noProof w:val="0"/>
        <w:lang w:val="en-US"/>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783339"/>
      <w:docPartObj>
        <w:docPartGallery w:val="Page Numbers (Bottom of Page)"/>
        <w:docPartUnique/>
      </w:docPartObj>
    </w:sdtPr>
    <w:sdtEndPr>
      <w:rPr>
        <w:rFonts w:ascii="Times New Roman" w:hAnsi="Times New Roman" w:cs="Times New Roman"/>
        <w:noProof/>
      </w:rPr>
    </w:sdtEndPr>
    <w:sdtContent>
      <w:p w14:paraId="3FAE1A84" w14:textId="25190D5F" w:rsidR="006D0F17" w:rsidRPr="006D0F17" w:rsidRDefault="006D0F17">
        <w:pPr>
          <w:pStyle w:val="Footer"/>
          <w:jc w:val="center"/>
          <w:rPr>
            <w:rFonts w:ascii="Times New Roman" w:hAnsi="Times New Roman" w:cs="Times New Roman"/>
          </w:rPr>
        </w:pPr>
        <w:r w:rsidRPr="006D0F17">
          <w:rPr>
            <w:rFonts w:ascii="Times New Roman" w:hAnsi="Times New Roman" w:cs="Times New Roman"/>
          </w:rPr>
          <w:fldChar w:fldCharType="begin"/>
        </w:r>
        <w:r w:rsidRPr="006D0F17">
          <w:rPr>
            <w:rFonts w:ascii="Times New Roman" w:hAnsi="Times New Roman" w:cs="Times New Roman"/>
          </w:rPr>
          <w:instrText xml:space="preserve"> PAGE   \* MERGEFORMAT </w:instrText>
        </w:r>
        <w:r w:rsidRPr="006D0F17">
          <w:rPr>
            <w:rFonts w:ascii="Times New Roman" w:hAnsi="Times New Roman" w:cs="Times New Roman"/>
          </w:rPr>
          <w:fldChar w:fldCharType="separate"/>
        </w:r>
        <w:r w:rsidRPr="006D0F17">
          <w:rPr>
            <w:rFonts w:ascii="Times New Roman" w:hAnsi="Times New Roman" w:cs="Times New Roman"/>
            <w:noProof/>
          </w:rPr>
          <w:t>2</w:t>
        </w:r>
        <w:r w:rsidRPr="006D0F17">
          <w:rPr>
            <w:rFonts w:ascii="Times New Roman" w:hAnsi="Times New Roman" w:cs="Times New Roman"/>
            <w:noProof/>
          </w:rPr>
          <w:fldChar w:fldCharType="end"/>
        </w:r>
      </w:p>
    </w:sdtContent>
  </w:sdt>
  <w:p w14:paraId="2CEDECF7" w14:textId="77777777" w:rsidR="000F72B9" w:rsidRPr="000F04FA" w:rsidRDefault="000F72B9" w:rsidP="00D8670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404822"/>
      <w:docPartObj>
        <w:docPartGallery w:val="Page Numbers (Bottom of Page)"/>
        <w:docPartUnique/>
      </w:docPartObj>
    </w:sdtPr>
    <w:sdtEndPr>
      <w:rPr>
        <w:rFonts w:ascii="Times New Roman" w:hAnsi="Times New Roman" w:cs="Times New Roman"/>
        <w:noProof/>
      </w:rPr>
    </w:sdtEndPr>
    <w:sdtContent>
      <w:p w14:paraId="38F156D8" w14:textId="1305AEB6" w:rsidR="006D0F17" w:rsidRPr="006D0F17" w:rsidRDefault="006D0F17">
        <w:pPr>
          <w:pStyle w:val="Footer"/>
          <w:jc w:val="center"/>
          <w:rPr>
            <w:rFonts w:ascii="Times New Roman" w:hAnsi="Times New Roman" w:cs="Times New Roman"/>
          </w:rPr>
        </w:pPr>
        <w:r w:rsidRPr="006D0F17">
          <w:rPr>
            <w:rFonts w:ascii="Times New Roman" w:hAnsi="Times New Roman" w:cs="Times New Roman"/>
          </w:rPr>
          <w:fldChar w:fldCharType="begin"/>
        </w:r>
        <w:r w:rsidRPr="006D0F17">
          <w:rPr>
            <w:rFonts w:ascii="Times New Roman" w:hAnsi="Times New Roman" w:cs="Times New Roman"/>
          </w:rPr>
          <w:instrText xml:space="preserve"> PAGE   \* MERGEFORMAT </w:instrText>
        </w:r>
        <w:r w:rsidRPr="006D0F17">
          <w:rPr>
            <w:rFonts w:ascii="Times New Roman" w:hAnsi="Times New Roman" w:cs="Times New Roman"/>
          </w:rPr>
          <w:fldChar w:fldCharType="separate"/>
        </w:r>
        <w:r w:rsidRPr="006D0F17">
          <w:rPr>
            <w:rFonts w:ascii="Times New Roman" w:hAnsi="Times New Roman" w:cs="Times New Roman"/>
            <w:noProof/>
          </w:rPr>
          <w:t>2</w:t>
        </w:r>
        <w:r w:rsidRPr="006D0F17">
          <w:rPr>
            <w:rFonts w:ascii="Times New Roman" w:hAnsi="Times New Roman" w:cs="Times New Roman"/>
            <w:noProof/>
          </w:rPr>
          <w:fldChar w:fldCharType="end"/>
        </w:r>
      </w:p>
    </w:sdtContent>
  </w:sdt>
  <w:p w14:paraId="3E055417" w14:textId="77777777" w:rsidR="000F72B9" w:rsidRPr="000F04FA" w:rsidRDefault="000F72B9" w:rsidP="00D8670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C3D0D" w14:textId="77777777" w:rsidR="00B3049F" w:rsidRPr="000F04FA" w:rsidRDefault="00B3049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632476"/>
      <w:docPartObj>
        <w:docPartGallery w:val="Page Numbers (Bottom of Page)"/>
        <w:docPartUnique/>
      </w:docPartObj>
    </w:sdtPr>
    <w:sdtEndPr>
      <w:rPr>
        <w:rFonts w:ascii="Times New Roman" w:hAnsi="Times New Roman" w:cs="Times New Roman"/>
        <w:noProof/>
      </w:rPr>
    </w:sdtEndPr>
    <w:sdtContent>
      <w:p w14:paraId="04A20EFF" w14:textId="2AF8022D" w:rsidR="00600EF8" w:rsidRPr="00600EF8" w:rsidRDefault="00600EF8">
        <w:pPr>
          <w:pStyle w:val="Footer"/>
          <w:jc w:val="center"/>
          <w:rPr>
            <w:rFonts w:ascii="Times New Roman" w:hAnsi="Times New Roman" w:cs="Times New Roman"/>
          </w:rPr>
        </w:pPr>
        <w:r w:rsidRPr="00600EF8">
          <w:rPr>
            <w:rFonts w:ascii="Times New Roman" w:hAnsi="Times New Roman" w:cs="Times New Roman"/>
          </w:rPr>
          <w:fldChar w:fldCharType="begin"/>
        </w:r>
        <w:r w:rsidRPr="00600EF8">
          <w:rPr>
            <w:rFonts w:ascii="Times New Roman" w:hAnsi="Times New Roman" w:cs="Times New Roman"/>
          </w:rPr>
          <w:instrText xml:space="preserve"> PAGE   \* MERGEFORMAT </w:instrText>
        </w:r>
        <w:r w:rsidRPr="00600EF8">
          <w:rPr>
            <w:rFonts w:ascii="Times New Roman" w:hAnsi="Times New Roman" w:cs="Times New Roman"/>
          </w:rPr>
          <w:fldChar w:fldCharType="separate"/>
        </w:r>
        <w:r w:rsidRPr="00600EF8">
          <w:rPr>
            <w:rFonts w:ascii="Times New Roman" w:hAnsi="Times New Roman" w:cs="Times New Roman"/>
            <w:noProof/>
          </w:rPr>
          <w:t>2</w:t>
        </w:r>
        <w:r w:rsidRPr="00600EF8">
          <w:rPr>
            <w:rFonts w:ascii="Times New Roman" w:hAnsi="Times New Roman" w:cs="Times New Roman"/>
            <w:noProof/>
          </w:rPr>
          <w:fldChar w:fldCharType="end"/>
        </w:r>
      </w:p>
    </w:sdtContent>
  </w:sdt>
  <w:p w14:paraId="20598636" w14:textId="77777777" w:rsidR="00B3049F" w:rsidRPr="000F04FA" w:rsidRDefault="00B3049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E9520" w14:textId="77777777" w:rsidR="00B3049F" w:rsidRPr="000F04FA" w:rsidRDefault="00B3049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7255157"/>
      <w:docPartObj>
        <w:docPartGallery w:val="Page Numbers (Bottom of Page)"/>
        <w:docPartUnique/>
      </w:docPartObj>
    </w:sdtPr>
    <w:sdtEndPr>
      <w:rPr>
        <w:rFonts w:ascii="Times New Roman" w:hAnsi="Times New Roman" w:cs="Times New Roman"/>
        <w:noProof/>
      </w:rPr>
    </w:sdtEndPr>
    <w:sdtContent>
      <w:p w14:paraId="6C637002" w14:textId="341CD604" w:rsidR="00600EF8" w:rsidRPr="00600EF8" w:rsidRDefault="00600EF8">
        <w:pPr>
          <w:pStyle w:val="Footer"/>
          <w:jc w:val="center"/>
          <w:rPr>
            <w:rFonts w:ascii="Times New Roman" w:hAnsi="Times New Roman" w:cs="Times New Roman"/>
          </w:rPr>
        </w:pPr>
        <w:r w:rsidRPr="00600EF8">
          <w:rPr>
            <w:rFonts w:ascii="Times New Roman" w:hAnsi="Times New Roman" w:cs="Times New Roman"/>
          </w:rPr>
          <w:fldChar w:fldCharType="begin"/>
        </w:r>
        <w:r w:rsidRPr="00600EF8">
          <w:rPr>
            <w:rFonts w:ascii="Times New Roman" w:hAnsi="Times New Roman" w:cs="Times New Roman"/>
          </w:rPr>
          <w:instrText xml:space="preserve"> PAGE   \* MERGEFORMAT </w:instrText>
        </w:r>
        <w:r w:rsidRPr="00600EF8">
          <w:rPr>
            <w:rFonts w:ascii="Times New Roman" w:hAnsi="Times New Roman" w:cs="Times New Roman"/>
          </w:rPr>
          <w:fldChar w:fldCharType="separate"/>
        </w:r>
        <w:r w:rsidRPr="00600EF8">
          <w:rPr>
            <w:rFonts w:ascii="Times New Roman" w:hAnsi="Times New Roman" w:cs="Times New Roman"/>
            <w:noProof/>
          </w:rPr>
          <w:t>2</w:t>
        </w:r>
        <w:r w:rsidRPr="00600EF8">
          <w:rPr>
            <w:rFonts w:ascii="Times New Roman" w:hAnsi="Times New Roman" w:cs="Times New Roman"/>
            <w:noProof/>
          </w:rPr>
          <w:fldChar w:fldCharType="end"/>
        </w:r>
      </w:p>
    </w:sdtContent>
  </w:sdt>
  <w:p w14:paraId="7D13E3E0" w14:textId="77777777" w:rsidR="007A5D8D" w:rsidRPr="000F04FA" w:rsidRDefault="007A5D8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433055"/>
      <w:docPartObj>
        <w:docPartGallery w:val="Page Numbers (Bottom of Page)"/>
        <w:docPartUnique/>
      </w:docPartObj>
    </w:sdtPr>
    <w:sdtEndPr>
      <w:rPr>
        <w:rFonts w:ascii="Times New Roman" w:hAnsi="Times New Roman" w:cs="Times New Roman"/>
        <w:noProof/>
      </w:rPr>
    </w:sdtEndPr>
    <w:sdtContent>
      <w:p w14:paraId="649687B4" w14:textId="739E3189" w:rsidR="00600EF8" w:rsidRPr="00600EF8" w:rsidRDefault="00600EF8">
        <w:pPr>
          <w:pStyle w:val="Footer"/>
          <w:jc w:val="center"/>
          <w:rPr>
            <w:rFonts w:ascii="Times New Roman" w:hAnsi="Times New Roman" w:cs="Times New Roman"/>
          </w:rPr>
        </w:pPr>
        <w:r w:rsidRPr="00600EF8">
          <w:rPr>
            <w:rFonts w:ascii="Times New Roman" w:hAnsi="Times New Roman" w:cs="Times New Roman"/>
          </w:rPr>
          <w:fldChar w:fldCharType="begin"/>
        </w:r>
        <w:r w:rsidRPr="00600EF8">
          <w:rPr>
            <w:rFonts w:ascii="Times New Roman" w:hAnsi="Times New Roman" w:cs="Times New Roman"/>
          </w:rPr>
          <w:instrText xml:space="preserve"> PAGE   \* MERGEFORMAT </w:instrText>
        </w:r>
        <w:r w:rsidRPr="00600EF8">
          <w:rPr>
            <w:rFonts w:ascii="Times New Roman" w:hAnsi="Times New Roman" w:cs="Times New Roman"/>
          </w:rPr>
          <w:fldChar w:fldCharType="separate"/>
        </w:r>
        <w:r w:rsidRPr="00600EF8">
          <w:rPr>
            <w:rFonts w:ascii="Times New Roman" w:hAnsi="Times New Roman" w:cs="Times New Roman"/>
            <w:noProof/>
          </w:rPr>
          <w:t>2</w:t>
        </w:r>
        <w:r w:rsidRPr="00600EF8">
          <w:rPr>
            <w:rFonts w:ascii="Times New Roman" w:hAnsi="Times New Roman" w:cs="Times New Roman"/>
            <w:noProof/>
          </w:rPr>
          <w:fldChar w:fldCharType="end"/>
        </w:r>
      </w:p>
    </w:sdtContent>
  </w:sdt>
  <w:p w14:paraId="4EF59540" w14:textId="77777777" w:rsidR="007A5D8D" w:rsidRPr="000F04FA" w:rsidRDefault="007A5D8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68399436"/>
      <w:docPartObj>
        <w:docPartGallery w:val="Page Numbers (Bottom of Page)"/>
        <w:docPartUnique/>
      </w:docPartObj>
    </w:sdtPr>
    <w:sdtEndPr>
      <w:rPr>
        <w:noProof/>
      </w:rPr>
    </w:sdtEndPr>
    <w:sdtContent>
      <w:p w14:paraId="45821A0F" w14:textId="5B26BBD3" w:rsidR="00600EF8" w:rsidRPr="00600EF8" w:rsidRDefault="00600EF8">
        <w:pPr>
          <w:pStyle w:val="Footer"/>
          <w:jc w:val="center"/>
          <w:rPr>
            <w:rFonts w:ascii="Times New Roman" w:hAnsi="Times New Roman" w:cs="Times New Roman"/>
          </w:rPr>
        </w:pPr>
        <w:r w:rsidRPr="00600EF8">
          <w:rPr>
            <w:rFonts w:ascii="Times New Roman" w:hAnsi="Times New Roman" w:cs="Times New Roman"/>
          </w:rPr>
          <w:fldChar w:fldCharType="begin"/>
        </w:r>
        <w:r w:rsidRPr="00600EF8">
          <w:rPr>
            <w:rFonts w:ascii="Times New Roman" w:hAnsi="Times New Roman" w:cs="Times New Roman"/>
          </w:rPr>
          <w:instrText xml:space="preserve"> PAGE   \* MERGEFORMAT </w:instrText>
        </w:r>
        <w:r w:rsidRPr="00600EF8">
          <w:rPr>
            <w:rFonts w:ascii="Times New Roman" w:hAnsi="Times New Roman" w:cs="Times New Roman"/>
          </w:rPr>
          <w:fldChar w:fldCharType="separate"/>
        </w:r>
        <w:r w:rsidRPr="00600EF8">
          <w:rPr>
            <w:rFonts w:ascii="Times New Roman" w:hAnsi="Times New Roman" w:cs="Times New Roman"/>
            <w:noProof/>
          </w:rPr>
          <w:t>2</w:t>
        </w:r>
        <w:r w:rsidRPr="00600EF8">
          <w:rPr>
            <w:rFonts w:ascii="Times New Roman" w:hAnsi="Times New Roman" w:cs="Times New Roman"/>
            <w:noProof/>
          </w:rPr>
          <w:fldChar w:fldCharType="end"/>
        </w:r>
      </w:p>
    </w:sdtContent>
  </w:sdt>
  <w:p w14:paraId="6FF211E6" w14:textId="77777777" w:rsidR="007A5D8D" w:rsidRPr="000F04FA" w:rsidRDefault="007A5D8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8786"/>
      <w:docPartObj>
        <w:docPartGallery w:val="Page Numbers (Bottom of Page)"/>
        <w:docPartUnique/>
      </w:docPartObj>
    </w:sdtPr>
    <w:sdtEndPr>
      <w:rPr>
        <w:rFonts w:ascii="Times New Roman" w:hAnsi="Times New Roman" w:cs="Times New Roman"/>
        <w:noProof/>
      </w:rPr>
    </w:sdtEndPr>
    <w:sdtContent>
      <w:p w14:paraId="382F4215" w14:textId="28C315DC" w:rsidR="001A21F9" w:rsidRPr="001A21F9" w:rsidRDefault="001A21F9">
        <w:pPr>
          <w:pStyle w:val="Footer"/>
          <w:jc w:val="center"/>
          <w:rPr>
            <w:rFonts w:ascii="Times New Roman" w:hAnsi="Times New Roman" w:cs="Times New Roman"/>
          </w:rPr>
        </w:pPr>
        <w:r w:rsidRPr="001A21F9">
          <w:rPr>
            <w:rFonts w:ascii="Times New Roman" w:hAnsi="Times New Roman" w:cs="Times New Roman"/>
          </w:rPr>
          <w:fldChar w:fldCharType="begin"/>
        </w:r>
        <w:r w:rsidRPr="001A21F9">
          <w:rPr>
            <w:rFonts w:ascii="Times New Roman" w:hAnsi="Times New Roman" w:cs="Times New Roman"/>
          </w:rPr>
          <w:instrText xml:space="preserve"> PAGE   \* MERGEFORMAT </w:instrText>
        </w:r>
        <w:r w:rsidRPr="001A21F9">
          <w:rPr>
            <w:rFonts w:ascii="Times New Roman" w:hAnsi="Times New Roman" w:cs="Times New Roman"/>
          </w:rPr>
          <w:fldChar w:fldCharType="separate"/>
        </w:r>
        <w:r w:rsidRPr="001A21F9">
          <w:rPr>
            <w:rFonts w:ascii="Times New Roman" w:hAnsi="Times New Roman" w:cs="Times New Roman"/>
            <w:noProof/>
          </w:rPr>
          <w:t>2</w:t>
        </w:r>
        <w:r w:rsidRPr="001A21F9">
          <w:rPr>
            <w:rFonts w:ascii="Times New Roman" w:hAnsi="Times New Roman" w:cs="Times New Roman"/>
            <w:noProof/>
          </w:rPr>
          <w:fldChar w:fldCharType="end"/>
        </w:r>
      </w:p>
    </w:sdtContent>
  </w:sdt>
  <w:p w14:paraId="2109CC36" w14:textId="77777777" w:rsidR="007A5D8D" w:rsidRPr="000F04FA" w:rsidRDefault="007A5D8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3933817"/>
      <w:docPartObj>
        <w:docPartGallery w:val="Page Numbers (Bottom of Page)"/>
        <w:docPartUnique/>
      </w:docPartObj>
    </w:sdtPr>
    <w:sdtEndPr>
      <w:rPr>
        <w:rFonts w:ascii="Times New Roman" w:hAnsi="Times New Roman" w:cs="Times New Roman"/>
        <w:noProof/>
      </w:rPr>
    </w:sdtEndPr>
    <w:sdtContent>
      <w:p w14:paraId="52A6225A" w14:textId="10470F17" w:rsidR="00A04476" w:rsidRPr="00A04476" w:rsidRDefault="00A04476">
        <w:pPr>
          <w:pStyle w:val="Footer"/>
          <w:jc w:val="center"/>
          <w:rPr>
            <w:rFonts w:ascii="Times New Roman" w:hAnsi="Times New Roman" w:cs="Times New Roman"/>
          </w:rPr>
        </w:pPr>
        <w:r w:rsidRPr="00A04476">
          <w:rPr>
            <w:rFonts w:ascii="Times New Roman" w:hAnsi="Times New Roman" w:cs="Times New Roman"/>
          </w:rPr>
          <w:fldChar w:fldCharType="begin"/>
        </w:r>
        <w:r w:rsidRPr="00A04476">
          <w:rPr>
            <w:rFonts w:ascii="Times New Roman" w:hAnsi="Times New Roman" w:cs="Times New Roman"/>
          </w:rPr>
          <w:instrText xml:space="preserve"> PAGE   \* MERGEFORMAT </w:instrText>
        </w:r>
        <w:r w:rsidRPr="00A04476">
          <w:rPr>
            <w:rFonts w:ascii="Times New Roman" w:hAnsi="Times New Roman" w:cs="Times New Roman"/>
          </w:rPr>
          <w:fldChar w:fldCharType="separate"/>
        </w:r>
        <w:r w:rsidRPr="00A04476">
          <w:rPr>
            <w:rFonts w:ascii="Times New Roman" w:hAnsi="Times New Roman" w:cs="Times New Roman"/>
            <w:noProof/>
          </w:rPr>
          <w:t>2</w:t>
        </w:r>
        <w:r w:rsidRPr="00A04476">
          <w:rPr>
            <w:rFonts w:ascii="Times New Roman" w:hAnsi="Times New Roman" w:cs="Times New Roman"/>
            <w:noProof/>
          </w:rPr>
          <w:fldChar w:fldCharType="end"/>
        </w:r>
      </w:p>
    </w:sdtContent>
  </w:sdt>
  <w:p w14:paraId="224A2E59" w14:textId="77777777" w:rsidR="007A5D8D" w:rsidRPr="000F04FA" w:rsidRDefault="007A5D8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25034135"/>
      <w:docPartObj>
        <w:docPartGallery w:val="Page Numbers (Bottom of Page)"/>
        <w:docPartUnique/>
      </w:docPartObj>
    </w:sdtPr>
    <w:sdtEndPr>
      <w:rPr>
        <w:noProof/>
      </w:rPr>
    </w:sdtEndPr>
    <w:sdtContent>
      <w:p w14:paraId="4ED6062D" w14:textId="7A5238AB" w:rsidR="00A04476" w:rsidRPr="00A04476" w:rsidRDefault="00A04476">
        <w:pPr>
          <w:pStyle w:val="Footer"/>
          <w:jc w:val="center"/>
          <w:rPr>
            <w:rFonts w:ascii="Times New Roman" w:hAnsi="Times New Roman" w:cs="Times New Roman"/>
          </w:rPr>
        </w:pPr>
        <w:r w:rsidRPr="00A04476">
          <w:rPr>
            <w:rFonts w:ascii="Times New Roman" w:hAnsi="Times New Roman" w:cs="Times New Roman"/>
          </w:rPr>
          <w:fldChar w:fldCharType="begin"/>
        </w:r>
        <w:r w:rsidRPr="00A04476">
          <w:rPr>
            <w:rFonts w:ascii="Times New Roman" w:hAnsi="Times New Roman" w:cs="Times New Roman"/>
          </w:rPr>
          <w:instrText xml:space="preserve"> PAGE   \* MERGEFORMAT </w:instrText>
        </w:r>
        <w:r w:rsidRPr="00A04476">
          <w:rPr>
            <w:rFonts w:ascii="Times New Roman" w:hAnsi="Times New Roman" w:cs="Times New Roman"/>
          </w:rPr>
          <w:fldChar w:fldCharType="separate"/>
        </w:r>
        <w:r w:rsidRPr="00A04476">
          <w:rPr>
            <w:rFonts w:ascii="Times New Roman" w:hAnsi="Times New Roman" w:cs="Times New Roman"/>
            <w:noProof/>
          </w:rPr>
          <w:t>2</w:t>
        </w:r>
        <w:r w:rsidRPr="00A04476">
          <w:rPr>
            <w:rFonts w:ascii="Times New Roman" w:hAnsi="Times New Roman" w:cs="Times New Roman"/>
            <w:noProof/>
          </w:rPr>
          <w:fldChar w:fldCharType="end"/>
        </w:r>
      </w:p>
    </w:sdtContent>
  </w:sdt>
  <w:p w14:paraId="08F4CA9D" w14:textId="77777777" w:rsidR="007A5D8D" w:rsidRPr="000F04FA" w:rsidRDefault="007A5D8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19700892"/>
      <w:docPartObj>
        <w:docPartGallery w:val="Page Numbers (Bottom of Page)"/>
        <w:docPartUnique/>
      </w:docPartObj>
    </w:sdtPr>
    <w:sdtEndPr>
      <w:rPr>
        <w:noProof/>
      </w:rPr>
    </w:sdtEndPr>
    <w:sdtContent>
      <w:p w14:paraId="6CC7E186" w14:textId="057D4EB0" w:rsidR="00A04476" w:rsidRPr="00A04476" w:rsidRDefault="00A04476">
        <w:pPr>
          <w:pStyle w:val="Footer"/>
          <w:jc w:val="center"/>
          <w:rPr>
            <w:rFonts w:ascii="Times New Roman" w:hAnsi="Times New Roman" w:cs="Times New Roman"/>
          </w:rPr>
        </w:pPr>
        <w:r w:rsidRPr="00A04476">
          <w:rPr>
            <w:rFonts w:ascii="Times New Roman" w:hAnsi="Times New Roman" w:cs="Times New Roman"/>
          </w:rPr>
          <w:fldChar w:fldCharType="begin"/>
        </w:r>
        <w:r w:rsidRPr="00A04476">
          <w:rPr>
            <w:rFonts w:ascii="Times New Roman" w:hAnsi="Times New Roman" w:cs="Times New Roman"/>
          </w:rPr>
          <w:instrText xml:space="preserve"> PAGE   \* MERGEFORMAT </w:instrText>
        </w:r>
        <w:r w:rsidRPr="00A04476">
          <w:rPr>
            <w:rFonts w:ascii="Times New Roman" w:hAnsi="Times New Roman" w:cs="Times New Roman"/>
          </w:rPr>
          <w:fldChar w:fldCharType="separate"/>
        </w:r>
        <w:r w:rsidRPr="00A04476">
          <w:rPr>
            <w:rFonts w:ascii="Times New Roman" w:hAnsi="Times New Roman" w:cs="Times New Roman"/>
            <w:noProof/>
          </w:rPr>
          <w:t>2</w:t>
        </w:r>
        <w:r w:rsidRPr="00A04476">
          <w:rPr>
            <w:rFonts w:ascii="Times New Roman" w:hAnsi="Times New Roman" w:cs="Times New Roman"/>
            <w:noProof/>
          </w:rPr>
          <w:fldChar w:fldCharType="end"/>
        </w:r>
      </w:p>
    </w:sdtContent>
  </w:sdt>
  <w:p w14:paraId="5102DFE9" w14:textId="77777777" w:rsidR="007A5D8D" w:rsidRPr="000F04FA" w:rsidRDefault="007A5D8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7806423"/>
      <w:docPartObj>
        <w:docPartGallery w:val="Page Numbers (Bottom of Page)"/>
        <w:docPartUnique/>
      </w:docPartObj>
    </w:sdtPr>
    <w:sdtEndPr>
      <w:rPr>
        <w:noProof/>
      </w:rPr>
    </w:sdtEndPr>
    <w:sdtContent>
      <w:p w14:paraId="6A017AA2" w14:textId="7123B1E5" w:rsidR="00A04476" w:rsidRPr="00A04476" w:rsidRDefault="00A04476">
        <w:pPr>
          <w:pStyle w:val="Footer"/>
          <w:jc w:val="center"/>
          <w:rPr>
            <w:rFonts w:ascii="Times New Roman" w:hAnsi="Times New Roman" w:cs="Times New Roman"/>
          </w:rPr>
        </w:pPr>
        <w:r w:rsidRPr="00A04476">
          <w:rPr>
            <w:rFonts w:ascii="Times New Roman" w:hAnsi="Times New Roman" w:cs="Times New Roman"/>
          </w:rPr>
          <w:fldChar w:fldCharType="begin"/>
        </w:r>
        <w:r w:rsidRPr="00A04476">
          <w:rPr>
            <w:rFonts w:ascii="Times New Roman" w:hAnsi="Times New Roman" w:cs="Times New Roman"/>
          </w:rPr>
          <w:instrText xml:space="preserve"> PAGE   \* MERGEFORMAT </w:instrText>
        </w:r>
        <w:r w:rsidRPr="00A04476">
          <w:rPr>
            <w:rFonts w:ascii="Times New Roman" w:hAnsi="Times New Roman" w:cs="Times New Roman"/>
          </w:rPr>
          <w:fldChar w:fldCharType="separate"/>
        </w:r>
        <w:r w:rsidRPr="00A04476">
          <w:rPr>
            <w:rFonts w:ascii="Times New Roman" w:hAnsi="Times New Roman" w:cs="Times New Roman"/>
            <w:noProof/>
          </w:rPr>
          <w:t>2</w:t>
        </w:r>
        <w:r w:rsidRPr="00A04476">
          <w:rPr>
            <w:rFonts w:ascii="Times New Roman" w:hAnsi="Times New Roman" w:cs="Times New Roman"/>
            <w:noProof/>
          </w:rPr>
          <w:fldChar w:fldCharType="end"/>
        </w:r>
      </w:p>
    </w:sdtContent>
  </w:sdt>
  <w:p w14:paraId="037E0122" w14:textId="77777777" w:rsidR="007A5D8D" w:rsidRPr="000F04FA" w:rsidRDefault="007A5D8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812924"/>
      <w:docPartObj>
        <w:docPartGallery w:val="Page Numbers (Bottom of Page)"/>
        <w:docPartUnique/>
      </w:docPartObj>
    </w:sdtPr>
    <w:sdtEndPr>
      <w:rPr>
        <w:rFonts w:ascii="Times New Roman" w:hAnsi="Times New Roman" w:cs="Times New Roman"/>
        <w:noProof/>
      </w:rPr>
    </w:sdtEndPr>
    <w:sdtContent>
      <w:p w14:paraId="2857E430" w14:textId="71FE6BD8" w:rsidR="00A04476" w:rsidRPr="00A04476" w:rsidRDefault="00A04476">
        <w:pPr>
          <w:pStyle w:val="Footer"/>
          <w:jc w:val="center"/>
          <w:rPr>
            <w:rFonts w:ascii="Times New Roman" w:hAnsi="Times New Roman" w:cs="Times New Roman"/>
          </w:rPr>
        </w:pPr>
        <w:r w:rsidRPr="00A04476">
          <w:rPr>
            <w:rFonts w:ascii="Times New Roman" w:hAnsi="Times New Roman" w:cs="Times New Roman"/>
          </w:rPr>
          <w:fldChar w:fldCharType="begin"/>
        </w:r>
        <w:r w:rsidRPr="00A04476">
          <w:rPr>
            <w:rFonts w:ascii="Times New Roman" w:hAnsi="Times New Roman" w:cs="Times New Roman"/>
          </w:rPr>
          <w:instrText xml:space="preserve"> PAGE   \* MERGEFORMAT </w:instrText>
        </w:r>
        <w:r w:rsidRPr="00A04476">
          <w:rPr>
            <w:rFonts w:ascii="Times New Roman" w:hAnsi="Times New Roman" w:cs="Times New Roman"/>
          </w:rPr>
          <w:fldChar w:fldCharType="separate"/>
        </w:r>
        <w:r w:rsidRPr="00A04476">
          <w:rPr>
            <w:rFonts w:ascii="Times New Roman" w:hAnsi="Times New Roman" w:cs="Times New Roman"/>
            <w:noProof/>
          </w:rPr>
          <w:t>2</w:t>
        </w:r>
        <w:r w:rsidRPr="00A04476">
          <w:rPr>
            <w:rFonts w:ascii="Times New Roman" w:hAnsi="Times New Roman" w:cs="Times New Roman"/>
            <w:noProof/>
          </w:rPr>
          <w:fldChar w:fldCharType="end"/>
        </w:r>
      </w:p>
    </w:sdtContent>
  </w:sdt>
  <w:p w14:paraId="1843AC1A" w14:textId="77777777" w:rsidR="007A5D8D" w:rsidRPr="000F04FA" w:rsidRDefault="007A5D8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880794"/>
      <w:docPartObj>
        <w:docPartGallery w:val="Page Numbers (Bottom of Page)"/>
        <w:docPartUnique/>
      </w:docPartObj>
    </w:sdtPr>
    <w:sdtEndPr>
      <w:rPr>
        <w:rFonts w:ascii="Times New Roman" w:hAnsi="Times New Roman" w:cs="Times New Roman"/>
        <w:noProof/>
      </w:rPr>
    </w:sdtEndPr>
    <w:sdtContent>
      <w:p w14:paraId="1EC4940F" w14:textId="0580EDAC" w:rsidR="00A04476" w:rsidRPr="00A04476" w:rsidRDefault="00A04476">
        <w:pPr>
          <w:pStyle w:val="Footer"/>
          <w:jc w:val="center"/>
          <w:rPr>
            <w:rFonts w:ascii="Times New Roman" w:hAnsi="Times New Roman" w:cs="Times New Roman"/>
          </w:rPr>
        </w:pPr>
        <w:r w:rsidRPr="00A04476">
          <w:rPr>
            <w:rFonts w:ascii="Times New Roman" w:hAnsi="Times New Roman" w:cs="Times New Roman"/>
          </w:rPr>
          <w:fldChar w:fldCharType="begin"/>
        </w:r>
        <w:r w:rsidRPr="00A04476">
          <w:rPr>
            <w:rFonts w:ascii="Times New Roman" w:hAnsi="Times New Roman" w:cs="Times New Roman"/>
          </w:rPr>
          <w:instrText xml:space="preserve"> PAGE   \* MERGEFORMAT </w:instrText>
        </w:r>
        <w:r w:rsidRPr="00A04476">
          <w:rPr>
            <w:rFonts w:ascii="Times New Roman" w:hAnsi="Times New Roman" w:cs="Times New Roman"/>
          </w:rPr>
          <w:fldChar w:fldCharType="separate"/>
        </w:r>
        <w:r w:rsidRPr="00A04476">
          <w:rPr>
            <w:rFonts w:ascii="Times New Roman" w:hAnsi="Times New Roman" w:cs="Times New Roman"/>
            <w:noProof/>
          </w:rPr>
          <w:t>2</w:t>
        </w:r>
        <w:r w:rsidRPr="00A04476">
          <w:rPr>
            <w:rFonts w:ascii="Times New Roman" w:hAnsi="Times New Roman" w:cs="Times New Roman"/>
            <w:noProof/>
          </w:rPr>
          <w:fldChar w:fldCharType="end"/>
        </w:r>
      </w:p>
    </w:sdtContent>
  </w:sdt>
  <w:p w14:paraId="35EAB494" w14:textId="77777777" w:rsidR="007A5D8D" w:rsidRPr="000F04FA" w:rsidRDefault="007A5D8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A554F" w14:textId="77777777" w:rsidR="00B3049F" w:rsidRPr="000F04FA" w:rsidRDefault="00B3049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8578856"/>
      <w:docPartObj>
        <w:docPartGallery w:val="Page Numbers (Bottom of Page)"/>
        <w:docPartUnique/>
      </w:docPartObj>
    </w:sdtPr>
    <w:sdtEndPr>
      <w:rPr>
        <w:rFonts w:ascii="Times New Roman" w:hAnsi="Times New Roman" w:cs="Times New Roman"/>
      </w:rPr>
    </w:sdtEndPr>
    <w:sdtContent>
      <w:p w14:paraId="48169B9F" w14:textId="77777777" w:rsidR="00B3049F" w:rsidRPr="007A2DC8" w:rsidRDefault="00B3049F">
        <w:pPr>
          <w:pStyle w:val="Footer"/>
          <w:jc w:val="center"/>
          <w:rPr>
            <w:rFonts w:ascii="Times New Roman" w:hAnsi="Times New Roman" w:cs="Times New Roman"/>
          </w:rPr>
        </w:pPr>
        <w:r w:rsidRPr="007A2DC8">
          <w:rPr>
            <w:rFonts w:ascii="Times New Roman" w:hAnsi="Times New Roman" w:cs="Times New Roman"/>
          </w:rPr>
          <w:fldChar w:fldCharType="begin"/>
        </w:r>
        <w:r w:rsidRPr="007A2DC8">
          <w:rPr>
            <w:rFonts w:ascii="Times New Roman" w:hAnsi="Times New Roman" w:cs="Times New Roman"/>
          </w:rPr>
          <w:instrText xml:space="preserve"> PAGE   \* MERGEFORMAT </w:instrText>
        </w:r>
        <w:r w:rsidRPr="007A2DC8">
          <w:rPr>
            <w:rFonts w:ascii="Times New Roman" w:hAnsi="Times New Roman" w:cs="Times New Roman"/>
          </w:rPr>
          <w:fldChar w:fldCharType="separate"/>
        </w:r>
        <w:r w:rsidRPr="007A2DC8">
          <w:rPr>
            <w:rFonts w:ascii="Times New Roman" w:hAnsi="Times New Roman" w:cs="Times New Roman"/>
          </w:rPr>
          <w:t>2</w:t>
        </w:r>
        <w:r w:rsidRPr="007A2DC8">
          <w:rPr>
            <w:rFonts w:ascii="Times New Roman" w:hAnsi="Times New Roman" w:cs="Times New Roman"/>
          </w:rP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06DA1" w14:textId="77777777" w:rsidR="00B3049F" w:rsidRPr="000F04FA" w:rsidRDefault="00B3049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911324"/>
      <w:docPartObj>
        <w:docPartGallery w:val="Page Numbers (Bottom of Page)"/>
        <w:docPartUnique/>
      </w:docPartObj>
    </w:sdtPr>
    <w:sdtEndPr>
      <w:rPr>
        <w:rFonts w:ascii="Times New Roman" w:hAnsi="Times New Roman" w:cs="Times New Roman"/>
        <w:noProof/>
      </w:rPr>
    </w:sdtEndPr>
    <w:sdtContent>
      <w:p w14:paraId="4DB0D132" w14:textId="77F37CC0" w:rsidR="007A5D8D" w:rsidRPr="007A2DC8" w:rsidRDefault="007A2DC8" w:rsidP="007A2DC8">
        <w:pPr>
          <w:pStyle w:val="Footer"/>
          <w:jc w:val="center"/>
          <w:rPr>
            <w:rFonts w:ascii="Times New Roman" w:hAnsi="Times New Roman" w:cs="Times New Roman"/>
          </w:rPr>
        </w:pPr>
        <w:r w:rsidRPr="007A2DC8">
          <w:rPr>
            <w:rFonts w:ascii="Times New Roman" w:hAnsi="Times New Roman" w:cs="Times New Roman"/>
          </w:rPr>
          <w:fldChar w:fldCharType="begin"/>
        </w:r>
        <w:r w:rsidRPr="007A2DC8">
          <w:rPr>
            <w:rFonts w:ascii="Times New Roman" w:hAnsi="Times New Roman" w:cs="Times New Roman"/>
          </w:rPr>
          <w:instrText xml:space="preserve"> PAGE   \* MERGEFORMAT </w:instrText>
        </w:r>
        <w:r w:rsidRPr="007A2DC8">
          <w:rPr>
            <w:rFonts w:ascii="Times New Roman" w:hAnsi="Times New Roman" w:cs="Times New Roman"/>
          </w:rPr>
          <w:fldChar w:fldCharType="separate"/>
        </w:r>
        <w:r w:rsidRPr="007A2DC8">
          <w:rPr>
            <w:rFonts w:ascii="Times New Roman" w:hAnsi="Times New Roman" w:cs="Times New Roman"/>
            <w:noProof/>
          </w:rPr>
          <w:t>2</w:t>
        </w:r>
        <w:r w:rsidRPr="007A2DC8">
          <w:rPr>
            <w:rFonts w:ascii="Times New Roman" w:hAnsi="Times New Roman" w:cs="Times New Roman"/>
            <w:noProof/>
          </w:rPr>
          <w:fldChar w:fldCharType="end"/>
        </w:r>
      </w:p>
    </w:sdtContent>
  </w:sdt>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931789"/>
      <w:docPartObj>
        <w:docPartGallery w:val="Page Numbers (Bottom of Page)"/>
        <w:docPartUnique/>
      </w:docPartObj>
    </w:sdtPr>
    <w:sdtEndPr>
      <w:rPr>
        <w:rFonts w:ascii="Times New Roman" w:hAnsi="Times New Roman" w:cs="Times New Roman"/>
      </w:rPr>
    </w:sdtEndPr>
    <w:sdtContent>
      <w:p w14:paraId="293EF080" w14:textId="77777777" w:rsidR="007A5D8D" w:rsidRPr="007A2DC8" w:rsidRDefault="007A5D8D">
        <w:pPr>
          <w:pStyle w:val="Footer"/>
          <w:jc w:val="center"/>
          <w:rPr>
            <w:rFonts w:ascii="Times New Roman" w:hAnsi="Times New Roman" w:cs="Times New Roman"/>
          </w:rPr>
        </w:pPr>
        <w:r w:rsidRPr="007A2DC8">
          <w:rPr>
            <w:rFonts w:ascii="Times New Roman" w:hAnsi="Times New Roman" w:cs="Times New Roman"/>
          </w:rPr>
          <w:fldChar w:fldCharType="begin"/>
        </w:r>
        <w:r w:rsidRPr="007A2DC8">
          <w:rPr>
            <w:rFonts w:ascii="Times New Roman" w:hAnsi="Times New Roman" w:cs="Times New Roman"/>
          </w:rPr>
          <w:instrText xml:space="preserve"> PAGE   \* MERGEFORMAT </w:instrText>
        </w:r>
        <w:r w:rsidRPr="007A2DC8">
          <w:rPr>
            <w:rFonts w:ascii="Times New Roman" w:hAnsi="Times New Roman" w:cs="Times New Roman"/>
          </w:rPr>
          <w:fldChar w:fldCharType="separate"/>
        </w:r>
        <w:r w:rsidRPr="007A2DC8">
          <w:rPr>
            <w:rFonts w:ascii="Times New Roman" w:hAnsi="Times New Roman" w:cs="Times New Roman"/>
          </w:rPr>
          <w:t>2</w:t>
        </w:r>
        <w:r w:rsidRPr="007A2DC8">
          <w:rPr>
            <w:rFonts w:ascii="Times New Roman" w:hAnsi="Times New Roman" w:cs="Times New Roman"/>
          </w:rP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3CDF5" w14:textId="77777777" w:rsidR="003734A7" w:rsidRPr="000F04FA" w:rsidRDefault="003734A7" w:rsidP="00D8670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262884"/>
      <w:docPartObj>
        <w:docPartGallery w:val="Page Numbers (Bottom of Page)"/>
        <w:docPartUnique/>
      </w:docPartObj>
    </w:sdtPr>
    <w:sdtEndPr/>
    <w:sdtContent>
      <w:p w14:paraId="19D850EF" w14:textId="77777777" w:rsidR="003734A7" w:rsidRPr="000F04FA" w:rsidRDefault="003734A7">
        <w:pPr>
          <w:pStyle w:val="Footer"/>
          <w:jc w:val="center"/>
        </w:pPr>
        <w:r w:rsidRPr="007A2DC8">
          <w:rPr>
            <w:rFonts w:ascii="Times New Roman" w:hAnsi="Times New Roman" w:cs="Times New Roman"/>
          </w:rPr>
          <w:fldChar w:fldCharType="begin"/>
        </w:r>
        <w:r w:rsidRPr="007A2DC8">
          <w:rPr>
            <w:rFonts w:ascii="Times New Roman" w:hAnsi="Times New Roman" w:cs="Times New Roman"/>
          </w:rPr>
          <w:instrText xml:space="preserve"> PAGE   \* MERGEFORMAT </w:instrText>
        </w:r>
        <w:r w:rsidRPr="007A2DC8">
          <w:rPr>
            <w:rFonts w:ascii="Times New Roman" w:hAnsi="Times New Roman" w:cs="Times New Roman"/>
          </w:rPr>
          <w:fldChar w:fldCharType="separate"/>
        </w:r>
        <w:r w:rsidRPr="007A2DC8">
          <w:rPr>
            <w:rFonts w:ascii="Times New Roman" w:hAnsi="Times New Roman" w:cs="Times New Roman"/>
          </w:rPr>
          <w:t>2</w:t>
        </w:r>
        <w:r w:rsidRPr="007A2DC8">
          <w:rPr>
            <w:rFonts w:ascii="Times New Roman" w:hAnsi="Times New Roman" w:cs="Times New Roman"/>
          </w:rPr>
          <w:fldChar w:fldCharType="end"/>
        </w:r>
      </w:p>
    </w:sdtContent>
  </w:sdt>
  <w:p w14:paraId="1AA590DB" w14:textId="77777777" w:rsidR="003734A7" w:rsidRPr="000F04FA" w:rsidRDefault="003734A7" w:rsidP="00D8670B">
    <w:pPr>
      <w:pStyle w:val="FooterCouncil"/>
      <w:rPr>
        <w:noProof w:val="0"/>
        <w:lang w:val="en-US"/>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6A997" w14:textId="77777777" w:rsidR="003734A7" w:rsidRPr="000F04FA" w:rsidRDefault="003734A7" w:rsidP="00D8670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67A0B" w14:textId="77777777" w:rsidR="003734A7" w:rsidRPr="000F04FA" w:rsidRDefault="003734A7" w:rsidP="00D8670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0587770"/>
      <w:docPartObj>
        <w:docPartGallery w:val="Page Numbers (Bottom of Page)"/>
        <w:docPartUnique/>
      </w:docPartObj>
    </w:sdtPr>
    <w:sdtEndPr/>
    <w:sdtContent>
      <w:p w14:paraId="2A6AD8B1" w14:textId="77777777" w:rsidR="003734A7" w:rsidRPr="000F04FA" w:rsidRDefault="003734A7">
        <w:pPr>
          <w:pStyle w:val="Footer"/>
          <w:jc w:val="center"/>
        </w:pPr>
        <w:r w:rsidRPr="007A2DC8">
          <w:rPr>
            <w:rFonts w:ascii="Times New Roman" w:hAnsi="Times New Roman" w:cs="Times New Roman"/>
          </w:rPr>
          <w:fldChar w:fldCharType="begin"/>
        </w:r>
        <w:r w:rsidRPr="007A2DC8">
          <w:rPr>
            <w:rFonts w:ascii="Times New Roman" w:hAnsi="Times New Roman" w:cs="Times New Roman"/>
          </w:rPr>
          <w:instrText xml:space="preserve"> PAGE   \* MERGEFORMAT </w:instrText>
        </w:r>
        <w:r w:rsidRPr="007A2DC8">
          <w:rPr>
            <w:rFonts w:ascii="Times New Roman" w:hAnsi="Times New Roman" w:cs="Times New Roman"/>
          </w:rPr>
          <w:fldChar w:fldCharType="separate"/>
        </w:r>
        <w:r w:rsidRPr="007A2DC8">
          <w:rPr>
            <w:rFonts w:ascii="Times New Roman" w:hAnsi="Times New Roman" w:cs="Times New Roman"/>
          </w:rPr>
          <w:t>2</w:t>
        </w:r>
        <w:r w:rsidRPr="007A2DC8">
          <w:rPr>
            <w:rFonts w:ascii="Times New Roman" w:hAnsi="Times New Roman" w:cs="Times New Roman"/>
          </w:rPr>
          <w:fldChar w:fldCharType="end"/>
        </w:r>
      </w:p>
    </w:sdtContent>
  </w:sdt>
  <w:p w14:paraId="6007D2E5" w14:textId="77777777" w:rsidR="003734A7" w:rsidRPr="000F04FA" w:rsidRDefault="003734A7" w:rsidP="00D8670B">
    <w:pPr>
      <w:pStyle w:val="FooterCouncil"/>
      <w:rPr>
        <w:noProof w:val="0"/>
        <w:lang w:val="en-US"/>
      </w:rP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75C42" w14:textId="77777777" w:rsidR="003734A7" w:rsidRPr="000F04FA" w:rsidRDefault="003734A7" w:rsidP="00D8670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DA70C" w14:textId="77777777" w:rsidR="003734A7" w:rsidRPr="000F04FA" w:rsidRDefault="003734A7" w:rsidP="00D8670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423103"/>
      <w:docPartObj>
        <w:docPartGallery w:val="Page Numbers (Bottom of Page)"/>
        <w:docPartUnique/>
      </w:docPartObj>
    </w:sdtPr>
    <w:sdtEndPr>
      <w:rPr>
        <w:rFonts w:ascii="Times New Roman" w:hAnsi="Times New Roman" w:cs="Times New Roman"/>
      </w:rPr>
    </w:sdtEndPr>
    <w:sdtContent>
      <w:p w14:paraId="40072673" w14:textId="77777777" w:rsidR="003734A7" w:rsidRPr="00905EAD" w:rsidRDefault="003734A7">
        <w:pPr>
          <w:pStyle w:val="Footer"/>
          <w:jc w:val="center"/>
          <w:rPr>
            <w:rFonts w:ascii="Times New Roman" w:hAnsi="Times New Roman" w:cs="Times New Roman"/>
          </w:rPr>
        </w:pPr>
        <w:r w:rsidRPr="00905EAD">
          <w:rPr>
            <w:rFonts w:ascii="Times New Roman" w:hAnsi="Times New Roman" w:cs="Times New Roman"/>
          </w:rPr>
          <w:fldChar w:fldCharType="begin"/>
        </w:r>
        <w:r w:rsidRPr="00905EAD">
          <w:rPr>
            <w:rFonts w:ascii="Times New Roman" w:hAnsi="Times New Roman" w:cs="Times New Roman"/>
          </w:rPr>
          <w:instrText xml:space="preserve"> PAGE   \* MERGEFORMAT </w:instrText>
        </w:r>
        <w:r w:rsidRPr="00905EAD">
          <w:rPr>
            <w:rFonts w:ascii="Times New Roman" w:hAnsi="Times New Roman" w:cs="Times New Roman"/>
          </w:rPr>
          <w:fldChar w:fldCharType="separate"/>
        </w:r>
        <w:r w:rsidRPr="00905EAD">
          <w:rPr>
            <w:rFonts w:ascii="Times New Roman" w:hAnsi="Times New Roman" w:cs="Times New Roman"/>
          </w:rPr>
          <w:t>2</w:t>
        </w:r>
        <w:r w:rsidRPr="00905EAD">
          <w:rPr>
            <w:rFonts w:ascii="Times New Roman" w:hAnsi="Times New Roman" w:cs="Times New Roman"/>
          </w:rPr>
          <w:fldChar w:fldCharType="end"/>
        </w:r>
      </w:p>
    </w:sdtContent>
  </w:sdt>
  <w:p w14:paraId="6D5ADDC5" w14:textId="77777777" w:rsidR="003734A7" w:rsidRPr="000F04FA" w:rsidRDefault="003734A7" w:rsidP="00D8670B">
    <w:pPr>
      <w:pStyle w:val="FooterCouncil"/>
      <w:rPr>
        <w:noProof w:val="0"/>
        <w:lang w:val="en-US"/>
      </w:rP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B15EA" w14:textId="77777777" w:rsidR="003734A7" w:rsidRPr="000F04FA" w:rsidRDefault="003734A7" w:rsidP="00D8670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6721801"/>
      <w:docPartObj>
        <w:docPartGallery w:val="Page Numbers (Bottom of Page)"/>
        <w:docPartUnique/>
      </w:docPartObj>
    </w:sdtPr>
    <w:sdtEndPr>
      <w:rPr>
        <w:rFonts w:ascii="Times New Roman" w:hAnsi="Times New Roman" w:cs="Times New Roman"/>
      </w:rPr>
    </w:sdtEndPr>
    <w:sdtContent>
      <w:p w14:paraId="3F2D86C4" w14:textId="77777777" w:rsidR="003734A7" w:rsidRPr="00905EAD" w:rsidRDefault="003734A7">
        <w:pPr>
          <w:pStyle w:val="Footer"/>
          <w:jc w:val="center"/>
          <w:rPr>
            <w:rFonts w:ascii="Times New Roman" w:hAnsi="Times New Roman" w:cs="Times New Roman"/>
          </w:rPr>
        </w:pPr>
        <w:r w:rsidRPr="00905EAD">
          <w:rPr>
            <w:rFonts w:ascii="Times New Roman" w:hAnsi="Times New Roman" w:cs="Times New Roman"/>
          </w:rPr>
          <w:fldChar w:fldCharType="begin"/>
        </w:r>
        <w:r w:rsidRPr="00905EAD">
          <w:rPr>
            <w:rFonts w:ascii="Times New Roman" w:hAnsi="Times New Roman" w:cs="Times New Roman"/>
          </w:rPr>
          <w:instrText xml:space="preserve"> PAGE   \* MERGEFORMAT </w:instrText>
        </w:r>
        <w:r w:rsidRPr="00905EAD">
          <w:rPr>
            <w:rFonts w:ascii="Times New Roman" w:hAnsi="Times New Roman" w:cs="Times New Roman"/>
          </w:rPr>
          <w:fldChar w:fldCharType="separate"/>
        </w:r>
        <w:r w:rsidRPr="00905EAD">
          <w:rPr>
            <w:rFonts w:ascii="Times New Roman" w:hAnsi="Times New Roman" w:cs="Times New Roman"/>
          </w:rPr>
          <w:t>2</w:t>
        </w:r>
        <w:r w:rsidRPr="00905EAD">
          <w:rPr>
            <w:rFonts w:ascii="Times New Roman" w:hAnsi="Times New Roman" w:cs="Times New Roman"/>
          </w:rPr>
          <w:fldChar w:fldCharType="end"/>
        </w:r>
      </w:p>
    </w:sdtContent>
  </w:sdt>
  <w:p w14:paraId="5097D31C" w14:textId="77777777" w:rsidR="003734A7" w:rsidRPr="000F04FA" w:rsidRDefault="003734A7" w:rsidP="00D8670B">
    <w:pPr>
      <w:pStyle w:val="FooterCouncil"/>
      <w:rPr>
        <w:noProof w:val="0"/>
        <w:lang w:val="en-US"/>
      </w:rP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52F6F" w14:textId="77777777" w:rsidR="003734A7" w:rsidRPr="000F04FA" w:rsidRDefault="003734A7" w:rsidP="00D8670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014292"/>
      <w:docPartObj>
        <w:docPartGallery w:val="Page Numbers (Bottom of Page)"/>
        <w:docPartUnique/>
      </w:docPartObj>
    </w:sdtPr>
    <w:sdtEndPr>
      <w:rPr>
        <w:rFonts w:ascii="Times New Roman" w:hAnsi="Times New Roman" w:cs="Times New Roman"/>
      </w:rPr>
    </w:sdtEndPr>
    <w:sdtContent>
      <w:p w14:paraId="6836D706" w14:textId="77777777" w:rsidR="003734A7" w:rsidRPr="00905EAD" w:rsidRDefault="003734A7">
        <w:pPr>
          <w:pStyle w:val="Footer"/>
          <w:jc w:val="center"/>
          <w:rPr>
            <w:rFonts w:ascii="Times New Roman" w:hAnsi="Times New Roman" w:cs="Times New Roman"/>
          </w:rPr>
        </w:pPr>
        <w:r w:rsidRPr="00905EAD">
          <w:rPr>
            <w:rFonts w:ascii="Times New Roman" w:hAnsi="Times New Roman" w:cs="Times New Roman"/>
          </w:rPr>
          <w:fldChar w:fldCharType="begin"/>
        </w:r>
        <w:r w:rsidRPr="00905EAD">
          <w:rPr>
            <w:rFonts w:ascii="Times New Roman" w:hAnsi="Times New Roman" w:cs="Times New Roman"/>
          </w:rPr>
          <w:instrText xml:space="preserve"> PAGE   \* MERGEFORMAT </w:instrText>
        </w:r>
        <w:r w:rsidRPr="00905EAD">
          <w:rPr>
            <w:rFonts w:ascii="Times New Roman" w:hAnsi="Times New Roman" w:cs="Times New Roman"/>
          </w:rPr>
          <w:fldChar w:fldCharType="separate"/>
        </w:r>
        <w:r w:rsidRPr="00905EAD">
          <w:rPr>
            <w:rFonts w:ascii="Times New Roman" w:hAnsi="Times New Roman" w:cs="Times New Roman"/>
          </w:rPr>
          <w:t>2</w:t>
        </w:r>
        <w:r w:rsidRPr="00905EAD">
          <w:rPr>
            <w:rFonts w:ascii="Times New Roman" w:hAnsi="Times New Roman" w:cs="Times New Roman"/>
          </w:rPr>
          <w:fldChar w:fldCharType="end"/>
        </w:r>
      </w:p>
    </w:sdtContent>
  </w:sdt>
  <w:p w14:paraId="1AE3F6BF" w14:textId="77777777" w:rsidR="003734A7" w:rsidRPr="000F04FA" w:rsidRDefault="003734A7" w:rsidP="00D8670B">
    <w:pPr>
      <w:pStyle w:val="FooterCouncil"/>
      <w:rPr>
        <w:noProof w:val="0"/>
        <w:lang w:val="en-US"/>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0674F" w14:textId="77777777" w:rsidR="003734A7" w:rsidRPr="000F04FA" w:rsidRDefault="003734A7" w:rsidP="00D8670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491032"/>
      <w:docPartObj>
        <w:docPartGallery w:val="Page Numbers (Bottom of Page)"/>
        <w:docPartUnique/>
      </w:docPartObj>
    </w:sdtPr>
    <w:sdtEndPr>
      <w:rPr>
        <w:rFonts w:ascii="Times New Roman" w:hAnsi="Times New Roman" w:cs="Times New Roman"/>
      </w:rPr>
    </w:sdtEndPr>
    <w:sdtContent>
      <w:p w14:paraId="0E24DBC5" w14:textId="77777777" w:rsidR="003734A7" w:rsidRPr="00905EAD" w:rsidRDefault="003734A7">
        <w:pPr>
          <w:pStyle w:val="Footer"/>
          <w:jc w:val="center"/>
          <w:rPr>
            <w:rFonts w:ascii="Times New Roman" w:hAnsi="Times New Roman" w:cs="Times New Roman"/>
          </w:rPr>
        </w:pPr>
        <w:r w:rsidRPr="00905EAD">
          <w:rPr>
            <w:rFonts w:ascii="Times New Roman" w:hAnsi="Times New Roman" w:cs="Times New Roman"/>
          </w:rPr>
          <w:fldChar w:fldCharType="begin"/>
        </w:r>
        <w:r w:rsidRPr="00905EAD">
          <w:rPr>
            <w:rFonts w:ascii="Times New Roman" w:hAnsi="Times New Roman" w:cs="Times New Roman"/>
          </w:rPr>
          <w:instrText xml:space="preserve"> PAGE   \* MERGEFORMAT </w:instrText>
        </w:r>
        <w:r w:rsidRPr="00905EAD">
          <w:rPr>
            <w:rFonts w:ascii="Times New Roman" w:hAnsi="Times New Roman" w:cs="Times New Roman"/>
          </w:rPr>
          <w:fldChar w:fldCharType="separate"/>
        </w:r>
        <w:r w:rsidRPr="00905EAD">
          <w:rPr>
            <w:rFonts w:ascii="Times New Roman" w:hAnsi="Times New Roman" w:cs="Times New Roman"/>
          </w:rPr>
          <w:t>94</w:t>
        </w:r>
        <w:r w:rsidRPr="00905EAD">
          <w:rPr>
            <w:rFonts w:ascii="Times New Roman" w:hAnsi="Times New Roman" w:cs="Times New Roman"/>
          </w:rPr>
          <w:fldChar w:fldCharType="end"/>
        </w:r>
      </w:p>
    </w:sdtContent>
  </w:sdt>
  <w:p w14:paraId="370FC605" w14:textId="77777777" w:rsidR="003734A7" w:rsidRPr="000F04FA" w:rsidRDefault="003734A7">
    <w:pPr>
      <w:pStyle w:val="Footer"/>
      <w:tabs>
        <w:tab w:val="clear" w:pos="4513"/>
        <w:tab w:val="left" w:pos="676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387AF" w14:textId="77777777" w:rsidR="006F1D15" w:rsidRPr="000F04FA" w:rsidRDefault="006F1D15" w:rsidP="00C04BFF">
      <w:pPr>
        <w:spacing w:after="0" w:line="240" w:lineRule="auto"/>
      </w:pPr>
      <w:r w:rsidRPr="000F04FA">
        <w:separator/>
      </w:r>
    </w:p>
  </w:footnote>
  <w:footnote w:type="continuationSeparator" w:id="0">
    <w:p w14:paraId="7D480F85" w14:textId="77777777" w:rsidR="006F1D15" w:rsidRPr="000F04FA" w:rsidRDefault="006F1D15" w:rsidP="00C04BFF">
      <w:pPr>
        <w:spacing w:after="0" w:line="240" w:lineRule="auto"/>
      </w:pPr>
      <w:r w:rsidRPr="000F04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358C3" w14:textId="77777777" w:rsidR="00BE554E" w:rsidRPr="00BE554E" w:rsidRDefault="00BE554E" w:rsidP="00BE554E">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6E507" w14:textId="77777777" w:rsidR="00BE554E" w:rsidRPr="00BE554E" w:rsidRDefault="00BE554E" w:rsidP="00BE554E">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ED707" w14:textId="77777777" w:rsidR="00BE554E" w:rsidRPr="00BE554E" w:rsidRDefault="00BE554E" w:rsidP="00BE554E">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E13FF" w14:textId="77777777" w:rsidR="007A5D8D" w:rsidRDefault="007A5D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F9C70" w14:textId="77777777" w:rsidR="007A5D8D" w:rsidRDefault="007A5D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6837E" w14:textId="77777777" w:rsidR="007A5D8D" w:rsidRDefault="007A5D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DE80" w14:textId="77777777" w:rsidR="007A5D8D" w:rsidRDefault="007A5D8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59A9D" w14:textId="77777777" w:rsidR="00C04BFF" w:rsidRPr="000F04FA" w:rsidRDefault="00C04BF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E0072" w14:textId="77777777" w:rsidR="00C04BFF" w:rsidRPr="000F04FA" w:rsidRDefault="00C04B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067B8" w14:textId="77777777" w:rsidR="00C04BFF" w:rsidRPr="000F04FA" w:rsidRDefault="00C04BF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32A50" w14:textId="77777777" w:rsidR="007A5D8D" w:rsidRPr="000F04FA" w:rsidRDefault="007A5D8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795F" w14:textId="77777777" w:rsidR="00C04BFF" w:rsidRPr="000F04FA" w:rsidRDefault="00C04B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FBC7C" w14:textId="77777777" w:rsidR="00C04BFF" w:rsidRPr="000F04FA" w:rsidRDefault="00C04BF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6328D" w14:textId="77777777" w:rsidR="00C04BFF" w:rsidRPr="000F04FA" w:rsidRDefault="00C04BF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B0BB6" w14:textId="77777777" w:rsidR="007A5D8D" w:rsidRPr="000F04FA" w:rsidRDefault="007A5D8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EFC88" w14:textId="77777777" w:rsidR="007A5D8D" w:rsidRPr="000F04FA" w:rsidRDefault="007A5D8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A6C9D" w14:textId="77777777" w:rsidR="00C04BFF" w:rsidRPr="000F04FA" w:rsidRDefault="00C04BF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05E3" w14:textId="77777777" w:rsidR="00BF3173" w:rsidRPr="00BF3173" w:rsidRDefault="00BF3173" w:rsidP="00BF3173">
    <w:pPr>
      <w:pStyle w:val="Header"/>
      <w:rPr>
        <w:lang w:val="en-IE"/>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61858" w14:textId="77777777" w:rsidR="007A5D8D" w:rsidRPr="000F04FA" w:rsidRDefault="007A5D8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F690E" w14:textId="77777777" w:rsidR="000F72B9" w:rsidRPr="000F04FA" w:rsidRDefault="000F72B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A6820" w14:textId="77777777" w:rsidR="000F72B9" w:rsidRPr="000F04FA" w:rsidRDefault="000F72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C9701" w14:textId="77777777" w:rsidR="000F72B9" w:rsidRPr="000F04FA" w:rsidRDefault="000F72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FB452" w14:textId="77777777" w:rsidR="000F72B9" w:rsidRPr="000F04FA" w:rsidRDefault="000F72B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70DC5" w14:textId="77777777" w:rsidR="000F72B9" w:rsidRPr="000F04FA" w:rsidRDefault="000F72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17AC7" w14:textId="77777777" w:rsidR="000F72B9" w:rsidRPr="000F04FA" w:rsidRDefault="000F72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B5976" w14:textId="77777777" w:rsidR="007A5D8D" w:rsidRPr="000F04FA" w:rsidRDefault="007A5D8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CAD26" w14:textId="77777777" w:rsidR="007A5D8D" w:rsidRPr="000F04FA" w:rsidRDefault="007A5D8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24"/>
      <w:gridCol w:w="3024"/>
      <w:gridCol w:w="3024"/>
    </w:tblGrid>
    <w:tr w:rsidR="000F72B9" w:rsidRPr="000F04FA" w14:paraId="0748CF86" w14:textId="77777777" w:rsidTr="00D8670B">
      <w:trPr>
        <w:trHeight w:val="300"/>
      </w:trPr>
      <w:tc>
        <w:tcPr>
          <w:tcW w:w="3320" w:type="dxa"/>
        </w:tcPr>
        <w:p w14:paraId="5E675021" w14:textId="77777777" w:rsidR="000F72B9" w:rsidRPr="000F04FA" w:rsidRDefault="000F72B9" w:rsidP="00D8670B">
          <w:pPr>
            <w:pStyle w:val="Header"/>
            <w:ind w:left="-115"/>
          </w:pPr>
        </w:p>
      </w:tc>
      <w:tc>
        <w:tcPr>
          <w:tcW w:w="3320" w:type="dxa"/>
        </w:tcPr>
        <w:p w14:paraId="3C79E8B7" w14:textId="77777777" w:rsidR="000F72B9" w:rsidRPr="000F04FA" w:rsidRDefault="000F72B9" w:rsidP="00D8670B">
          <w:pPr>
            <w:pStyle w:val="Header"/>
            <w:jc w:val="center"/>
          </w:pPr>
        </w:p>
      </w:tc>
      <w:tc>
        <w:tcPr>
          <w:tcW w:w="3320" w:type="dxa"/>
        </w:tcPr>
        <w:p w14:paraId="2BE18F72" w14:textId="77777777" w:rsidR="000F72B9" w:rsidRPr="000F04FA" w:rsidRDefault="000F72B9" w:rsidP="00D8670B">
          <w:pPr>
            <w:pStyle w:val="Header"/>
            <w:ind w:right="-115"/>
            <w:jc w:val="right"/>
          </w:pPr>
        </w:p>
      </w:tc>
    </w:tr>
  </w:tbl>
  <w:p w14:paraId="0F4E099F" w14:textId="77777777" w:rsidR="000F72B9" w:rsidRPr="000F04FA" w:rsidRDefault="000F72B9" w:rsidP="00D8670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24"/>
      <w:gridCol w:w="3024"/>
      <w:gridCol w:w="3024"/>
    </w:tblGrid>
    <w:tr w:rsidR="000F72B9" w:rsidRPr="000F04FA" w14:paraId="348C265E" w14:textId="77777777" w:rsidTr="00D8670B">
      <w:trPr>
        <w:trHeight w:val="300"/>
      </w:trPr>
      <w:tc>
        <w:tcPr>
          <w:tcW w:w="4520" w:type="dxa"/>
        </w:tcPr>
        <w:p w14:paraId="60F0B78F" w14:textId="77777777" w:rsidR="000F72B9" w:rsidRPr="000F04FA" w:rsidRDefault="000F72B9" w:rsidP="00D8670B">
          <w:pPr>
            <w:pStyle w:val="Header"/>
            <w:ind w:left="-115"/>
          </w:pPr>
        </w:p>
      </w:tc>
      <w:tc>
        <w:tcPr>
          <w:tcW w:w="4520" w:type="dxa"/>
        </w:tcPr>
        <w:p w14:paraId="0DBEDEF7" w14:textId="77777777" w:rsidR="000F72B9" w:rsidRPr="000F04FA" w:rsidRDefault="000F72B9" w:rsidP="00D8670B">
          <w:pPr>
            <w:pStyle w:val="Header"/>
            <w:jc w:val="center"/>
          </w:pPr>
        </w:p>
      </w:tc>
      <w:tc>
        <w:tcPr>
          <w:tcW w:w="4520" w:type="dxa"/>
        </w:tcPr>
        <w:p w14:paraId="6E7C606D" w14:textId="77777777" w:rsidR="000F72B9" w:rsidRPr="000F04FA" w:rsidRDefault="000F72B9" w:rsidP="00D8670B">
          <w:pPr>
            <w:pStyle w:val="Header"/>
            <w:ind w:right="-115"/>
            <w:jc w:val="right"/>
          </w:pPr>
        </w:p>
      </w:tc>
    </w:tr>
  </w:tbl>
  <w:p w14:paraId="7FA8A5DB" w14:textId="77777777" w:rsidR="000F72B9" w:rsidRPr="000F04FA" w:rsidRDefault="000F72B9" w:rsidP="00D8670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7F692" w14:textId="77777777" w:rsidR="00B3049F" w:rsidRPr="000F04FA" w:rsidRDefault="00B3049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967C0" w14:textId="77777777" w:rsidR="00B3049F" w:rsidRPr="000F04FA" w:rsidRDefault="00B3049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164AE" w14:textId="77777777" w:rsidR="00B3049F" w:rsidRPr="000F04FA" w:rsidRDefault="00B3049F">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38200" w14:textId="77777777" w:rsidR="007A5D8D" w:rsidRPr="000F04FA" w:rsidRDefault="007A5D8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108FC" w14:textId="77777777" w:rsidR="007A5D8D" w:rsidRPr="000F04FA" w:rsidRDefault="007A5D8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46819" w14:textId="77777777" w:rsidR="007A5D8D" w:rsidRPr="000F04FA" w:rsidRDefault="007A5D8D">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29CB0" w14:textId="77777777" w:rsidR="007A5D8D" w:rsidRPr="000F04FA" w:rsidRDefault="007A5D8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C125" w14:textId="77777777" w:rsidR="007A5D8D" w:rsidRPr="000F04FA" w:rsidRDefault="007A5D8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DFB3" w14:textId="77777777" w:rsidR="007A5D8D" w:rsidRPr="000F04FA" w:rsidRDefault="007A5D8D">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C954D" w14:textId="77777777" w:rsidR="007A5D8D" w:rsidRPr="000F04FA" w:rsidRDefault="007A5D8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95794" w14:textId="77777777" w:rsidR="007A5D8D" w:rsidRPr="000F04FA" w:rsidRDefault="007A5D8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3202" w14:textId="77777777" w:rsidR="007A5D8D" w:rsidRPr="000F04FA" w:rsidRDefault="007A5D8D">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E4B16" w14:textId="77777777" w:rsidR="007A5D8D" w:rsidRPr="000F04FA" w:rsidRDefault="007A5D8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A57BF" w14:textId="77777777" w:rsidR="00B3049F" w:rsidRPr="000F04FA" w:rsidRDefault="00B3049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B2F76" w14:textId="77777777" w:rsidR="00B3049F" w:rsidRPr="000F04FA" w:rsidRDefault="00B3049F">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B79E5" w14:textId="77777777" w:rsidR="00B3049F" w:rsidRPr="000F04FA" w:rsidRDefault="00B3049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CECF2" w14:textId="77777777" w:rsidR="007A5D8D" w:rsidRPr="000F04FA" w:rsidRDefault="007A5D8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3A62B" w14:textId="77777777" w:rsidR="007A5D8D" w:rsidRPr="007A2DC8" w:rsidRDefault="007A5D8D" w:rsidP="007A2DC8">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A90DE" w14:textId="77777777" w:rsidR="003734A7" w:rsidRPr="000F04FA" w:rsidRDefault="003734A7" w:rsidP="00D8670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30070" w14:textId="77777777" w:rsidR="003734A7" w:rsidRPr="000F04FA" w:rsidRDefault="003734A7" w:rsidP="00D8670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CF5C" w14:textId="77777777" w:rsidR="003734A7" w:rsidRPr="000F04FA" w:rsidRDefault="003734A7" w:rsidP="00D8670B">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66C89" w14:textId="77777777" w:rsidR="003734A7" w:rsidRPr="000F04FA" w:rsidRDefault="003734A7" w:rsidP="00D8670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E065A" w14:textId="77777777" w:rsidR="003734A7" w:rsidRPr="000F04FA" w:rsidRDefault="003734A7" w:rsidP="00D8670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E0CB" w14:textId="77777777" w:rsidR="003734A7" w:rsidRPr="000F04FA" w:rsidRDefault="003734A7" w:rsidP="00D8670B">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D8F3" w14:textId="77777777" w:rsidR="003734A7" w:rsidRPr="000F04FA" w:rsidRDefault="003734A7" w:rsidP="00D8670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53D37" w14:textId="77777777" w:rsidR="003734A7" w:rsidRPr="000F04FA" w:rsidRDefault="003734A7" w:rsidP="00D8670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A676" w14:textId="77777777" w:rsidR="003734A7" w:rsidRPr="000F04FA" w:rsidRDefault="003734A7" w:rsidP="00D8670B">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9F67F" w14:textId="77777777" w:rsidR="003734A7" w:rsidRPr="000F04FA" w:rsidRDefault="003734A7" w:rsidP="00D8670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70C98" w14:textId="77777777" w:rsidR="003734A7" w:rsidRPr="000F04FA" w:rsidRDefault="003734A7" w:rsidP="00D8670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07366" w14:textId="77777777" w:rsidR="003734A7" w:rsidRPr="000F04FA" w:rsidRDefault="003734A7" w:rsidP="00D8670B">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E4059" w14:textId="77777777" w:rsidR="003734A7" w:rsidRPr="000F04FA" w:rsidRDefault="003734A7" w:rsidP="00D8670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E34E3" w14:textId="77777777" w:rsidR="003734A7" w:rsidRPr="000F04FA" w:rsidRDefault="00373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12BF7B"/>
    <w:multiLevelType w:val="hybridMultilevel"/>
    <w:tmpl w:val="FC5022B2"/>
    <w:lvl w:ilvl="0" w:tplc="8B3ABFC0">
      <w:start w:val="1"/>
      <w:numFmt w:val="bullet"/>
      <w:lvlText w:val="-"/>
      <w:lvlJc w:val="left"/>
      <w:pPr>
        <w:ind w:left="720" w:hanging="360"/>
      </w:pPr>
      <w:rPr>
        <w:rFonts w:ascii="Calibri" w:hAnsi="Calibri" w:hint="default"/>
      </w:rPr>
    </w:lvl>
    <w:lvl w:ilvl="1" w:tplc="CC4C29D2">
      <w:start w:val="1"/>
      <w:numFmt w:val="bullet"/>
      <w:lvlText w:val="o"/>
      <w:lvlJc w:val="left"/>
      <w:pPr>
        <w:ind w:left="1440" w:hanging="360"/>
      </w:pPr>
      <w:rPr>
        <w:rFonts w:ascii="Courier New" w:hAnsi="Courier New" w:hint="default"/>
      </w:rPr>
    </w:lvl>
    <w:lvl w:ilvl="2" w:tplc="A9103B0E">
      <w:start w:val="1"/>
      <w:numFmt w:val="bullet"/>
      <w:lvlText w:val=""/>
      <w:lvlJc w:val="left"/>
      <w:pPr>
        <w:ind w:left="2160" w:hanging="360"/>
      </w:pPr>
      <w:rPr>
        <w:rFonts w:ascii="Wingdings" w:hAnsi="Wingdings" w:hint="default"/>
      </w:rPr>
    </w:lvl>
    <w:lvl w:ilvl="3" w:tplc="02C4693C">
      <w:start w:val="1"/>
      <w:numFmt w:val="bullet"/>
      <w:lvlText w:val=""/>
      <w:lvlJc w:val="left"/>
      <w:pPr>
        <w:ind w:left="2880" w:hanging="360"/>
      </w:pPr>
      <w:rPr>
        <w:rFonts w:ascii="Symbol" w:hAnsi="Symbol" w:hint="default"/>
      </w:rPr>
    </w:lvl>
    <w:lvl w:ilvl="4" w:tplc="7EB0AD4C">
      <w:start w:val="1"/>
      <w:numFmt w:val="bullet"/>
      <w:lvlText w:val="o"/>
      <w:lvlJc w:val="left"/>
      <w:pPr>
        <w:ind w:left="3600" w:hanging="360"/>
      </w:pPr>
      <w:rPr>
        <w:rFonts w:ascii="Courier New" w:hAnsi="Courier New" w:hint="default"/>
      </w:rPr>
    </w:lvl>
    <w:lvl w:ilvl="5" w:tplc="CE08ABD4">
      <w:start w:val="1"/>
      <w:numFmt w:val="bullet"/>
      <w:lvlText w:val=""/>
      <w:lvlJc w:val="left"/>
      <w:pPr>
        <w:ind w:left="4320" w:hanging="360"/>
      </w:pPr>
      <w:rPr>
        <w:rFonts w:ascii="Wingdings" w:hAnsi="Wingdings" w:hint="default"/>
      </w:rPr>
    </w:lvl>
    <w:lvl w:ilvl="6" w:tplc="84067734">
      <w:start w:val="1"/>
      <w:numFmt w:val="bullet"/>
      <w:lvlText w:val=""/>
      <w:lvlJc w:val="left"/>
      <w:pPr>
        <w:ind w:left="5040" w:hanging="360"/>
      </w:pPr>
      <w:rPr>
        <w:rFonts w:ascii="Symbol" w:hAnsi="Symbol" w:hint="default"/>
      </w:rPr>
    </w:lvl>
    <w:lvl w:ilvl="7" w:tplc="7BAAB878">
      <w:start w:val="1"/>
      <w:numFmt w:val="bullet"/>
      <w:lvlText w:val="o"/>
      <w:lvlJc w:val="left"/>
      <w:pPr>
        <w:ind w:left="5760" w:hanging="360"/>
      </w:pPr>
      <w:rPr>
        <w:rFonts w:ascii="Courier New" w:hAnsi="Courier New" w:hint="default"/>
      </w:rPr>
    </w:lvl>
    <w:lvl w:ilvl="8" w:tplc="85381EAE">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DD358C4"/>
    <w:multiLevelType w:val="hybridMultilevel"/>
    <w:tmpl w:val="3A041C74"/>
    <w:lvl w:ilvl="0" w:tplc="6058941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3E6A17"/>
    <w:multiLevelType w:val="multilevel"/>
    <w:tmpl w:val="607CCA06"/>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360"/>
        </w:tabs>
        <w:ind w:left="-360" w:hanging="360"/>
      </w:pPr>
      <w:rPr>
        <w:rFonts w:ascii="Symbol" w:hAnsi="Symbol" w:hint="default"/>
        <w:sz w:val="20"/>
      </w:rPr>
    </w:lvl>
    <w:lvl w:ilvl="3">
      <w:start w:val="1"/>
      <w:numFmt w:val="bullet"/>
      <w:lvlText w:val=""/>
      <w:lvlJc w:val="left"/>
      <w:pPr>
        <w:tabs>
          <w:tab w:val="num" w:pos="360"/>
        </w:tabs>
        <w:ind w:left="360" w:hanging="360"/>
      </w:pPr>
      <w:rPr>
        <w:rFonts w:ascii="Symbol" w:hAnsi="Symbol" w:hint="default"/>
        <w:sz w:val="20"/>
      </w:rPr>
    </w:lvl>
    <w:lvl w:ilvl="4">
      <w:start w:val="1"/>
      <w:numFmt w:val="bullet"/>
      <w:lvlText w:val=""/>
      <w:lvlJc w:val="left"/>
      <w:pPr>
        <w:tabs>
          <w:tab w:val="num" w:pos="1080"/>
        </w:tabs>
        <w:ind w:left="1080" w:hanging="360"/>
      </w:pPr>
      <w:rPr>
        <w:rFonts w:ascii="Symbol" w:hAnsi="Symbol" w:hint="default"/>
        <w:sz w:val="20"/>
      </w:rPr>
    </w:lvl>
    <w:lvl w:ilvl="5">
      <w:start w:val="1"/>
      <w:numFmt w:val="bullet"/>
      <w:lvlText w:val=""/>
      <w:lvlJc w:val="left"/>
      <w:pPr>
        <w:tabs>
          <w:tab w:val="num" w:pos="1800"/>
        </w:tabs>
        <w:ind w:left="1800" w:hanging="360"/>
      </w:pPr>
      <w:rPr>
        <w:rFonts w:ascii="Symbol" w:hAnsi="Symbol" w:hint="default"/>
        <w:sz w:val="20"/>
      </w:rPr>
    </w:lvl>
    <w:lvl w:ilvl="6">
      <w:start w:val="1"/>
      <w:numFmt w:val="bullet"/>
      <w:lvlText w:val=""/>
      <w:lvlJc w:val="left"/>
      <w:pPr>
        <w:tabs>
          <w:tab w:val="num" w:pos="2520"/>
        </w:tabs>
        <w:ind w:left="2520" w:hanging="360"/>
      </w:pPr>
      <w:rPr>
        <w:rFonts w:ascii="Symbol" w:hAnsi="Symbol" w:hint="default"/>
        <w:sz w:val="20"/>
      </w:rPr>
    </w:lvl>
    <w:lvl w:ilvl="7">
      <w:start w:val="1"/>
      <w:numFmt w:val="bullet"/>
      <w:lvlText w:val=""/>
      <w:lvlJc w:val="left"/>
      <w:pPr>
        <w:tabs>
          <w:tab w:val="num" w:pos="3240"/>
        </w:tabs>
        <w:ind w:left="3240" w:hanging="360"/>
      </w:pPr>
      <w:rPr>
        <w:rFonts w:ascii="Symbol" w:hAnsi="Symbol" w:hint="default"/>
        <w:sz w:val="20"/>
      </w:rPr>
    </w:lvl>
    <w:lvl w:ilvl="8">
      <w:start w:val="1"/>
      <w:numFmt w:val="bullet"/>
      <w:lvlText w:val=""/>
      <w:lvlJc w:val="left"/>
      <w:pPr>
        <w:tabs>
          <w:tab w:val="num" w:pos="3960"/>
        </w:tabs>
        <w:ind w:left="3960" w:hanging="360"/>
      </w:pPr>
      <w:rPr>
        <w:rFonts w:ascii="Symbol" w:hAnsi="Symbol" w:hint="default"/>
        <w:sz w:val="20"/>
      </w:rPr>
    </w:lvl>
  </w:abstractNum>
  <w:abstractNum w:abstractNumId="12" w15:restartNumberingAfterBreak="0">
    <w:nsid w:val="22E44180"/>
    <w:multiLevelType w:val="multilevel"/>
    <w:tmpl w:val="20585AC4"/>
    <w:name w:val="NumPar"/>
    <w:lvl w:ilvl="0">
      <w:start w:val="2"/>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3C613BEF"/>
    <w:multiLevelType w:val="hybridMultilevel"/>
    <w:tmpl w:val="7D18749A"/>
    <w:lvl w:ilvl="0" w:tplc="C25CF414">
      <w:start w:val="1"/>
      <w:numFmt w:val="decimal"/>
      <w:lvlText w:val="(iii)"/>
      <w:lvlJc w:val="left"/>
      <w:pPr>
        <w:ind w:left="720" w:hanging="360"/>
      </w:pPr>
    </w:lvl>
    <w:lvl w:ilvl="1" w:tplc="32B2495A">
      <w:start w:val="1"/>
      <w:numFmt w:val="lowerLetter"/>
      <w:lvlText w:val="%2."/>
      <w:lvlJc w:val="left"/>
      <w:pPr>
        <w:ind w:left="1440" w:hanging="360"/>
      </w:pPr>
    </w:lvl>
    <w:lvl w:ilvl="2" w:tplc="955EB362">
      <w:start w:val="1"/>
      <w:numFmt w:val="lowerRoman"/>
      <w:lvlText w:val="%3."/>
      <w:lvlJc w:val="right"/>
      <w:pPr>
        <w:ind w:left="2160" w:hanging="180"/>
      </w:pPr>
    </w:lvl>
    <w:lvl w:ilvl="3" w:tplc="32D6C07C">
      <w:start w:val="1"/>
      <w:numFmt w:val="decimal"/>
      <w:lvlText w:val="%4."/>
      <w:lvlJc w:val="left"/>
      <w:pPr>
        <w:ind w:left="2880" w:hanging="360"/>
      </w:pPr>
    </w:lvl>
    <w:lvl w:ilvl="4" w:tplc="FB0EDC48">
      <w:start w:val="1"/>
      <w:numFmt w:val="lowerLetter"/>
      <w:lvlText w:val="%5."/>
      <w:lvlJc w:val="left"/>
      <w:pPr>
        <w:ind w:left="3600" w:hanging="360"/>
      </w:pPr>
    </w:lvl>
    <w:lvl w:ilvl="5" w:tplc="363AC36C">
      <w:start w:val="1"/>
      <w:numFmt w:val="lowerRoman"/>
      <w:lvlText w:val="%6."/>
      <w:lvlJc w:val="right"/>
      <w:pPr>
        <w:ind w:left="4320" w:hanging="180"/>
      </w:pPr>
    </w:lvl>
    <w:lvl w:ilvl="6" w:tplc="C1BE4940">
      <w:start w:val="1"/>
      <w:numFmt w:val="decimal"/>
      <w:lvlText w:val="%7."/>
      <w:lvlJc w:val="left"/>
      <w:pPr>
        <w:ind w:left="5040" w:hanging="360"/>
      </w:pPr>
    </w:lvl>
    <w:lvl w:ilvl="7" w:tplc="A4FA77A0">
      <w:start w:val="1"/>
      <w:numFmt w:val="lowerLetter"/>
      <w:lvlText w:val="%8."/>
      <w:lvlJc w:val="left"/>
      <w:pPr>
        <w:ind w:left="5760" w:hanging="360"/>
      </w:pPr>
    </w:lvl>
    <w:lvl w:ilvl="8" w:tplc="D5269A4A">
      <w:start w:val="1"/>
      <w:numFmt w:val="lowerRoman"/>
      <w:lvlText w:val="%9."/>
      <w:lvlJc w:val="right"/>
      <w:pPr>
        <w:ind w:left="6480" w:hanging="180"/>
      </w:pPr>
    </w:lvl>
  </w:abstractNum>
  <w:abstractNum w:abstractNumId="16" w15:restartNumberingAfterBreak="0">
    <w:nsid w:val="40E37654"/>
    <w:multiLevelType w:val="hybridMultilevel"/>
    <w:tmpl w:val="A70CFD02"/>
    <w:lvl w:ilvl="0" w:tplc="CF0222F2">
      <w:start w:val="1"/>
      <w:numFmt w:val="decimal"/>
      <w:lvlText w:val="%1."/>
      <w:lvlJc w:val="left"/>
      <w:pPr>
        <w:ind w:left="360" w:hanging="360"/>
      </w:pPr>
    </w:lvl>
    <w:lvl w:ilvl="1" w:tplc="18E6A5D6">
      <w:start w:val="1"/>
      <w:numFmt w:val="lowerLetter"/>
      <w:lvlText w:val="%2."/>
      <w:lvlJc w:val="left"/>
      <w:pPr>
        <w:ind w:left="1080" w:hanging="360"/>
      </w:pPr>
    </w:lvl>
    <w:lvl w:ilvl="2" w:tplc="A790EDE6">
      <w:start w:val="1"/>
      <w:numFmt w:val="lowerRoman"/>
      <w:lvlText w:val="%3."/>
      <w:lvlJc w:val="right"/>
      <w:pPr>
        <w:ind w:left="1800" w:hanging="180"/>
      </w:pPr>
    </w:lvl>
    <w:lvl w:ilvl="3" w:tplc="2464694A">
      <w:start w:val="1"/>
      <w:numFmt w:val="decimal"/>
      <w:lvlText w:val="%4."/>
      <w:lvlJc w:val="left"/>
      <w:pPr>
        <w:ind w:left="2520" w:hanging="360"/>
      </w:pPr>
    </w:lvl>
    <w:lvl w:ilvl="4" w:tplc="CEF2A6BE">
      <w:start w:val="1"/>
      <w:numFmt w:val="lowerLetter"/>
      <w:lvlText w:val="%5."/>
      <w:lvlJc w:val="left"/>
      <w:pPr>
        <w:ind w:left="3240" w:hanging="360"/>
      </w:pPr>
    </w:lvl>
    <w:lvl w:ilvl="5" w:tplc="306AD056">
      <w:start w:val="1"/>
      <w:numFmt w:val="lowerRoman"/>
      <w:lvlText w:val="%6."/>
      <w:lvlJc w:val="right"/>
      <w:pPr>
        <w:ind w:left="3960" w:hanging="180"/>
      </w:pPr>
    </w:lvl>
    <w:lvl w:ilvl="6" w:tplc="068EDDC6">
      <w:start w:val="1"/>
      <w:numFmt w:val="decimal"/>
      <w:lvlText w:val="%7."/>
      <w:lvlJc w:val="left"/>
      <w:pPr>
        <w:ind w:left="4680" w:hanging="360"/>
      </w:pPr>
    </w:lvl>
    <w:lvl w:ilvl="7" w:tplc="B21ECF9E">
      <w:start w:val="1"/>
      <w:numFmt w:val="lowerLetter"/>
      <w:lvlText w:val="%8."/>
      <w:lvlJc w:val="left"/>
      <w:pPr>
        <w:ind w:left="5400" w:hanging="360"/>
      </w:pPr>
    </w:lvl>
    <w:lvl w:ilvl="8" w:tplc="587262BA">
      <w:start w:val="1"/>
      <w:numFmt w:val="lowerRoman"/>
      <w:lvlText w:val="%9."/>
      <w:lvlJc w:val="right"/>
      <w:pPr>
        <w:ind w:left="6120" w:hanging="18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7F37F5E"/>
    <w:multiLevelType w:val="multilevel"/>
    <w:tmpl w:val="1D22E398"/>
    <w:lvl w:ilvl="0">
      <w:start w:val="1"/>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15:restartNumberingAfterBreak="0">
    <w:nsid w:val="5064538E"/>
    <w:multiLevelType w:val="multilevel"/>
    <w:tmpl w:val="F12CCCB4"/>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69A0A97"/>
    <w:multiLevelType w:val="hybridMultilevel"/>
    <w:tmpl w:val="1D2EE930"/>
    <w:lvl w:ilvl="0" w:tplc="2676C17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B375DEB"/>
    <w:multiLevelType w:val="hybridMultilevel"/>
    <w:tmpl w:val="F2B4A4B8"/>
    <w:lvl w:ilvl="0" w:tplc="18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251742"/>
    <w:multiLevelType w:val="multilevel"/>
    <w:tmpl w:val="CDBC5B42"/>
    <w:lvl w:ilvl="0">
      <w:start w:val="1"/>
      <w:numFmt w:val="low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D7083F0"/>
    <w:multiLevelType w:val="hybridMultilevel"/>
    <w:tmpl w:val="E89C6D84"/>
    <w:lvl w:ilvl="0" w:tplc="D9820958">
      <w:start w:val="1"/>
      <w:numFmt w:val="bullet"/>
      <w:lvlText w:val=""/>
      <w:lvlJc w:val="left"/>
      <w:pPr>
        <w:ind w:left="720" w:hanging="360"/>
      </w:pPr>
      <w:rPr>
        <w:rFonts w:ascii="Symbol" w:hAnsi="Symbol" w:hint="default"/>
      </w:rPr>
    </w:lvl>
    <w:lvl w:ilvl="1" w:tplc="B2B2CFE0">
      <w:start w:val="1"/>
      <w:numFmt w:val="bullet"/>
      <w:lvlText w:val="o"/>
      <w:lvlJc w:val="left"/>
      <w:pPr>
        <w:ind w:left="1440" w:hanging="360"/>
      </w:pPr>
      <w:rPr>
        <w:rFonts w:ascii="Courier New" w:hAnsi="Courier New" w:hint="default"/>
      </w:rPr>
    </w:lvl>
    <w:lvl w:ilvl="2" w:tplc="49A0E7AA">
      <w:start w:val="1"/>
      <w:numFmt w:val="bullet"/>
      <w:lvlText w:val=""/>
      <w:lvlJc w:val="left"/>
      <w:pPr>
        <w:ind w:left="2160" w:hanging="360"/>
      </w:pPr>
      <w:rPr>
        <w:rFonts w:ascii="Wingdings" w:hAnsi="Wingdings" w:hint="default"/>
      </w:rPr>
    </w:lvl>
    <w:lvl w:ilvl="3" w:tplc="1AF21890">
      <w:start w:val="1"/>
      <w:numFmt w:val="bullet"/>
      <w:lvlText w:val=""/>
      <w:lvlJc w:val="left"/>
      <w:pPr>
        <w:ind w:left="2880" w:hanging="360"/>
      </w:pPr>
      <w:rPr>
        <w:rFonts w:ascii="Symbol" w:hAnsi="Symbol" w:hint="default"/>
      </w:rPr>
    </w:lvl>
    <w:lvl w:ilvl="4" w:tplc="C8D29BB6">
      <w:start w:val="1"/>
      <w:numFmt w:val="bullet"/>
      <w:lvlText w:val="o"/>
      <w:lvlJc w:val="left"/>
      <w:pPr>
        <w:ind w:left="3600" w:hanging="360"/>
      </w:pPr>
      <w:rPr>
        <w:rFonts w:ascii="Courier New" w:hAnsi="Courier New" w:hint="default"/>
      </w:rPr>
    </w:lvl>
    <w:lvl w:ilvl="5" w:tplc="3EF47352">
      <w:start w:val="1"/>
      <w:numFmt w:val="bullet"/>
      <w:lvlText w:val=""/>
      <w:lvlJc w:val="left"/>
      <w:pPr>
        <w:ind w:left="4320" w:hanging="360"/>
      </w:pPr>
      <w:rPr>
        <w:rFonts w:ascii="Wingdings" w:hAnsi="Wingdings" w:hint="default"/>
      </w:rPr>
    </w:lvl>
    <w:lvl w:ilvl="6" w:tplc="7E88C89E">
      <w:start w:val="1"/>
      <w:numFmt w:val="bullet"/>
      <w:lvlText w:val=""/>
      <w:lvlJc w:val="left"/>
      <w:pPr>
        <w:ind w:left="5040" w:hanging="360"/>
      </w:pPr>
      <w:rPr>
        <w:rFonts w:ascii="Symbol" w:hAnsi="Symbol" w:hint="default"/>
      </w:rPr>
    </w:lvl>
    <w:lvl w:ilvl="7" w:tplc="EE6EADAA">
      <w:start w:val="1"/>
      <w:numFmt w:val="bullet"/>
      <w:lvlText w:val="o"/>
      <w:lvlJc w:val="left"/>
      <w:pPr>
        <w:ind w:left="5760" w:hanging="360"/>
      </w:pPr>
      <w:rPr>
        <w:rFonts w:ascii="Courier New" w:hAnsi="Courier New" w:hint="default"/>
      </w:rPr>
    </w:lvl>
    <w:lvl w:ilvl="8" w:tplc="BED6CCA6">
      <w:start w:val="1"/>
      <w:numFmt w:val="bullet"/>
      <w:lvlText w:val=""/>
      <w:lvlJc w:val="left"/>
      <w:pPr>
        <w:ind w:left="6480" w:hanging="360"/>
      </w:pPr>
      <w:rPr>
        <w:rFonts w:ascii="Wingdings" w:hAnsi="Wingdings" w:hint="default"/>
      </w:rPr>
    </w:lvl>
  </w:abstractNum>
  <w:abstractNum w:abstractNumId="33" w15:restartNumberingAfterBreak="0">
    <w:nsid w:val="7E36310D"/>
    <w:multiLevelType w:val="hybridMultilevel"/>
    <w:tmpl w:val="F59C16C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7EB821FE"/>
    <w:multiLevelType w:val="hybridMultilevel"/>
    <w:tmpl w:val="875A0650"/>
    <w:lvl w:ilvl="0" w:tplc="A984C686">
      <w:start w:val="1"/>
      <w:numFmt w:val="bullet"/>
      <w:lvlText w:val="-"/>
      <w:lvlJc w:val="left"/>
      <w:pPr>
        <w:ind w:left="720" w:hanging="360"/>
      </w:pPr>
      <w:rPr>
        <w:rFonts w:ascii="Aptos" w:hAnsi="Aptos" w:hint="default"/>
      </w:rPr>
    </w:lvl>
    <w:lvl w:ilvl="1" w:tplc="B044C1A0">
      <w:start w:val="1"/>
      <w:numFmt w:val="bullet"/>
      <w:lvlText w:val="o"/>
      <w:lvlJc w:val="left"/>
      <w:pPr>
        <w:ind w:left="1440" w:hanging="360"/>
      </w:pPr>
      <w:rPr>
        <w:rFonts w:ascii="Courier New" w:hAnsi="Courier New" w:hint="default"/>
      </w:rPr>
    </w:lvl>
    <w:lvl w:ilvl="2" w:tplc="8D78CB40">
      <w:start w:val="1"/>
      <w:numFmt w:val="bullet"/>
      <w:lvlText w:val=""/>
      <w:lvlJc w:val="left"/>
      <w:pPr>
        <w:ind w:left="2160" w:hanging="360"/>
      </w:pPr>
      <w:rPr>
        <w:rFonts w:ascii="Wingdings" w:hAnsi="Wingdings" w:hint="default"/>
      </w:rPr>
    </w:lvl>
    <w:lvl w:ilvl="3" w:tplc="F27ABDE8">
      <w:start w:val="1"/>
      <w:numFmt w:val="bullet"/>
      <w:lvlText w:val=""/>
      <w:lvlJc w:val="left"/>
      <w:pPr>
        <w:ind w:left="2880" w:hanging="360"/>
      </w:pPr>
      <w:rPr>
        <w:rFonts w:ascii="Symbol" w:hAnsi="Symbol" w:hint="default"/>
      </w:rPr>
    </w:lvl>
    <w:lvl w:ilvl="4" w:tplc="EE7C9DD4">
      <w:start w:val="1"/>
      <w:numFmt w:val="bullet"/>
      <w:lvlText w:val="o"/>
      <w:lvlJc w:val="left"/>
      <w:pPr>
        <w:ind w:left="3600" w:hanging="360"/>
      </w:pPr>
      <w:rPr>
        <w:rFonts w:ascii="Courier New" w:hAnsi="Courier New" w:hint="default"/>
      </w:rPr>
    </w:lvl>
    <w:lvl w:ilvl="5" w:tplc="79DEC4AE">
      <w:start w:val="1"/>
      <w:numFmt w:val="bullet"/>
      <w:lvlText w:val=""/>
      <w:lvlJc w:val="left"/>
      <w:pPr>
        <w:ind w:left="4320" w:hanging="360"/>
      </w:pPr>
      <w:rPr>
        <w:rFonts w:ascii="Wingdings" w:hAnsi="Wingdings" w:hint="default"/>
      </w:rPr>
    </w:lvl>
    <w:lvl w:ilvl="6" w:tplc="CA1667B6">
      <w:start w:val="1"/>
      <w:numFmt w:val="bullet"/>
      <w:lvlText w:val=""/>
      <w:lvlJc w:val="left"/>
      <w:pPr>
        <w:ind w:left="5040" w:hanging="360"/>
      </w:pPr>
      <w:rPr>
        <w:rFonts w:ascii="Symbol" w:hAnsi="Symbol" w:hint="default"/>
      </w:rPr>
    </w:lvl>
    <w:lvl w:ilvl="7" w:tplc="111CCB26">
      <w:start w:val="1"/>
      <w:numFmt w:val="bullet"/>
      <w:lvlText w:val="o"/>
      <w:lvlJc w:val="left"/>
      <w:pPr>
        <w:ind w:left="5760" w:hanging="360"/>
      </w:pPr>
      <w:rPr>
        <w:rFonts w:ascii="Courier New" w:hAnsi="Courier New" w:hint="default"/>
      </w:rPr>
    </w:lvl>
    <w:lvl w:ilvl="8" w:tplc="22B86ECE">
      <w:start w:val="1"/>
      <w:numFmt w:val="bullet"/>
      <w:lvlText w:val=""/>
      <w:lvlJc w:val="left"/>
      <w:pPr>
        <w:ind w:left="6480" w:hanging="360"/>
      </w:pPr>
      <w:rPr>
        <w:rFonts w:ascii="Wingdings" w:hAnsi="Wingdings" w:hint="default"/>
      </w:rPr>
    </w:lvl>
  </w:abstractNum>
  <w:num w:numId="1">
    <w:abstractNumId w:val="30"/>
  </w:num>
  <w:num w:numId="2">
    <w:abstractNumId w:val="21"/>
  </w:num>
  <w:num w:numId="3">
    <w:abstractNumId w:val="20"/>
  </w:num>
  <w:num w:numId="4">
    <w:abstractNumId w:val="10"/>
  </w:num>
  <w:num w:numId="5">
    <w:abstractNumId w:val="8"/>
  </w:num>
  <w:num w:numId="6">
    <w:abstractNumId w:val="32"/>
  </w:num>
  <w:num w:numId="7">
    <w:abstractNumId w:val="15"/>
  </w:num>
  <w:num w:numId="8">
    <w:abstractNumId w:val="16"/>
  </w:num>
  <w:num w:numId="9">
    <w:abstractNumId w:val="34"/>
  </w:num>
  <w:num w:numId="10">
    <w:abstractNumId w:val="23"/>
  </w:num>
  <w:num w:numId="11">
    <w:abstractNumId w:val="11"/>
  </w:num>
  <w:num w:numId="12">
    <w:abstractNumId w:val="26"/>
  </w:num>
  <w:num w:numId="13">
    <w:abstractNumId w:val="17"/>
  </w:num>
  <w:num w:numId="14">
    <w:abstractNumId w:val="28"/>
  </w:num>
  <w:num w:numId="15">
    <w:abstractNumId w:val="14"/>
  </w:num>
  <w:num w:numId="16">
    <w:abstractNumId w:val="18"/>
  </w:num>
  <w:num w:numId="17">
    <w:abstractNumId w:val="12"/>
  </w:num>
  <w:num w:numId="18">
    <w:abstractNumId w:val="27"/>
  </w:num>
  <w:num w:numId="19">
    <w:abstractNumId w:val="9"/>
  </w:num>
  <w:num w:numId="20">
    <w:abstractNumId w:val="19"/>
  </w:num>
  <w:num w:numId="21">
    <w:abstractNumId w:val="24"/>
  </w:num>
  <w:num w:numId="22">
    <w:abstractNumId w:val="25"/>
  </w:num>
  <w:num w:numId="23">
    <w:abstractNumId w:val="13"/>
  </w:num>
  <w:num w:numId="24">
    <w:abstractNumId w:val="22"/>
  </w:num>
  <w:num w:numId="25">
    <w:abstractNumId w:val="31"/>
  </w:num>
  <w:num w:numId="26">
    <w:abstractNumId w:val="7"/>
  </w:num>
  <w:num w:numId="27">
    <w:abstractNumId w:val="5"/>
  </w:num>
  <w:num w:numId="28">
    <w:abstractNumId w:val="4"/>
  </w:num>
  <w:num w:numId="29">
    <w:abstractNumId w:val="3"/>
  </w:num>
  <w:num w:numId="30">
    <w:abstractNumId w:val="6"/>
  </w:num>
  <w:num w:numId="31">
    <w:abstractNumId w:val="2"/>
  </w:num>
  <w:num w:numId="32">
    <w:abstractNumId w:val="1"/>
  </w:num>
  <w:num w:numId="33">
    <w:abstractNumId w:val="0"/>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77B9FC1E-7918-42B8-8DE9-CBCEB62CC033"/>
    <w:docVar w:name="LW_COVERPAGE_TYPE" w:val="1"/>
    <w:docVar w:name="LW_CROSSREFERENCE" w:val="{SWD(2026) 169 final}"/>
    <w:docVar w:name="LW_DocType" w:val="NORMAL"/>
    <w:docVar w:name="LW_EMISSION" w:val="18.6.2026"/>
    <w:docVar w:name="LW_EMISSION_ISODATE" w:val="2026-06-18"/>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28 July 2021 on the approval of the assessment of the recovery and resilience plan for Cyprus_x000d__x000b_"/>
    <w:docVar w:name="LW_PART_NBR" w:val="1"/>
    <w:docVar w:name="LW_PART_NBR_TOTAL" w:val="1"/>
    <w:docVar w:name="LW_REF.INST.NEW" w:val="COM"/>
    <w:docVar w:name="LW_REF.INST.NEW_ADOPTED" w:val="final"/>
    <w:docVar w:name="LW_REF.INST.NEW_TEXT" w:val="(2026) 3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36F7FBFF"/>
    <w:rsid w:val="00000359"/>
    <w:rsid w:val="000006A1"/>
    <w:rsid w:val="00000905"/>
    <w:rsid w:val="000011D1"/>
    <w:rsid w:val="00001202"/>
    <w:rsid w:val="000013EE"/>
    <w:rsid w:val="00001494"/>
    <w:rsid w:val="00002755"/>
    <w:rsid w:val="0000304D"/>
    <w:rsid w:val="00003362"/>
    <w:rsid w:val="00003756"/>
    <w:rsid w:val="0000481C"/>
    <w:rsid w:val="00004C1B"/>
    <w:rsid w:val="00004F0C"/>
    <w:rsid w:val="0000511D"/>
    <w:rsid w:val="00005140"/>
    <w:rsid w:val="000051A3"/>
    <w:rsid w:val="0000532A"/>
    <w:rsid w:val="00006695"/>
    <w:rsid w:val="000068CE"/>
    <w:rsid w:val="00006C38"/>
    <w:rsid w:val="00006EED"/>
    <w:rsid w:val="000074A0"/>
    <w:rsid w:val="000074C2"/>
    <w:rsid w:val="00007577"/>
    <w:rsid w:val="00010473"/>
    <w:rsid w:val="00010C15"/>
    <w:rsid w:val="00010C70"/>
    <w:rsid w:val="00010CD7"/>
    <w:rsid w:val="00010FBF"/>
    <w:rsid w:val="00011BEF"/>
    <w:rsid w:val="00011E89"/>
    <w:rsid w:val="000121B8"/>
    <w:rsid w:val="00012455"/>
    <w:rsid w:val="0001261A"/>
    <w:rsid w:val="000126FA"/>
    <w:rsid w:val="00012C7D"/>
    <w:rsid w:val="00013DAF"/>
    <w:rsid w:val="00013EBF"/>
    <w:rsid w:val="00014CEF"/>
    <w:rsid w:val="000151B3"/>
    <w:rsid w:val="00015F2B"/>
    <w:rsid w:val="0001692C"/>
    <w:rsid w:val="00016A3E"/>
    <w:rsid w:val="00016EA0"/>
    <w:rsid w:val="0001730E"/>
    <w:rsid w:val="00017DD3"/>
    <w:rsid w:val="00020753"/>
    <w:rsid w:val="000208C4"/>
    <w:rsid w:val="00020A45"/>
    <w:rsid w:val="0002139E"/>
    <w:rsid w:val="00021AE9"/>
    <w:rsid w:val="00022377"/>
    <w:rsid w:val="000226EF"/>
    <w:rsid w:val="00022981"/>
    <w:rsid w:val="00023006"/>
    <w:rsid w:val="000234E1"/>
    <w:rsid w:val="00024CB9"/>
    <w:rsid w:val="00024D02"/>
    <w:rsid w:val="00024D30"/>
    <w:rsid w:val="00025080"/>
    <w:rsid w:val="000250FD"/>
    <w:rsid w:val="000269B5"/>
    <w:rsid w:val="00026EFA"/>
    <w:rsid w:val="000270CF"/>
    <w:rsid w:val="0002783A"/>
    <w:rsid w:val="00027B45"/>
    <w:rsid w:val="00030224"/>
    <w:rsid w:val="000318B8"/>
    <w:rsid w:val="00031EBE"/>
    <w:rsid w:val="00032136"/>
    <w:rsid w:val="00032167"/>
    <w:rsid w:val="000322C8"/>
    <w:rsid w:val="00032845"/>
    <w:rsid w:val="00032B2E"/>
    <w:rsid w:val="00032C76"/>
    <w:rsid w:val="000336FC"/>
    <w:rsid w:val="000340DA"/>
    <w:rsid w:val="000341E7"/>
    <w:rsid w:val="0003431D"/>
    <w:rsid w:val="000345F8"/>
    <w:rsid w:val="000351A4"/>
    <w:rsid w:val="0003545F"/>
    <w:rsid w:val="0003569A"/>
    <w:rsid w:val="000357C9"/>
    <w:rsid w:val="000357EA"/>
    <w:rsid w:val="00036448"/>
    <w:rsid w:val="0003679C"/>
    <w:rsid w:val="000369C9"/>
    <w:rsid w:val="00037190"/>
    <w:rsid w:val="0003756A"/>
    <w:rsid w:val="00037AF8"/>
    <w:rsid w:val="00037D12"/>
    <w:rsid w:val="00040187"/>
    <w:rsid w:val="00040A78"/>
    <w:rsid w:val="00041115"/>
    <w:rsid w:val="00041771"/>
    <w:rsid w:val="00042660"/>
    <w:rsid w:val="00042999"/>
    <w:rsid w:val="00042CF0"/>
    <w:rsid w:val="0004313D"/>
    <w:rsid w:val="00043404"/>
    <w:rsid w:val="000435F6"/>
    <w:rsid w:val="000439D2"/>
    <w:rsid w:val="00044A3E"/>
    <w:rsid w:val="0004529C"/>
    <w:rsid w:val="000457B7"/>
    <w:rsid w:val="0004585D"/>
    <w:rsid w:val="00046283"/>
    <w:rsid w:val="000465FD"/>
    <w:rsid w:val="0004673F"/>
    <w:rsid w:val="000467AA"/>
    <w:rsid w:val="00046B67"/>
    <w:rsid w:val="00047395"/>
    <w:rsid w:val="00050044"/>
    <w:rsid w:val="0005066A"/>
    <w:rsid w:val="000509AF"/>
    <w:rsid w:val="00051052"/>
    <w:rsid w:val="0005132E"/>
    <w:rsid w:val="0005156B"/>
    <w:rsid w:val="0005168B"/>
    <w:rsid w:val="00051A8A"/>
    <w:rsid w:val="00051B5A"/>
    <w:rsid w:val="000525A5"/>
    <w:rsid w:val="00052661"/>
    <w:rsid w:val="000528EF"/>
    <w:rsid w:val="00052C38"/>
    <w:rsid w:val="00053450"/>
    <w:rsid w:val="0005374D"/>
    <w:rsid w:val="0005395A"/>
    <w:rsid w:val="00053FB5"/>
    <w:rsid w:val="00054160"/>
    <w:rsid w:val="00054F6E"/>
    <w:rsid w:val="0005516B"/>
    <w:rsid w:val="0005563F"/>
    <w:rsid w:val="0005578B"/>
    <w:rsid w:val="000562AA"/>
    <w:rsid w:val="00056320"/>
    <w:rsid w:val="00056391"/>
    <w:rsid w:val="000563D5"/>
    <w:rsid w:val="00056460"/>
    <w:rsid w:val="00056748"/>
    <w:rsid w:val="00056C17"/>
    <w:rsid w:val="00057895"/>
    <w:rsid w:val="00057BA0"/>
    <w:rsid w:val="00057C12"/>
    <w:rsid w:val="00060B57"/>
    <w:rsid w:val="00060D4A"/>
    <w:rsid w:val="00060DEE"/>
    <w:rsid w:val="00061555"/>
    <w:rsid w:val="00061633"/>
    <w:rsid w:val="00061719"/>
    <w:rsid w:val="00061AED"/>
    <w:rsid w:val="00061B61"/>
    <w:rsid w:val="00061F73"/>
    <w:rsid w:val="0006241C"/>
    <w:rsid w:val="0006280C"/>
    <w:rsid w:val="00062A0F"/>
    <w:rsid w:val="00062CE7"/>
    <w:rsid w:val="0006303A"/>
    <w:rsid w:val="000633AF"/>
    <w:rsid w:val="0006354D"/>
    <w:rsid w:val="00063818"/>
    <w:rsid w:val="00063AC2"/>
    <w:rsid w:val="00063AED"/>
    <w:rsid w:val="00064091"/>
    <w:rsid w:val="000643B5"/>
    <w:rsid w:val="00064579"/>
    <w:rsid w:val="000646C5"/>
    <w:rsid w:val="000646FC"/>
    <w:rsid w:val="00065F4B"/>
    <w:rsid w:val="00066231"/>
    <w:rsid w:val="000668CB"/>
    <w:rsid w:val="00066D56"/>
    <w:rsid w:val="00067F02"/>
    <w:rsid w:val="00067F5E"/>
    <w:rsid w:val="000702F7"/>
    <w:rsid w:val="00070490"/>
    <w:rsid w:val="000707FC"/>
    <w:rsid w:val="000713D0"/>
    <w:rsid w:val="00071686"/>
    <w:rsid w:val="00071998"/>
    <w:rsid w:val="00071BFF"/>
    <w:rsid w:val="00071ED7"/>
    <w:rsid w:val="00072455"/>
    <w:rsid w:val="00073AD1"/>
    <w:rsid w:val="00074584"/>
    <w:rsid w:val="0007470E"/>
    <w:rsid w:val="00074DF6"/>
    <w:rsid w:val="00074FCB"/>
    <w:rsid w:val="00075833"/>
    <w:rsid w:val="0007592C"/>
    <w:rsid w:val="00075AF7"/>
    <w:rsid w:val="00075C36"/>
    <w:rsid w:val="00076C79"/>
    <w:rsid w:val="00076C91"/>
    <w:rsid w:val="00076DD9"/>
    <w:rsid w:val="00077AE5"/>
    <w:rsid w:val="00080782"/>
    <w:rsid w:val="0008144D"/>
    <w:rsid w:val="00081FD2"/>
    <w:rsid w:val="00082033"/>
    <w:rsid w:val="00082A90"/>
    <w:rsid w:val="00082DE3"/>
    <w:rsid w:val="00082E29"/>
    <w:rsid w:val="00082EB8"/>
    <w:rsid w:val="000833BC"/>
    <w:rsid w:val="000834A3"/>
    <w:rsid w:val="0008370E"/>
    <w:rsid w:val="00083967"/>
    <w:rsid w:val="00083AC3"/>
    <w:rsid w:val="0008455F"/>
    <w:rsid w:val="0008459F"/>
    <w:rsid w:val="000847E8"/>
    <w:rsid w:val="00084C37"/>
    <w:rsid w:val="00084CC3"/>
    <w:rsid w:val="00084F85"/>
    <w:rsid w:val="00085DCD"/>
    <w:rsid w:val="00086C7C"/>
    <w:rsid w:val="000870E8"/>
    <w:rsid w:val="000872E6"/>
    <w:rsid w:val="00087934"/>
    <w:rsid w:val="0009016E"/>
    <w:rsid w:val="00090627"/>
    <w:rsid w:val="000907FB"/>
    <w:rsid w:val="00090859"/>
    <w:rsid w:val="00090C04"/>
    <w:rsid w:val="00090E10"/>
    <w:rsid w:val="00090EC6"/>
    <w:rsid w:val="00090F7A"/>
    <w:rsid w:val="00091076"/>
    <w:rsid w:val="000915B1"/>
    <w:rsid w:val="000916DF"/>
    <w:rsid w:val="00092310"/>
    <w:rsid w:val="000923FE"/>
    <w:rsid w:val="000927ED"/>
    <w:rsid w:val="00092B35"/>
    <w:rsid w:val="00092B42"/>
    <w:rsid w:val="00092BE2"/>
    <w:rsid w:val="000932D1"/>
    <w:rsid w:val="000933E4"/>
    <w:rsid w:val="0009366F"/>
    <w:rsid w:val="00093EE0"/>
    <w:rsid w:val="00094672"/>
    <w:rsid w:val="00094EBF"/>
    <w:rsid w:val="000955B7"/>
    <w:rsid w:val="0009588D"/>
    <w:rsid w:val="00095E1F"/>
    <w:rsid w:val="00096ED4"/>
    <w:rsid w:val="00097002"/>
    <w:rsid w:val="0009736A"/>
    <w:rsid w:val="00097E4D"/>
    <w:rsid w:val="00097E56"/>
    <w:rsid w:val="00097F02"/>
    <w:rsid w:val="000A03CF"/>
    <w:rsid w:val="000A0A17"/>
    <w:rsid w:val="000A1706"/>
    <w:rsid w:val="000A18DF"/>
    <w:rsid w:val="000A1C9B"/>
    <w:rsid w:val="000A1C9F"/>
    <w:rsid w:val="000A1EC3"/>
    <w:rsid w:val="000A1ECF"/>
    <w:rsid w:val="000A204E"/>
    <w:rsid w:val="000A2098"/>
    <w:rsid w:val="000A2872"/>
    <w:rsid w:val="000A2B2D"/>
    <w:rsid w:val="000A2BAC"/>
    <w:rsid w:val="000A2C56"/>
    <w:rsid w:val="000A30C6"/>
    <w:rsid w:val="000A3633"/>
    <w:rsid w:val="000A3C06"/>
    <w:rsid w:val="000A43C2"/>
    <w:rsid w:val="000A4661"/>
    <w:rsid w:val="000A4979"/>
    <w:rsid w:val="000A5656"/>
    <w:rsid w:val="000A618A"/>
    <w:rsid w:val="000A6845"/>
    <w:rsid w:val="000A6A57"/>
    <w:rsid w:val="000A7454"/>
    <w:rsid w:val="000A76A6"/>
    <w:rsid w:val="000A76C1"/>
    <w:rsid w:val="000A7985"/>
    <w:rsid w:val="000B010C"/>
    <w:rsid w:val="000B0679"/>
    <w:rsid w:val="000B0786"/>
    <w:rsid w:val="000B0EFF"/>
    <w:rsid w:val="000B27F5"/>
    <w:rsid w:val="000B2922"/>
    <w:rsid w:val="000B32C7"/>
    <w:rsid w:val="000B3763"/>
    <w:rsid w:val="000B3DE7"/>
    <w:rsid w:val="000B3F4E"/>
    <w:rsid w:val="000B490A"/>
    <w:rsid w:val="000B49DE"/>
    <w:rsid w:val="000B5C75"/>
    <w:rsid w:val="000B5F66"/>
    <w:rsid w:val="000B6399"/>
    <w:rsid w:val="000B6BC8"/>
    <w:rsid w:val="000B6E12"/>
    <w:rsid w:val="000B7159"/>
    <w:rsid w:val="000B7A58"/>
    <w:rsid w:val="000C0475"/>
    <w:rsid w:val="000C0708"/>
    <w:rsid w:val="000C0CFE"/>
    <w:rsid w:val="000C10C3"/>
    <w:rsid w:val="000C16F3"/>
    <w:rsid w:val="000C1D6D"/>
    <w:rsid w:val="000C21CD"/>
    <w:rsid w:val="000C2558"/>
    <w:rsid w:val="000C2916"/>
    <w:rsid w:val="000C4AC6"/>
    <w:rsid w:val="000C4F65"/>
    <w:rsid w:val="000C56A0"/>
    <w:rsid w:val="000C5830"/>
    <w:rsid w:val="000C5A42"/>
    <w:rsid w:val="000C5BA2"/>
    <w:rsid w:val="000C5FB0"/>
    <w:rsid w:val="000C6DA3"/>
    <w:rsid w:val="000C6E52"/>
    <w:rsid w:val="000C7F82"/>
    <w:rsid w:val="000C7FB9"/>
    <w:rsid w:val="000D052B"/>
    <w:rsid w:val="000D0A9D"/>
    <w:rsid w:val="000D0D43"/>
    <w:rsid w:val="000D1167"/>
    <w:rsid w:val="000D143D"/>
    <w:rsid w:val="000D1538"/>
    <w:rsid w:val="000D1702"/>
    <w:rsid w:val="000D173C"/>
    <w:rsid w:val="000D1E96"/>
    <w:rsid w:val="000D2D06"/>
    <w:rsid w:val="000D2DA5"/>
    <w:rsid w:val="000D30EF"/>
    <w:rsid w:val="000D36CC"/>
    <w:rsid w:val="000D3BED"/>
    <w:rsid w:val="000D4017"/>
    <w:rsid w:val="000D4D26"/>
    <w:rsid w:val="000D5F51"/>
    <w:rsid w:val="000D6887"/>
    <w:rsid w:val="000D693C"/>
    <w:rsid w:val="000D6945"/>
    <w:rsid w:val="000D74E4"/>
    <w:rsid w:val="000D7CB6"/>
    <w:rsid w:val="000E02FB"/>
    <w:rsid w:val="000E03A2"/>
    <w:rsid w:val="000E054C"/>
    <w:rsid w:val="000E119B"/>
    <w:rsid w:val="000E1380"/>
    <w:rsid w:val="000E1B47"/>
    <w:rsid w:val="000E216B"/>
    <w:rsid w:val="000E22AE"/>
    <w:rsid w:val="000E22FC"/>
    <w:rsid w:val="000E24B4"/>
    <w:rsid w:val="000E2657"/>
    <w:rsid w:val="000E2996"/>
    <w:rsid w:val="000E29E2"/>
    <w:rsid w:val="000E2D8E"/>
    <w:rsid w:val="000E360F"/>
    <w:rsid w:val="000E52F3"/>
    <w:rsid w:val="000E5C27"/>
    <w:rsid w:val="000E5EA9"/>
    <w:rsid w:val="000E6423"/>
    <w:rsid w:val="000E68B0"/>
    <w:rsid w:val="000E6B2D"/>
    <w:rsid w:val="000E6BA9"/>
    <w:rsid w:val="000E6DDE"/>
    <w:rsid w:val="000E711B"/>
    <w:rsid w:val="000E73BF"/>
    <w:rsid w:val="000E7FCC"/>
    <w:rsid w:val="000F04FA"/>
    <w:rsid w:val="000F0C0E"/>
    <w:rsid w:val="000F102F"/>
    <w:rsid w:val="000F1729"/>
    <w:rsid w:val="000F19C9"/>
    <w:rsid w:val="000F1D49"/>
    <w:rsid w:val="000F1E26"/>
    <w:rsid w:val="000F1E2C"/>
    <w:rsid w:val="000F2618"/>
    <w:rsid w:val="000F2E01"/>
    <w:rsid w:val="000F307C"/>
    <w:rsid w:val="000F3A4B"/>
    <w:rsid w:val="000F4C09"/>
    <w:rsid w:val="000F4E85"/>
    <w:rsid w:val="000F5172"/>
    <w:rsid w:val="000F58D9"/>
    <w:rsid w:val="000F5ACC"/>
    <w:rsid w:val="000F6B3B"/>
    <w:rsid w:val="000F6F38"/>
    <w:rsid w:val="000F723E"/>
    <w:rsid w:val="000F72B9"/>
    <w:rsid w:val="000F73B2"/>
    <w:rsid w:val="00100048"/>
    <w:rsid w:val="00100E4C"/>
    <w:rsid w:val="0010155A"/>
    <w:rsid w:val="001018D8"/>
    <w:rsid w:val="0010195D"/>
    <w:rsid w:val="00101D98"/>
    <w:rsid w:val="00102269"/>
    <w:rsid w:val="0010282D"/>
    <w:rsid w:val="00102EDE"/>
    <w:rsid w:val="00103086"/>
    <w:rsid w:val="001033B7"/>
    <w:rsid w:val="00103496"/>
    <w:rsid w:val="001035FA"/>
    <w:rsid w:val="00103A37"/>
    <w:rsid w:val="00103C74"/>
    <w:rsid w:val="001047B0"/>
    <w:rsid w:val="00104A19"/>
    <w:rsid w:val="00104C9C"/>
    <w:rsid w:val="00104D49"/>
    <w:rsid w:val="001053EB"/>
    <w:rsid w:val="00105496"/>
    <w:rsid w:val="001055F7"/>
    <w:rsid w:val="00105651"/>
    <w:rsid w:val="00105809"/>
    <w:rsid w:val="001063EC"/>
    <w:rsid w:val="0010661F"/>
    <w:rsid w:val="00106E83"/>
    <w:rsid w:val="001070F0"/>
    <w:rsid w:val="0010783F"/>
    <w:rsid w:val="001106A4"/>
    <w:rsid w:val="0011082C"/>
    <w:rsid w:val="001108B3"/>
    <w:rsid w:val="001109B1"/>
    <w:rsid w:val="00111EA5"/>
    <w:rsid w:val="0011233B"/>
    <w:rsid w:val="00112C2E"/>
    <w:rsid w:val="00113071"/>
    <w:rsid w:val="00114371"/>
    <w:rsid w:val="001148FF"/>
    <w:rsid w:val="00114FC1"/>
    <w:rsid w:val="00115384"/>
    <w:rsid w:val="001156C4"/>
    <w:rsid w:val="0011577A"/>
    <w:rsid w:val="001157A3"/>
    <w:rsid w:val="001159FB"/>
    <w:rsid w:val="00115B26"/>
    <w:rsid w:val="00115C92"/>
    <w:rsid w:val="00115D17"/>
    <w:rsid w:val="00116453"/>
    <w:rsid w:val="001169BF"/>
    <w:rsid w:val="001172E1"/>
    <w:rsid w:val="00117314"/>
    <w:rsid w:val="0011799D"/>
    <w:rsid w:val="00120D86"/>
    <w:rsid w:val="00122496"/>
    <w:rsid w:val="0012295A"/>
    <w:rsid w:val="00122B56"/>
    <w:rsid w:val="0012306D"/>
    <w:rsid w:val="0012387E"/>
    <w:rsid w:val="00123EC7"/>
    <w:rsid w:val="001247EB"/>
    <w:rsid w:val="00124B5C"/>
    <w:rsid w:val="00124F45"/>
    <w:rsid w:val="00125483"/>
    <w:rsid w:val="001255CC"/>
    <w:rsid w:val="001258F7"/>
    <w:rsid w:val="00125E9D"/>
    <w:rsid w:val="001262D8"/>
    <w:rsid w:val="001267D0"/>
    <w:rsid w:val="00126A15"/>
    <w:rsid w:val="00126A48"/>
    <w:rsid w:val="00126B9E"/>
    <w:rsid w:val="00126E01"/>
    <w:rsid w:val="001271C8"/>
    <w:rsid w:val="001272D8"/>
    <w:rsid w:val="00127766"/>
    <w:rsid w:val="00127804"/>
    <w:rsid w:val="00127AA2"/>
    <w:rsid w:val="00127CC6"/>
    <w:rsid w:val="00130051"/>
    <w:rsid w:val="001302E0"/>
    <w:rsid w:val="001304A2"/>
    <w:rsid w:val="00130533"/>
    <w:rsid w:val="00130810"/>
    <w:rsid w:val="00130BD4"/>
    <w:rsid w:val="00130EF6"/>
    <w:rsid w:val="00131270"/>
    <w:rsid w:val="00131ACB"/>
    <w:rsid w:val="00131CC0"/>
    <w:rsid w:val="001322A8"/>
    <w:rsid w:val="00133674"/>
    <w:rsid w:val="001337FF"/>
    <w:rsid w:val="00134149"/>
    <w:rsid w:val="00134FBB"/>
    <w:rsid w:val="001352CE"/>
    <w:rsid w:val="001353EF"/>
    <w:rsid w:val="001354CB"/>
    <w:rsid w:val="001356DF"/>
    <w:rsid w:val="00135BFF"/>
    <w:rsid w:val="00136472"/>
    <w:rsid w:val="00137522"/>
    <w:rsid w:val="00137531"/>
    <w:rsid w:val="0013778B"/>
    <w:rsid w:val="00137839"/>
    <w:rsid w:val="00137A71"/>
    <w:rsid w:val="00140131"/>
    <w:rsid w:val="00140AE1"/>
    <w:rsid w:val="00140C03"/>
    <w:rsid w:val="00140D02"/>
    <w:rsid w:val="00140E0A"/>
    <w:rsid w:val="00141705"/>
    <w:rsid w:val="00141B6C"/>
    <w:rsid w:val="00141FD8"/>
    <w:rsid w:val="001432C2"/>
    <w:rsid w:val="0014337A"/>
    <w:rsid w:val="0014389C"/>
    <w:rsid w:val="00144CEC"/>
    <w:rsid w:val="00144E2E"/>
    <w:rsid w:val="001452F5"/>
    <w:rsid w:val="001453A4"/>
    <w:rsid w:val="001453BA"/>
    <w:rsid w:val="001453BF"/>
    <w:rsid w:val="00145D80"/>
    <w:rsid w:val="00145E20"/>
    <w:rsid w:val="00145F40"/>
    <w:rsid w:val="00146257"/>
    <w:rsid w:val="00146634"/>
    <w:rsid w:val="00146F52"/>
    <w:rsid w:val="00147B87"/>
    <w:rsid w:val="0015006E"/>
    <w:rsid w:val="001501A5"/>
    <w:rsid w:val="00150422"/>
    <w:rsid w:val="001508F6"/>
    <w:rsid w:val="00150D04"/>
    <w:rsid w:val="00151FF2"/>
    <w:rsid w:val="00152981"/>
    <w:rsid w:val="00152BC3"/>
    <w:rsid w:val="001530DB"/>
    <w:rsid w:val="00153298"/>
    <w:rsid w:val="001533B8"/>
    <w:rsid w:val="0015450A"/>
    <w:rsid w:val="00155FEF"/>
    <w:rsid w:val="0015602C"/>
    <w:rsid w:val="00156938"/>
    <w:rsid w:val="00156BBC"/>
    <w:rsid w:val="00156D6D"/>
    <w:rsid w:val="00157216"/>
    <w:rsid w:val="001573BF"/>
    <w:rsid w:val="00160074"/>
    <w:rsid w:val="0016032D"/>
    <w:rsid w:val="00160505"/>
    <w:rsid w:val="00160785"/>
    <w:rsid w:val="00160FF1"/>
    <w:rsid w:val="001611BE"/>
    <w:rsid w:val="00161F95"/>
    <w:rsid w:val="00162663"/>
    <w:rsid w:val="00162DC5"/>
    <w:rsid w:val="001634B3"/>
    <w:rsid w:val="001634C0"/>
    <w:rsid w:val="00163BAB"/>
    <w:rsid w:val="00163CCA"/>
    <w:rsid w:val="00163E35"/>
    <w:rsid w:val="00163E76"/>
    <w:rsid w:val="001641D4"/>
    <w:rsid w:val="00164368"/>
    <w:rsid w:val="0016468F"/>
    <w:rsid w:val="001663C2"/>
    <w:rsid w:val="00166429"/>
    <w:rsid w:val="00167056"/>
    <w:rsid w:val="0017008F"/>
    <w:rsid w:val="00170E67"/>
    <w:rsid w:val="00170F6F"/>
    <w:rsid w:val="00171626"/>
    <w:rsid w:val="0017181D"/>
    <w:rsid w:val="00172053"/>
    <w:rsid w:val="001734BF"/>
    <w:rsid w:val="001746B2"/>
    <w:rsid w:val="00174F4B"/>
    <w:rsid w:val="00175366"/>
    <w:rsid w:val="0017540E"/>
    <w:rsid w:val="0017579A"/>
    <w:rsid w:val="00175A28"/>
    <w:rsid w:val="00175C17"/>
    <w:rsid w:val="00175DC4"/>
    <w:rsid w:val="00175FBA"/>
    <w:rsid w:val="0017643F"/>
    <w:rsid w:val="00176558"/>
    <w:rsid w:val="001766DA"/>
    <w:rsid w:val="00176A09"/>
    <w:rsid w:val="00176F56"/>
    <w:rsid w:val="00177295"/>
    <w:rsid w:val="0017742C"/>
    <w:rsid w:val="001777BF"/>
    <w:rsid w:val="001777C6"/>
    <w:rsid w:val="001800DE"/>
    <w:rsid w:val="00180768"/>
    <w:rsid w:val="00180A18"/>
    <w:rsid w:val="00180B55"/>
    <w:rsid w:val="0018110D"/>
    <w:rsid w:val="00181287"/>
    <w:rsid w:val="00181CEB"/>
    <w:rsid w:val="00181E75"/>
    <w:rsid w:val="00181F10"/>
    <w:rsid w:val="00182581"/>
    <w:rsid w:val="001829A6"/>
    <w:rsid w:val="00182A80"/>
    <w:rsid w:val="00182CA6"/>
    <w:rsid w:val="00182FEB"/>
    <w:rsid w:val="00183112"/>
    <w:rsid w:val="001833B6"/>
    <w:rsid w:val="00183498"/>
    <w:rsid w:val="001839A7"/>
    <w:rsid w:val="00183A4F"/>
    <w:rsid w:val="00183AB2"/>
    <w:rsid w:val="00183D7F"/>
    <w:rsid w:val="001840E0"/>
    <w:rsid w:val="001843EB"/>
    <w:rsid w:val="00184960"/>
    <w:rsid w:val="00184C33"/>
    <w:rsid w:val="00184E8F"/>
    <w:rsid w:val="001850B1"/>
    <w:rsid w:val="00185546"/>
    <w:rsid w:val="00186055"/>
    <w:rsid w:val="00186284"/>
    <w:rsid w:val="0018650B"/>
    <w:rsid w:val="00186C00"/>
    <w:rsid w:val="00187059"/>
    <w:rsid w:val="0018736A"/>
    <w:rsid w:val="00187BAA"/>
    <w:rsid w:val="00190577"/>
    <w:rsid w:val="00190637"/>
    <w:rsid w:val="001907DF"/>
    <w:rsid w:val="00190E1A"/>
    <w:rsid w:val="00191CD6"/>
    <w:rsid w:val="001926F9"/>
    <w:rsid w:val="00192973"/>
    <w:rsid w:val="0019419C"/>
    <w:rsid w:val="0019449A"/>
    <w:rsid w:val="00194B90"/>
    <w:rsid w:val="001950C3"/>
    <w:rsid w:val="001958F9"/>
    <w:rsid w:val="00195F9A"/>
    <w:rsid w:val="001968A2"/>
    <w:rsid w:val="001973FF"/>
    <w:rsid w:val="0019788A"/>
    <w:rsid w:val="001A002D"/>
    <w:rsid w:val="001A01DE"/>
    <w:rsid w:val="001A0374"/>
    <w:rsid w:val="001A0919"/>
    <w:rsid w:val="001A1458"/>
    <w:rsid w:val="001A180F"/>
    <w:rsid w:val="001A1B32"/>
    <w:rsid w:val="001A21F9"/>
    <w:rsid w:val="001A2568"/>
    <w:rsid w:val="001A29C9"/>
    <w:rsid w:val="001A2CB2"/>
    <w:rsid w:val="001A2D98"/>
    <w:rsid w:val="001A2E67"/>
    <w:rsid w:val="001A2ED2"/>
    <w:rsid w:val="001A2FE7"/>
    <w:rsid w:val="001A3193"/>
    <w:rsid w:val="001A39B8"/>
    <w:rsid w:val="001A3B8A"/>
    <w:rsid w:val="001A4286"/>
    <w:rsid w:val="001A4475"/>
    <w:rsid w:val="001A4575"/>
    <w:rsid w:val="001A4576"/>
    <w:rsid w:val="001A4AB2"/>
    <w:rsid w:val="001A4D20"/>
    <w:rsid w:val="001A4FB7"/>
    <w:rsid w:val="001A5096"/>
    <w:rsid w:val="001A520C"/>
    <w:rsid w:val="001A52AF"/>
    <w:rsid w:val="001A5581"/>
    <w:rsid w:val="001A59C7"/>
    <w:rsid w:val="001A5A23"/>
    <w:rsid w:val="001A5C69"/>
    <w:rsid w:val="001A5E2D"/>
    <w:rsid w:val="001A5E3C"/>
    <w:rsid w:val="001A6077"/>
    <w:rsid w:val="001A61F8"/>
    <w:rsid w:val="001A634C"/>
    <w:rsid w:val="001A6AD6"/>
    <w:rsid w:val="001A6CDE"/>
    <w:rsid w:val="001A6FFE"/>
    <w:rsid w:val="001A72C3"/>
    <w:rsid w:val="001A7579"/>
    <w:rsid w:val="001A78E1"/>
    <w:rsid w:val="001A7B04"/>
    <w:rsid w:val="001A7DA6"/>
    <w:rsid w:val="001A7F68"/>
    <w:rsid w:val="001AC736"/>
    <w:rsid w:val="001B025E"/>
    <w:rsid w:val="001B069C"/>
    <w:rsid w:val="001B1162"/>
    <w:rsid w:val="001B1246"/>
    <w:rsid w:val="001B12EF"/>
    <w:rsid w:val="001B13C7"/>
    <w:rsid w:val="001B1BA6"/>
    <w:rsid w:val="001B212B"/>
    <w:rsid w:val="001B22E5"/>
    <w:rsid w:val="001B2808"/>
    <w:rsid w:val="001B2827"/>
    <w:rsid w:val="001B296F"/>
    <w:rsid w:val="001B40CA"/>
    <w:rsid w:val="001B4888"/>
    <w:rsid w:val="001B4E17"/>
    <w:rsid w:val="001B53B6"/>
    <w:rsid w:val="001B5641"/>
    <w:rsid w:val="001B5BDC"/>
    <w:rsid w:val="001B5D38"/>
    <w:rsid w:val="001B6504"/>
    <w:rsid w:val="001B7AFD"/>
    <w:rsid w:val="001C08DA"/>
    <w:rsid w:val="001C09E3"/>
    <w:rsid w:val="001C0E68"/>
    <w:rsid w:val="001C1A8B"/>
    <w:rsid w:val="001C1F1F"/>
    <w:rsid w:val="001C2454"/>
    <w:rsid w:val="001C2543"/>
    <w:rsid w:val="001C297B"/>
    <w:rsid w:val="001C3532"/>
    <w:rsid w:val="001C4026"/>
    <w:rsid w:val="001C44F1"/>
    <w:rsid w:val="001C4CCE"/>
    <w:rsid w:val="001C540F"/>
    <w:rsid w:val="001C59FF"/>
    <w:rsid w:val="001C5A5A"/>
    <w:rsid w:val="001C5B57"/>
    <w:rsid w:val="001C5CFA"/>
    <w:rsid w:val="001C5DBD"/>
    <w:rsid w:val="001C5E74"/>
    <w:rsid w:val="001C616E"/>
    <w:rsid w:val="001C635E"/>
    <w:rsid w:val="001C65F7"/>
    <w:rsid w:val="001C6619"/>
    <w:rsid w:val="001C6B2F"/>
    <w:rsid w:val="001C6E65"/>
    <w:rsid w:val="001C7673"/>
    <w:rsid w:val="001C7717"/>
    <w:rsid w:val="001C77FC"/>
    <w:rsid w:val="001C7AA1"/>
    <w:rsid w:val="001C7D41"/>
    <w:rsid w:val="001D01AB"/>
    <w:rsid w:val="001D0682"/>
    <w:rsid w:val="001D1162"/>
    <w:rsid w:val="001D164C"/>
    <w:rsid w:val="001D187E"/>
    <w:rsid w:val="001D1C9B"/>
    <w:rsid w:val="001D1DCB"/>
    <w:rsid w:val="001D1DEA"/>
    <w:rsid w:val="001D200D"/>
    <w:rsid w:val="001D236F"/>
    <w:rsid w:val="001D3026"/>
    <w:rsid w:val="001D32D4"/>
    <w:rsid w:val="001D38B4"/>
    <w:rsid w:val="001D39C4"/>
    <w:rsid w:val="001D3C61"/>
    <w:rsid w:val="001D426D"/>
    <w:rsid w:val="001D4BC1"/>
    <w:rsid w:val="001D5644"/>
    <w:rsid w:val="001D63A0"/>
    <w:rsid w:val="001D65B5"/>
    <w:rsid w:val="001D6999"/>
    <w:rsid w:val="001D760D"/>
    <w:rsid w:val="001E04AF"/>
    <w:rsid w:val="001E07D4"/>
    <w:rsid w:val="001E0A1F"/>
    <w:rsid w:val="001E0C73"/>
    <w:rsid w:val="001E1171"/>
    <w:rsid w:val="001E1418"/>
    <w:rsid w:val="001E17A7"/>
    <w:rsid w:val="001E1AEB"/>
    <w:rsid w:val="001E1B88"/>
    <w:rsid w:val="001E2554"/>
    <w:rsid w:val="001E2B2F"/>
    <w:rsid w:val="001E2DB3"/>
    <w:rsid w:val="001E2EFE"/>
    <w:rsid w:val="001E32B8"/>
    <w:rsid w:val="001E34A3"/>
    <w:rsid w:val="001E3B88"/>
    <w:rsid w:val="001E413D"/>
    <w:rsid w:val="001E4860"/>
    <w:rsid w:val="001E49EF"/>
    <w:rsid w:val="001E5019"/>
    <w:rsid w:val="001E52FE"/>
    <w:rsid w:val="001E5720"/>
    <w:rsid w:val="001E5775"/>
    <w:rsid w:val="001E5C1A"/>
    <w:rsid w:val="001E664B"/>
    <w:rsid w:val="001E67FD"/>
    <w:rsid w:val="001E74B3"/>
    <w:rsid w:val="001E74D6"/>
    <w:rsid w:val="001E74E0"/>
    <w:rsid w:val="001E7AFB"/>
    <w:rsid w:val="001E7CE4"/>
    <w:rsid w:val="001F1404"/>
    <w:rsid w:val="001F1643"/>
    <w:rsid w:val="001F25E8"/>
    <w:rsid w:val="001F2CCE"/>
    <w:rsid w:val="001F2ED1"/>
    <w:rsid w:val="001F329A"/>
    <w:rsid w:val="001F342E"/>
    <w:rsid w:val="001F38E7"/>
    <w:rsid w:val="001F390F"/>
    <w:rsid w:val="001F3EBA"/>
    <w:rsid w:val="001F4285"/>
    <w:rsid w:val="001F43D0"/>
    <w:rsid w:val="001F4759"/>
    <w:rsid w:val="001F4A7B"/>
    <w:rsid w:val="001F4AD0"/>
    <w:rsid w:val="001F4FCC"/>
    <w:rsid w:val="001F50C7"/>
    <w:rsid w:val="001F5746"/>
    <w:rsid w:val="001F5DA9"/>
    <w:rsid w:val="001F5EB1"/>
    <w:rsid w:val="001F626A"/>
    <w:rsid w:val="001F6699"/>
    <w:rsid w:val="001F674B"/>
    <w:rsid w:val="001F76BC"/>
    <w:rsid w:val="001F7908"/>
    <w:rsid w:val="002002D0"/>
    <w:rsid w:val="002003C7"/>
    <w:rsid w:val="00201473"/>
    <w:rsid w:val="0020156A"/>
    <w:rsid w:val="00201894"/>
    <w:rsid w:val="00201CED"/>
    <w:rsid w:val="0020283D"/>
    <w:rsid w:val="00202B8C"/>
    <w:rsid w:val="00202E75"/>
    <w:rsid w:val="00202F66"/>
    <w:rsid w:val="002031D9"/>
    <w:rsid w:val="0020323D"/>
    <w:rsid w:val="00203A95"/>
    <w:rsid w:val="00204568"/>
    <w:rsid w:val="00205693"/>
    <w:rsid w:val="002064C2"/>
    <w:rsid w:val="00206755"/>
    <w:rsid w:val="00206D8A"/>
    <w:rsid w:val="0020711A"/>
    <w:rsid w:val="00207947"/>
    <w:rsid w:val="00207E88"/>
    <w:rsid w:val="00210081"/>
    <w:rsid w:val="002104AC"/>
    <w:rsid w:val="00210594"/>
    <w:rsid w:val="002105F5"/>
    <w:rsid w:val="00210662"/>
    <w:rsid w:val="00210C76"/>
    <w:rsid w:val="002112F4"/>
    <w:rsid w:val="002113C1"/>
    <w:rsid w:val="0021171B"/>
    <w:rsid w:val="0021197A"/>
    <w:rsid w:val="00211E5C"/>
    <w:rsid w:val="0021209E"/>
    <w:rsid w:val="0021264C"/>
    <w:rsid w:val="0021264F"/>
    <w:rsid w:val="00212C30"/>
    <w:rsid w:val="00212D4B"/>
    <w:rsid w:val="00212D94"/>
    <w:rsid w:val="00212E28"/>
    <w:rsid w:val="002130D5"/>
    <w:rsid w:val="00213558"/>
    <w:rsid w:val="00213660"/>
    <w:rsid w:val="00213D21"/>
    <w:rsid w:val="0021453C"/>
    <w:rsid w:val="00215425"/>
    <w:rsid w:val="00215D5F"/>
    <w:rsid w:val="00215D9E"/>
    <w:rsid w:val="00215FED"/>
    <w:rsid w:val="00216342"/>
    <w:rsid w:val="00216708"/>
    <w:rsid w:val="00216BCC"/>
    <w:rsid w:val="00217D2E"/>
    <w:rsid w:val="002207C5"/>
    <w:rsid w:val="0022187F"/>
    <w:rsid w:val="00221906"/>
    <w:rsid w:val="0022194D"/>
    <w:rsid w:val="0022240B"/>
    <w:rsid w:val="00223452"/>
    <w:rsid w:val="00223E1F"/>
    <w:rsid w:val="002241E0"/>
    <w:rsid w:val="00224543"/>
    <w:rsid w:val="0022495A"/>
    <w:rsid w:val="00224C66"/>
    <w:rsid w:val="00224E43"/>
    <w:rsid w:val="00225C06"/>
    <w:rsid w:val="0022612F"/>
    <w:rsid w:val="00226213"/>
    <w:rsid w:val="00227474"/>
    <w:rsid w:val="00227496"/>
    <w:rsid w:val="00227779"/>
    <w:rsid w:val="00227913"/>
    <w:rsid w:val="00227AE1"/>
    <w:rsid w:val="00230547"/>
    <w:rsid w:val="002308BB"/>
    <w:rsid w:val="00231017"/>
    <w:rsid w:val="00231370"/>
    <w:rsid w:val="00231EAD"/>
    <w:rsid w:val="002324F1"/>
    <w:rsid w:val="00232923"/>
    <w:rsid w:val="0023376D"/>
    <w:rsid w:val="00233CCF"/>
    <w:rsid w:val="00234365"/>
    <w:rsid w:val="00234668"/>
    <w:rsid w:val="002347A2"/>
    <w:rsid w:val="0023611A"/>
    <w:rsid w:val="0023632A"/>
    <w:rsid w:val="0023740C"/>
    <w:rsid w:val="002375C0"/>
    <w:rsid w:val="00237644"/>
    <w:rsid w:val="00237834"/>
    <w:rsid w:val="00237C1B"/>
    <w:rsid w:val="002408E7"/>
    <w:rsid w:val="00241668"/>
    <w:rsid w:val="00242847"/>
    <w:rsid w:val="00242E30"/>
    <w:rsid w:val="00243320"/>
    <w:rsid w:val="002433AC"/>
    <w:rsid w:val="00243482"/>
    <w:rsid w:val="002438BA"/>
    <w:rsid w:val="00245121"/>
    <w:rsid w:val="002460BE"/>
    <w:rsid w:val="002461AB"/>
    <w:rsid w:val="002462A8"/>
    <w:rsid w:val="00246357"/>
    <w:rsid w:val="0024655E"/>
    <w:rsid w:val="00246672"/>
    <w:rsid w:val="00246A19"/>
    <w:rsid w:val="00246B1A"/>
    <w:rsid w:val="00247683"/>
    <w:rsid w:val="00247868"/>
    <w:rsid w:val="00247A73"/>
    <w:rsid w:val="00247BDF"/>
    <w:rsid w:val="00247E87"/>
    <w:rsid w:val="00250280"/>
    <w:rsid w:val="00250997"/>
    <w:rsid w:val="00251104"/>
    <w:rsid w:val="00251CFF"/>
    <w:rsid w:val="00252942"/>
    <w:rsid w:val="002544C3"/>
    <w:rsid w:val="00254945"/>
    <w:rsid w:val="00254BFF"/>
    <w:rsid w:val="00254F90"/>
    <w:rsid w:val="00255138"/>
    <w:rsid w:val="0025548F"/>
    <w:rsid w:val="00255831"/>
    <w:rsid w:val="00255F23"/>
    <w:rsid w:val="0025673D"/>
    <w:rsid w:val="0025682C"/>
    <w:rsid w:val="00256CFA"/>
    <w:rsid w:val="002571C7"/>
    <w:rsid w:val="00257572"/>
    <w:rsid w:val="00257E16"/>
    <w:rsid w:val="0026078D"/>
    <w:rsid w:val="00260EB5"/>
    <w:rsid w:val="00260F89"/>
    <w:rsid w:val="002614BF"/>
    <w:rsid w:val="00261CD3"/>
    <w:rsid w:val="00261F80"/>
    <w:rsid w:val="00262645"/>
    <w:rsid w:val="00262D60"/>
    <w:rsid w:val="00263029"/>
    <w:rsid w:val="002635F2"/>
    <w:rsid w:val="00264FC7"/>
    <w:rsid w:val="0026522C"/>
    <w:rsid w:val="002655A6"/>
    <w:rsid w:val="0026565C"/>
    <w:rsid w:val="00265A45"/>
    <w:rsid w:val="00265A5F"/>
    <w:rsid w:val="002664D7"/>
    <w:rsid w:val="00266B0E"/>
    <w:rsid w:val="00266DF3"/>
    <w:rsid w:val="0026725E"/>
    <w:rsid w:val="00267899"/>
    <w:rsid w:val="00267AC2"/>
    <w:rsid w:val="00270534"/>
    <w:rsid w:val="00270EE9"/>
    <w:rsid w:val="00271023"/>
    <w:rsid w:val="00271F3D"/>
    <w:rsid w:val="002727BE"/>
    <w:rsid w:val="00273029"/>
    <w:rsid w:val="00273289"/>
    <w:rsid w:val="0027408A"/>
    <w:rsid w:val="00275304"/>
    <w:rsid w:val="002754D7"/>
    <w:rsid w:val="00275648"/>
    <w:rsid w:val="00275CAF"/>
    <w:rsid w:val="00276496"/>
    <w:rsid w:val="002771DA"/>
    <w:rsid w:val="00277332"/>
    <w:rsid w:val="002774C3"/>
    <w:rsid w:val="0028007B"/>
    <w:rsid w:val="00280106"/>
    <w:rsid w:val="002802B8"/>
    <w:rsid w:val="00280E89"/>
    <w:rsid w:val="0028143A"/>
    <w:rsid w:val="002827E8"/>
    <w:rsid w:val="00282F35"/>
    <w:rsid w:val="002838FC"/>
    <w:rsid w:val="00283B9D"/>
    <w:rsid w:val="00283CB8"/>
    <w:rsid w:val="00283D64"/>
    <w:rsid w:val="00284498"/>
    <w:rsid w:val="002848F3"/>
    <w:rsid w:val="00284E6A"/>
    <w:rsid w:val="00285827"/>
    <w:rsid w:val="0028632C"/>
    <w:rsid w:val="002865F7"/>
    <w:rsid w:val="002866D3"/>
    <w:rsid w:val="00286B92"/>
    <w:rsid w:val="00286C2D"/>
    <w:rsid w:val="00286F2E"/>
    <w:rsid w:val="002872FB"/>
    <w:rsid w:val="00287376"/>
    <w:rsid w:val="002873C6"/>
    <w:rsid w:val="002874B3"/>
    <w:rsid w:val="002879F1"/>
    <w:rsid w:val="00290465"/>
    <w:rsid w:val="002917D7"/>
    <w:rsid w:val="00291B4C"/>
    <w:rsid w:val="002922BE"/>
    <w:rsid w:val="00293DF8"/>
    <w:rsid w:val="002940C3"/>
    <w:rsid w:val="002944A2"/>
    <w:rsid w:val="002958B3"/>
    <w:rsid w:val="002959F4"/>
    <w:rsid w:val="0029613A"/>
    <w:rsid w:val="002972E7"/>
    <w:rsid w:val="002975DA"/>
    <w:rsid w:val="00297BDF"/>
    <w:rsid w:val="002A0058"/>
    <w:rsid w:val="002A02FC"/>
    <w:rsid w:val="002A0546"/>
    <w:rsid w:val="002A0629"/>
    <w:rsid w:val="002A0ECD"/>
    <w:rsid w:val="002A1000"/>
    <w:rsid w:val="002A1685"/>
    <w:rsid w:val="002A17EB"/>
    <w:rsid w:val="002A1CD3"/>
    <w:rsid w:val="002A1CE4"/>
    <w:rsid w:val="002A1FF0"/>
    <w:rsid w:val="002A365E"/>
    <w:rsid w:val="002A36B7"/>
    <w:rsid w:val="002A3CEA"/>
    <w:rsid w:val="002A4341"/>
    <w:rsid w:val="002A466F"/>
    <w:rsid w:val="002A4752"/>
    <w:rsid w:val="002A4980"/>
    <w:rsid w:val="002A5293"/>
    <w:rsid w:val="002A52D4"/>
    <w:rsid w:val="002A5382"/>
    <w:rsid w:val="002A5B16"/>
    <w:rsid w:val="002A6111"/>
    <w:rsid w:val="002A641E"/>
    <w:rsid w:val="002A69ED"/>
    <w:rsid w:val="002A74A3"/>
    <w:rsid w:val="002A7689"/>
    <w:rsid w:val="002A78D9"/>
    <w:rsid w:val="002A79E5"/>
    <w:rsid w:val="002A7A85"/>
    <w:rsid w:val="002A7AF4"/>
    <w:rsid w:val="002B0034"/>
    <w:rsid w:val="002B063C"/>
    <w:rsid w:val="002B06A0"/>
    <w:rsid w:val="002B06B5"/>
    <w:rsid w:val="002B0E3D"/>
    <w:rsid w:val="002B2742"/>
    <w:rsid w:val="002B2829"/>
    <w:rsid w:val="002B3253"/>
    <w:rsid w:val="002B32FA"/>
    <w:rsid w:val="002B3DCE"/>
    <w:rsid w:val="002B43F1"/>
    <w:rsid w:val="002B4FAA"/>
    <w:rsid w:val="002B5005"/>
    <w:rsid w:val="002B59E4"/>
    <w:rsid w:val="002B5CD4"/>
    <w:rsid w:val="002B621E"/>
    <w:rsid w:val="002B66B6"/>
    <w:rsid w:val="002B67D6"/>
    <w:rsid w:val="002B75A8"/>
    <w:rsid w:val="002B7D8F"/>
    <w:rsid w:val="002C00CD"/>
    <w:rsid w:val="002C0642"/>
    <w:rsid w:val="002C0786"/>
    <w:rsid w:val="002C0D88"/>
    <w:rsid w:val="002C1150"/>
    <w:rsid w:val="002C1F0B"/>
    <w:rsid w:val="002C1F5F"/>
    <w:rsid w:val="002C2BDE"/>
    <w:rsid w:val="002C2FBE"/>
    <w:rsid w:val="002C350A"/>
    <w:rsid w:val="002C373B"/>
    <w:rsid w:val="002C3810"/>
    <w:rsid w:val="002C3D4A"/>
    <w:rsid w:val="002C3F05"/>
    <w:rsid w:val="002C4476"/>
    <w:rsid w:val="002C4A55"/>
    <w:rsid w:val="002C50D4"/>
    <w:rsid w:val="002C5359"/>
    <w:rsid w:val="002C5741"/>
    <w:rsid w:val="002C5EA5"/>
    <w:rsid w:val="002C756D"/>
    <w:rsid w:val="002D0422"/>
    <w:rsid w:val="002D0440"/>
    <w:rsid w:val="002D0E54"/>
    <w:rsid w:val="002D1DA3"/>
    <w:rsid w:val="002D2397"/>
    <w:rsid w:val="002D25C8"/>
    <w:rsid w:val="002D265F"/>
    <w:rsid w:val="002D36E8"/>
    <w:rsid w:val="002D3A50"/>
    <w:rsid w:val="002D3F04"/>
    <w:rsid w:val="002D3F6A"/>
    <w:rsid w:val="002D439B"/>
    <w:rsid w:val="002D4D38"/>
    <w:rsid w:val="002D4F31"/>
    <w:rsid w:val="002D4F47"/>
    <w:rsid w:val="002D539A"/>
    <w:rsid w:val="002D542D"/>
    <w:rsid w:val="002D5A72"/>
    <w:rsid w:val="002D688E"/>
    <w:rsid w:val="002D68D9"/>
    <w:rsid w:val="002D701E"/>
    <w:rsid w:val="002D7B5E"/>
    <w:rsid w:val="002D7D19"/>
    <w:rsid w:val="002E0152"/>
    <w:rsid w:val="002E03A9"/>
    <w:rsid w:val="002E049C"/>
    <w:rsid w:val="002E09D4"/>
    <w:rsid w:val="002E0FCB"/>
    <w:rsid w:val="002E15D3"/>
    <w:rsid w:val="002E15F7"/>
    <w:rsid w:val="002E19E6"/>
    <w:rsid w:val="002E1DF9"/>
    <w:rsid w:val="002E2A50"/>
    <w:rsid w:val="002E364C"/>
    <w:rsid w:val="002E37F4"/>
    <w:rsid w:val="002E3BD2"/>
    <w:rsid w:val="002E3F05"/>
    <w:rsid w:val="002E47E5"/>
    <w:rsid w:val="002E51D0"/>
    <w:rsid w:val="002E56B7"/>
    <w:rsid w:val="002E57BD"/>
    <w:rsid w:val="002E6897"/>
    <w:rsid w:val="002E6AF0"/>
    <w:rsid w:val="002E6ED5"/>
    <w:rsid w:val="002E700C"/>
    <w:rsid w:val="002E7C7A"/>
    <w:rsid w:val="002F0404"/>
    <w:rsid w:val="002F0948"/>
    <w:rsid w:val="002F1380"/>
    <w:rsid w:val="002F17E9"/>
    <w:rsid w:val="002F18E5"/>
    <w:rsid w:val="002F2E68"/>
    <w:rsid w:val="002F3113"/>
    <w:rsid w:val="002F3157"/>
    <w:rsid w:val="002F3261"/>
    <w:rsid w:val="002F352E"/>
    <w:rsid w:val="002F3AFF"/>
    <w:rsid w:val="002F4EDB"/>
    <w:rsid w:val="002F6123"/>
    <w:rsid w:val="002F730A"/>
    <w:rsid w:val="002F7BB7"/>
    <w:rsid w:val="0030047A"/>
    <w:rsid w:val="00300BD8"/>
    <w:rsid w:val="003013A3"/>
    <w:rsid w:val="00301BF6"/>
    <w:rsid w:val="003037B8"/>
    <w:rsid w:val="00303E94"/>
    <w:rsid w:val="00304962"/>
    <w:rsid w:val="00304EC9"/>
    <w:rsid w:val="00305257"/>
    <w:rsid w:val="003053C5"/>
    <w:rsid w:val="003056D3"/>
    <w:rsid w:val="0030599D"/>
    <w:rsid w:val="00305B3F"/>
    <w:rsid w:val="00305EFE"/>
    <w:rsid w:val="00306AD4"/>
    <w:rsid w:val="003074C6"/>
    <w:rsid w:val="00307AB8"/>
    <w:rsid w:val="003107B5"/>
    <w:rsid w:val="00310858"/>
    <w:rsid w:val="00310B48"/>
    <w:rsid w:val="00310D52"/>
    <w:rsid w:val="003115E1"/>
    <w:rsid w:val="00311C18"/>
    <w:rsid w:val="003120E1"/>
    <w:rsid w:val="00312611"/>
    <w:rsid w:val="003127E3"/>
    <w:rsid w:val="00312848"/>
    <w:rsid w:val="00312BA2"/>
    <w:rsid w:val="00312C9A"/>
    <w:rsid w:val="00312ED3"/>
    <w:rsid w:val="00312F0D"/>
    <w:rsid w:val="003141A9"/>
    <w:rsid w:val="003148BF"/>
    <w:rsid w:val="003149D7"/>
    <w:rsid w:val="00315847"/>
    <w:rsid w:val="003168AE"/>
    <w:rsid w:val="00316D08"/>
    <w:rsid w:val="00316F2A"/>
    <w:rsid w:val="0031789C"/>
    <w:rsid w:val="00320924"/>
    <w:rsid w:val="003216FC"/>
    <w:rsid w:val="003220D9"/>
    <w:rsid w:val="00322C8E"/>
    <w:rsid w:val="00322DC6"/>
    <w:rsid w:val="003230E1"/>
    <w:rsid w:val="0032370F"/>
    <w:rsid w:val="00323B1D"/>
    <w:rsid w:val="00323C22"/>
    <w:rsid w:val="00323D30"/>
    <w:rsid w:val="00324972"/>
    <w:rsid w:val="003251A8"/>
    <w:rsid w:val="00325BA0"/>
    <w:rsid w:val="00325EDB"/>
    <w:rsid w:val="003261F9"/>
    <w:rsid w:val="0032636E"/>
    <w:rsid w:val="00326686"/>
    <w:rsid w:val="00326A43"/>
    <w:rsid w:val="00327540"/>
    <w:rsid w:val="00327E53"/>
    <w:rsid w:val="00330E83"/>
    <w:rsid w:val="00331164"/>
    <w:rsid w:val="00331216"/>
    <w:rsid w:val="0033135A"/>
    <w:rsid w:val="003315A1"/>
    <w:rsid w:val="0033178C"/>
    <w:rsid w:val="003317E7"/>
    <w:rsid w:val="00331948"/>
    <w:rsid w:val="00331FDF"/>
    <w:rsid w:val="003325EF"/>
    <w:rsid w:val="003339B0"/>
    <w:rsid w:val="00333D90"/>
    <w:rsid w:val="00334349"/>
    <w:rsid w:val="003344C4"/>
    <w:rsid w:val="0033484F"/>
    <w:rsid w:val="00334C23"/>
    <w:rsid w:val="00334C8E"/>
    <w:rsid w:val="00334EBD"/>
    <w:rsid w:val="00335349"/>
    <w:rsid w:val="00335562"/>
    <w:rsid w:val="00335CF5"/>
    <w:rsid w:val="0033657A"/>
    <w:rsid w:val="00336922"/>
    <w:rsid w:val="00336D90"/>
    <w:rsid w:val="00337060"/>
    <w:rsid w:val="00337E82"/>
    <w:rsid w:val="00340415"/>
    <w:rsid w:val="0034053A"/>
    <w:rsid w:val="0034078A"/>
    <w:rsid w:val="003410C3"/>
    <w:rsid w:val="003414FF"/>
    <w:rsid w:val="00342610"/>
    <w:rsid w:val="0034291B"/>
    <w:rsid w:val="00342BF5"/>
    <w:rsid w:val="00343894"/>
    <w:rsid w:val="00343D98"/>
    <w:rsid w:val="0034439A"/>
    <w:rsid w:val="003444D6"/>
    <w:rsid w:val="00345650"/>
    <w:rsid w:val="00345C83"/>
    <w:rsid w:val="00345C9D"/>
    <w:rsid w:val="00346122"/>
    <w:rsid w:val="00346288"/>
    <w:rsid w:val="00346505"/>
    <w:rsid w:val="00346864"/>
    <w:rsid w:val="00346890"/>
    <w:rsid w:val="00346896"/>
    <w:rsid w:val="00346C24"/>
    <w:rsid w:val="00347791"/>
    <w:rsid w:val="003478A7"/>
    <w:rsid w:val="00347C4A"/>
    <w:rsid w:val="00350338"/>
    <w:rsid w:val="00350380"/>
    <w:rsid w:val="00350C66"/>
    <w:rsid w:val="0035101C"/>
    <w:rsid w:val="003513AB"/>
    <w:rsid w:val="00351AEA"/>
    <w:rsid w:val="00351F44"/>
    <w:rsid w:val="003521B7"/>
    <w:rsid w:val="003521C6"/>
    <w:rsid w:val="00352305"/>
    <w:rsid w:val="003525F3"/>
    <w:rsid w:val="00352B04"/>
    <w:rsid w:val="00352C55"/>
    <w:rsid w:val="003533DE"/>
    <w:rsid w:val="003538C6"/>
    <w:rsid w:val="003539DB"/>
    <w:rsid w:val="00353D9E"/>
    <w:rsid w:val="00353E27"/>
    <w:rsid w:val="00354274"/>
    <w:rsid w:val="003551F5"/>
    <w:rsid w:val="0035570F"/>
    <w:rsid w:val="00355BDE"/>
    <w:rsid w:val="00356211"/>
    <w:rsid w:val="003569EC"/>
    <w:rsid w:val="00356E64"/>
    <w:rsid w:val="00357D89"/>
    <w:rsid w:val="00357FD7"/>
    <w:rsid w:val="00360174"/>
    <w:rsid w:val="003606ED"/>
    <w:rsid w:val="0036076F"/>
    <w:rsid w:val="00360A39"/>
    <w:rsid w:val="003615E1"/>
    <w:rsid w:val="00361BB2"/>
    <w:rsid w:val="0036299F"/>
    <w:rsid w:val="00362AD9"/>
    <w:rsid w:val="00362D88"/>
    <w:rsid w:val="0036315F"/>
    <w:rsid w:val="003634AB"/>
    <w:rsid w:val="00363AC7"/>
    <w:rsid w:val="00364A82"/>
    <w:rsid w:val="00365328"/>
    <w:rsid w:val="0036540E"/>
    <w:rsid w:val="00365742"/>
    <w:rsid w:val="0036696B"/>
    <w:rsid w:val="003673C9"/>
    <w:rsid w:val="003674AB"/>
    <w:rsid w:val="00367C64"/>
    <w:rsid w:val="00367EDF"/>
    <w:rsid w:val="003701F0"/>
    <w:rsid w:val="00371737"/>
    <w:rsid w:val="00371F72"/>
    <w:rsid w:val="0037216F"/>
    <w:rsid w:val="003722DC"/>
    <w:rsid w:val="0037252F"/>
    <w:rsid w:val="00372F8D"/>
    <w:rsid w:val="00373159"/>
    <w:rsid w:val="00373261"/>
    <w:rsid w:val="003734A7"/>
    <w:rsid w:val="0037377D"/>
    <w:rsid w:val="00373DA5"/>
    <w:rsid w:val="0037401F"/>
    <w:rsid w:val="003740AF"/>
    <w:rsid w:val="0037448A"/>
    <w:rsid w:val="003746A3"/>
    <w:rsid w:val="00374C60"/>
    <w:rsid w:val="00374D15"/>
    <w:rsid w:val="00375081"/>
    <w:rsid w:val="003750B3"/>
    <w:rsid w:val="00375314"/>
    <w:rsid w:val="00376959"/>
    <w:rsid w:val="00376F8A"/>
    <w:rsid w:val="00376FB7"/>
    <w:rsid w:val="00377321"/>
    <w:rsid w:val="00377AC5"/>
    <w:rsid w:val="00377D14"/>
    <w:rsid w:val="003800FB"/>
    <w:rsid w:val="0038021C"/>
    <w:rsid w:val="00380C08"/>
    <w:rsid w:val="00380D43"/>
    <w:rsid w:val="003814E6"/>
    <w:rsid w:val="00381D11"/>
    <w:rsid w:val="00381FB1"/>
    <w:rsid w:val="003821F0"/>
    <w:rsid w:val="003827F2"/>
    <w:rsid w:val="00382AEE"/>
    <w:rsid w:val="00382CDC"/>
    <w:rsid w:val="0038303A"/>
    <w:rsid w:val="00384084"/>
    <w:rsid w:val="00384212"/>
    <w:rsid w:val="00384290"/>
    <w:rsid w:val="00384728"/>
    <w:rsid w:val="00384D0B"/>
    <w:rsid w:val="00384D7F"/>
    <w:rsid w:val="003857B7"/>
    <w:rsid w:val="00385C3A"/>
    <w:rsid w:val="003862D0"/>
    <w:rsid w:val="00386B20"/>
    <w:rsid w:val="00386D46"/>
    <w:rsid w:val="00387874"/>
    <w:rsid w:val="00387FE3"/>
    <w:rsid w:val="00390D5F"/>
    <w:rsid w:val="00390F90"/>
    <w:rsid w:val="0039121E"/>
    <w:rsid w:val="003917F3"/>
    <w:rsid w:val="00392360"/>
    <w:rsid w:val="00392DE4"/>
    <w:rsid w:val="00392E12"/>
    <w:rsid w:val="0039315B"/>
    <w:rsid w:val="0039372E"/>
    <w:rsid w:val="003939EB"/>
    <w:rsid w:val="00393C3E"/>
    <w:rsid w:val="00394223"/>
    <w:rsid w:val="00394947"/>
    <w:rsid w:val="00394B37"/>
    <w:rsid w:val="00394DED"/>
    <w:rsid w:val="00395606"/>
    <w:rsid w:val="00395A20"/>
    <w:rsid w:val="0039671A"/>
    <w:rsid w:val="003976EA"/>
    <w:rsid w:val="00397CFA"/>
    <w:rsid w:val="00397F7A"/>
    <w:rsid w:val="003A0BF5"/>
    <w:rsid w:val="003A0E2C"/>
    <w:rsid w:val="003A147D"/>
    <w:rsid w:val="003A18A9"/>
    <w:rsid w:val="003A1A49"/>
    <w:rsid w:val="003A1C39"/>
    <w:rsid w:val="003A1F68"/>
    <w:rsid w:val="003A20C0"/>
    <w:rsid w:val="003A255A"/>
    <w:rsid w:val="003A2CB2"/>
    <w:rsid w:val="003A2D90"/>
    <w:rsid w:val="003A38FC"/>
    <w:rsid w:val="003A44B2"/>
    <w:rsid w:val="003A44BD"/>
    <w:rsid w:val="003A4C85"/>
    <w:rsid w:val="003A57CF"/>
    <w:rsid w:val="003A6B9F"/>
    <w:rsid w:val="003A6CAB"/>
    <w:rsid w:val="003A7142"/>
    <w:rsid w:val="003A79F7"/>
    <w:rsid w:val="003B1252"/>
    <w:rsid w:val="003B1390"/>
    <w:rsid w:val="003B2556"/>
    <w:rsid w:val="003B3CCB"/>
    <w:rsid w:val="003B3D51"/>
    <w:rsid w:val="003B4EFD"/>
    <w:rsid w:val="003B50A4"/>
    <w:rsid w:val="003B5114"/>
    <w:rsid w:val="003B511A"/>
    <w:rsid w:val="003B5B09"/>
    <w:rsid w:val="003B6B39"/>
    <w:rsid w:val="003B6C83"/>
    <w:rsid w:val="003B6CEB"/>
    <w:rsid w:val="003B7038"/>
    <w:rsid w:val="003B789C"/>
    <w:rsid w:val="003B7E79"/>
    <w:rsid w:val="003C14E6"/>
    <w:rsid w:val="003C1D8A"/>
    <w:rsid w:val="003C24FE"/>
    <w:rsid w:val="003C298B"/>
    <w:rsid w:val="003C2B5C"/>
    <w:rsid w:val="003C2BF9"/>
    <w:rsid w:val="003C2C3C"/>
    <w:rsid w:val="003C3240"/>
    <w:rsid w:val="003C35B0"/>
    <w:rsid w:val="003C3612"/>
    <w:rsid w:val="003C37D9"/>
    <w:rsid w:val="003C3BF2"/>
    <w:rsid w:val="003C41B9"/>
    <w:rsid w:val="003C4757"/>
    <w:rsid w:val="003C4983"/>
    <w:rsid w:val="003C4F7A"/>
    <w:rsid w:val="003C5AA6"/>
    <w:rsid w:val="003C5C4D"/>
    <w:rsid w:val="003C5C4E"/>
    <w:rsid w:val="003C5FB7"/>
    <w:rsid w:val="003C615B"/>
    <w:rsid w:val="003C61D7"/>
    <w:rsid w:val="003C648F"/>
    <w:rsid w:val="003C70A0"/>
    <w:rsid w:val="003C731D"/>
    <w:rsid w:val="003C7487"/>
    <w:rsid w:val="003C7ABB"/>
    <w:rsid w:val="003D0319"/>
    <w:rsid w:val="003D0B97"/>
    <w:rsid w:val="003D0CC7"/>
    <w:rsid w:val="003D0CCB"/>
    <w:rsid w:val="003D0D06"/>
    <w:rsid w:val="003D1776"/>
    <w:rsid w:val="003D1AD8"/>
    <w:rsid w:val="003D2864"/>
    <w:rsid w:val="003D33F3"/>
    <w:rsid w:val="003D3623"/>
    <w:rsid w:val="003D37CE"/>
    <w:rsid w:val="003D38C1"/>
    <w:rsid w:val="003D3BAB"/>
    <w:rsid w:val="003D3BD3"/>
    <w:rsid w:val="003D3D77"/>
    <w:rsid w:val="003D4447"/>
    <w:rsid w:val="003D45C8"/>
    <w:rsid w:val="003D4EB1"/>
    <w:rsid w:val="003D5116"/>
    <w:rsid w:val="003D519B"/>
    <w:rsid w:val="003D584C"/>
    <w:rsid w:val="003D5E16"/>
    <w:rsid w:val="003D5FAF"/>
    <w:rsid w:val="003D6C5E"/>
    <w:rsid w:val="003D7533"/>
    <w:rsid w:val="003D7869"/>
    <w:rsid w:val="003D7A3F"/>
    <w:rsid w:val="003E0123"/>
    <w:rsid w:val="003E07F3"/>
    <w:rsid w:val="003E1074"/>
    <w:rsid w:val="003E12D1"/>
    <w:rsid w:val="003E1CDE"/>
    <w:rsid w:val="003E20CF"/>
    <w:rsid w:val="003E2189"/>
    <w:rsid w:val="003E27F8"/>
    <w:rsid w:val="003E2AC3"/>
    <w:rsid w:val="003E2E35"/>
    <w:rsid w:val="003E3526"/>
    <w:rsid w:val="003E38DA"/>
    <w:rsid w:val="003E4676"/>
    <w:rsid w:val="003E4865"/>
    <w:rsid w:val="003E4E8F"/>
    <w:rsid w:val="003E5662"/>
    <w:rsid w:val="003E596B"/>
    <w:rsid w:val="003E5F99"/>
    <w:rsid w:val="003E5FF6"/>
    <w:rsid w:val="003E6368"/>
    <w:rsid w:val="003E69C8"/>
    <w:rsid w:val="003E744D"/>
    <w:rsid w:val="003E74F4"/>
    <w:rsid w:val="003E78ED"/>
    <w:rsid w:val="003E7ADC"/>
    <w:rsid w:val="003E7BB3"/>
    <w:rsid w:val="003E7ECD"/>
    <w:rsid w:val="003F03AB"/>
    <w:rsid w:val="003F06E5"/>
    <w:rsid w:val="003F1461"/>
    <w:rsid w:val="003F15BB"/>
    <w:rsid w:val="003F1EB7"/>
    <w:rsid w:val="003F2410"/>
    <w:rsid w:val="003F278A"/>
    <w:rsid w:val="003F2B9C"/>
    <w:rsid w:val="003F31D8"/>
    <w:rsid w:val="003F3227"/>
    <w:rsid w:val="003F3274"/>
    <w:rsid w:val="003F37C9"/>
    <w:rsid w:val="003F40A2"/>
    <w:rsid w:val="003F4164"/>
    <w:rsid w:val="003F462A"/>
    <w:rsid w:val="003F4C0A"/>
    <w:rsid w:val="003F4CA3"/>
    <w:rsid w:val="003F4E18"/>
    <w:rsid w:val="003F5DDC"/>
    <w:rsid w:val="003F5F73"/>
    <w:rsid w:val="003F6904"/>
    <w:rsid w:val="003F6D32"/>
    <w:rsid w:val="003F77B6"/>
    <w:rsid w:val="003F77CC"/>
    <w:rsid w:val="003F7A86"/>
    <w:rsid w:val="003F7EF1"/>
    <w:rsid w:val="00400901"/>
    <w:rsid w:val="00400E39"/>
    <w:rsid w:val="00401B68"/>
    <w:rsid w:val="00402579"/>
    <w:rsid w:val="004027BD"/>
    <w:rsid w:val="00402BC0"/>
    <w:rsid w:val="00402BD0"/>
    <w:rsid w:val="00402DCF"/>
    <w:rsid w:val="004030D7"/>
    <w:rsid w:val="00403234"/>
    <w:rsid w:val="00403236"/>
    <w:rsid w:val="00403800"/>
    <w:rsid w:val="00403B06"/>
    <w:rsid w:val="00403B21"/>
    <w:rsid w:val="004049BE"/>
    <w:rsid w:val="00404BF0"/>
    <w:rsid w:val="004050F0"/>
    <w:rsid w:val="004056C4"/>
    <w:rsid w:val="00405A93"/>
    <w:rsid w:val="0040653A"/>
    <w:rsid w:val="004067E7"/>
    <w:rsid w:val="00406A4B"/>
    <w:rsid w:val="00406AA0"/>
    <w:rsid w:val="00407C95"/>
    <w:rsid w:val="00407CC9"/>
    <w:rsid w:val="00410272"/>
    <w:rsid w:val="0041036C"/>
    <w:rsid w:val="00410730"/>
    <w:rsid w:val="0041077A"/>
    <w:rsid w:val="00410F3C"/>
    <w:rsid w:val="004125F9"/>
    <w:rsid w:val="00412E25"/>
    <w:rsid w:val="004137C7"/>
    <w:rsid w:val="0041498A"/>
    <w:rsid w:val="0041518A"/>
    <w:rsid w:val="00415507"/>
    <w:rsid w:val="00415F59"/>
    <w:rsid w:val="0041622E"/>
    <w:rsid w:val="00416555"/>
    <w:rsid w:val="004165A7"/>
    <w:rsid w:val="00416D24"/>
    <w:rsid w:val="00416EB2"/>
    <w:rsid w:val="004170F2"/>
    <w:rsid w:val="00417140"/>
    <w:rsid w:val="0041722B"/>
    <w:rsid w:val="0041773C"/>
    <w:rsid w:val="00417A93"/>
    <w:rsid w:val="00417FD9"/>
    <w:rsid w:val="004208A8"/>
    <w:rsid w:val="00420DB0"/>
    <w:rsid w:val="00421345"/>
    <w:rsid w:val="0042170F"/>
    <w:rsid w:val="00421EFE"/>
    <w:rsid w:val="0042255B"/>
    <w:rsid w:val="00422D1B"/>
    <w:rsid w:val="004232BC"/>
    <w:rsid w:val="00423C42"/>
    <w:rsid w:val="00424ABA"/>
    <w:rsid w:val="00424B32"/>
    <w:rsid w:val="00424CFF"/>
    <w:rsid w:val="0042500D"/>
    <w:rsid w:val="0042558D"/>
    <w:rsid w:val="00425DB3"/>
    <w:rsid w:val="00425DF5"/>
    <w:rsid w:val="004269DF"/>
    <w:rsid w:val="004271DB"/>
    <w:rsid w:val="00430519"/>
    <w:rsid w:val="0043087D"/>
    <w:rsid w:val="00430F56"/>
    <w:rsid w:val="00431B2E"/>
    <w:rsid w:val="00431F56"/>
    <w:rsid w:val="00432262"/>
    <w:rsid w:val="00432529"/>
    <w:rsid w:val="004326B7"/>
    <w:rsid w:val="0043271B"/>
    <w:rsid w:val="004329B8"/>
    <w:rsid w:val="00432ABB"/>
    <w:rsid w:val="00432BCB"/>
    <w:rsid w:val="00432CE8"/>
    <w:rsid w:val="00432EDD"/>
    <w:rsid w:val="00433559"/>
    <w:rsid w:val="00433A34"/>
    <w:rsid w:val="004349FB"/>
    <w:rsid w:val="00435068"/>
    <w:rsid w:val="00435B2D"/>
    <w:rsid w:val="00435D60"/>
    <w:rsid w:val="0043654A"/>
    <w:rsid w:val="004368A6"/>
    <w:rsid w:val="00436B92"/>
    <w:rsid w:val="0043739B"/>
    <w:rsid w:val="0043793B"/>
    <w:rsid w:val="00440267"/>
    <w:rsid w:val="00440E8E"/>
    <w:rsid w:val="00440F4D"/>
    <w:rsid w:val="00440F5F"/>
    <w:rsid w:val="004417B9"/>
    <w:rsid w:val="00441976"/>
    <w:rsid w:val="00441FC0"/>
    <w:rsid w:val="00442C0A"/>
    <w:rsid w:val="004431EA"/>
    <w:rsid w:val="00443321"/>
    <w:rsid w:val="00443D74"/>
    <w:rsid w:val="00444E87"/>
    <w:rsid w:val="0044509B"/>
    <w:rsid w:val="00445A98"/>
    <w:rsid w:val="00445FB3"/>
    <w:rsid w:val="004466D3"/>
    <w:rsid w:val="004469BC"/>
    <w:rsid w:val="00446A42"/>
    <w:rsid w:val="00446DAB"/>
    <w:rsid w:val="0044722B"/>
    <w:rsid w:val="00447632"/>
    <w:rsid w:val="00447E3A"/>
    <w:rsid w:val="00447FD6"/>
    <w:rsid w:val="00450014"/>
    <w:rsid w:val="004509E9"/>
    <w:rsid w:val="00450CE2"/>
    <w:rsid w:val="00450EBB"/>
    <w:rsid w:val="00450F2E"/>
    <w:rsid w:val="004511AD"/>
    <w:rsid w:val="004514FF"/>
    <w:rsid w:val="00451A68"/>
    <w:rsid w:val="00451F85"/>
    <w:rsid w:val="00452A1B"/>
    <w:rsid w:val="004532DD"/>
    <w:rsid w:val="00453669"/>
    <w:rsid w:val="00453C4A"/>
    <w:rsid w:val="00453F3F"/>
    <w:rsid w:val="00454468"/>
    <w:rsid w:val="00454AE7"/>
    <w:rsid w:val="00454F11"/>
    <w:rsid w:val="00455625"/>
    <w:rsid w:val="004556AA"/>
    <w:rsid w:val="00455AEE"/>
    <w:rsid w:val="0045606D"/>
    <w:rsid w:val="00456260"/>
    <w:rsid w:val="00456290"/>
    <w:rsid w:val="00456355"/>
    <w:rsid w:val="004563EE"/>
    <w:rsid w:val="00460125"/>
    <w:rsid w:val="00461541"/>
    <w:rsid w:val="004619AD"/>
    <w:rsid w:val="0046222A"/>
    <w:rsid w:val="0046276E"/>
    <w:rsid w:val="0046280E"/>
    <w:rsid w:val="004629BE"/>
    <w:rsid w:val="00462D1C"/>
    <w:rsid w:val="004630D1"/>
    <w:rsid w:val="004631DC"/>
    <w:rsid w:val="004637E7"/>
    <w:rsid w:val="00463BC6"/>
    <w:rsid w:val="00464212"/>
    <w:rsid w:val="004648B0"/>
    <w:rsid w:val="004648DE"/>
    <w:rsid w:val="004649AF"/>
    <w:rsid w:val="00464CEB"/>
    <w:rsid w:val="004652AB"/>
    <w:rsid w:val="00465C44"/>
    <w:rsid w:val="00465CA7"/>
    <w:rsid w:val="004661C4"/>
    <w:rsid w:val="0046636F"/>
    <w:rsid w:val="00466BC9"/>
    <w:rsid w:val="00467090"/>
    <w:rsid w:val="00467241"/>
    <w:rsid w:val="00467264"/>
    <w:rsid w:val="00467694"/>
    <w:rsid w:val="00467B04"/>
    <w:rsid w:val="00467C4D"/>
    <w:rsid w:val="00470646"/>
    <w:rsid w:val="00470746"/>
    <w:rsid w:val="00470935"/>
    <w:rsid w:val="00470C59"/>
    <w:rsid w:val="00470CAE"/>
    <w:rsid w:val="0047123C"/>
    <w:rsid w:val="00471415"/>
    <w:rsid w:val="004715FA"/>
    <w:rsid w:val="0047191A"/>
    <w:rsid w:val="00471F0D"/>
    <w:rsid w:val="00472648"/>
    <w:rsid w:val="00473036"/>
    <w:rsid w:val="0047377D"/>
    <w:rsid w:val="00473CA8"/>
    <w:rsid w:val="0047482B"/>
    <w:rsid w:val="0047484C"/>
    <w:rsid w:val="004749EB"/>
    <w:rsid w:val="00474AC5"/>
    <w:rsid w:val="00474C95"/>
    <w:rsid w:val="004757C1"/>
    <w:rsid w:val="00476061"/>
    <w:rsid w:val="00476253"/>
    <w:rsid w:val="004763FE"/>
    <w:rsid w:val="00476980"/>
    <w:rsid w:val="004769FC"/>
    <w:rsid w:val="00476C00"/>
    <w:rsid w:val="00477187"/>
    <w:rsid w:val="004779F1"/>
    <w:rsid w:val="00477BF9"/>
    <w:rsid w:val="00477C25"/>
    <w:rsid w:val="0048054E"/>
    <w:rsid w:val="00480D28"/>
    <w:rsid w:val="00480D78"/>
    <w:rsid w:val="004814A2"/>
    <w:rsid w:val="004815CA"/>
    <w:rsid w:val="004819A6"/>
    <w:rsid w:val="00481D46"/>
    <w:rsid w:val="00481ECB"/>
    <w:rsid w:val="00481F8F"/>
    <w:rsid w:val="0048215F"/>
    <w:rsid w:val="004821DB"/>
    <w:rsid w:val="0048251B"/>
    <w:rsid w:val="00482736"/>
    <w:rsid w:val="004828E6"/>
    <w:rsid w:val="00482993"/>
    <w:rsid w:val="004830C2"/>
    <w:rsid w:val="00483719"/>
    <w:rsid w:val="00484071"/>
    <w:rsid w:val="0048421D"/>
    <w:rsid w:val="00484818"/>
    <w:rsid w:val="00484BFD"/>
    <w:rsid w:val="004856BF"/>
    <w:rsid w:val="004859BC"/>
    <w:rsid w:val="00485C49"/>
    <w:rsid w:val="0048686F"/>
    <w:rsid w:val="004870B8"/>
    <w:rsid w:val="00487A24"/>
    <w:rsid w:val="00487AFC"/>
    <w:rsid w:val="0049001A"/>
    <w:rsid w:val="004910BC"/>
    <w:rsid w:val="004912BD"/>
    <w:rsid w:val="00492323"/>
    <w:rsid w:val="004927EE"/>
    <w:rsid w:val="00492D83"/>
    <w:rsid w:val="004936CD"/>
    <w:rsid w:val="004938AF"/>
    <w:rsid w:val="00494160"/>
    <w:rsid w:val="004944ED"/>
    <w:rsid w:val="00494666"/>
    <w:rsid w:val="004946AC"/>
    <w:rsid w:val="0049479C"/>
    <w:rsid w:val="00494B62"/>
    <w:rsid w:val="0049609E"/>
    <w:rsid w:val="004965DB"/>
    <w:rsid w:val="0049670D"/>
    <w:rsid w:val="00496F14"/>
    <w:rsid w:val="004973B0"/>
    <w:rsid w:val="0049785C"/>
    <w:rsid w:val="004979A4"/>
    <w:rsid w:val="00497D7F"/>
    <w:rsid w:val="004A04DA"/>
    <w:rsid w:val="004A0B71"/>
    <w:rsid w:val="004A0C2B"/>
    <w:rsid w:val="004A0D62"/>
    <w:rsid w:val="004A115B"/>
    <w:rsid w:val="004A1DF5"/>
    <w:rsid w:val="004A2DFE"/>
    <w:rsid w:val="004A2F7D"/>
    <w:rsid w:val="004A3743"/>
    <w:rsid w:val="004A4696"/>
    <w:rsid w:val="004A49CD"/>
    <w:rsid w:val="004A4A78"/>
    <w:rsid w:val="004A4D0A"/>
    <w:rsid w:val="004A5025"/>
    <w:rsid w:val="004A529F"/>
    <w:rsid w:val="004A5520"/>
    <w:rsid w:val="004A5B52"/>
    <w:rsid w:val="004A5B58"/>
    <w:rsid w:val="004A5DF6"/>
    <w:rsid w:val="004A62F8"/>
    <w:rsid w:val="004A6544"/>
    <w:rsid w:val="004A75B3"/>
    <w:rsid w:val="004A7F01"/>
    <w:rsid w:val="004B01B6"/>
    <w:rsid w:val="004B0468"/>
    <w:rsid w:val="004B04DC"/>
    <w:rsid w:val="004B0EE7"/>
    <w:rsid w:val="004B145B"/>
    <w:rsid w:val="004B1477"/>
    <w:rsid w:val="004B18B7"/>
    <w:rsid w:val="004B1ACF"/>
    <w:rsid w:val="004B1B92"/>
    <w:rsid w:val="004B2BC2"/>
    <w:rsid w:val="004B2BE1"/>
    <w:rsid w:val="004B3295"/>
    <w:rsid w:val="004B3B23"/>
    <w:rsid w:val="004B3DED"/>
    <w:rsid w:val="004B4083"/>
    <w:rsid w:val="004B431D"/>
    <w:rsid w:val="004B4475"/>
    <w:rsid w:val="004B4997"/>
    <w:rsid w:val="004B4C56"/>
    <w:rsid w:val="004B4D70"/>
    <w:rsid w:val="004B4EEB"/>
    <w:rsid w:val="004B502F"/>
    <w:rsid w:val="004B5915"/>
    <w:rsid w:val="004B5C64"/>
    <w:rsid w:val="004C0232"/>
    <w:rsid w:val="004C0BBB"/>
    <w:rsid w:val="004C1F10"/>
    <w:rsid w:val="004C1F64"/>
    <w:rsid w:val="004C2070"/>
    <w:rsid w:val="004C2846"/>
    <w:rsid w:val="004C2B0F"/>
    <w:rsid w:val="004C2B1A"/>
    <w:rsid w:val="004C2FC8"/>
    <w:rsid w:val="004C33D4"/>
    <w:rsid w:val="004C38B0"/>
    <w:rsid w:val="004C3A45"/>
    <w:rsid w:val="004C3A9B"/>
    <w:rsid w:val="004C43EF"/>
    <w:rsid w:val="004C4D21"/>
    <w:rsid w:val="004C50FD"/>
    <w:rsid w:val="004C5B4B"/>
    <w:rsid w:val="004C5B7E"/>
    <w:rsid w:val="004C5DE4"/>
    <w:rsid w:val="004C5E56"/>
    <w:rsid w:val="004C5E9C"/>
    <w:rsid w:val="004C6026"/>
    <w:rsid w:val="004C6F1B"/>
    <w:rsid w:val="004C72E9"/>
    <w:rsid w:val="004C7348"/>
    <w:rsid w:val="004C74B0"/>
    <w:rsid w:val="004C7AE7"/>
    <w:rsid w:val="004D04F7"/>
    <w:rsid w:val="004D07E1"/>
    <w:rsid w:val="004D1C4A"/>
    <w:rsid w:val="004D2C4D"/>
    <w:rsid w:val="004D34CD"/>
    <w:rsid w:val="004D35DF"/>
    <w:rsid w:val="004D3742"/>
    <w:rsid w:val="004D3AC9"/>
    <w:rsid w:val="004D3E34"/>
    <w:rsid w:val="004D4266"/>
    <w:rsid w:val="004D4555"/>
    <w:rsid w:val="004D4F08"/>
    <w:rsid w:val="004D5EAE"/>
    <w:rsid w:val="004D7487"/>
    <w:rsid w:val="004D7DF7"/>
    <w:rsid w:val="004E071A"/>
    <w:rsid w:val="004E0A5C"/>
    <w:rsid w:val="004E13D3"/>
    <w:rsid w:val="004E2B83"/>
    <w:rsid w:val="004E2CF6"/>
    <w:rsid w:val="004E2D5A"/>
    <w:rsid w:val="004E3DDB"/>
    <w:rsid w:val="004E4085"/>
    <w:rsid w:val="004E475F"/>
    <w:rsid w:val="004E5114"/>
    <w:rsid w:val="004E5618"/>
    <w:rsid w:val="004E5A47"/>
    <w:rsid w:val="004E5BD7"/>
    <w:rsid w:val="004E5F81"/>
    <w:rsid w:val="004E645D"/>
    <w:rsid w:val="004E7044"/>
    <w:rsid w:val="004E766A"/>
    <w:rsid w:val="004E795A"/>
    <w:rsid w:val="004E7B25"/>
    <w:rsid w:val="004E7BFC"/>
    <w:rsid w:val="004F013F"/>
    <w:rsid w:val="004F021A"/>
    <w:rsid w:val="004F18FD"/>
    <w:rsid w:val="004F2909"/>
    <w:rsid w:val="004F2B0B"/>
    <w:rsid w:val="004F2C90"/>
    <w:rsid w:val="004F2D91"/>
    <w:rsid w:val="004F2E8A"/>
    <w:rsid w:val="004F33DC"/>
    <w:rsid w:val="004F3480"/>
    <w:rsid w:val="004F3687"/>
    <w:rsid w:val="004F36D1"/>
    <w:rsid w:val="004F4304"/>
    <w:rsid w:val="004F4A81"/>
    <w:rsid w:val="004F4C8D"/>
    <w:rsid w:val="004F4F53"/>
    <w:rsid w:val="004F5347"/>
    <w:rsid w:val="004F6BD5"/>
    <w:rsid w:val="004F7B30"/>
    <w:rsid w:val="004F7F6E"/>
    <w:rsid w:val="004F7FA3"/>
    <w:rsid w:val="0050013B"/>
    <w:rsid w:val="0050019E"/>
    <w:rsid w:val="0050050B"/>
    <w:rsid w:val="00500C9C"/>
    <w:rsid w:val="005013F9"/>
    <w:rsid w:val="00501845"/>
    <w:rsid w:val="00501891"/>
    <w:rsid w:val="00501C4E"/>
    <w:rsid w:val="005025CF"/>
    <w:rsid w:val="005027F5"/>
    <w:rsid w:val="00503205"/>
    <w:rsid w:val="00503966"/>
    <w:rsid w:val="00504972"/>
    <w:rsid w:val="00504AB4"/>
    <w:rsid w:val="00504AD0"/>
    <w:rsid w:val="00505C59"/>
    <w:rsid w:val="00505F4B"/>
    <w:rsid w:val="00506175"/>
    <w:rsid w:val="00506519"/>
    <w:rsid w:val="00506B91"/>
    <w:rsid w:val="00506C01"/>
    <w:rsid w:val="00507323"/>
    <w:rsid w:val="0050738A"/>
    <w:rsid w:val="0050755D"/>
    <w:rsid w:val="005076A4"/>
    <w:rsid w:val="00507D95"/>
    <w:rsid w:val="00510303"/>
    <w:rsid w:val="0051033E"/>
    <w:rsid w:val="0051038C"/>
    <w:rsid w:val="0051047B"/>
    <w:rsid w:val="00510A3C"/>
    <w:rsid w:val="00511045"/>
    <w:rsid w:val="00511340"/>
    <w:rsid w:val="0051134E"/>
    <w:rsid w:val="005118F3"/>
    <w:rsid w:val="00511F02"/>
    <w:rsid w:val="00512C5F"/>
    <w:rsid w:val="0051334F"/>
    <w:rsid w:val="00513FA7"/>
    <w:rsid w:val="00514A0E"/>
    <w:rsid w:val="00514BAE"/>
    <w:rsid w:val="005154E3"/>
    <w:rsid w:val="005155D1"/>
    <w:rsid w:val="00515CA2"/>
    <w:rsid w:val="005163B0"/>
    <w:rsid w:val="00516714"/>
    <w:rsid w:val="00517306"/>
    <w:rsid w:val="00517940"/>
    <w:rsid w:val="005179BF"/>
    <w:rsid w:val="005203B6"/>
    <w:rsid w:val="0052053B"/>
    <w:rsid w:val="005209A4"/>
    <w:rsid w:val="00520B0B"/>
    <w:rsid w:val="005210FB"/>
    <w:rsid w:val="00521889"/>
    <w:rsid w:val="00522145"/>
    <w:rsid w:val="00522DF4"/>
    <w:rsid w:val="00523891"/>
    <w:rsid w:val="00523E8C"/>
    <w:rsid w:val="00525C08"/>
    <w:rsid w:val="005264BB"/>
    <w:rsid w:val="00526527"/>
    <w:rsid w:val="00526596"/>
    <w:rsid w:val="00526DCC"/>
    <w:rsid w:val="00527120"/>
    <w:rsid w:val="005278E5"/>
    <w:rsid w:val="005303CD"/>
    <w:rsid w:val="00530632"/>
    <w:rsid w:val="005306E6"/>
    <w:rsid w:val="00530A22"/>
    <w:rsid w:val="00530BE2"/>
    <w:rsid w:val="005317AD"/>
    <w:rsid w:val="00531A35"/>
    <w:rsid w:val="00532EF6"/>
    <w:rsid w:val="005330F9"/>
    <w:rsid w:val="00533333"/>
    <w:rsid w:val="0053368E"/>
    <w:rsid w:val="00533A92"/>
    <w:rsid w:val="00533D15"/>
    <w:rsid w:val="0053414C"/>
    <w:rsid w:val="005342A9"/>
    <w:rsid w:val="00534407"/>
    <w:rsid w:val="005348D5"/>
    <w:rsid w:val="005353C7"/>
    <w:rsid w:val="00536237"/>
    <w:rsid w:val="00536B49"/>
    <w:rsid w:val="00536C9C"/>
    <w:rsid w:val="00536DA0"/>
    <w:rsid w:val="005373C3"/>
    <w:rsid w:val="00537AB2"/>
    <w:rsid w:val="00537B43"/>
    <w:rsid w:val="00537C99"/>
    <w:rsid w:val="0054016F"/>
    <w:rsid w:val="005408F2"/>
    <w:rsid w:val="0054094D"/>
    <w:rsid w:val="00540A46"/>
    <w:rsid w:val="00540E68"/>
    <w:rsid w:val="00540FAF"/>
    <w:rsid w:val="00541958"/>
    <w:rsid w:val="00541F99"/>
    <w:rsid w:val="00542AAE"/>
    <w:rsid w:val="00543008"/>
    <w:rsid w:val="0054393E"/>
    <w:rsid w:val="005439B8"/>
    <w:rsid w:val="00544361"/>
    <w:rsid w:val="005447B9"/>
    <w:rsid w:val="00544F43"/>
    <w:rsid w:val="00544F4B"/>
    <w:rsid w:val="00545F7B"/>
    <w:rsid w:val="005466EB"/>
    <w:rsid w:val="005471E1"/>
    <w:rsid w:val="00547A1C"/>
    <w:rsid w:val="00547ADA"/>
    <w:rsid w:val="005503F6"/>
    <w:rsid w:val="005507DD"/>
    <w:rsid w:val="005509CC"/>
    <w:rsid w:val="0055133C"/>
    <w:rsid w:val="0055180E"/>
    <w:rsid w:val="00551BB5"/>
    <w:rsid w:val="0055260F"/>
    <w:rsid w:val="00552910"/>
    <w:rsid w:val="00552A13"/>
    <w:rsid w:val="00552A92"/>
    <w:rsid w:val="00552CD4"/>
    <w:rsid w:val="0055300C"/>
    <w:rsid w:val="00553B3A"/>
    <w:rsid w:val="00553DBA"/>
    <w:rsid w:val="00553DE6"/>
    <w:rsid w:val="00554038"/>
    <w:rsid w:val="00554241"/>
    <w:rsid w:val="0055429B"/>
    <w:rsid w:val="0055485D"/>
    <w:rsid w:val="00554C9F"/>
    <w:rsid w:val="0055626A"/>
    <w:rsid w:val="00556464"/>
    <w:rsid w:val="00556C45"/>
    <w:rsid w:val="0055749C"/>
    <w:rsid w:val="00557624"/>
    <w:rsid w:val="00557971"/>
    <w:rsid w:val="00560086"/>
    <w:rsid w:val="005601B7"/>
    <w:rsid w:val="005601E6"/>
    <w:rsid w:val="00560396"/>
    <w:rsid w:val="00560456"/>
    <w:rsid w:val="005607D9"/>
    <w:rsid w:val="00560A24"/>
    <w:rsid w:val="00562517"/>
    <w:rsid w:val="00562D0B"/>
    <w:rsid w:val="005639CF"/>
    <w:rsid w:val="00563EEE"/>
    <w:rsid w:val="00563F48"/>
    <w:rsid w:val="0056407A"/>
    <w:rsid w:val="0056467B"/>
    <w:rsid w:val="00565133"/>
    <w:rsid w:val="0056524A"/>
    <w:rsid w:val="00565399"/>
    <w:rsid w:val="005657EB"/>
    <w:rsid w:val="00565857"/>
    <w:rsid w:val="005659DD"/>
    <w:rsid w:val="00566831"/>
    <w:rsid w:val="00566EF4"/>
    <w:rsid w:val="00566FDB"/>
    <w:rsid w:val="005677FC"/>
    <w:rsid w:val="00567D26"/>
    <w:rsid w:val="005704B8"/>
    <w:rsid w:val="005706B8"/>
    <w:rsid w:val="00570F4B"/>
    <w:rsid w:val="00571070"/>
    <w:rsid w:val="005717A2"/>
    <w:rsid w:val="00571AD5"/>
    <w:rsid w:val="00571BEA"/>
    <w:rsid w:val="00571EA3"/>
    <w:rsid w:val="0057264B"/>
    <w:rsid w:val="00572E06"/>
    <w:rsid w:val="00573EDE"/>
    <w:rsid w:val="00575140"/>
    <w:rsid w:val="00575689"/>
    <w:rsid w:val="005757FD"/>
    <w:rsid w:val="00575A1F"/>
    <w:rsid w:val="00576109"/>
    <w:rsid w:val="0057694D"/>
    <w:rsid w:val="00576DB4"/>
    <w:rsid w:val="005776CA"/>
    <w:rsid w:val="00577CEC"/>
    <w:rsid w:val="005806CA"/>
    <w:rsid w:val="0058072B"/>
    <w:rsid w:val="0058117B"/>
    <w:rsid w:val="00581291"/>
    <w:rsid w:val="005815C3"/>
    <w:rsid w:val="00582239"/>
    <w:rsid w:val="0058229B"/>
    <w:rsid w:val="00582525"/>
    <w:rsid w:val="0058257F"/>
    <w:rsid w:val="00582B6E"/>
    <w:rsid w:val="00582E43"/>
    <w:rsid w:val="00582F9D"/>
    <w:rsid w:val="005832BA"/>
    <w:rsid w:val="005840DD"/>
    <w:rsid w:val="0058488D"/>
    <w:rsid w:val="0058489D"/>
    <w:rsid w:val="00584B42"/>
    <w:rsid w:val="00585199"/>
    <w:rsid w:val="005857B5"/>
    <w:rsid w:val="00585B2A"/>
    <w:rsid w:val="00585F4D"/>
    <w:rsid w:val="0058616B"/>
    <w:rsid w:val="005862AD"/>
    <w:rsid w:val="005866DE"/>
    <w:rsid w:val="00586B20"/>
    <w:rsid w:val="005878F9"/>
    <w:rsid w:val="005879B9"/>
    <w:rsid w:val="0058E0DE"/>
    <w:rsid w:val="00590BBC"/>
    <w:rsid w:val="00590BF2"/>
    <w:rsid w:val="00590C1A"/>
    <w:rsid w:val="00590F0A"/>
    <w:rsid w:val="005913A0"/>
    <w:rsid w:val="0059171D"/>
    <w:rsid w:val="00591F3E"/>
    <w:rsid w:val="0059271A"/>
    <w:rsid w:val="005927AF"/>
    <w:rsid w:val="00592FB7"/>
    <w:rsid w:val="0059345C"/>
    <w:rsid w:val="00593C58"/>
    <w:rsid w:val="00593E60"/>
    <w:rsid w:val="00594282"/>
    <w:rsid w:val="00594946"/>
    <w:rsid w:val="00594F74"/>
    <w:rsid w:val="005950EC"/>
    <w:rsid w:val="00595788"/>
    <w:rsid w:val="00596467"/>
    <w:rsid w:val="00596937"/>
    <w:rsid w:val="005969CD"/>
    <w:rsid w:val="0059743A"/>
    <w:rsid w:val="0059770C"/>
    <w:rsid w:val="00597777"/>
    <w:rsid w:val="00597AC7"/>
    <w:rsid w:val="00597CDC"/>
    <w:rsid w:val="005A03D6"/>
    <w:rsid w:val="005A0734"/>
    <w:rsid w:val="005A0A05"/>
    <w:rsid w:val="005A0A54"/>
    <w:rsid w:val="005A0F9C"/>
    <w:rsid w:val="005A1371"/>
    <w:rsid w:val="005A1749"/>
    <w:rsid w:val="005A214B"/>
    <w:rsid w:val="005A2265"/>
    <w:rsid w:val="005A2818"/>
    <w:rsid w:val="005A28E1"/>
    <w:rsid w:val="005A3FE1"/>
    <w:rsid w:val="005A439B"/>
    <w:rsid w:val="005A4623"/>
    <w:rsid w:val="005A5212"/>
    <w:rsid w:val="005A5AF3"/>
    <w:rsid w:val="005A6031"/>
    <w:rsid w:val="005A6BC2"/>
    <w:rsid w:val="005B007D"/>
    <w:rsid w:val="005B08EB"/>
    <w:rsid w:val="005B1F19"/>
    <w:rsid w:val="005B2526"/>
    <w:rsid w:val="005B2A0B"/>
    <w:rsid w:val="005B2ACB"/>
    <w:rsid w:val="005B2E71"/>
    <w:rsid w:val="005B3243"/>
    <w:rsid w:val="005B3763"/>
    <w:rsid w:val="005B37AB"/>
    <w:rsid w:val="005B394F"/>
    <w:rsid w:val="005B3985"/>
    <w:rsid w:val="005B3FE1"/>
    <w:rsid w:val="005B400D"/>
    <w:rsid w:val="005B4601"/>
    <w:rsid w:val="005B4819"/>
    <w:rsid w:val="005B4864"/>
    <w:rsid w:val="005B4F7C"/>
    <w:rsid w:val="005B517A"/>
    <w:rsid w:val="005B55A1"/>
    <w:rsid w:val="005B5A27"/>
    <w:rsid w:val="005B5EE7"/>
    <w:rsid w:val="005B736A"/>
    <w:rsid w:val="005B73BB"/>
    <w:rsid w:val="005B741D"/>
    <w:rsid w:val="005B76E8"/>
    <w:rsid w:val="005B783B"/>
    <w:rsid w:val="005B784B"/>
    <w:rsid w:val="005B79C0"/>
    <w:rsid w:val="005B7B5E"/>
    <w:rsid w:val="005B7EA6"/>
    <w:rsid w:val="005C050D"/>
    <w:rsid w:val="005C08DB"/>
    <w:rsid w:val="005C0ED9"/>
    <w:rsid w:val="005C1332"/>
    <w:rsid w:val="005C13EA"/>
    <w:rsid w:val="005C16A5"/>
    <w:rsid w:val="005C2087"/>
    <w:rsid w:val="005C26B1"/>
    <w:rsid w:val="005C31F3"/>
    <w:rsid w:val="005C3220"/>
    <w:rsid w:val="005C32E1"/>
    <w:rsid w:val="005C3580"/>
    <w:rsid w:val="005C3C61"/>
    <w:rsid w:val="005C3F5A"/>
    <w:rsid w:val="005C4413"/>
    <w:rsid w:val="005C50E3"/>
    <w:rsid w:val="005C56DF"/>
    <w:rsid w:val="005C58B3"/>
    <w:rsid w:val="005C5C85"/>
    <w:rsid w:val="005C5D0C"/>
    <w:rsid w:val="005C5E21"/>
    <w:rsid w:val="005C6341"/>
    <w:rsid w:val="005C6606"/>
    <w:rsid w:val="005C6CC4"/>
    <w:rsid w:val="005C6F40"/>
    <w:rsid w:val="005C71C6"/>
    <w:rsid w:val="005D0412"/>
    <w:rsid w:val="005D0752"/>
    <w:rsid w:val="005D10C8"/>
    <w:rsid w:val="005D11A6"/>
    <w:rsid w:val="005D15E8"/>
    <w:rsid w:val="005D1A77"/>
    <w:rsid w:val="005D1ADA"/>
    <w:rsid w:val="005D1B3C"/>
    <w:rsid w:val="005D233C"/>
    <w:rsid w:val="005D24A3"/>
    <w:rsid w:val="005D2C1B"/>
    <w:rsid w:val="005D2C5D"/>
    <w:rsid w:val="005D3400"/>
    <w:rsid w:val="005D391E"/>
    <w:rsid w:val="005D3E47"/>
    <w:rsid w:val="005D3FE8"/>
    <w:rsid w:val="005D4067"/>
    <w:rsid w:val="005D47EA"/>
    <w:rsid w:val="005D48BA"/>
    <w:rsid w:val="005D5B82"/>
    <w:rsid w:val="005D769A"/>
    <w:rsid w:val="005D7E27"/>
    <w:rsid w:val="005E07CA"/>
    <w:rsid w:val="005E0A41"/>
    <w:rsid w:val="005E0C0E"/>
    <w:rsid w:val="005E1B57"/>
    <w:rsid w:val="005E2235"/>
    <w:rsid w:val="005E25D7"/>
    <w:rsid w:val="005E30AF"/>
    <w:rsid w:val="005E3D56"/>
    <w:rsid w:val="005E41BB"/>
    <w:rsid w:val="005E452D"/>
    <w:rsid w:val="005E46FB"/>
    <w:rsid w:val="005E4E0B"/>
    <w:rsid w:val="005E514C"/>
    <w:rsid w:val="005E52FC"/>
    <w:rsid w:val="005E5527"/>
    <w:rsid w:val="005E5A50"/>
    <w:rsid w:val="005E5A80"/>
    <w:rsid w:val="005E5D38"/>
    <w:rsid w:val="005E65BE"/>
    <w:rsid w:val="005E6661"/>
    <w:rsid w:val="005E66CE"/>
    <w:rsid w:val="005E69CB"/>
    <w:rsid w:val="005E7545"/>
    <w:rsid w:val="005E76E0"/>
    <w:rsid w:val="005E79D9"/>
    <w:rsid w:val="005F051E"/>
    <w:rsid w:val="005F0619"/>
    <w:rsid w:val="005F0B40"/>
    <w:rsid w:val="005F0E79"/>
    <w:rsid w:val="005F130B"/>
    <w:rsid w:val="005F1720"/>
    <w:rsid w:val="005F1837"/>
    <w:rsid w:val="005F2882"/>
    <w:rsid w:val="005F2BA8"/>
    <w:rsid w:val="005F2DDB"/>
    <w:rsid w:val="005F31D9"/>
    <w:rsid w:val="005F40BD"/>
    <w:rsid w:val="005F42BE"/>
    <w:rsid w:val="005F4581"/>
    <w:rsid w:val="005F4DB9"/>
    <w:rsid w:val="005F4F0A"/>
    <w:rsid w:val="005F5087"/>
    <w:rsid w:val="005F54F2"/>
    <w:rsid w:val="005F5A53"/>
    <w:rsid w:val="005F5E49"/>
    <w:rsid w:val="005F5F62"/>
    <w:rsid w:val="005F6221"/>
    <w:rsid w:val="005F689E"/>
    <w:rsid w:val="005F7007"/>
    <w:rsid w:val="005F7739"/>
    <w:rsid w:val="005F7E67"/>
    <w:rsid w:val="0060005B"/>
    <w:rsid w:val="00600063"/>
    <w:rsid w:val="00600454"/>
    <w:rsid w:val="00600CF0"/>
    <w:rsid w:val="00600EC0"/>
    <w:rsid w:val="00600EF8"/>
    <w:rsid w:val="00601011"/>
    <w:rsid w:val="00601CE7"/>
    <w:rsid w:val="00602214"/>
    <w:rsid w:val="00602BC9"/>
    <w:rsid w:val="00602C66"/>
    <w:rsid w:val="006031FF"/>
    <w:rsid w:val="006033AC"/>
    <w:rsid w:val="00603A67"/>
    <w:rsid w:val="00603C97"/>
    <w:rsid w:val="00603D45"/>
    <w:rsid w:val="00604AA8"/>
    <w:rsid w:val="00604DCA"/>
    <w:rsid w:val="0060521A"/>
    <w:rsid w:val="00605404"/>
    <w:rsid w:val="00605507"/>
    <w:rsid w:val="006066FD"/>
    <w:rsid w:val="0060686E"/>
    <w:rsid w:val="00607AAD"/>
    <w:rsid w:val="0061021E"/>
    <w:rsid w:val="00610465"/>
    <w:rsid w:val="006104DA"/>
    <w:rsid w:val="00610E4C"/>
    <w:rsid w:val="00611088"/>
    <w:rsid w:val="0061198B"/>
    <w:rsid w:val="00613415"/>
    <w:rsid w:val="00613BE5"/>
    <w:rsid w:val="00613DBE"/>
    <w:rsid w:val="006147E0"/>
    <w:rsid w:val="006158A0"/>
    <w:rsid w:val="00615908"/>
    <w:rsid w:val="00615CC0"/>
    <w:rsid w:val="006202A8"/>
    <w:rsid w:val="006202E9"/>
    <w:rsid w:val="0062042A"/>
    <w:rsid w:val="006209D6"/>
    <w:rsid w:val="00620B5B"/>
    <w:rsid w:val="006213D8"/>
    <w:rsid w:val="00621426"/>
    <w:rsid w:val="00621CFE"/>
    <w:rsid w:val="00622132"/>
    <w:rsid w:val="006226B2"/>
    <w:rsid w:val="00622FF0"/>
    <w:rsid w:val="00623641"/>
    <w:rsid w:val="0062371E"/>
    <w:rsid w:val="00623962"/>
    <w:rsid w:val="00623B18"/>
    <w:rsid w:val="00623B35"/>
    <w:rsid w:val="00623B4E"/>
    <w:rsid w:val="006250E5"/>
    <w:rsid w:val="0062560E"/>
    <w:rsid w:val="00625915"/>
    <w:rsid w:val="00625B26"/>
    <w:rsid w:val="00625C3B"/>
    <w:rsid w:val="00625CEA"/>
    <w:rsid w:val="00625F5B"/>
    <w:rsid w:val="00626919"/>
    <w:rsid w:val="00626A5F"/>
    <w:rsid w:val="00627320"/>
    <w:rsid w:val="006274E3"/>
    <w:rsid w:val="006274FF"/>
    <w:rsid w:val="006276E1"/>
    <w:rsid w:val="0062795F"/>
    <w:rsid w:val="00627B4F"/>
    <w:rsid w:val="00627EC4"/>
    <w:rsid w:val="00627F03"/>
    <w:rsid w:val="00631470"/>
    <w:rsid w:val="006314F9"/>
    <w:rsid w:val="00631AC9"/>
    <w:rsid w:val="006321BE"/>
    <w:rsid w:val="00632602"/>
    <w:rsid w:val="006330A7"/>
    <w:rsid w:val="0063340D"/>
    <w:rsid w:val="00633CAA"/>
    <w:rsid w:val="00633FAD"/>
    <w:rsid w:val="006340B1"/>
    <w:rsid w:val="006341CB"/>
    <w:rsid w:val="0063432D"/>
    <w:rsid w:val="00634346"/>
    <w:rsid w:val="006346F3"/>
    <w:rsid w:val="00634AE0"/>
    <w:rsid w:val="00634BDC"/>
    <w:rsid w:val="006350BD"/>
    <w:rsid w:val="006354AA"/>
    <w:rsid w:val="006355EE"/>
    <w:rsid w:val="00635A49"/>
    <w:rsid w:val="00635ACA"/>
    <w:rsid w:val="006363D7"/>
    <w:rsid w:val="00636B13"/>
    <w:rsid w:val="00636EDA"/>
    <w:rsid w:val="006371C6"/>
    <w:rsid w:val="006374A3"/>
    <w:rsid w:val="00637611"/>
    <w:rsid w:val="006379CA"/>
    <w:rsid w:val="00640043"/>
    <w:rsid w:val="006402CC"/>
    <w:rsid w:val="00641C91"/>
    <w:rsid w:val="00641D2B"/>
    <w:rsid w:val="00641D54"/>
    <w:rsid w:val="00642CB3"/>
    <w:rsid w:val="00643543"/>
    <w:rsid w:val="006438F6"/>
    <w:rsid w:val="00643B00"/>
    <w:rsid w:val="00643E37"/>
    <w:rsid w:val="00644500"/>
    <w:rsid w:val="00644904"/>
    <w:rsid w:val="00644911"/>
    <w:rsid w:val="00644C65"/>
    <w:rsid w:val="0064504D"/>
    <w:rsid w:val="006450B3"/>
    <w:rsid w:val="00645233"/>
    <w:rsid w:val="00646057"/>
    <w:rsid w:val="006464D4"/>
    <w:rsid w:val="00646511"/>
    <w:rsid w:val="00646955"/>
    <w:rsid w:val="00646999"/>
    <w:rsid w:val="00646E5A"/>
    <w:rsid w:val="006472C8"/>
    <w:rsid w:val="00650081"/>
    <w:rsid w:val="00650512"/>
    <w:rsid w:val="00650B83"/>
    <w:rsid w:val="00650D7B"/>
    <w:rsid w:val="00651BBD"/>
    <w:rsid w:val="00651C3C"/>
    <w:rsid w:val="006527F8"/>
    <w:rsid w:val="00652AFD"/>
    <w:rsid w:val="00652CC7"/>
    <w:rsid w:val="00652D7A"/>
    <w:rsid w:val="00653102"/>
    <w:rsid w:val="006534A1"/>
    <w:rsid w:val="006536CD"/>
    <w:rsid w:val="0065388D"/>
    <w:rsid w:val="00653E52"/>
    <w:rsid w:val="00653ECB"/>
    <w:rsid w:val="00653F9A"/>
    <w:rsid w:val="006543A7"/>
    <w:rsid w:val="006550A5"/>
    <w:rsid w:val="006556F2"/>
    <w:rsid w:val="0065734A"/>
    <w:rsid w:val="006575E8"/>
    <w:rsid w:val="006576EF"/>
    <w:rsid w:val="0065799F"/>
    <w:rsid w:val="0066087F"/>
    <w:rsid w:val="006608B1"/>
    <w:rsid w:val="006609F9"/>
    <w:rsid w:val="00661B46"/>
    <w:rsid w:val="00661F4D"/>
    <w:rsid w:val="006620CF"/>
    <w:rsid w:val="00662AB9"/>
    <w:rsid w:val="006639E8"/>
    <w:rsid w:val="00664AE2"/>
    <w:rsid w:val="00664F92"/>
    <w:rsid w:val="00665630"/>
    <w:rsid w:val="006659D1"/>
    <w:rsid w:val="006659DB"/>
    <w:rsid w:val="00665C10"/>
    <w:rsid w:val="00665F64"/>
    <w:rsid w:val="006661A2"/>
    <w:rsid w:val="0066648F"/>
    <w:rsid w:val="0066651F"/>
    <w:rsid w:val="00666655"/>
    <w:rsid w:val="006668E4"/>
    <w:rsid w:val="00666FA4"/>
    <w:rsid w:val="00667C2C"/>
    <w:rsid w:val="00667E3B"/>
    <w:rsid w:val="00670D5D"/>
    <w:rsid w:val="006711C6"/>
    <w:rsid w:val="006711F7"/>
    <w:rsid w:val="00671AFA"/>
    <w:rsid w:val="006726E7"/>
    <w:rsid w:val="00672D06"/>
    <w:rsid w:val="00672EB0"/>
    <w:rsid w:val="00673BB6"/>
    <w:rsid w:val="00674647"/>
    <w:rsid w:val="006749E8"/>
    <w:rsid w:val="00674CAE"/>
    <w:rsid w:val="00674DBA"/>
    <w:rsid w:val="00674F3F"/>
    <w:rsid w:val="00675151"/>
    <w:rsid w:val="00675152"/>
    <w:rsid w:val="006751EB"/>
    <w:rsid w:val="0067523F"/>
    <w:rsid w:val="00675EAD"/>
    <w:rsid w:val="00675F7A"/>
    <w:rsid w:val="006762B5"/>
    <w:rsid w:val="00676334"/>
    <w:rsid w:val="00676BF7"/>
    <w:rsid w:val="00676C39"/>
    <w:rsid w:val="00677263"/>
    <w:rsid w:val="00677DD4"/>
    <w:rsid w:val="0068024C"/>
    <w:rsid w:val="00680D5A"/>
    <w:rsid w:val="006816DB"/>
    <w:rsid w:val="00681B1C"/>
    <w:rsid w:val="00682C81"/>
    <w:rsid w:val="00682EE8"/>
    <w:rsid w:val="006834F0"/>
    <w:rsid w:val="00683AF6"/>
    <w:rsid w:val="00683F8F"/>
    <w:rsid w:val="00684FB6"/>
    <w:rsid w:val="0068596B"/>
    <w:rsid w:val="006861D1"/>
    <w:rsid w:val="006863A1"/>
    <w:rsid w:val="00687AFC"/>
    <w:rsid w:val="00690397"/>
    <w:rsid w:val="00690A76"/>
    <w:rsid w:val="00691AB3"/>
    <w:rsid w:val="00691B47"/>
    <w:rsid w:val="00691C5B"/>
    <w:rsid w:val="0069227E"/>
    <w:rsid w:val="006922D8"/>
    <w:rsid w:val="00692C2F"/>
    <w:rsid w:val="006931A4"/>
    <w:rsid w:val="00693B74"/>
    <w:rsid w:val="00693EAC"/>
    <w:rsid w:val="00694C2C"/>
    <w:rsid w:val="00695432"/>
    <w:rsid w:val="00695736"/>
    <w:rsid w:val="00695E3D"/>
    <w:rsid w:val="006961D1"/>
    <w:rsid w:val="00696AEB"/>
    <w:rsid w:val="00697058"/>
    <w:rsid w:val="006970A9"/>
    <w:rsid w:val="00697337"/>
    <w:rsid w:val="00697858"/>
    <w:rsid w:val="006978FC"/>
    <w:rsid w:val="00697B98"/>
    <w:rsid w:val="00697DE1"/>
    <w:rsid w:val="006A058F"/>
    <w:rsid w:val="006A08DB"/>
    <w:rsid w:val="006A0C9D"/>
    <w:rsid w:val="006A1CA0"/>
    <w:rsid w:val="006A2268"/>
    <w:rsid w:val="006A23D4"/>
    <w:rsid w:val="006A2E89"/>
    <w:rsid w:val="006A3334"/>
    <w:rsid w:val="006A3667"/>
    <w:rsid w:val="006A3B09"/>
    <w:rsid w:val="006A43C1"/>
    <w:rsid w:val="006A4C19"/>
    <w:rsid w:val="006A4E6D"/>
    <w:rsid w:val="006A50E0"/>
    <w:rsid w:val="006A51B0"/>
    <w:rsid w:val="006A5523"/>
    <w:rsid w:val="006A6D83"/>
    <w:rsid w:val="006A756F"/>
    <w:rsid w:val="006A7AC4"/>
    <w:rsid w:val="006B0D08"/>
    <w:rsid w:val="006B0D72"/>
    <w:rsid w:val="006B1CCE"/>
    <w:rsid w:val="006B295F"/>
    <w:rsid w:val="006B29F1"/>
    <w:rsid w:val="006B2ECA"/>
    <w:rsid w:val="006B396D"/>
    <w:rsid w:val="006B3B63"/>
    <w:rsid w:val="006B4540"/>
    <w:rsid w:val="006B4AB8"/>
    <w:rsid w:val="006B52DC"/>
    <w:rsid w:val="006B5344"/>
    <w:rsid w:val="006B5B86"/>
    <w:rsid w:val="006B5C1E"/>
    <w:rsid w:val="006B635C"/>
    <w:rsid w:val="006B69C0"/>
    <w:rsid w:val="006B6A6B"/>
    <w:rsid w:val="006B6E70"/>
    <w:rsid w:val="006B7518"/>
    <w:rsid w:val="006B7640"/>
    <w:rsid w:val="006B786B"/>
    <w:rsid w:val="006B78DA"/>
    <w:rsid w:val="006B78FD"/>
    <w:rsid w:val="006B791B"/>
    <w:rsid w:val="006B79A7"/>
    <w:rsid w:val="006B7AD3"/>
    <w:rsid w:val="006B7C44"/>
    <w:rsid w:val="006C005D"/>
    <w:rsid w:val="006C05D6"/>
    <w:rsid w:val="006C0EB8"/>
    <w:rsid w:val="006C1019"/>
    <w:rsid w:val="006C161B"/>
    <w:rsid w:val="006C1BCA"/>
    <w:rsid w:val="006C1DFF"/>
    <w:rsid w:val="006C1F78"/>
    <w:rsid w:val="006C213B"/>
    <w:rsid w:val="006C22DC"/>
    <w:rsid w:val="006C2BEA"/>
    <w:rsid w:val="006C30BE"/>
    <w:rsid w:val="006C30E2"/>
    <w:rsid w:val="006C33EF"/>
    <w:rsid w:val="006C4368"/>
    <w:rsid w:val="006C4372"/>
    <w:rsid w:val="006C4471"/>
    <w:rsid w:val="006C4903"/>
    <w:rsid w:val="006C585F"/>
    <w:rsid w:val="006C5CE6"/>
    <w:rsid w:val="006C60FD"/>
    <w:rsid w:val="006C61BD"/>
    <w:rsid w:val="006C717E"/>
    <w:rsid w:val="006C7A93"/>
    <w:rsid w:val="006D030D"/>
    <w:rsid w:val="006D0482"/>
    <w:rsid w:val="006D0F17"/>
    <w:rsid w:val="006D1549"/>
    <w:rsid w:val="006D1943"/>
    <w:rsid w:val="006D1D23"/>
    <w:rsid w:val="006D2806"/>
    <w:rsid w:val="006D29C7"/>
    <w:rsid w:val="006D2AEE"/>
    <w:rsid w:val="006D2EC3"/>
    <w:rsid w:val="006D3268"/>
    <w:rsid w:val="006D34AC"/>
    <w:rsid w:val="006D379D"/>
    <w:rsid w:val="006D3CDC"/>
    <w:rsid w:val="006D4496"/>
    <w:rsid w:val="006D4722"/>
    <w:rsid w:val="006D4A75"/>
    <w:rsid w:val="006D5B26"/>
    <w:rsid w:val="006D65EB"/>
    <w:rsid w:val="006D6F4B"/>
    <w:rsid w:val="006D7298"/>
    <w:rsid w:val="006D7C2C"/>
    <w:rsid w:val="006E02A1"/>
    <w:rsid w:val="006E03E4"/>
    <w:rsid w:val="006E0997"/>
    <w:rsid w:val="006E2A9E"/>
    <w:rsid w:val="006E2D79"/>
    <w:rsid w:val="006E33B8"/>
    <w:rsid w:val="006E4E87"/>
    <w:rsid w:val="006E4F0B"/>
    <w:rsid w:val="006E5397"/>
    <w:rsid w:val="006E5420"/>
    <w:rsid w:val="006E54FB"/>
    <w:rsid w:val="006E5631"/>
    <w:rsid w:val="006E56F8"/>
    <w:rsid w:val="006E5871"/>
    <w:rsid w:val="006E6575"/>
    <w:rsid w:val="006E6789"/>
    <w:rsid w:val="006E6D90"/>
    <w:rsid w:val="006E72A8"/>
    <w:rsid w:val="006E7B3D"/>
    <w:rsid w:val="006E7BDC"/>
    <w:rsid w:val="006F0031"/>
    <w:rsid w:val="006F0907"/>
    <w:rsid w:val="006F17F7"/>
    <w:rsid w:val="006F190D"/>
    <w:rsid w:val="006F1D15"/>
    <w:rsid w:val="006F26F7"/>
    <w:rsid w:val="006F2922"/>
    <w:rsid w:val="006F2B34"/>
    <w:rsid w:val="006F32FC"/>
    <w:rsid w:val="006F38C8"/>
    <w:rsid w:val="006F3C9F"/>
    <w:rsid w:val="006F40DA"/>
    <w:rsid w:val="006F4F32"/>
    <w:rsid w:val="006F53AA"/>
    <w:rsid w:val="006F62B9"/>
    <w:rsid w:val="006F63D7"/>
    <w:rsid w:val="006F6971"/>
    <w:rsid w:val="006F69A3"/>
    <w:rsid w:val="006F73A1"/>
    <w:rsid w:val="006F77E0"/>
    <w:rsid w:val="006F7E2A"/>
    <w:rsid w:val="00700876"/>
    <w:rsid w:val="00700BFC"/>
    <w:rsid w:val="007019C3"/>
    <w:rsid w:val="00702285"/>
    <w:rsid w:val="00702821"/>
    <w:rsid w:val="00702BC8"/>
    <w:rsid w:val="00702E40"/>
    <w:rsid w:val="00703982"/>
    <w:rsid w:val="0070413E"/>
    <w:rsid w:val="0070421E"/>
    <w:rsid w:val="007043C5"/>
    <w:rsid w:val="007044B8"/>
    <w:rsid w:val="00704697"/>
    <w:rsid w:val="00704828"/>
    <w:rsid w:val="00704850"/>
    <w:rsid w:val="007048B8"/>
    <w:rsid w:val="00704D97"/>
    <w:rsid w:val="00705095"/>
    <w:rsid w:val="0070602C"/>
    <w:rsid w:val="00706242"/>
    <w:rsid w:val="007064BB"/>
    <w:rsid w:val="007065D4"/>
    <w:rsid w:val="00706A3F"/>
    <w:rsid w:val="00707496"/>
    <w:rsid w:val="00707B90"/>
    <w:rsid w:val="00710106"/>
    <w:rsid w:val="007103EF"/>
    <w:rsid w:val="00711E71"/>
    <w:rsid w:val="00711E79"/>
    <w:rsid w:val="00712660"/>
    <w:rsid w:val="00712D8D"/>
    <w:rsid w:val="00712EEE"/>
    <w:rsid w:val="00713759"/>
    <w:rsid w:val="007137C1"/>
    <w:rsid w:val="007139D2"/>
    <w:rsid w:val="0071422F"/>
    <w:rsid w:val="0071431B"/>
    <w:rsid w:val="0071465F"/>
    <w:rsid w:val="00714C28"/>
    <w:rsid w:val="0071506E"/>
    <w:rsid w:val="00715A5B"/>
    <w:rsid w:val="0071637D"/>
    <w:rsid w:val="00716803"/>
    <w:rsid w:val="00716D18"/>
    <w:rsid w:val="0071766B"/>
    <w:rsid w:val="007178DE"/>
    <w:rsid w:val="00717C37"/>
    <w:rsid w:val="00720794"/>
    <w:rsid w:val="007210F2"/>
    <w:rsid w:val="00722097"/>
    <w:rsid w:val="00722429"/>
    <w:rsid w:val="00722BC4"/>
    <w:rsid w:val="00722DBD"/>
    <w:rsid w:val="00723222"/>
    <w:rsid w:val="00723266"/>
    <w:rsid w:val="0072470B"/>
    <w:rsid w:val="00724C00"/>
    <w:rsid w:val="00724F68"/>
    <w:rsid w:val="00725235"/>
    <w:rsid w:val="007260CF"/>
    <w:rsid w:val="00726358"/>
    <w:rsid w:val="0072655C"/>
    <w:rsid w:val="00726A72"/>
    <w:rsid w:val="00726AF3"/>
    <w:rsid w:val="00726C31"/>
    <w:rsid w:val="007273EF"/>
    <w:rsid w:val="00727404"/>
    <w:rsid w:val="007277E7"/>
    <w:rsid w:val="0072792C"/>
    <w:rsid w:val="00727AC0"/>
    <w:rsid w:val="00730466"/>
    <w:rsid w:val="00730C0A"/>
    <w:rsid w:val="00730D74"/>
    <w:rsid w:val="00731217"/>
    <w:rsid w:val="0073132F"/>
    <w:rsid w:val="007319C4"/>
    <w:rsid w:val="00731B31"/>
    <w:rsid w:val="00731FDD"/>
    <w:rsid w:val="007320F2"/>
    <w:rsid w:val="007324D0"/>
    <w:rsid w:val="007326E8"/>
    <w:rsid w:val="00732A8B"/>
    <w:rsid w:val="0073352E"/>
    <w:rsid w:val="00733536"/>
    <w:rsid w:val="007336CB"/>
    <w:rsid w:val="00733C18"/>
    <w:rsid w:val="00733C5F"/>
    <w:rsid w:val="007340E7"/>
    <w:rsid w:val="00734101"/>
    <w:rsid w:val="00734CAE"/>
    <w:rsid w:val="0073541F"/>
    <w:rsid w:val="00736067"/>
    <w:rsid w:val="007360F8"/>
    <w:rsid w:val="00736632"/>
    <w:rsid w:val="00736F0A"/>
    <w:rsid w:val="007372C9"/>
    <w:rsid w:val="007375EA"/>
    <w:rsid w:val="007378A3"/>
    <w:rsid w:val="00740486"/>
    <w:rsid w:val="00740C62"/>
    <w:rsid w:val="00741056"/>
    <w:rsid w:val="0074113C"/>
    <w:rsid w:val="00742191"/>
    <w:rsid w:val="007432E0"/>
    <w:rsid w:val="0074331B"/>
    <w:rsid w:val="007437F9"/>
    <w:rsid w:val="00743B20"/>
    <w:rsid w:val="00744C6F"/>
    <w:rsid w:val="007450D3"/>
    <w:rsid w:val="007452AF"/>
    <w:rsid w:val="00745458"/>
    <w:rsid w:val="007460C9"/>
    <w:rsid w:val="00746110"/>
    <w:rsid w:val="0074666C"/>
    <w:rsid w:val="007468B7"/>
    <w:rsid w:val="00747116"/>
    <w:rsid w:val="00747708"/>
    <w:rsid w:val="00747CA2"/>
    <w:rsid w:val="00750339"/>
    <w:rsid w:val="007503D7"/>
    <w:rsid w:val="00750B63"/>
    <w:rsid w:val="00750B99"/>
    <w:rsid w:val="00750C9F"/>
    <w:rsid w:val="007513D7"/>
    <w:rsid w:val="0075187A"/>
    <w:rsid w:val="00751D87"/>
    <w:rsid w:val="00752107"/>
    <w:rsid w:val="007528B1"/>
    <w:rsid w:val="00752B7D"/>
    <w:rsid w:val="007537AA"/>
    <w:rsid w:val="007538EC"/>
    <w:rsid w:val="00753A2E"/>
    <w:rsid w:val="00753CED"/>
    <w:rsid w:val="0075456E"/>
    <w:rsid w:val="00755887"/>
    <w:rsid w:val="007560EE"/>
    <w:rsid w:val="007565F7"/>
    <w:rsid w:val="00756E18"/>
    <w:rsid w:val="0075704D"/>
    <w:rsid w:val="007571E6"/>
    <w:rsid w:val="0075784B"/>
    <w:rsid w:val="00757BAE"/>
    <w:rsid w:val="00757CBC"/>
    <w:rsid w:val="00757F5B"/>
    <w:rsid w:val="00757F68"/>
    <w:rsid w:val="00760033"/>
    <w:rsid w:val="00760ADB"/>
    <w:rsid w:val="0076130C"/>
    <w:rsid w:val="00761FFD"/>
    <w:rsid w:val="0076402D"/>
    <w:rsid w:val="00764747"/>
    <w:rsid w:val="0076542F"/>
    <w:rsid w:val="00765E2D"/>
    <w:rsid w:val="00765E70"/>
    <w:rsid w:val="00765F2C"/>
    <w:rsid w:val="00767088"/>
    <w:rsid w:val="007670C6"/>
    <w:rsid w:val="00767387"/>
    <w:rsid w:val="0076751F"/>
    <w:rsid w:val="0076755E"/>
    <w:rsid w:val="00767776"/>
    <w:rsid w:val="007677EA"/>
    <w:rsid w:val="00767880"/>
    <w:rsid w:val="00767C2E"/>
    <w:rsid w:val="00767F29"/>
    <w:rsid w:val="0077076E"/>
    <w:rsid w:val="00770784"/>
    <w:rsid w:val="007708DD"/>
    <w:rsid w:val="007717F9"/>
    <w:rsid w:val="00771C92"/>
    <w:rsid w:val="00772111"/>
    <w:rsid w:val="007728D9"/>
    <w:rsid w:val="0077293D"/>
    <w:rsid w:val="00772FBB"/>
    <w:rsid w:val="00774948"/>
    <w:rsid w:val="00774A05"/>
    <w:rsid w:val="00774B01"/>
    <w:rsid w:val="00774B5C"/>
    <w:rsid w:val="00775044"/>
    <w:rsid w:val="00775992"/>
    <w:rsid w:val="00776C0C"/>
    <w:rsid w:val="00776DC6"/>
    <w:rsid w:val="00776F77"/>
    <w:rsid w:val="007774A9"/>
    <w:rsid w:val="007774F7"/>
    <w:rsid w:val="0077773E"/>
    <w:rsid w:val="007778CC"/>
    <w:rsid w:val="00777BD1"/>
    <w:rsid w:val="00780044"/>
    <w:rsid w:val="00780085"/>
    <w:rsid w:val="007805BE"/>
    <w:rsid w:val="0078079E"/>
    <w:rsid w:val="00781377"/>
    <w:rsid w:val="00781B50"/>
    <w:rsid w:val="00781E66"/>
    <w:rsid w:val="007821AA"/>
    <w:rsid w:val="007823C2"/>
    <w:rsid w:val="00782478"/>
    <w:rsid w:val="007825FE"/>
    <w:rsid w:val="00782A3E"/>
    <w:rsid w:val="00782B5C"/>
    <w:rsid w:val="00782D76"/>
    <w:rsid w:val="00782F29"/>
    <w:rsid w:val="00783018"/>
    <w:rsid w:val="00783583"/>
    <w:rsid w:val="00783E28"/>
    <w:rsid w:val="0078517B"/>
    <w:rsid w:val="007852F8"/>
    <w:rsid w:val="0078597F"/>
    <w:rsid w:val="00786F25"/>
    <w:rsid w:val="00787179"/>
    <w:rsid w:val="007873C4"/>
    <w:rsid w:val="00787592"/>
    <w:rsid w:val="00787809"/>
    <w:rsid w:val="0079030D"/>
    <w:rsid w:val="00790C9D"/>
    <w:rsid w:val="00790DB3"/>
    <w:rsid w:val="007910E0"/>
    <w:rsid w:val="00792FC4"/>
    <w:rsid w:val="0079305D"/>
    <w:rsid w:val="007930D2"/>
    <w:rsid w:val="007930FD"/>
    <w:rsid w:val="0079312F"/>
    <w:rsid w:val="00793482"/>
    <w:rsid w:val="00793FEB"/>
    <w:rsid w:val="0079434B"/>
    <w:rsid w:val="00794570"/>
    <w:rsid w:val="0079470C"/>
    <w:rsid w:val="00794AB2"/>
    <w:rsid w:val="00794B72"/>
    <w:rsid w:val="00794D04"/>
    <w:rsid w:val="00794E21"/>
    <w:rsid w:val="00795266"/>
    <w:rsid w:val="00795593"/>
    <w:rsid w:val="00795AD9"/>
    <w:rsid w:val="00795CCE"/>
    <w:rsid w:val="00795E2D"/>
    <w:rsid w:val="00796787"/>
    <w:rsid w:val="00796957"/>
    <w:rsid w:val="00796972"/>
    <w:rsid w:val="00796CB7"/>
    <w:rsid w:val="00796CFB"/>
    <w:rsid w:val="007972C6"/>
    <w:rsid w:val="00797648"/>
    <w:rsid w:val="00797B37"/>
    <w:rsid w:val="00797C85"/>
    <w:rsid w:val="00797F67"/>
    <w:rsid w:val="007A008B"/>
    <w:rsid w:val="007A0618"/>
    <w:rsid w:val="007A0BC7"/>
    <w:rsid w:val="007A0DA8"/>
    <w:rsid w:val="007A1030"/>
    <w:rsid w:val="007A10AA"/>
    <w:rsid w:val="007A15A7"/>
    <w:rsid w:val="007A1C2F"/>
    <w:rsid w:val="007A1C3A"/>
    <w:rsid w:val="007A1CEA"/>
    <w:rsid w:val="007A2725"/>
    <w:rsid w:val="007A27A5"/>
    <w:rsid w:val="007A29A7"/>
    <w:rsid w:val="007A2D6B"/>
    <w:rsid w:val="007A2DC8"/>
    <w:rsid w:val="007A3640"/>
    <w:rsid w:val="007A3831"/>
    <w:rsid w:val="007A48FA"/>
    <w:rsid w:val="007A57FC"/>
    <w:rsid w:val="007A5C52"/>
    <w:rsid w:val="007A5D8D"/>
    <w:rsid w:val="007A5DEA"/>
    <w:rsid w:val="007A5F40"/>
    <w:rsid w:val="007A611C"/>
    <w:rsid w:val="007A6A7A"/>
    <w:rsid w:val="007A6D63"/>
    <w:rsid w:val="007A7162"/>
    <w:rsid w:val="007A7B8F"/>
    <w:rsid w:val="007A7EEC"/>
    <w:rsid w:val="007B0DC4"/>
    <w:rsid w:val="007B100B"/>
    <w:rsid w:val="007B106D"/>
    <w:rsid w:val="007B1404"/>
    <w:rsid w:val="007B1782"/>
    <w:rsid w:val="007B26B3"/>
    <w:rsid w:val="007B29F7"/>
    <w:rsid w:val="007B2D83"/>
    <w:rsid w:val="007B35AF"/>
    <w:rsid w:val="007B3AF7"/>
    <w:rsid w:val="007B3E41"/>
    <w:rsid w:val="007B3FB0"/>
    <w:rsid w:val="007B43DA"/>
    <w:rsid w:val="007B45EC"/>
    <w:rsid w:val="007B4959"/>
    <w:rsid w:val="007B4CB6"/>
    <w:rsid w:val="007B4DBA"/>
    <w:rsid w:val="007B4FF8"/>
    <w:rsid w:val="007B5987"/>
    <w:rsid w:val="007B5BA0"/>
    <w:rsid w:val="007B6776"/>
    <w:rsid w:val="007B6786"/>
    <w:rsid w:val="007B69B2"/>
    <w:rsid w:val="007B75AE"/>
    <w:rsid w:val="007B771A"/>
    <w:rsid w:val="007B79C2"/>
    <w:rsid w:val="007C1376"/>
    <w:rsid w:val="007C1C37"/>
    <w:rsid w:val="007C1FC2"/>
    <w:rsid w:val="007C2373"/>
    <w:rsid w:val="007C29C0"/>
    <w:rsid w:val="007C3164"/>
    <w:rsid w:val="007C3516"/>
    <w:rsid w:val="007C380C"/>
    <w:rsid w:val="007C3B7E"/>
    <w:rsid w:val="007C3D1F"/>
    <w:rsid w:val="007C40EA"/>
    <w:rsid w:val="007C470C"/>
    <w:rsid w:val="007C6C66"/>
    <w:rsid w:val="007C6ED5"/>
    <w:rsid w:val="007C71DD"/>
    <w:rsid w:val="007C7897"/>
    <w:rsid w:val="007D0583"/>
    <w:rsid w:val="007D1282"/>
    <w:rsid w:val="007D19A2"/>
    <w:rsid w:val="007D2353"/>
    <w:rsid w:val="007D2426"/>
    <w:rsid w:val="007D268B"/>
    <w:rsid w:val="007D2E93"/>
    <w:rsid w:val="007D2EE5"/>
    <w:rsid w:val="007D306A"/>
    <w:rsid w:val="007D398E"/>
    <w:rsid w:val="007D3D5D"/>
    <w:rsid w:val="007D4017"/>
    <w:rsid w:val="007D42AD"/>
    <w:rsid w:val="007D440C"/>
    <w:rsid w:val="007D47DD"/>
    <w:rsid w:val="007D673C"/>
    <w:rsid w:val="007D67A8"/>
    <w:rsid w:val="007D697C"/>
    <w:rsid w:val="007D6F3C"/>
    <w:rsid w:val="007D7B7F"/>
    <w:rsid w:val="007D7BE7"/>
    <w:rsid w:val="007D7E3C"/>
    <w:rsid w:val="007D7E9B"/>
    <w:rsid w:val="007E0258"/>
    <w:rsid w:val="007E0473"/>
    <w:rsid w:val="007E070F"/>
    <w:rsid w:val="007E0852"/>
    <w:rsid w:val="007E0EE1"/>
    <w:rsid w:val="007E285E"/>
    <w:rsid w:val="007E296D"/>
    <w:rsid w:val="007E3388"/>
    <w:rsid w:val="007E368F"/>
    <w:rsid w:val="007E3CD1"/>
    <w:rsid w:val="007E4AC6"/>
    <w:rsid w:val="007E4D6C"/>
    <w:rsid w:val="007E5C26"/>
    <w:rsid w:val="007E5E08"/>
    <w:rsid w:val="007E656C"/>
    <w:rsid w:val="007E6668"/>
    <w:rsid w:val="007E677A"/>
    <w:rsid w:val="007E6C31"/>
    <w:rsid w:val="007E6EB7"/>
    <w:rsid w:val="007E70B4"/>
    <w:rsid w:val="007E735B"/>
    <w:rsid w:val="007E746D"/>
    <w:rsid w:val="007E77D0"/>
    <w:rsid w:val="007E7C6E"/>
    <w:rsid w:val="007F0484"/>
    <w:rsid w:val="007F083A"/>
    <w:rsid w:val="007F0920"/>
    <w:rsid w:val="007F0C65"/>
    <w:rsid w:val="007F0EA0"/>
    <w:rsid w:val="007F149F"/>
    <w:rsid w:val="007F2032"/>
    <w:rsid w:val="007F26EA"/>
    <w:rsid w:val="007F2ED3"/>
    <w:rsid w:val="007F31C7"/>
    <w:rsid w:val="007F3242"/>
    <w:rsid w:val="007F3319"/>
    <w:rsid w:val="007F33FF"/>
    <w:rsid w:val="007F3471"/>
    <w:rsid w:val="007F36BE"/>
    <w:rsid w:val="007F3E1E"/>
    <w:rsid w:val="007F4A03"/>
    <w:rsid w:val="007F4CE6"/>
    <w:rsid w:val="007F4CE7"/>
    <w:rsid w:val="007F53C7"/>
    <w:rsid w:val="007F5E13"/>
    <w:rsid w:val="007F60FA"/>
    <w:rsid w:val="007F71A4"/>
    <w:rsid w:val="0080001A"/>
    <w:rsid w:val="008005AA"/>
    <w:rsid w:val="00800A6D"/>
    <w:rsid w:val="00800D05"/>
    <w:rsid w:val="0080111A"/>
    <w:rsid w:val="00801AA7"/>
    <w:rsid w:val="00801C47"/>
    <w:rsid w:val="00801D4E"/>
    <w:rsid w:val="008021D9"/>
    <w:rsid w:val="0080275C"/>
    <w:rsid w:val="00802A0B"/>
    <w:rsid w:val="00802B5A"/>
    <w:rsid w:val="00802B6A"/>
    <w:rsid w:val="008031F5"/>
    <w:rsid w:val="0080335D"/>
    <w:rsid w:val="0080377D"/>
    <w:rsid w:val="00803A78"/>
    <w:rsid w:val="008044FC"/>
    <w:rsid w:val="008047AD"/>
    <w:rsid w:val="00804B18"/>
    <w:rsid w:val="00805025"/>
    <w:rsid w:val="008059F2"/>
    <w:rsid w:val="0080604C"/>
    <w:rsid w:val="00807317"/>
    <w:rsid w:val="0080758E"/>
    <w:rsid w:val="00807722"/>
    <w:rsid w:val="008077A9"/>
    <w:rsid w:val="00807F83"/>
    <w:rsid w:val="00810601"/>
    <w:rsid w:val="00810641"/>
    <w:rsid w:val="00810A04"/>
    <w:rsid w:val="00810F66"/>
    <w:rsid w:val="0081144E"/>
    <w:rsid w:val="0081157F"/>
    <w:rsid w:val="0081160B"/>
    <w:rsid w:val="00811807"/>
    <w:rsid w:val="008121C6"/>
    <w:rsid w:val="0081246E"/>
    <w:rsid w:val="008128D2"/>
    <w:rsid w:val="0081295B"/>
    <w:rsid w:val="00813B71"/>
    <w:rsid w:val="00813BD2"/>
    <w:rsid w:val="00814825"/>
    <w:rsid w:val="00814F35"/>
    <w:rsid w:val="0081502B"/>
    <w:rsid w:val="00815622"/>
    <w:rsid w:val="00815B90"/>
    <w:rsid w:val="00815BB8"/>
    <w:rsid w:val="00815F7B"/>
    <w:rsid w:val="00816016"/>
    <w:rsid w:val="008160AE"/>
    <w:rsid w:val="00816225"/>
    <w:rsid w:val="00817804"/>
    <w:rsid w:val="00817E6F"/>
    <w:rsid w:val="00820C4F"/>
    <w:rsid w:val="00820C60"/>
    <w:rsid w:val="00820CCB"/>
    <w:rsid w:val="008216C3"/>
    <w:rsid w:val="00821AEF"/>
    <w:rsid w:val="00821B34"/>
    <w:rsid w:val="008224EE"/>
    <w:rsid w:val="008228D5"/>
    <w:rsid w:val="00822ADE"/>
    <w:rsid w:val="00822DF9"/>
    <w:rsid w:val="00822F13"/>
    <w:rsid w:val="0082338D"/>
    <w:rsid w:val="00823962"/>
    <w:rsid w:val="008239A0"/>
    <w:rsid w:val="00824E9A"/>
    <w:rsid w:val="0082582F"/>
    <w:rsid w:val="00826ABE"/>
    <w:rsid w:val="008272DF"/>
    <w:rsid w:val="00827F80"/>
    <w:rsid w:val="0083028F"/>
    <w:rsid w:val="008302FE"/>
    <w:rsid w:val="008307A3"/>
    <w:rsid w:val="0083092D"/>
    <w:rsid w:val="00830BD4"/>
    <w:rsid w:val="00830CF3"/>
    <w:rsid w:val="00830FF3"/>
    <w:rsid w:val="00831371"/>
    <w:rsid w:val="008319F5"/>
    <w:rsid w:val="00831A8D"/>
    <w:rsid w:val="00831ADD"/>
    <w:rsid w:val="008329A2"/>
    <w:rsid w:val="00832ACA"/>
    <w:rsid w:val="00832B82"/>
    <w:rsid w:val="00832C0D"/>
    <w:rsid w:val="008332D4"/>
    <w:rsid w:val="008342F4"/>
    <w:rsid w:val="00834E44"/>
    <w:rsid w:val="00835580"/>
    <w:rsid w:val="00835B32"/>
    <w:rsid w:val="00835E77"/>
    <w:rsid w:val="008362D5"/>
    <w:rsid w:val="008365A4"/>
    <w:rsid w:val="00836EF5"/>
    <w:rsid w:val="00837440"/>
    <w:rsid w:val="008374F7"/>
    <w:rsid w:val="008405B2"/>
    <w:rsid w:val="00840863"/>
    <w:rsid w:val="00840A85"/>
    <w:rsid w:val="0084228A"/>
    <w:rsid w:val="00842BD7"/>
    <w:rsid w:val="00842F5C"/>
    <w:rsid w:val="00843FA1"/>
    <w:rsid w:val="008445B1"/>
    <w:rsid w:val="00844F1E"/>
    <w:rsid w:val="00846357"/>
    <w:rsid w:val="0084663A"/>
    <w:rsid w:val="00846FDB"/>
    <w:rsid w:val="0084720F"/>
    <w:rsid w:val="00847F14"/>
    <w:rsid w:val="00850D79"/>
    <w:rsid w:val="008514CF"/>
    <w:rsid w:val="008516FC"/>
    <w:rsid w:val="00851887"/>
    <w:rsid w:val="00851D67"/>
    <w:rsid w:val="008524D8"/>
    <w:rsid w:val="00852BB5"/>
    <w:rsid w:val="008533F1"/>
    <w:rsid w:val="00853A4D"/>
    <w:rsid w:val="00853D2C"/>
    <w:rsid w:val="00853F8F"/>
    <w:rsid w:val="00854164"/>
    <w:rsid w:val="008546F4"/>
    <w:rsid w:val="0085485B"/>
    <w:rsid w:val="00854A49"/>
    <w:rsid w:val="00855214"/>
    <w:rsid w:val="0085564D"/>
    <w:rsid w:val="00855923"/>
    <w:rsid w:val="00855C5C"/>
    <w:rsid w:val="00855FEF"/>
    <w:rsid w:val="00856141"/>
    <w:rsid w:val="00856D09"/>
    <w:rsid w:val="00856E08"/>
    <w:rsid w:val="00857473"/>
    <w:rsid w:val="0085751C"/>
    <w:rsid w:val="00857561"/>
    <w:rsid w:val="008577CA"/>
    <w:rsid w:val="00857E87"/>
    <w:rsid w:val="00857EB6"/>
    <w:rsid w:val="008603B2"/>
    <w:rsid w:val="00860684"/>
    <w:rsid w:val="00860A34"/>
    <w:rsid w:val="00860BBD"/>
    <w:rsid w:val="00860C53"/>
    <w:rsid w:val="00860DD7"/>
    <w:rsid w:val="00860F37"/>
    <w:rsid w:val="0086119C"/>
    <w:rsid w:val="00861356"/>
    <w:rsid w:val="0086156B"/>
    <w:rsid w:val="00861644"/>
    <w:rsid w:val="00861EA4"/>
    <w:rsid w:val="00861F32"/>
    <w:rsid w:val="00862DCB"/>
    <w:rsid w:val="00863502"/>
    <w:rsid w:val="00863612"/>
    <w:rsid w:val="00863C72"/>
    <w:rsid w:val="00863C8C"/>
    <w:rsid w:val="00864058"/>
    <w:rsid w:val="008644D8"/>
    <w:rsid w:val="00865026"/>
    <w:rsid w:val="00865339"/>
    <w:rsid w:val="0086556C"/>
    <w:rsid w:val="00865751"/>
    <w:rsid w:val="0086678B"/>
    <w:rsid w:val="008669C1"/>
    <w:rsid w:val="008669D8"/>
    <w:rsid w:val="00866BF7"/>
    <w:rsid w:val="00866C30"/>
    <w:rsid w:val="00866F96"/>
    <w:rsid w:val="008675F6"/>
    <w:rsid w:val="00867C4D"/>
    <w:rsid w:val="00867D4F"/>
    <w:rsid w:val="00867D72"/>
    <w:rsid w:val="008700D5"/>
    <w:rsid w:val="0087023A"/>
    <w:rsid w:val="00870845"/>
    <w:rsid w:val="00871191"/>
    <w:rsid w:val="00871AA5"/>
    <w:rsid w:val="00871F34"/>
    <w:rsid w:val="00871F8B"/>
    <w:rsid w:val="00872F4E"/>
    <w:rsid w:val="008732E8"/>
    <w:rsid w:val="0087331E"/>
    <w:rsid w:val="00873A37"/>
    <w:rsid w:val="00873C05"/>
    <w:rsid w:val="00873DD6"/>
    <w:rsid w:val="00873FD0"/>
    <w:rsid w:val="008743AD"/>
    <w:rsid w:val="008751B9"/>
    <w:rsid w:val="008751FD"/>
    <w:rsid w:val="00875430"/>
    <w:rsid w:val="0087543D"/>
    <w:rsid w:val="00875934"/>
    <w:rsid w:val="008766DE"/>
    <w:rsid w:val="00876AF2"/>
    <w:rsid w:val="00876D17"/>
    <w:rsid w:val="00876F94"/>
    <w:rsid w:val="00877A8E"/>
    <w:rsid w:val="00880996"/>
    <w:rsid w:val="00881B3D"/>
    <w:rsid w:val="00881EF6"/>
    <w:rsid w:val="0088220E"/>
    <w:rsid w:val="00882456"/>
    <w:rsid w:val="008832D0"/>
    <w:rsid w:val="00883B2A"/>
    <w:rsid w:val="008841BD"/>
    <w:rsid w:val="00884865"/>
    <w:rsid w:val="008848BA"/>
    <w:rsid w:val="008848CA"/>
    <w:rsid w:val="00884FA5"/>
    <w:rsid w:val="00885DF6"/>
    <w:rsid w:val="008865BC"/>
    <w:rsid w:val="00886800"/>
    <w:rsid w:val="0088714F"/>
    <w:rsid w:val="00887462"/>
    <w:rsid w:val="008878E4"/>
    <w:rsid w:val="00887E04"/>
    <w:rsid w:val="00887F80"/>
    <w:rsid w:val="00887F83"/>
    <w:rsid w:val="00887F8A"/>
    <w:rsid w:val="0089032C"/>
    <w:rsid w:val="00890429"/>
    <w:rsid w:val="008909AE"/>
    <w:rsid w:val="00891C36"/>
    <w:rsid w:val="00891D52"/>
    <w:rsid w:val="00891DD1"/>
    <w:rsid w:val="00892460"/>
    <w:rsid w:val="00893507"/>
    <w:rsid w:val="008938E7"/>
    <w:rsid w:val="008938FD"/>
    <w:rsid w:val="00893E89"/>
    <w:rsid w:val="00893EF0"/>
    <w:rsid w:val="00894469"/>
    <w:rsid w:val="008947EA"/>
    <w:rsid w:val="008952D8"/>
    <w:rsid w:val="00895945"/>
    <w:rsid w:val="008961D6"/>
    <w:rsid w:val="00896759"/>
    <w:rsid w:val="0089713D"/>
    <w:rsid w:val="00897B5D"/>
    <w:rsid w:val="008A0930"/>
    <w:rsid w:val="008A10A8"/>
    <w:rsid w:val="008A1B55"/>
    <w:rsid w:val="008A2550"/>
    <w:rsid w:val="008A27DD"/>
    <w:rsid w:val="008A351B"/>
    <w:rsid w:val="008A3599"/>
    <w:rsid w:val="008A3C69"/>
    <w:rsid w:val="008A50AE"/>
    <w:rsid w:val="008A570D"/>
    <w:rsid w:val="008A5BF6"/>
    <w:rsid w:val="008A5C9E"/>
    <w:rsid w:val="008A6612"/>
    <w:rsid w:val="008A689E"/>
    <w:rsid w:val="008A6E22"/>
    <w:rsid w:val="008A77B0"/>
    <w:rsid w:val="008B029E"/>
    <w:rsid w:val="008B0400"/>
    <w:rsid w:val="008B049A"/>
    <w:rsid w:val="008B099E"/>
    <w:rsid w:val="008B0AD4"/>
    <w:rsid w:val="008B0DE6"/>
    <w:rsid w:val="008B16F7"/>
    <w:rsid w:val="008B16FF"/>
    <w:rsid w:val="008B2977"/>
    <w:rsid w:val="008B4637"/>
    <w:rsid w:val="008B469C"/>
    <w:rsid w:val="008B4AEF"/>
    <w:rsid w:val="008B4C15"/>
    <w:rsid w:val="008B57C3"/>
    <w:rsid w:val="008B5846"/>
    <w:rsid w:val="008B5B22"/>
    <w:rsid w:val="008B5BF1"/>
    <w:rsid w:val="008B60FE"/>
    <w:rsid w:val="008B7A28"/>
    <w:rsid w:val="008C0109"/>
    <w:rsid w:val="008C010F"/>
    <w:rsid w:val="008C1D16"/>
    <w:rsid w:val="008C1D5C"/>
    <w:rsid w:val="008C1D71"/>
    <w:rsid w:val="008C1EFE"/>
    <w:rsid w:val="008C2232"/>
    <w:rsid w:val="008C23DE"/>
    <w:rsid w:val="008C3910"/>
    <w:rsid w:val="008C4682"/>
    <w:rsid w:val="008C4E32"/>
    <w:rsid w:val="008C4E97"/>
    <w:rsid w:val="008C50F6"/>
    <w:rsid w:val="008C652F"/>
    <w:rsid w:val="008C6CDD"/>
    <w:rsid w:val="008C723C"/>
    <w:rsid w:val="008C739D"/>
    <w:rsid w:val="008C7947"/>
    <w:rsid w:val="008D01C8"/>
    <w:rsid w:val="008D04A1"/>
    <w:rsid w:val="008D056A"/>
    <w:rsid w:val="008D0BC2"/>
    <w:rsid w:val="008D14C1"/>
    <w:rsid w:val="008D1E59"/>
    <w:rsid w:val="008D21CF"/>
    <w:rsid w:val="008D2D35"/>
    <w:rsid w:val="008D2EE6"/>
    <w:rsid w:val="008D30F9"/>
    <w:rsid w:val="008D3151"/>
    <w:rsid w:val="008D32F6"/>
    <w:rsid w:val="008D4651"/>
    <w:rsid w:val="008D472B"/>
    <w:rsid w:val="008D4734"/>
    <w:rsid w:val="008D4FF4"/>
    <w:rsid w:val="008D5113"/>
    <w:rsid w:val="008D5150"/>
    <w:rsid w:val="008D5518"/>
    <w:rsid w:val="008D5AAA"/>
    <w:rsid w:val="008D607A"/>
    <w:rsid w:val="008D6453"/>
    <w:rsid w:val="008D6565"/>
    <w:rsid w:val="008D6630"/>
    <w:rsid w:val="008D68D3"/>
    <w:rsid w:val="008D6CB7"/>
    <w:rsid w:val="008D6D41"/>
    <w:rsid w:val="008D6DAB"/>
    <w:rsid w:val="008D734D"/>
    <w:rsid w:val="008D758C"/>
    <w:rsid w:val="008E1170"/>
    <w:rsid w:val="008E13B4"/>
    <w:rsid w:val="008E2E6B"/>
    <w:rsid w:val="008E365F"/>
    <w:rsid w:val="008E3818"/>
    <w:rsid w:val="008E3BDE"/>
    <w:rsid w:val="008E54BB"/>
    <w:rsid w:val="008E5B01"/>
    <w:rsid w:val="008E5D23"/>
    <w:rsid w:val="008E5E49"/>
    <w:rsid w:val="008E624A"/>
    <w:rsid w:val="008E6700"/>
    <w:rsid w:val="008E695D"/>
    <w:rsid w:val="008E69C9"/>
    <w:rsid w:val="008E6D24"/>
    <w:rsid w:val="008E6E64"/>
    <w:rsid w:val="008E72CE"/>
    <w:rsid w:val="008E7334"/>
    <w:rsid w:val="008E7336"/>
    <w:rsid w:val="008E799F"/>
    <w:rsid w:val="008F059D"/>
    <w:rsid w:val="008F0CAA"/>
    <w:rsid w:val="008F17F0"/>
    <w:rsid w:val="008F1AF0"/>
    <w:rsid w:val="008F21FC"/>
    <w:rsid w:val="008F2D3D"/>
    <w:rsid w:val="008F3594"/>
    <w:rsid w:val="008F3AE2"/>
    <w:rsid w:val="008F415A"/>
    <w:rsid w:val="008F41DE"/>
    <w:rsid w:val="008F440B"/>
    <w:rsid w:val="008F4838"/>
    <w:rsid w:val="008F5116"/>
    <w:rsid w:val="008F62A7"/>
    <w:rsid w:val="008F6FD9"/>
    <w:rsid w:val="008F6FE0"/>
    <w:rsid w:val="008F7550"/>
    <w:rsid w:val="008F767E"/>
    <w:rsid w:val="008F7ACF"/>
    <w:rsid w:val="008F7D29"/>
    <w:rsid w:val="0090100E"/>
    <w:rsid w:val="009013A4"/>
    <w:rsid w:val="009014F5"/>
    <w:rsid w:val="00902239"/>
    <w:rsid w:val="00902338"/>
    <w:rsid w:val="00902461"/>
    <w:rsid w:val="00902639"/>
    <w:rsid w:val="00903770"/>
    <w:rsid w:val="009039D4"/>
    <w:rsid w:val="00904570"/>
    <w:rsid w:val="009045C4"/>
    <w:rsid w:val="009045F8"/>
    <w:rsid w:val="00904B70"/>
    <w:rsid w:val="00904CCD"/>
    <w:rsid w:val="009052D4"/>
    <w:rsid w:val="00905EAD"/>
    <w:rsid w:val="00906DB6"/>
    <w:rsid w:val="00907008"/>
    <w:rsid w:val="00907036"/>
    <w:rsid w:val="0090706D"/>
    <w:rsid w:val="009071F4"/>
    <w:rsid w:val="00907246"/>
    <w:rsid w:val="00907253"/>
    <w:rsid w:val="00907532"/>
    <w:rsid w:val="009076CD"/>
    <w:rsid w:val="00907A10"/>
    <w:rsid w:val="00910129"/>
    <w:rsid w:val="009102CD"/>
    <w:rsid w:val="00910683"/>
    <w:rsid w:val="00910908"/>
    <w:rsid w:val="009109B0"/>
    <w:rsid w:val="00910F9C"/>
    <w:rsid w:val="00912584"/>
    <w:rsid w:val="00912BC6"/>
    <w:rsid w:val="00913081"/>
    <w:rsid w:val="0091312C"/>
    <w:rsid w:val="009137FF"/>
    <w:rsid w:val="00913861"/>
    <w:rsid w:val="00913BA6"/>
    <w:rsid w:val="00913CDA"/>
    <w:rsid w:val="00914E5B"/>
    <w:rsid w:val="0091524C"/>
    <w:rsid w:val="0091590E"/>
    <w:rsid w:val="00916342"/>
    <w:rsid w:val="00916AB7"/>
    <w:rsid w:val="0091744E"/>
    <w:rsid w:val="00917D11"/>
    <w:rsid w:val="009201C1"/>
    <w:rsid w:val="00920794"/>
    <w:rsid w:val="009214C7"/>
    <w:rsid w:val="00921EE1"/>
    <w:rsid w:val="0092265B"/>
    <w:rsid w:val="00922B33"/>
    <w:rsid w:val="00922C28"/>
    <w:rsid w:val="00922E15"/>
    <w:rsid w:val="0092305E"/>
    <w:rsid w:val="009244EF"/>
    <w:rsid w:val="009252BD"/>
    <w:rsid w:val="009255BA"/>
    <w:rsid w:val="009267AB"/>
    <w:rsid w:val="00927034"/>
    <w:rsid w:val="00927097"/>
    <w:rsid w:val="00927F08"/>
    <w:rsid w:val="00930486"/>
    <w:rsid w:val="00930835"/>
    <w:rsid w:val="00930917"/>
    <w:rsid w:val="00930D3A"/>
    <w:rsid w:val="00930EF6"/>
    <w:rsid w:val="009314BC"/>
    <w:rsid w:val="0093154D"/>
    <w:rsid w:val="00931664"/>
    <w:rsid w:val="0093266D"/>
    <w:rsid w:val="009328C1"/>
    <w:rsid w:val="00933AD4"/>
    <w:rsid w:val="00933B7C"/>
    <w:rsid w:val="00933D06"/>
    <w:rsid w:val="00933F7D"/>
    <w:rsid w:val="009341D7"/>
    <w:rsid w:val="00934573"/>
    <w:rsid w:val="00934EFD"/>
    <w:rsid w:val="00936B89"/>
    <w:rsid w:val="009377CC"/>
    <w:rsid w:val="009404E2"/>
    <w:rsid w:val="00940AEF"/>
    <w:rsid w:val="00940FDB"/>
    <w:rsid w:val="00941C40"/>
    <w:rsid w:val="009423C0"/>
    <w:rsid w:val="00942E98"/>
    <w:rsid w:val="00943750"/>
    <w:rsid w:val="0094381F"/>
    <w:rsid w:val="0094497B"/>
    <w:rsid w:val="00944FC3"/>
    <w:rsid w:val="00945884"/>
    <w:rsid w:val="0094602B"/>
    <w:rsid w:val="009466F8"/>
    <w:rsid w:val="0094676D"/>
    <w:rsid w:val="00946B7E"/>
    <w:rsid w:val="00946BBF"/>
    <w:rsid w:val="00946EE1"/>
    <w:rsid w:val="00946FBD"/>
    <w:rsid w:val="00947499"/>
    <w:rsid w:val="009476A2"/>
    <w:rsid w:val="009478DD"/>
    <w:rsid w:val="00947A9C"/>
    <w:rsid w:val="00947C64"/>
    <w:rsid w:val="0095037F"/>
    <w:rsid w:val="00950461"/>
    <w:rsid w:val="00950660"/>
    <w:rsid w:val="009507C2"/>
    <w:rsid w:val="009507CF"/>
    <w:rsid w:val="00950F0B"/>
    <w:rsid w:val="009516B6"/>
    <w:rsid w:val="00952373"/>
    <w:rsid w:val="009526CB"/>
    <w:rsid w:val="009528E7"/>
    <w:rsid w:val="00952A94"/>
    <w:rsid w:val="00953864"/>
    <w:rsid w:val="00954622"/>
    <w:rsid w:val="00954C26"/>
    <w:rsid w:val="009556FA"/>
    <w:rsid w:val="00955C72"/>
    <w:rsid w:val="009561C4"/>
    <w:rsid w:val="009568F0"/>
    <w:rsid w:val="00956E34"/>
    <w:rsid w:val="00956F15"/>
    <w:rsid w:val="0095750A"/>
    <w:rsid w:val="00957981"/>
    <w:rsid w:val="00960371"/>
    <w:rsid w:val="00960611"/>
    <w:rsid w:val="009608DB"/>
    <w:rsid w:val="009613FE"/>
    <w:rsid w:val="00961747"/>
    <w:rsid w:val="00962962"/>
    <w:rsid w:val="00962B94"/>
    <w:rsid w:val="009630A9"/>
    <w:rsid w:val="009635F6"/>
    <w:rsid w:val="00963895"/>
    <w:rsid w:val="009638D5"/>
    <w:rsid w:val="009639B3"/>
    <w:rsid w:val="00963CE2"/>
    <w:rsid w:val="00963E13"/>
    <w:rsid w:val="00964361"/>
    <w:rsid w:val="00965D12"/>
    <w:rsid w:val="009660E7"/>
    <w:rsid w:val="009662E5"/>
    <w:rsid w:val="00966E43"/>
    <w:rsid w:val="00966FB4"/>
    <w:rsid w:val="009670E4"/>
    <w:rsid w:val="009671BB"/>
    <w:rsid w:val="00967613"/>
    <w:rsid w:val="00967B8D"/>
    <w:rsid w:val="00967F0D"/>
    <w:rsid w:val="00970D48"/>
    <w:rsid w:val="00971758"/>
    <w:rsid w:val="00971E34"/>
    <w:rsid w:val="00972263"/>
    <w:rsid w:val="00972529"/>
    <w:rsid w:val="009725A4"/>
    <w:rsid w:val="009726EC"/>
    <w:rsid w:val="00972703"/>
    <w:rsid w:val="00972BB4"/>
    <w:rsid w:val="009736EA"/>
    <w:rsid w:val="00973922"/>
    <w:rsid w:val="009745B1"/>
    <w:rsid w:val="0097519D"/>
    <w:rsid w:val="009751C0"/>
    <w:rsid w:val="0097552D"/>
    <w:rsid w:val="00975BDD"/>
    <w:rsid w:val="00976026"/>
    <w:rsid w:val="009760E2"/>
    <w:rsid w:val="0097630C"/>
    <w:rsid w:val="00976398"/>
    <w:rsid w:val="00976C03"/>
    <w:rsid w:val="00976D5D"/>
    <w:rsid w:val="00976E8F"/>
    <w:rsid w:val="00977599"/>
    <w:rsid w:val="0097770E"/>
    <w:rsid w:val="00977866"/>
    <w:rsid w:val="00980A1E"/>
    <w:rsid w:val="009812A3"/>
    <w:rsid w:val="00981533"/>
    <w:rsid w:val="00981AEA"/>
    <w:rsid w:val="00981F37"/>
    <w:rsid w:val="00982E0D"/>
    <w:rsid w:val="00983083"/>
    <w:rsid w:val="00983555"/>
    <w:rsid w:val="009840EC"/>
    <w:rsid w:val="009845BD"/>
    <w:rsid w:val="009845D1"/>
    <w:rsid w:val="009845D7"/>
    <w:rsid w:val="00984657"/>
    <w:rsid w:val="00984CC1"/>
    <w:rsid w:val="00985213"/>
    <w:rsid w:val="00985662"/>
    <w:rsid w:val="00986013"/>
    <w:rsid w:val="0098607A"/>
    <w:rsid w:val="009860DF"/>
    <w:rsid w:val="0098613C"/>
    <w:rsid w:val="00986BF8"/>
    <w:rsid w:val="00987232"/>
    <w:rsid w:val="009875F0"/>
    <w:rsid w:val="009875F3"/>
    <w:rsid w:val="00987679"/>
    <w:rsid w:val="00987AA1"/>
    <w:rsid w:val="00987DF3"/>
    <w:rsid w:val="00991716"/>
    <w:rsid w:val="00991B4D"/>
    <w:rsid w:val="009922C3"/>
    <w:rsid w:val="0099275F"/>
    <w:rsid w:val="00992A80"/>
    <w:rsid w:val="00992EFE"/>
    <w:rsid w:val="00993AE3"/>
    <w:rsid w:val="0099450F"/>
    <w:rsid w:val="00994D46"/>
    <w:rsid w:val="009953C8"/>
    <w:rsid w:val="009958B6"/>
    <w:rsid w:val="009960DD"/>
    <w:rsid w:val="0099629E"/>
    <w:rsid w:val="009963B4"/>
    <w:rsid w:val="00996585"/>
    <w:rsid w:val="009966BC"/>
    <w:rsid w:val="00996726"/>
    <w:rsid w:val="009978A9"/>
    <w:rsid w:val="00997C9F"/>
    <w:rsid w:val="00997EE8"/>
    <w:rsid w:val="00997F77"/>
    <w:rsid w:val="009A0090"/>
    <w:rsid w:val="009A045C"/>
    <w:rsid w:val="009A070B"/>
    <w:rsid w:val="009A0B0F"/>
    <w:rsid w:val="009A22E6"/>
    <w:rsid w:val="009A29E3"/>
    <w:rsid w:val="009A2A87"/>
    <w:rsid w:val="009A2BA3"/>
    <w:rsid w:val="009A31AB"/>
    <w:rsid w:val="009A3327"/>
    <w:rsid w:val="009A370D"/>
    <w:rsid w:val="009A3C2E"/>
    <w:rsid w:val="009A40BB"/>
    <w:rsid w:val="009A41E0"/>
    <w:rsid w:val="009A444B"/>
    <w:rsid w:val="009A4470"/>
    <w:rsid w:val="009A4CEB"/>
    <w:rsid w:val="009A4EAD"/>
    <w:rsid w:val="009A4EDB"/>
    <w:rsid w:val="009A5463"/>
    <w:rsid w:val="009A660D"/>
    <w:rsid w:val="009A66C2"/>
    <w:rsid w:val="009A700F"/>
    <w:rsid w:val="009A7425"/>
    <w:rsid w:val="009A7DBE"/>
    <w:rsid w:val="009A7EE6"/>
    <w:rsid w:val="009B01B8"/>
    <w:rsid w:val="009B040E"/>
    <w:rsid w:val="009B0724"/>
    <w:rsid w:val="009B0F37"/>
    <w:rsid w:val="009B0FC1"/>
    <w:rsid w:val="009B17DB"/>
    <w:rsid w:val="009B2E97"/>
    <w:rsid w:val="009B2FBA"/>
    <w:rsid w:val="009B36BC"/>
    <w:rsid w:val="009B4177"/>
    <w:rsid w:val="009B463A"/>
    <w:rsid w:val="009B50E5"/>
    <w:rsid w:val="009B52A3"/>
    <w:rsid w:val="009B55F8"/>
    <w:rsid w:val="009B5B66"/>
    <w:rsid w:val="009B613F"/>
    <w:rsid w:val="009B6524"/>
    <w:rsid w:val="009B6D42"/>
    <w:rsid w:val="009B7A05"/>
    <w:rsid w:val="009B7A3A"/>
    <w:rsid w:val="009B7E25"/>
    <w:rsid w:val="009B7FE2"/>
    <w:rsid w:val="009C01D7"/>
    <w:rsid w:val="009C0564"/>
    <w:rsid w:val="009C0858"/>
    <w:rsid w:val="009C1224"/>
    <w:rsid w:val="009C1242"/>
    <w:rsid w:val="009C13EF"/>
    <w:rsid w:val="009C18AA"/>
    <w:rsid w:val="009C1A42"/>
    <w:rsid w:val="009C24A6"/>
    <w:rsid w:val="009C2524"/>
    <w:rsid w:val="009C266E"/>
    <w:rsid w:val="009C286B"/>
    <w:rsid w:val="009C304D"/>
    <w:rsid w:val="009C3566"/>
    <w:rsid w:val="009C35B8"/>
    <w:rsid w:val="009C438C"/>
    <w:rsid w:val="009C44F0"/>
    <w:rsid w:val="009C463A"/>
    <w:rsid w:val="009C4BD2"/>
    <w:rsid w:val="009C599F"/>
    <w:rsid w:val="009C5D78"/>
    <w:rsid w:val="009C6F04"/>
    <w:rsid w:val="009C7180"/>
    <w:rsid w:val="009C7A9B"/>
    <w:rsid w:val="009D04A9"/>
    <w:rsid w:val="009D0DBA"/>
    <w:rsid w:val="009D1821"/>
    <w:rsid w:val="009D19D7"/>
    <w:rsid w:val="009D1B23"/>
    <w:rsid w:val="009D1CED"/>
    <w:rsid w:val="009D2D06"/>
    <w:rsid w:val="009D2D69"/>
    <w:rsid w:val="009D3144"/>
    <w:rsid w:val="009D3CC4"/>
    <w:rsid w:val="009D411E"/>
    <w:rsid w:val="009D439E"/>
    <w:rsid w:val="009D4823"/>
    <w:rsid w:val="009D4A35"/>
    <w:rsid w:val="009D4CBF"/>
    <w:rsid w:val="009D4FF2"/>
    <w:rsid w:val="009D53CD"/>
    <w:rsid w:val="009D5A48"/>
    <w:rsid w:val="009D5E49"/>
    <w:rsid w:val="009D6440"/>
    <w:rsid w:val="009D6A57"/>
    <w:rsid w:val="009D7365"/>
    <w:rsid w:val="009D7438"/>
    <w:rsid w:val="009D7564"/>
    <w:rsid w:val="009D7AD2"/>
    <w:rsid w:val="009D7D35"/>
    <w:rsid w:val="009E0609"/>
    <w:rsid w:val="009E0688"/>
    <w:rsid w:val="009E06CC"/>
    <w:rsid w:val="009E0C23"/>
    <w:rsid w:val="009E13C8"/>
    <w:rsid w:val="009E1C6A"/>
    <w:rsid w:val="009E1CF6"/>
    <w:rsid w:val="009E1D24"/>
    <w:rsid w:val="009E1FF2"/>
    <w:rsid w:val="009E283C"/>
    <w:rsid w:val="009E2897"/>
    <w:rsid w:val="009E2DEC"/>
    <w:rsid w:val="009E302F"/>
    <w:rsid w:val="009E37DC"/>
    <w:rsid w:val="009E3AFD"/>
    <w:rsid w:val="009E3E4A"/>
    <w:rsid w:val="009E4B91"/>
    <w:rsid w:val="009E4B9D"/>
    <w:rsid w:val="009E50E2"/>
    <w:rsid w:val="009E5383"/>
    <w:rsid w:val="009E59C1"/>
    <w:rsid w:val="009E5B72"/>
    <w:rsid w:val="009E63EB"/>
    <w:rsid w:val="009E66EA"/>
    <w:rsid w:val="009E66F1"/>
    <w:rsid w:val="009E6B8E"/>
    <w:rsid w:val="009E71F5"/>
    <w:rsid w:val="009E7631"/>
    <w:rsid w:val="009E7BEF"/>
    <w:rsid w:val="009E7C66"/>
    <w:rsid w:val="009E7F33"/>
    <w:rsid w:val="009F0386"/>
    <w:rsid w:val="009F0B62"/>
    <w:rsid w:val="009F0C43"/>
    <w:rsid w:val="009F156F"/>
    <w:rsid w:val="009F19B7"/>
    <w:rsid w:val="009F1B6F"/>
    <w:rsid w:val="009F208F"/>
    <w:rsid w:val="009F27A5"/>
    <w:rsid w:val="009F27CD"/>
    <w:rsid w:val="009F28DC"/>
    <w:rsid w:val="009F2E6E"/>
    <w:rsid w:val="009F369F"/>
    <w:rsid w:val="009F3771"/>
    <w:rsid w:val="009F3B07"/>
    <w:rsid w:val="009F3E69"/>
    <w:rsid w:val="009F4256"/>
    <w:rsid w:val="009F48EF"/>
    <w:rsid w:val="009F4F04"/>
    <w:rsid w:val="009F523F"/>
    <w:rsid w:val="009F5499"/>
    <w:rsid w:val="009F5F79"/>
    <w:rsid w:val="009F66EF"/>
    <w:rsid w:val="009F6D5D"/>
    <w:rsid w:val="009F6F5A"/>
    <w:rsid w:val="009F7AA3"/>
    <w:rsid w:val="009F7B18"/>
    <w:rsid w:val="009F7BC1"/>
    <w:rsid w:val="00A000CF"/>
    <w:rsid w:val="00A0035F"/>
    <w:rsid w:val="00A00660"/>
    <w:rsid w:val="00A009FF"/>
    <w:rsid w:val="00A01353"/>
    <w:rsid w:val="00A013B3"/>
    <w:rsid w:val="00A01A24"/>
    <w:rsid w:val="00A01B08"/>
    <w:rsid w:val="00A01E48"/>
    <w:rsid w:val="00A02313"/>
    <w:rsid w:val="00A02489"/>
    <w:rsid w:val="00A036E1"/>
    <w:rsid w:val="00A04308"/>
    <w:rsid w:val="00A04341"/>
    <w:rsid w:val="00A04476"/>
    <w:rsid w:val="00A0518C"/>
    <w:rsid w:val="00A05D93"/>
    <w:rsid w:val="00A05EF4"/>
    <w:rsid w:val="00A06459"/>
    <w:rsid w:val="00A06C84"/>
    <w:rsid w:val="00A079A5"/>
    <w:rsid w:val="00A10680"/>
    <w:rsid w:val="00A10E43"/>
    <w:rsid w:val="00A1162F"/>
    <w:rsid w:val="00A11B33"/>
    <w:rsid w:val="00A11D4B"/>
    <w:rsid w:val="00A121B6"/>
    <w:rsid w:val="00A129F1"/>
    <w:rsid w:val="00A12B1A"/>
    <w:rsid w:val="00A133D8"/>
    <w:rsid w:val="00A133F1"/>
    <w:rsid w:val="00A138BF"/>
    <w:rsid w:val="00A147DE"/>
    <w:rsid w:val="00A14B7F"/>
    <w:rsid w:val="00A14F00"/>
    <w:rsid w:val="00A151B6"/>
    <w:rsid w:val="00A15F3B"/>
    <w:rsid w:val="00A163CD"/>
    <w:rsid w:val="00A169B4"/>
    <w:rsid w:val="00A17120"/>
    <w:rsid w:val="00A17125"/>
    <w:rsid w:val="00A17257"/>
    <w:rsid w:val="00A208DB"/>
    <w:rsid w:val="00A209A4"/>
    <w:rsid w:val="00A215EE"/>
    <w:rsid w:val="00A218B0"/>
    <w:rsid w:val="00A21956"/>
    <w:rsid w:val="00A21BE6"/>
    <w:rsid w:val="00A22A57"/>
    <w:rsid w:val="00A22BE7"/>
    <w:rsid w:val="00A22C9F"/>
    <w:rsid w:val="00A22E5B"/>
    <w:rsid w:val="00A23303"/>
    <w:rsid w:val="00A2346C"/>
    <w:rsid w:val="00A2360F"/>
    <w:rsid w:val="00A237F7"/>
    <w:rsid w:val="00A23BDD"/>
    <w:rsid w:val="00A240C2"/>
    <w:rsid w:val="00A240E7"/>
    <w:rsid w:val="00A24595"/>
    <w:rsid w:val="00A24DC4"/>
    <w:rsid w:val="00A25440"/>
    <w:rsid w:val="00A25732"/>
    <w:rsid w:val="00A25773"/>
    <w:rsid w:val="00A258F1"/>
    <w:rsid w:val="00A258FB"/>
    <w:rsid w:val="00A25BE0"/>
    <w:rsid w:val="00A25C8C"/>
    <w:rsid w:val="00A26736"/>
    <w:rsid w:val="00A27298"/>
    <w:rsid w:val="00A27405"/>
    <w:rsid w:val="00A276A7"/>
    <w:rsid w:val="00A27F7D"/>
    <w:rsid w:val="00A303E2"/>
    <w:rsid w:val="00A31789"/>
    <w:rsid w:val="00A31C32"/>
    <w:rsid w:val="00A31FE8"/>
    <w:rsid w:val="00A32213"/>
    <w:rsid w:val="00A3235E"/>
    <w:rsid w:val="00A32430"/>
    <w:rsid w:val="00A32CA5"/>
    <w:rsid w:val="00A33010"/>
    <w:rsid w:val="00A33035"/>
    <w:rsid w:val="00A33217"/>
    <w:rsid w:val="00A33473"/>
    <w:rsid w:val="00A337F0"/>
    <w:rsid w:val="00A33E9B"/>
    <w:rsid w:val="00A34068"/>
    <w:rsid w:val="00A341C5"/>
    <w:rsid w:val="00A34321"/>
    <w:rsid w:val="00A34F3C"/>
    <w:rsid w:val="00A35000"/>
    <w:rsid w:val="00A353E0"/>
    <w:rsid w:val="00A3556B"/>
    <w:rsid w:val="00A35582"/>
    <w:rsid w:val="00A35B11"/>
    <w:rsid w:val="00A35F00"/>
    <w:rsid w:val="00A35F4B"/>
    <w:rsid w:val="00A367F0"/>
    <w:rsid w:val="00A36AE9"/>
    <w:rsid w:val="00A36B57"/>
    <w:rsid w:val="00A36CA7"/>
    <w:rsid w:val="00A37009"/>
    <w:rsid w:val="00A37270"/>
    <w:rsid w:val="00A3737B"/>
    <w:rsid w:val="00A37E20"/>
    <w:rsid w:val="00A37F1E"/>
    <w:rsid w:val="00A4101C"/>
    <w:rsid w:val="00A41A3D"/>
    <w:rsid w:val="00A41F52"/>
    <w:rsid w:val="00A41FB6"/>
    <w:rsid w:val="00A42497"/>
    <w:rsid w:val="00A42F64"/>
    <w:rsid w:val="00A434E5"/>
    <w:rsid w:val="00A43B41"/>
    <w:rsid w:val="00A4441D"/>
    <w:rsid w:val="00A44C86"/>
    <w:rsid w:val="00A44E2A"/>
    <w:rsid w:val="00A4532B"/>
    <w:rsid w:val="00A455D2"/>
    <w:rsid w:val="00A469C6"/>
    <w:rsid w:val="00A46CC1"/>
    <w:rsid w:val="00A474E2"/>
    <w:rsid w:val="00A476A8"/>
    <w:rsid w:val="00A477B1"/>
    <w:rsid w:val="00A50106"/>
    <w:rsid w:val="00A51F22"/>
    <w:rsid w:val="00A5257E"/>
    <w:rsid w:val="00A52AFD"/>
    <w:rsid w:val="00A52BE2"/>
    <w:rsid w:val="00A52C13"/>
    <w:rsid w:val="00A52F4E"/>
    <w:rsid w:val="00A52F6F"/>
    <w:rsid w:val="00A53E3D"/>
    <w:rsid w:val="00A54B79"/>
    <w:rsid w:val="00A54B8A"/>
    <w:rsid w:val="00A54BC7"/>
    <w:rsid w:val="00A5573C"/>
    <w:rsid w:val="00A5584F"/>
    <w:rsid w:val="00A57BAC"/>
    <w:rsid w:val="00A57C04"/>
    <w:rsid w:val="00A57C81"/>
    <w:rsid w:val="00A57F68"/>
    <w:rsid w:val="00A609C8"/>
    <w:rsid w:val="00A60C16"/>
    <w:rsid w:val="00A60D9E"/>
    <w:rsid w:val="00A60FCD"/>
    <w:rsid w:val="00A611C4"/>
    <w:rsid w:val="00A615EC"/>
    <w:rsid w:val="00A62EF2"/>
    <w:rsid w:val="00A6343B"/>
    <w:rsid w:val="00A640CD"/>
    <w:rsid w:val="00A6459E"/>
    <w:rsid w:val="00A645E9"/>
    <w:rsid w:val="00A65200"/>
    <w:rsid w:val="00A65A0A"/>
    <w:rsid w:val="00A65AD1"/>
    <w:rsid w:val="00A65D7A"/>
    <w:rsid w:val="00A66003"/>
    <w:rsid w:val="00A6634D"/>
    <w:rsid w:val="00A66DD3"/>
    <w:rsid w:val="00A67657"/>
    <w:rsid w:val="00A6787E"/>
    <w:rsid w:val="00A67AA3"/>
    <w:rsid w:val="00A70134"/>
    <w:rsid w:val="00A70431"/>
    <w:rsid w:val="00A704A1"/>
    <w:rsid w:val="00A7200A"/>
    <w:rsid w:val="00A72D0C"/>
    <w:rsid w:val="00A72F45"/>
    <w:rsid w:val="00A73547"/>
    <w:rsid w:val="00A741B1"/>
    <w:rsid w:val="00A74550"/>
    <w:rsid w:val="00A755F4"/>
    <w:rsid w:val="00A75987"/>
    <w:rsid w:val="00A768CE"/>
    <w:rsid w:val="00A76B5E"/>
    <w:rsid w:val="00A770E6"/>
    <w:rsid w:val="00A7731B"/>
    <w:rsid w:val="00A77B1A"/>
    <w:rsid w:val="00A77BB0"/>
    <w:rsid w:val="00A77E58"/>
    <w:rsid w:val="00A80681"/>
    <w:rsid w:val="00A8082B"/>
    <w:rsid w:val="00A80C18"/>
    <w:rsid w:val="00A8135E"/>
    <w:rsid w:val="00A81979"/>
    <w:rsid w:val="00A81A2F"/>
    <w:rsid w:val="00A81A78"/>
    <w:rsid w:val="00A8217C"/>
    <w:rsid w:val="00A83587"/>
    <w:rsid w:val="00A8358C"/>
    <w:rsid w:val="00A8362C"/>
    <w:rsid w:val="00A839FE"/>
    <w:rsid w:val="00A83B64"/>
    <w:rsid w:val="00A83D87"/>
    <w:rsid w:val="00A83DCB"/>
    <w:rsid w:val="00A84CCA"/>
    <w:rsid w:val="00A85370"/>
    <w:rsid w:val="00A854D8"/>
    <w:rsid w:val="00A854E6"/>
    <w:rsid w:val="00A85E3D"/>
    <w:rsid w:val="00A863AC"/>
    <w:rsid w:val="00A86A75"/>
    <w:rsid w:val="00A86BFB"/>
    <w:rsid w:val="00A86DFF"/>
    <w:rsid w:val="00A86F50"/>
    <w:rsid w:val="00A8737B"/>
    <w:rsid w:val="00A87717"/>
    <w:rsid w:val="00A87808"/>
    <w:rsid w:val="00A87907"/>
    <w:rsid w:val="00A9008F"/>
    <w:rsid w:val="00A9064B"/>
    <w:rsid w:val="00A909EF"/>
    <w:rsid w:val="00A90FF5"/>
    <w:rsid w:val="00A92861"/>
    <w:rsid w:val="00A93479"/>
    <w:rsid w:val="00A93AEC"/>
    <w:rsid w:val="00A93BB5"/>
    <w:rsid w:val="00A93D6D"/>
    <w:rsid w:val="00A941B5"/>
    <w:rsid w:val="00A944A5"/>
    <w:rsid w:val="00A94579"/>
    <w:rsid w:val="00A94E36"/>
    <w:rsid w:val="00A94EBA"/>
    <w:rsid w:val="00A95260"/>
    <w:rsid w:val="00A952F1"/>
    <w:rsid w:val="00A955F7"/>
    <w:rsid w:val="00A95830"/>
    <w:rsid w:val="00A95DB8"/>
    <w:rsid w:val="00A96559"/>
    <w:rsid w:val="00A96AD1"/>
    <w:rsid w:val="00A96B09"/>
    <w:rsid w:val="00A96EE2"/>
    <w:rsid w:val="00A97018"/>
    <w:rsid w:val="00A97441"/>
    <w:rsid w:val="00A97B46"/>
    <w:rsid w:val="00A97EE6"/>
    <w:rsid w:val="00A97FD4"/>
    <w:rsid w:val="00AA0D2D"/>
    <w:rsid w:val="00AA1093"/>
    <w:rsid w:val="00AA149F"/>
    <w:rsid w:val="00AA1C66"/>
    <w:rsid w:val="00AA1ECC"/>
    <w:rsid w:val="00AA2193"/>
    <w:rsid w:val="00AA252B"/>
    <w:rsid w:val="00AA3261"/>
    <w:rsid w:val="00AA38D4"/>
    <w:rsid w:val="00AA3A5B"/>
    <w:rsid w:val="00AA3E7B"/>
    <w:rsid w:val="00AA4F40"/>
    <w:rsid w:val="00AA525D"/>
    <w:rsid w:val="00AA5DD6"/>
    <w:rsid w:val="00AA5E8E"/>
    <w:rsid w:val="00AA62FE"/>
    <w:rsid w:val="00AA6445"/>
    <w:rsid w:val="00AA67D0"/>
    <w:rsid w:val="00AA735B"/>
    <w:rsid w:val="00AA7CF6"/>
    <w:rsid w:val="00AB06BD"/>
    <w:rsid w:val="00AB104D"/>
    <w:rsid w:val="00AB1260"/>
    <w:rsid w:val="00AB1970"/>
    <w:rsid w:val="00AB1D67"/>
    <w:rsid w:val="00AB2554"/>
    <w:rsid w:val="00AB2570"/>
    <w:rsid w:val="00AB2E70"/>
    <w:rsid w:val="00AB348B"/>
    <w:rsid w:val="00AB354C"/>
    <w:rsid w:val="00AB3D3C"/>
    <w:rsid w:val="00AB3F14"/>
    <w:rsid w:val="00AB431E"/>
    <w:rsid w:val="00AB472E"/>
    <w:rsid w:val="00AB4805"/>
    <w:rsid w:val="00AB491D"/>
    <w:rsid w:val="00AB4B5B"/>
    <w:rsid w:val="00AB4C9E"/>
    <w:rsid w:val="00AB53D8"/>
    <w:rsid w:val="00AB5892"/>
    <w:rsid w:val="00AB610C"/>
    <w:rsid w:val="00AB66E6"/>
    <w:rsid w:val="00AB6F1E"/>
    <w:rsid w:val="00AB7227"/>
    <w:rsid w:val="00AC001A"/>
    <w:rsid w:val="00AC063C"/>
    <w:rsid w:val="00AC093A"/>
    <w:rsid w:val="00AC23B3"/>
    <w:rsid w:val="00AC27AB"/>
    <w:rsid w:val="00AC2869"/>
    <w:rsid w:val="00AC2CCA"/>
    <w:rsid w:val="00AC356A"/>
    <w:rsid w:val="00AC3B43"/>
    <w:rsid w:val="00AC3BF1"/>
    <w:rsid w:val="00AC3D6F"/>
    <w:rsid w:val="00AC4759"/>
    <w:rsid w:val="00AC59E1"/>
    <w:rsid w:val="00AC59E2"/>
    <w:rsid w:val="00AC60EE"/>
    <w:rsid w:val="00AC71CB"/>
    <w:rsid w:val="00AC74C8"/>
    <w:rsid w:val="00AC7A6C"/>
    <w:rsid w:val="00AC7DD3"/>
    <w:rsid w:val="00AC7F3A"/>
    <w:rsid w:val="00AD0418"/>
    <w:rsid w:val="00AD0E52"/>
    <w:rsid w:val="00AD1567"/>
    <w:rsid w:val="00AD176C"/>
    <w:rsid w:val="00AD253B"/>
    <w:rsid w:val="00AD2D6E"/>
    <w:rsid w:val="00AD2F27"/>
    <w:rsid w:val="00AD3839"/>
    <w:rsid w:val="00AD38A2"/>
    <w:rsid w:val="00AD40E9"/>
    <w:rsid w:val="00AD41E0"/>
    <w:rsid w:val="00AD426B"/>
    <w:rsid w:val="00AD42E6"/>
    <w:rsid w:val="00AD461B"/>
    <w:rsid w:val="00AD4B16"/>
    <w:rsid w:val="00AD4DD3"/>
    <w:rsid w:val="00AD54A3"/>
    <w:rsid w:val="00AD606F"/>
    <w:rsid w:val="00AD6167"/>
    <w:rsid w:val="00AD64D1"/>
    <w:rsid w:val="00AD6F9B"/>
    <w:rsid w:val="00AD71E5"/>
    <w:rsid w:val="00AD72E6"/>
    <w:rsid w:val="00AD7504"/>
    <w:rsid w:val="00AD78E6"/>
    <w:rsid w:val="00AD797C"/>
    <w:rsid w:val="00AD797E"/>
    <w:rsid w:val="00AD7BE1"/>
    <w:rsid w:val="00AE002E"/>
    <w:rsid w:val="00AE0300"/>
    <w:rsid w:val="00AE0529"/>
    <w:rsid w:val="00AE0AC5"/>
    <w:rsid w:val="00AE152A"/>
    <w:rsid w:val="00AE1AC3"/>
    <w:rsid w:val="00AE2815"/>
    <w:rsid w:val="00AE2B8A"/>
    <w:rsid w:val="00AE2D9B"/>
    <w:rsid w:val="00AE32A6"/>
    <w:rsid w:val="00AE3B29"/>
    <w:rsid w:val="00AE3DCD"/>
    <w:rsid w:val="00AE40C2"/>
    <w:rsid w:val="00AE43AF"/>
    <w:rsid w:val="00AE4B36"/>
    <w:rsid w:val="00AE4FBC"/>
    <w:rsid w:val="00AE53DF"/>
    <w:rsid w:val="00AE5649"/>
    <w:rsid w:val="00AE5F9F"/>
    <w:rsid w:val="00AE67CD"/>
    <w:rsid w:val="00AE6882"/>
    <w:rsid w:val="00AE7153"/>
    <w:rsid w:val="00AE78A3"/>
    <w:rsid w:val="00AE7C77"/>
    <w:rsid w:val="00AE7E13"/>
    <w:rsid w:val="00AE7FEA"/>
    <w:rsid w:val="00AF0262"/>
    <w:rsid w:val="00AF10B6"/>
    <w:rsid w:val="00AF1A48"/>
    <w:rsid w:val="00AF1B51"/>
    <w:rsid w:val="00AF1F73"/>
    <w:rsid w:val="00AF2185"/>
    <w:rsid w:val="00AF21E8"/>
    <w:rsid w:val="00AF2490"/>
    <w:rsid w:val="00AF2982"/>
    <w:rsid w:val="00AF2B45"/>
    <w:rsid w:val="00AF3455"/>
    <w:rsid w:val="00AF4822"/>
    <w:rsid w:val="00AF498C"/>
    <w:rsid w:val="00AF4C7A"/>
    <w:rsid w:val="00AF51E3"/>
    <w:rsid w:val="00AF5285"/>
    <w:rsid w:val="00AF5BD6"/>
    <w:rsid w:val="00AF5BF5"/>
    <w:rsid w:val="00AF5F49"/>
    <w:rsid w:val="00AF6619"/>
    <w:rsid w:val="00AF66B2"/>
    <w:rsid w:val="00AF68AA"/>
    <w:rsid w:val="00AF69E0"/>
    <w:rsid w:val="00AF6F44"/>
    <w:rsid w:val="00AF711C"/>
    <w:rsid w:val="00AF71F7"/>
    <w:rsid w:val="00B0013A"/>
    <w:rsid w:val="00B00318"/>
    <w:rsid w:val="00B0128A"/>
    <w:rsid w:val="00B01707"/>
    <w:rsid w:val="00B01DAC"/>
    <w:rsid w:val="00B02314"/>
    <w:rsid w:val="00B02362"/>
    <w:rsid w:val="00B023ED"/>
    <w:rsid w:val="00B025E6"/>
    <w:rsid w:val="00B02DB8"/>
    <w:rsid w:val="00B031BB"/>
    <w:rsid w:val="00B03402"/>
    <w:rsid w:val="00B03DE2"/>
    <w:rsid w:val="00B0482E"/>
    <w:rsid w:val="00B04C66"/>
    <w:rsid w:val="00B0537A"/>
    <w:rsid w:val="00B054CB"/>
    <w:rsid w:val="00B05C78"/>
    <w:rsid w:val="00B05E91"/>
    <w:rsid w:val="00B06268"/>
    <w:rsid w:val="00B068C3"/>
    <w:rsid w:val="00B074AD"/>
    <w:rsid w:val="00B07623"/>
    <w:rsid w:val="00B07689"/>
    <w:rsid w:val="00B07F3E"/>
    <w:rsid w:val="00B100F8"/>
    <w:rsid w:val="00B102F0"/>
    <w:rsid w:val="00B10B04"/>
    <w:rsid w:val="00B10BEB"/>
    <w:rsid w:val="00B114F7"/>
    <w:rsid w:val="00B11594"/>
    <w:rsid w:val="00B11B92"/>
    <w:rsid w:val="00B12088"/>
    <w:rsid w:val="00B126F4"/>
    <w:rsid w:val="00B12A7C"/>
    <w:rsid w:val="00B1313E"/>
    <w:rsid w:val="00B139B8"/>
    <w:rsid w:val="00B13C3B"/>
    <w:rsid w:val="00B13E66"/>
    <w:rsid w:val="00B13ED3"/>
    <w:rsid w:val="00B14308"/>
    <w:rsid w:val="00B14ACC"/>
    <w:rsid w:val="00B14DCA"/>
    <w:rsid w:val="00B151F4"/>
    <w:rsid w:val="00B15798"/>
    <w:rsid w:val="00B15911"/>
    <w:rsid w:val="00B164F6"/>
    <w:rsid w:val="00B16723"/>
    <w:rsid w:val="00B17CC4"/>
    <w:rsid w:val="00B20701"/>
    <w:rsid w:val="00B208F2"/>
    <w:rsid w:val="00B20D02"/>
    <w:rsid w:val="00B216C0"/>
    <w:rsid w:val="00B217BC"/>
    <w:rsid w:val="00B22484"/>
    <w:rsid w:val="00B2295B"/>
    <w:rsid w:val="00B22C5D"/>
    <w:rsid w:val="00B230DC"/>
    <w:rsid w:val="00B23803"/>
    <w:rsid w:val="00B246D8"/>
    <w:rsid w:val="00B250C7"/>
    <w:rsid w:val="00B25946"/>
    <w:rsid w:val="00B25B65"/>
    <w:rsid w:val="00B25F54"/>
    <w:rsid w:val="00B26755"/>
    <w:rsid w:val="00B267E8"/>
    <w:rsid w:val="00B2758A"/>
    <w:rsid w:val="00B27B62"/>
    <w:rsid w:val="00B27EFC"/>
    <w:rsid w:val="00B30119"/>
    <w:rsid w:val="00B30202"/>
    <w:rsid w:val="00B3028D"/>
    <w:rsid w:val="00B3049F"/>
    <w:rsid w:val="00B30D77"/>
    <w:rsid w:val="00B30E49"/>
    <w:rsid w:val="00B313C3"/>
    <w:rsid w:val="00B32059"/>
    <w:rsid w:val="00B32E77"/>
    <w:rsid w:val="00B3302D"/>
    <w:rsid w:val="00B334A5"/>
    <w:rsid w:val="00B334CE"/>
    <w:rsid w:val="00B335A0"/>
    <w:rsid w:val="00B33F49"/>
    <w:rsid w:val="00B34107"/>
    <w:rsid w:val="00B344A3"/>
    <w:rsid w:val="00B346D8"/>
    <w:rsid w:val="00B350EA"/>
    <w:rsid w:val="00B3522C"/>
    <w:rsid w:val="00B354D2"/>
    <w:rsid w:val="00B355F8"/>
    <w:rsid w:val="00B35A18"/>
    <w:rsid w:val="00B35D63"/>
    <w:rsid w:val="00B35EE6"/>
    <w:rsid w:val="00B35EF4"/>
    <w:rsid w:val="00B361F2"/>
    <w:rsid w:val="00B367E9"/>
    <w:rsid w:val="00B37387"/>
    <w:rsid w:val="00B37745"/>
    <w:rsid w:val="00B378F0"/>
    <w:rsid w:val="00B379CD"/>
    <w:rsid w:val="00B37E4C"/>
    <w:rsid w:val="00B401B2"/>
    <w:rsid w:val="00B404CA"/>
    <w:rsid w:val="00B407B5"/>
    <w:rsid w:val="00B40B97"/>
    <w:rsid w:val="00B40BF8"/>
    <w:rsid w:val="00B415AC"/>
    <w:rsid w:val="00B4163C"/>
    <w:rsid w:val="00B41D8E"/>
    <w:rsid w:val="00B41E28"/>
    <w:rsid w:val="00B423E1"/>
    <w:rsid w:val="00B425BB"/>
    <w:rsid w:val="00B42771"/>
    <w:rsid w:val="00B4465C"/>
    <w:rsid w:val="00B4470B"/>
    <w:rsid w:val="00B44962"/>
    <w:rsid w:val="00B457C0"/>
    <w:rsid w:val="00B459A9"/>
    <w:rsid w:val="00B45A72"/>
    <w:rsid w:val="00B45BE4"/>
    <w:rsid w:val="00B45E30"/>
    <w:rsid w:val="00B46475"/>
    <w:rsid w:val="00B4648D"/>
    <w:rsid w:val="00B46A14"/>
    <w:rsid w:val="00B4750E"/>
    <w:rsid w:val="00B47DD2"/>
    <w:rsid w:val="00B50507"/>
    <w:rsid w:val="00B5083D"/>
    <w:rsid w:val="00B50989"/>
    <w:rsid w:val="00B50D43"/>
    <w:rsid w:val="00B50DCC"/>
    <w:rsid w:val="00B514AF"/>
    <w:rsid w:val="00B51A67"/>
    <w:rsid w:val="00B51DC0"/>
    <w:rsid w:val="00B51DE2"/>
    <w:rsid w:val="00B523F0"/>
    <w:rsid w:val="00B53144"/>
    <w:rsid w:val="00B53F9C"/>
    <w:rsid w:val="00B53FA3"/>
    <w:rsid w:val="00B54017"/>
    <w:rsid w:val="00B548FA"/>
    <w:rsid w:val="00B54B08"/>
    <w:rsid w:val="00B54B83"/>
    <w:rsid w:val="00B54EE2"/>
    <w:rsid w:val="00B555EF"/>
    <w:rsid w:val="00B5560C"/>
    <w:rsid w:val="00B55638"/>
    <w:rsid w:val="00B55F61"/>
    <w:rsid w:val="00B5637A"/>
    <w:rsid w:val="00B57015"/>
    <w:rsid w:val="00B57448"/>
    <w:rsid w:val="00B5755E"/>
    <w:rsid w:val="00B57992"/>
    <w:rsid w:val="00B57B91"/>
    <w:rsid w:val="00B57BED"/>
    <w:rsid w:val="00B60F43"/>
    <w:rsid w:val="00B61E88"/>
    <w:rsid w:val="00B61FFF"/>
    <w:rsid w:val="00B621C1"/>
    <w:rsid w:val="00B6221D"/>
    <w:rsid w:val="00B62B1B"/>
    <w:rsid w:val="00B63682"/>
    <w:rsid w:val="00B647A5"/>
    <w:rsid w:val="00B65A10"/>
    <w:rsid w:val="00B66161"/>
    <w:rsid w:val="00B661BE"/>
    <w:rsid w:val="00B66337"/>
    <w:rsid w:val="00B668FF"/>
    <w:rsid w:val="00B66D13"/>
    <w:rsid w:val="00B66EE1"/>
    <w:rsid w:val="00B67526"/>
    <w:rsid w:val="00B67B34"/>
    <w:rsid w:val="00B70818"/>
    <w:rsid w:val="00B70A7F"/>
    <w:rsid w:val="00B718E6"/>
    <w:rsid w:val="00B71E52"/>
    <w:rsid w:val="00B7211D"/>
    <w:rsid w:val="00B725E7"/>
    <w:rsid w:val="00B72D87"/>
    <w:rsid w:val="00B72DAC"/>
    <w:rsid w:val="00B730F5"/>
    <w:rsid w:val="00B73567"/>
    <w:rsid w:val="00B73871"/>
    <w:rsid w:val="00B74048"/>
    <w:rsid w:val="00B748A3"/>
    <w:rsid w:val="00B74AE1"/>
    <w:rsid w:val="00B74F8B"/>
    <w:rsid w:val="00B754B8"/>
    <w:rsid w:val="00B75C02"/>
    <w:rsid w:val="00B75CC3"/>
    <w:rsid w:val="00B7668E"/>
    <w:rsid w:val="00B7679E"/>
    <w:rsid w:val="00B76808"/>
    <w:rsid w:val="00B76AFF"/>
    <w:rsid w:val="00B76F5B"/>
    <w:rsid w:val="00B76F8C"/>
    <w:rsid w:val="00B76FE1"/>
    <w:rsid w:val="00B77F51"/>
    <w:rsid w:val="00B77FBF"/>
    <w:rsid w:val="00B80121"/>
    <w:rsid w:val="00B80B94"/>
    <w:rsid w:val="00B80E87"/>
    <w:rsid w:val="00B81236"/>
    <w:rsid w:val="00B8139A"/>
    <w:rsid w:val="00B8139B"/>
    <w:rsid w:val="00B813EC"/>
    <w:rsid w:val="00B820C3"/>
    <w:rsid w:val="00B82713"/>
    <w:rsid w:val="00B82789"/>
    <w:rsid w:val="00B82B95"/>
    <w:rsid w:val="00B8301A"/>
    <w:rsid w:val="00B833D2"/>
    <w:rsid w:val="00B833E5"/>
    <w:rsid w:val="00B836C0"/>
    <w:rsid w:val="00B84704"/>
    <w:rsid w:val="00B84869"/>
    <w:rsid w:val="00B84B0B"/>
    <w:rsid w:val="00B84B82"/>
    <w:rsid w:val="00B851F3"/>
    <w:rsid w:val="00B8520A"/>
    <w:rsid w:val="00B854F5"/>
    <w:rsid w:val="00B8578A"/>
    <w:rsid w:val="00B85D7B"/>
    <w:rsid w:val="00B85F91"/>
    <w:rsid w:val="00B874D7"/>
    <w:rsid w:val="00B877F6"/>
    <w:rsid w:val="00B879CE"/>
    <w:rsid w:val="00B87D4C"/>
    <w:rsid w:val="00B901D6"/>
    <w:rsid w:val="00B90B06"/>
    <w:rsid w:val="00B90B15"/>
    <w:rsid w:val="00B9106E"/>
    <w:rsid w:val="00B91147"/>
    <w:rsid w:val="00B91474"/>
    <w:rsid w:val="00B926CB"/>
    <w:rsid w:val="00B9398B"/>
    <w:rsid w:val="00B93C07"/>
    <w:rsid w:val="00B944D5"/>
    <w:rsid w:val="00B94941"/>
    <w:rsid w:val="00B94E6C"/>
    <w:rsid w:val="00B94EA3"/>
    <w:rsid w:val="00B950BB"/>
    <w:rsid w:val="00B95234"/>
    <w:rsid w:val="00B95BE8"/>
    <w:rsid w:val="00B95C4E"/>
    <w:rsid w:val="00B95DF6"/>
    <w:rsid w:val="00B96055"/>
    <w:rsid w:val="00B96279"/>
    <w:rsid w:val="00B9643B"/>
    <w:rsid w:val="00B96B6D"/>
    <w:rsid w:val="00B96F3D"/>
    <w:rsid w:val="00B97AE0"/>
    <w:rsid w:val="00BA0016"/>
    <w:rsid w:val="00BA0F8E"/>
    <w:rsid w:val="00BA1041"/>
    <w:rsid w:val="00BA1209"/>
    <w:rsid w:val="00BA12EC"/>
    <w:rsid w:val="00BA1613"/>
    <w:rsid w:val="00BA1B33"/>
    <w:rsid w:val="00BA1DFA"/>
    <w:rsid w:val="00BA2EDB"/>
    <w:rsid w:val="00BA3691"/>
    <w:rsid w:val="00BA37EB"/>
    <w:rsid w:val="00BA3A15"/>
    <w:rsid w:val="00BA4231"/>
    <w:rsid w:val="00BA49FB"/>
    <w:rsid w:val="00BA4FE9"/>
    <w:rsid w:val="00BA5102"/>
    <w:rsid w:val="00BA55FC"/>
    <w:rsid w:val="00BA57CE"/>
    <w:rsid w:val="00BA6D8D"/>
    <w:rsid w:val="00BA6EE1"/>
    <w:rsid w:val="00BA6FD5"/>
    <w:rsid w:val="00BA7308"/>
    <w:rsid w:val="00BA7537"/>
    <w:rsid w:val="00BB04CB"/>
    <w:rsid w:val="00BB0507"/>
    <w:rsid w:val="00BB08E4"/>
    <w:rsid w:val="00BB10EA"/>
    <w:rsid w:val="00BB1217"/>
    <w:rsid w:val="00BB1304"/>
    <w:rsid w:val="00BB16F4"/>
    <w:rsid w:val="00BB1A69"/>
    <w:rsid w:val="00BB1E82"/>
    <w:rsid w:val="00BB1F8E"/>
    <w:rsid w:val="00BB2320"/>
    <w:rsid w:val="00BB24AB"/>
    <w:rsid w:val="00BB2923"/>
    <w:rsid w:val="00BB2AD3"/>
    <w:rsid w:val="00BB2B91"/>
    <w:rsid w:val="00BB2BE1"/>
    <w:rsid w:val="00BB3011"/>
    <w:rsid w:val="00BB305E"/>
    <w:rsid w:val="00BB3133"/>
    <w:rsid w:val="00BB357C"/>
    <w:rsid w:val="00BB5E91"/>
    <w:rsid w:val="00BB5F5C"/>
    <w:rsid w:val="00BB63F1"/>
    <w:rsid w:val="00BB643E"/>
    <w:rsid w:val="00BB6A68"/>
    <w:rsid w:val="00BB77C3"/>
    <w:rsid w:val="00BB7E16"/>
    <w:rsid w:val="00BB7E7E"/>
    <w:rsid w:val="00BC067D"/>
    <w:rsid w:val="00BC0EFA"/>
    <w:rsid w:val="00BC10A4"/>
    <w:rsid w:val="00BC1919"/>
    <w:rsid w:val="00BC1991"/>
    <w:rsid w:val="00BC1BF5"/>
    <w:rsid w:val="00BC1D68"/>
    <w:rsid w:val="00BC1F9A"/>
    <w:rsid w:val="00BC1FC8"/>
    <w:rsid w:val="00BC27EC"/>
    <w:rsid w:val="00BC2F56"/>
    <w:rsid w:val="00BC322B"/>
    <w:rsid w:val="00BC3480"/>
    <w:rsid w:val="00BC3E90"/>
    <w:rsid w:val="00BC418D"/>
    <w:rsid w:val="00BC45B2"/>
    <w:rsid w:val="00BC4BE3"/>
    <w:rsid w:val="00BC4C4E"/>
    <w:rsid w:val="00BC4E92"/>
    <w:rsid w:val="00BC5864"/>
    <w:rsid w:val="00BC5FA9"/>
    <w:rsid w:val="00BC6862"/>
    <w:rsid w:val="00BC6A8E"/>
    <w:rsid w:val="00BC6DE0"/>
    <w:rsid w:val="00BC7983"/>
    <w:rsid w:val="00BC7FCD"/>
    <w:rsid w:val="00BC7FDF"/>
    <w:rsid w:val="00BD049E"/>
    <w:rsid w:val="00BD0793"/>
    <w:rsid w:val="00BD08CF"/>
    <w:rsid w:val="00BD0AFC"/>
    <w:rsid w:val="00BD0C2B"/>
    <w:rsid w:val="00BD172C"/>
    <w:rsid w:val="00BD1EF4"/>
    <w:rsid w:val="00BD1FC0"/>
    <w:rsid w:val="00BD2193"/>
    <w:rsid w:val="00BD231A"/>
    <w:rsid w:val="00BD2A2B"/>
    <w:rsid w:val="00BD2C31"/>
    <w:rsid w:val="00BD34A6"/>
    <w:rsid w:val="00BD351F"/>
    <w:rsid w:val="00BD3A14"/>
    <w:rsid w:val="00BD3B43"/>
    <w:rsid w:val="00BD41C6"/>
    <w:rsid w:val="00BD4519"/>
    <w:rsid w:val="00BD45F2"/>
    <w:rsid w:val="00BD4DB9"/>
    <w:rsid w:val="00BD4F1E"/>
    <w:rsid w:val="00BD50D0"/>
    <w:rsid w:val="00BD59D2"/>
    <w:rsid w:val="00BD6006"/>
    <w:rsid w:val="00BD61A0"/>
    <w:rsid w:val="00BD626A"/>
    <w:rsid w:val="00BD69DF"/>
    <w:rsid w:val="00BD6D9C"/>
    <w:rsid w:val="00BD76AF"/>
    <w:rsid w:val="00BD78FA"/>
    <w:rsid w:val="00BD7DDB"/>
    <w:rsid w:val="00BE0235"/>
    <w:rsid w:val="00BE080E"/>
    <w:rsid w:val="00BE0D81"/>
    <w:rsid w:val="00BE1106"/>
    <w:rsid w:val="00BE18BF"/>
    <w:rsid w:val="00BE1E46"/>
    <w:rsid w:val="00BE2175"/>
    <w:rsid w:val="00BE2BB4"/>
    <w:rsid w:val="00BE2DB8"/>
    <w:rsid w:val="00BE3A43"/>
    <w:rsid w:val="00BE3B27"/>
    <w:rsid w:val="00BE3B2A"/>
    <w:rsid w:val="00BE3C91"/>
    <w:rsid w:val="00BE40C9"/>
    <w:rsid w:val="00BE4A02"/>
    <w:rsid w:val="00BE4D68"/>
    <w:rsid w:val="00BE508A"/>
    <w:rsid w:val="00BE5411"/>
    <w:rsid w:val="00BE554E"/>
    <w:rsid w:val="00BE5943"/>
    <w:rsid w:val="00BE5A0E"/>
    <w:rsid w:val="00BE5B0C"/>
    <w:rsid w:val="00BE5C85"/>
    <w:rsid w:val="00BE6ACC"/>
    <w:rsid w:val="00BE6BB7"/>
    <w:rsid w:val="00BE70BE"/>
    <w:rsid w:val="00BE7D6F"/>
    <w:rsid w:val="00BF0D6D"/>
    <w:rsid w:val="00BF2613"/>
    <w:rsid w:val="00BF26DF"/>
    <w:rsid w:val="00BF2CAC"/>
    <w:rsid w:val="00BF3173"/>
    <w:rsid w:val="00BF3DF0"/>
    <w:rsid w:val="00BF40A5"/>
    <w:rsid w:val="00BF411A"/>
    <w:rsid w:val="00BF4899"/>
    <w:rsid w:val="00BF4E2D"/>
    <w:rsid w:val="00BF5258"/>
    <w:rsid w:val="00BF5710"/>
    <w:rsid w:val="00BF5BEF"/>
    <w:rsid w:val="00BF6060"/>
    <w:rsid w:val="00BF6201"/>
    <w:rsid w:val="00BF63B6"/>
    <w:rsid w:val="00BF66A2"/>
    <w:rsid w:val="00BF6921"/>
    <w:rsid w:val="00BF6B3E"/>
    <w:rsid w:val="00BF6D2C"/>
    <w:rsid w:val="00BF6DDD"/>
    <w:rsid w:val="00BF7064"/>
    <w:rsid w:val="00BF715D"/>
    <w:rsid w:val="00BF747B"/>
    <w:rsid w:val="00C000A8"/>
    <w:rsid w:val="00C0011D"/>
    <w:rsid w:val="00C00DB9"/>
    <w:rsid w:val="00C00F51"/>
    <w:rsid w:val="00C019F5"/>
    <w:rsid w:val="00C01EA6"/>
    <w:rsid w:val="00C020C9"/>
    <w:rsid w:val="00C02187"/>
    <w:rsid w:val="00C0242C"/>
    <w:rsid w:val="00C02541"/>
    <w:rsid w:val="00C02CD8"/>
    <w:rsid w:val="00C02F2D"/>
    <w:rsid w:val="00C0339B"/>
    <w:rsid w:val="00C03F89"/>
    <w:rsid w:val="00C0428B"/>
    <w:rsid w:val="00C04807"/>
    <w:rsid w:val="00C04BFF"/>
    <w:rsid w:val="00C054EB"/>
    <w:rsid w:val="00C05E0E"/>
    <w:rsid w:val="00C05FE5"/>
    <w:rsid w:val="00C060F8"/>
    <w:rsid w:val="00C06315"/>
    <w:rsid w:val="00C064C4"/>
    <w:rsid w:val="00C064EC"/>
    <w:rsid w:val="00C06D4A"/>
    <w:rsid w:val="00C0722F"/>
    <w:rsid w:val="00C0747A"/>
    <w:rsid w:val="00C075CA"/>
    <w:rsid w:val="00C07B3B"/>
    <w:rsid w:val="00C1004C"/>
    <w:rsid w:val="00C1019C"/>
    <w:rsid w:val="00C1053F"/>
    <w:rsid w:val="00C105F5"/>
    <w:rsid w:val="00C1097D"/>
    <w:rsid w:val="00C11166"/>
    <w:rsid w:val="00C11CEC"/>
    <w:rsid w:val="00C120E3"/>
    <w:rsid w:val="00C125FA"/>
    <w:rsid w:val="00C12C49"/>
    <w:rsid w:val="00C12D68"/>
    <w:rsid w:val="00C12F22"/>
    <w:rsid w:val="00C1390E"/>
    <w:rsid w:val="00C13936"/>
    <w:rsid w:val="00C13DE6"/>
    <w:rsid w:val="00C13E27"/>
    <w:rsid w:val="00C13ECA"/>
    <w:rsid w:val="00C1431E"/>
    <w:rsid w:val="00C14555"/>
    <w:rsid w:val="00C1486B"/>
    <w:rsid w:val="00C14888"/>
    <w:rsid w:val="00C14ED2"/>
    <w:rsid w:val="00C150B7"/>
    <w:rsid w:val="00C15E26"/>
    <w:rsid w:val="00C17A78"/>
    <w:rsid w:val="00C17B52"/>
    <w:rsid w:val="00C17BE8"/>
    <w:rsid w:val="00C201EB"/>
    <w:rsid w:val="00C202A0"/>
    <w:rsid w:val="00C2072B"/>
    <w:rsid w:val="00C2079F"/>
    <w:rsid w:val="00C213FE"/>
    <w:rsid w:val="00C216B0"/>
    <w:rsid w:val="00C217FC"/>
    <w:rsid w:val="00C21C04"/>
    <w:rsid w:val="00C21ED6"/>
    <w:rsid w:val="00C222C4"/>
    <w:rsid w:val="00C226FF"/>
    <w:rsid w:val="00C22983"/>
    <w:rsid w:val="00C23006"/>
    <w:rsid w:val="00C24968"/>
    <w:rsid w:val="00C24C1F"/>
    <w:rsid w:val="00C25B2D"/>
    <w:rsid w:val="00C25B56"/>
    <w:rsid w:val="00C25BEA"/>
    <w:rsid w:val="00C25C78"/>
    <w:rsid w:val="00C26D25"/>
    <w:rsid w:val="00C26DA6"/>
    <w:rsid w:val="00C27484"/>
    <w:rsid w:val="00C279CC"/>
    <w:rsid w:val="00C302E6"/>
    <w:rsid w:val="00C3050E"/>
    <w:rsid w:val="00C306DF"/>
    <w:rsid w:val="00C3072C"/>
    <w:rsid w:val="00C316B6"/>
    <w:rsid w:val="00C31A0F"/>
    <w:rsid w:val="00C32274"/>
    <w:rsid w:val="00C323E3"/>
    <w:rsid w:val="00C3252D"/>
    <w:rsid w:val="00C32EB8"/>
    <w:rsid w:val="00C3376A"/>
    <w:rsid w:val="00C33BB3"/>
    <w:rsid w:val="00C34032"/>
    <w:rsid w:val="00C342C9"/>
    <w:rsid w:val="00C342F9"/>
    <w:rsid w:val="00C3436F"/>
    <w:rsid w:val="00C34DE8"/>
    <w:rsid w:val="00C34E72"/>
    <w:rsid w:val="00C351CB"/>
    <w:rsid w:val="00C355B6"/>
    <w:rsid w:val="00C3562C"/>
    <w:rsid w:val="00C357BF"/>
    <w:rsid w:val="00C35DA3"/>
    <w:rsid w:val="00C36DD0"/>
    <w:rsid w:val="00C36E42"/>
    <w:rsid w:val="00C3702E"/>
    <w:rsid w:val="00C37BBC"/>
    <w:rsid w:val="00C37BD0"/>
    <w:rsid w:val="00C37CEF"/>
    <w:rsid w:val="00C408C9"/>
    <w:rsid w:val="00C40B01"/>
    <w:rsid w:val="00C40B90"/>
    <w:rsid w:val="00C40E91"/>
    <w:rsid w:val="00C41110"/>
    <w:rsid w:val="00C41244"/>
    <w:rsid w:val="00C42C03"/>
    <w:rsid w:val="00C431DA"/>
    <w:rsid w:val="00C433C5"/>
    <w:rsid w:val="00C433D6"/>
    <w:rsid w:val="00C43F7A"/>
    <w:rsid w:val="00C443D9"/>
    <w:rsid w:val="00C44A9B"/>
    <w:rsid w:val="00C45197"/>
    <w:rsid w:val="00C4596B"/>
    <w:rsid w:val="00C4664F"/>
    <w:rsid w:val="00C47971"/>
    <w:rsid w:val="00C47C48"/>
    <w:rsid w:val="00C5002C"/>
    <w:rsid w:val="00C5051A"/>
    <w:rsid w:val="00C51A2E"/>
    <w:rsid w:val="00C52A9B"/>
    <w:rsid w:val="00C52C9E"/>
    <w:rsid w:val="00C530FC"/>
    <w:rsid w:val="00C531AB"/>
    <w:rsid w:val="00C5331C"/>
    <w:rsid w:val="00C53426"/>
    <w:rsid w:val="00C53F93"/>
    <w:rsid w:val="00C544E4"/>
    <w:rsid w:val="00C54A4B"/>
    <w:rsid w:val="00C54F8D"/>
    <w:rsid w:val="00C55318"/>
    <w:rsid w:val="00C555B2"/>
    <w:rsid w:val="00C5583D"/>
    <w:rsid w:val="00C559AB"/>
    <w:rsid w:val="00C55F83"/>
    <w:rsid w:val="00C562E2"/>
    <w:rsid w:val="00C56424"/>
    <w:rsid w:val="00C56C2A"/>
    <w:rsid w:val="00C57426"/>
    <w:rsid w:val="00C57A57"/>
    <w:rsid w:val="00C57F88"/>
    <w:rsid w:val="00C60083"/>
    <w:rsid w:val="00C60A10"/>
    <w:rsid w:val="00C6307E"/>
    <w:rsid w:val="00C63624"/>
    <w:rsid w:val="00C63909"/>
    <w:rsid w:val="00C63C39"/>
    <w:rsid w:val="00C64E9D"/>
    <w:rsid w:val="00C66121"/>
    <w:rsid w:val="00C662C0"/>
    <w:rsid w:val="00C66411"/>
    <w:rsid w:val="00C6647F"/>
    <w:rsid w:val="00C664A6"/>
    <w:rsid w:val="00C66586"/>
    <w:rsid w:val="00C666A3"/>
    <w:rsid w:val="00C66F78"/>
    <w:rsid w:val="00C670C0"/>
    <w:rsid w:val="00C70A46"/>
    <w:rsid w:val="00C71F74"/>
    <w:rsid w:val="00C727C8"/>
    <w:rsid w:val="00C72DAC"/>
    <w:rsid w:val="00C72E61"/>
    <w:rsid w:val="00C7327A"/>
    <w:rsid w:val="00C736B6"/>
    <w:rsid w:val="00C73E61"/>
    <w:rsid w:val="00C73F1B"/>
    <w:rsid w:val="00C74070"/>
    <w:rsid w:val="00C743EC"/>
    <w:rsid w:val="00C744B7"/>
    <w:rsid w:val="00C74858"/>
    <w:rsid w:val="00C748F2"/>
    <w:rsid w:val="00C75108"/>
    <w:rsid w:val="00C7512A"/>
    <w:rsid w:val="00C756A5"/>
    <w:rsid w:val="00C760B0"/>
    <w:rsid w:val="00C76741"/>
    <w:rsid w:val="00C76B6E"/>
    <w:rsid w:val="00C76CEF"/>
    <w:rsid w:val="00C76E9C"/>
    <w:rsid w:val="00C7749E"/>
    <w:rsid w:val="00C77FDB"/>
    <w:rsid w:val="00C80212"/>
    <w:rsid w:val="00C8110E"/>
    <w:rsid w:val="00C81C26"/>
    <w:rsid w:val="00C81E69"/>
    <w:rsid w:val="00C8234C"/>
    <w:rsid w:val="00C8239B"/>
    <w:rsid w:val="00C82A36"/>
    <w:rsid w:val="00C82A7B"/>
    <w:rsid w:val="00C82D53"/>
    <w:rsid w:val="00C82F80"/>
    <w:rsid w:val="00C83C25"/>
    <w:rsid w:val="00C83C40"/>
    <w:rsid w:val="00C84040"/>
    <w:rsid w:val="00C84309"/>
    <w:rsid w:val="00C85143"/>
    <w:rsid w:val="00C8577C"/>
    <w:rsid w:val="00C86011"/>
    <w:rsid w:val="00C86128"/>
    <w:rsid w:val="00C86471"/>
    <w:rsid w:val="00C86ABD"/>
    <w:rsid w:val="00C86B4C"/>
    <w:rsid w:val="00C86C61"/>
    <w:rsid w:val="00C86D77"/>
    <w:rsid w:val="00C8709E"/>
    <w:rsid w:val="00C8712F"/>
    <w:rsid w:val="00C87313"/>
    <w:rsid w:val="00C8747B"/>
    <w:rsid w:val="00C874E0"/>
    <w:rsid w:val="00C8791F"/>
    <w:rsid w:val="00C879F0"/>
    <w:rsid w:val="00C87C56"/>
    <w:rsid w:val="00C87FFD"/>
    <w:rsid w:val="00C914B2"/>
    <w:rsid w:val="00C921A5"/>
    <w:rsid w:val="00C924E7"/>
    <w:rsid w:val="00C9295F"/>
    <w:rsid w:val="00C929FE"/>
    <w:rsid w:val="00C92A9E"/>
    <w:rsid w:val="00C92CD0"/>
    <w:rsid w:val="00C92E65"/>
    <w:rsid w:val="00C93A03"/>
    <w:rsid w:val="00C94075"/>
    <w:rsid w:val="00C9436D"/>
    <w:rsid w:val="00C94A39"/>
    <w:rsid w:val="00C94BC5"/>
    <w:rsid w:val="00C94D14"/>
    <w:rsid w:val="00C950D0"/>
    <w:rsid w:val="00C952A2"/>
    <w:rsid w:val="00C95BBB"/>
    <w:rsid w:val="00C95CD1"/>
    <w:rsid w:val="00C95D2F"/>
    <w:rsid w:val="00C96301"/>
    <w:rsid w:val="00C96447"/>
    <w:rsid w:val="00C96749"/>
    <w:rsid w:val="00C96849"/>
    <w:rsid w:val="00C969D8"/>
    <w:rsid w:val="00C969F2"/>
    <w:rsid w:val="00C97196"/>
    <w:rsid w:val="00C972BA"/>
    <w:rsid w:val="00C976EE"/>
    <w:rsid w:val="00C9773F"/>
    <w:rsid w:val="00C97860"/>
    <w:rsid w:val="00C97F42"/>
    <w:rsid w:val="00CA0416"/>
    <w:rsid w:val="00CA0515"/>
    <w:rsid w:val="00CA0D6E"/>
    <w:rsid w:val="00CA0F2B"/>
    <w:rsid w:val="00CA0F7D"/>
    <w:rsid w:val="00CA1814"/>
    <w:rsid w:val="00CA19B0"/>
    <w:rsid w:val="00CA1D58"/>
    <w:rsid w:val="00CA20BE"/>
    <w:rsid w:val="00CA20D3"/>
    <w:rsid w:val="00CA2197"/>
    <w:rsid w:val="00CA258E"/>
    <w:rsid w:val="00CA281E"/>
    <w:rsid w:val="00CA29BE"/>
    <w:rsid w:val="00CA331D"/>
    <w:rsid w:val="00CA33A0"/>
    <w:rsid w:val="00CA38A3"/>
    <w:rsid w:val="00CA3CB1"/>
    <w:rsid w:val="00CA44AF"/>
    <w:rsid w:val="00CA4892"/>
    <w:rsid w:val="00CA4902"/>
    <w:rsid w:val="00CA4B9F"/>
    <w:rsid w:val="00CA4D88"/>
    <w:rsid w:val="00CA565A"/>
    <w:rsid w:val="00CA5A85"/>
    <w:rsid w:val="00CA5AD5"/>
    <w:rsid w:val="00CA5F47"/>
    <w:rsid w:val="00CA5F54"/>
    <w:rsid w:val="00CA5FB0"/>
    <w:rsid w:val="00CA6C07"/>
    <w:rsid w:val="00CA7A85"/>
    <w:rsid w:val="00CB0996"/>
    <w:rsid w:val="00CB0FC9"/>
    <w:rsid w:val="00CB1B54"/>
    <w:rsid w:val="00CB20CD"/>
    <w:rsid w:val="00CB2574"/>
    <w:rsid w:val="00CB2C61"/>
    <w:rsid w:val="00CB40C8"/>
    <w:rsid w:val="00CB444A"/>
    <w:rsid w:val="00CB489E"/>
    <w:rsid w:val="00CB49B1"/>
    <w:rsid w:val="00CB4B75"/>
    <w:rsid w:val="00CB5DCD"/>
    <w:rsid w:val="00CB6173"/>
    <w:rsid w:val="00CB672F"/>
    <w:rsid w:val="00CB6E90"/>
    <w:rsid w:val="00CB6F67"/>
    <w:rsid w:val="00CB72F1"/>
    <w:rsid w:val="00CB733B"/>
    <w:rsid w:val="00CB73E6"/>
    <w:rsid w:val="00CB73FD"/>
    <w:rsid w:val="00CB7468"/>
    <w:rsid w:val="00CB7503"/>
    <w:rsid w:val="00CB759F"/>
    <w:rsid w:val="00CC02E1"/>
    <w:rsid w:val="00CC04BC"/>
    <w:rsid w:val="00CC0835"/>
    <w:rsid w:val="00CC0C18"/>
    <w:rsid w:val="00CC0E39"/>
    <w:rsid w:val="00CC0EE8"/>
    <w:rsid w:val="00CC1BEC"/>
    <w:rsid w:val="00CC2002"/>
    <w:rsid w:val="00CC233B"/>
    <w:rsid w:val="00CC25B5"/>
    <w:rsid w:val="00CC273B"/>
    <w:rsid w:val="00CC2A6C"/>
    <w:rsid w:val="00CC2BA7"/>
    <w:rsid w:val="00CC2E4D"/>
    <w:rsid w:val="00CC2E55"/>
    <w:rsid w:val="00CC334E"/>
    <w:rsid w:val="00CC3966"/>
    <w:rsid w:val="00CC3DD6"/>
    <w:rsid w:val="00CC46C4"/>
    <w:rsid w:val="00CC5271"/>
    <w:rsid w:val="00CC5452"/>
    <w:rsid w:val="00CC5647"/>
    <w:rsid w:val="00CC5930"/>
    <w:rsid w:val="00CC5C3D"/>
    <w:rsid w:val="00CC6514"/>
    <w:rsid w:val="00CC66BF"/>
    <w:rsid w:val="00CC6CEB"/>
    <w:rsid w:val="00CC7356"/>
    <w:rsid w:val="00CC7691"/>
    <w:rsid w:val="00CC7B96"/>
    <w:rsid w:val="00CD07C5"/>
    <w:rsid w:val="00CD150E"/>
    <w:rsid w:val="00CD1673"/>
    <w:rsid w:val="00CD18E0"/>
    <w:rsid w:val="00CD1CD5"/>
    <w:rsid w:val="00CD26DF"/>
    <w:rsid w:val="00CD3B4B"/>
    <w:rsid w:val="00CD3EF8"/>
    <w:rsid w:val="00CD431E"/>
    <w:rsid w:val="00CD4542"/>
    <w:rsid w:val="00CD4D2B"/>
    <w:rsid w:val="00CD4DF1"/>
    <w:rsid w:val="00CD4F07"/>
    <w:rsid w:val="00CD51BF"/>
    <w:rsid w:val="00CD5545"/>
    <w:rsid w:val="00CD574D"/>
    <w:rsid w:val="00CD599C"/>
    <w:rsid w:val="00CD5AFE"/>
    <w:rsid w:val="00CD6011"/>
    <w:rsid w:val="00CD614E"/>
    <w:rsid w:val="00CD6758"/>
    <w:rsid w:val="00CD6995"/>
    <w:rsid w:val="00CD6FCA"/>
    <w:rsid w:val="00CD74D7"/>
    <w:rsid w:val="00CD7A2A"/>
    <w:rsid w:val="00CE0377"/>
    <w:rsid w:val="00CE0720"/>
    <w:rsid w:val="00CE076B"/>
    <w:rsid w:val="00CE163C"/>
    <w:rsid w:val="00CE16EC"/>
    <w:rsid w:val="00CE1FAA"/>
    <w:rsid w:val="00CE2353"/>
    <w:rsid w:val="00CE34BE"/>
    <w:rsid w:val="00CE3D18"/>
    <w:rsid w:val="00CE3F79"/>
    <w:rsid w:val="00CE4484"/>
    <w:rsid w:val="00CE44E0"/>
    <w:rsid w:val="00CE474B"/>
    <w:rsid w:val="00CE49AB"/>
    <w:rsid w:val="00CE4B46"/>
    <w:rsid w:val="00CE547D"/>
    <w:rsid w:val="00CE59A0"/>
    <w:rsid w:val="00CE59C5"/>
    <w:rsid w:val="00CE5B58"/>
    <w:rsid w:val="00CE5EE9"/>
    <w:rsid w:val="00CE606B"/>
    <w:rsid w:val="00CE6510"/>
    <w:rsid w:val="00CE6591"/>
    <w:rsid w:val="00CE674B"/>
    <w:rsid w:val="00CE6ECF"/>
    <w:rsid w:val="00CE783C"/>
    <w:rsid w:val="00CE785F"/>
    <w:rsid w:val="00CE79DB"/>
    <w:rsid w:val="00CE7AA4"/>
    <w:rsid w:val="00CE7EBD"/>
    <w:rsid w:val="00CF04CF"/>
    <w:rsid w:val="00CF0C66"/>
    <w:rsid w:val="00CF14B5"/>
    <w:rsid w:val="00CF19D3"/>
    <w:rsid w:val="00CF1B90"/>
    <w:rsid w:val="00CF1EDA"/>
    <w:rsid w:val="00CF20A9"/>
    <w:rsid w:val="00CF2A3D"/>
    <w:rsid w:val="00CF2C16"/>
    <w:rsid w:val="00CF2F2D"/>
    <w:rsid w:val="00CF3904"/>
    <w:rsid w:val="00CF3D03"/>
    <w:rsid w:val="00CF4B06"/>
    <w:rsid w:val="00CF4B2F"/>
    <w:rsid w:val="00CF50C9"/>
    <w:rsid w:val="00CF5246"/>
    <w:rsid w:val="00CF6705"/>
    <w:rsid w:val="00CF676C"/>
    <w:rsid w:val="00CF70F6"/>
    <w:rsid w:val="00CF735C"/>
    <w:rsid w:val="00D002A9"/>
    <w:rsid w:val="00D01155"/>
    <w:rsid w:val="00D0248A"/>
    <w:rsid w:val="00D02561"/>
    <w:rsid w:val="00D02984"/>
    <w:rsid w:val="00D0374A"/>
    <w:rsid w:val="00D03C9A"/>
    <w:rsid w:val="00D03CB4"/>
    <w:rsid w:val="00D04156"/>
    <w:rsid w:val="00D04209"/>
    <w:rsid w:val="00D04639"/>
    <w:rsid w:val="00D04B64"/>
    <w:rsid w:val="00D058AB"/>
    <w:rsid w:val="00D064A0"/>
    <w:rsid w:val="00D06645"/>
    <w:rsid w:val="00D067D4"/>
    <w:rsid w:val="00D06B26"/>
    <w:rsid w:val="00D06B4C"/>
    <w:rsid w:val="00D07234"/>
    <w:rsid w:val="00D07619"/>
    <w:rsid w:val="00D101EF"/>
    <w:rsid w:val="00D10463"/>
    <w:rsid w:val="00D10A48"/>
    <w:rsid w:val="00D10D50"/>
    <w:rsid w:val="00D1133D"/>
    <w:rsid w:val="00D11FF7"/>
    <w:rsid w:val="00D125C1"/>
    <w:rsid w:val="00D12C8C"/>
    <w:rsid w:val="00D136E3"/>
    <w:rsid w:val="00D137F6"/>
    <w:rsid w:val="00D13DEB"/>
    <w:rsid w:val="00D14A64"/>
    <w:rsid w:val="00D15A2C"/>
    <w:rsid w:val="00D15A98"/>
    <w:rsid w:val="00D15F3B"/>
    <w:rsid w:val="00D16837"/>
    <w:rsid w:val="00D176B8"/>
    <w:rsid w:val="00D17A2A"/>
    <w:rsid w:val="00D205C7"/>
    <w:rsid w:val="00D2098C"/>
    <w:rsid w:val="00D20B72"/>
    <w:rsid w:val="00D20E32"/>
    <w:rsid w:val="00D218B6"/>
    <w:rsid w:val="00D21E71"/>
    <w:rsid w:val="00D226AB"/>
    <w:rsid w:val="00D22A9B"/>
    <w:rsid w:val="00D23396"/>
    <w:rsid w:val="00D23568"/>
    <w:rsid w:val="00D23794"/>
    <w:rsid w:val="00D242BE"/>
    <w:rsid w:val="00D243C5"/>
    <w:rsid w:val="00D244EA"/>
    <w:rsid w:val="00D24FBD"/>
    <w:rsid w:val="00D253FD"/>
    <w:rsid w:val="00D25C95"/>
    <w:rsid w:val="00D25E0A"/>
    <w:rsid w:val="00D25F02"/>
    <w:rsid w:val="00D2613F"/>
    <w:rsid w:val="00D269E0"/>
    <w:rsid w:val="00D270FF"/>
    <w:rsid w:val="00D272D3"/>
    <w:rsid w:val="00D2737D"/>
    <w:rsid w:val="00D2791F"/>
    <w:rsid w:val="00D2794E"/>
    <w:rsid w:val="00D27F17"/>
    <w:rsid w:val="00D27F5B"/>
    <w:rsid w:val="00D3002C"/>
    <w:rsid w:val="00D307E8"/>
    <w:rsid w:val="00D30B2A"/>
    <w:rsid w:val="00D30F16"/>
    <w:rsid w:val="00D311DF"/>
    <w:rsid w:val="00D313CF"/>
    <w:rsid w:val="00D31E25"/>
    <w:rsid w:val="00D32B04"/>
    <w:rsid w:val="00D32D35"/>
    <w:rsid w:val="00D332C9"/>
    <w:rsid w:val="00D33514"/>
    <w:rsid w:val="00D335E6"/>
    <w:rsid w:val="00D34137"/>
    <w:rsid w:val="00D343AA"/>
    <w:rsid w:val="00D345E4"/>
    <w:rsid w:val="00D34D5C"/>
    <w:rsid w:val="00D35169"/>
    <w:rsid w:val="00D359DB"/>
    <w:rsid w:val="00D35A54"/>
    <w:rsid w:val="00D35D56"/>
    <w:rsid w:val="00D36793"/>
    <w:rsid w:val="00D378BD"/>
    <w:rsid w:val="00D379C1"/>
    <w:rsid w:val="00D40F41"/>
    <w:rsid w:val="00D42471"/>
    <w:rsid w:val="00D42D55"/>
    <w:rsid w:val="00D4304A"/>
    <w:rsid w:val="00D4312B"/>
    <w:rsid w:val="00D441AF"/>
    <w:rsid w:val="00D445EB"/>
    <w:rsid w:val="00D45873"/>
    <w:rsid w:val="00D4590D"/>
    <w:rsid w:val="00D4599F"/>
    <w:rsid w:val="00D45AAB"/>
    <w:rsid w:val="00D45D87"/>
    <w:rsid w:val="00D46621"/>
    <w:rsid w:val="00D46BFF"/>
    <w:rsid w:val="00D46C86"/>
    <w:rsid w:val="00D46E92"/>
    <w:rsid w:val="00D46E9B"/>
    <w:rsid w:val="00D471D5"/>
    <w:rsid w:val="00D50066"/>
    <w:rsid w:val="00D5036E"/>
    <w:rsid w:val="00D503F3"/>
    <w:rsid w:val="00D50F18"/>
    <w:rsid w:val="00D50FF7"/>
    <w:rsid w:val="00D51B78"/>
    <w:rsid w:val="00D52360"/>
    <w:rsid w:val="00D529B1"/>
    <w:rsid w:val="00D52A21"/>
    <w:rsid w:val="00D52A31"/>
    <w:rsid w:val="00D52F12"/>
    <w:rsid w:val="00D536F7"/>
    <w:rsid w:val="00D53E5A"/>
    <w:rsid w:val="00D53F6D"/>
    <w:rsid w:val="00D54039"/>
    <w:rsid w:val="00D5425F"/>
    <w:rsid w:val="00D54C36"/>
    <w:rsid w:val="00D54E1A"/>
    <w:rsid w:val="00D55659"/>
    <w:rsid w:val="00D55BA5"/>
    <w:rsid w:val="00D562D7"/>
    <w:rsid w:val="00D56485"/>
    <w:rsid w:val="00D5737B"/>
    <w:rsid w:val="00D5799F"/>
    <w:rsid w:val="00D579AC"/>
    <w:rsid w:val="00D57FD2"/>
    <w:rsid w:val="00D6101E"/>
    <w:rsid w:val="00D6181D"/>
    <w:rsid w:val="00D61E6E"/>
    <w:rsid w:val="00D61EC8"/>
    <w:rsid w:val="00D64D1C"/>
    <w:rsid w:val="00D64E47"/>
    <w:rsid w:val="00D651EA"/>
    <w:rsid w:val="00D655B7"/>
    <w:rsid w:val="00D65A2A"/>
    <w:rsid w:val="00D6630D"/>
    <w:rsid w:val="00D66503"/>
    <w:rsid w:val="00D66577"/>
    <w:rsid w:val="00D66591"/>
    <w:rsid w:val="00D665E7"/>
    <w:rsid w:val="00D66AA5"/>
    <w:rsid w:val="00D66DC8"/>
    <w:rsid w:val="00D673D3"/>
    <w:rsid w:val="00D67C99"/>
    <w:rsid w:val="00D701B4"/>
    <w:rsid w:val="00D70BC1"/>
    <w:rsid w:val="00D70E41"/>
    <w:rsid w:val="00D71626"/>
    <w:rsid w:val="00D725A8"/>
    <w:rsid w:val="00D72B56"/>
    <w:rsid w:val="00D72D0D"/>
    <w:rsid w:val="00D73888"/>
    <w:rsid w:val="00D73FB8"/>
    <w:rsid w:val="00D7415B"/>
    <w:rsid w:val="00D743AE"/>
    <w:rsid w:val="00D748D0"/>
    <w:rsid w:val="00D74B31"/>
    <w:rsid w:val="00D74BE5"/>
    <w:rsid w:val="00D74CCC"/>
    <w:rsid w:val="00D7699E"/>
    <w:rsid w:val="00D769FD"/>
    <w:rsid w:val="00D772A4"/>
    <w:rsid w:val="00D776E2"/>
    <w:rsid w:val="00D77D23"/>
    <w:rsid w:val="00D8056E"/>
    <w:rsid w:val="00D80736"/>
    <w:rsid w:val="00D816F9"/>
    <w:rsid w:val="00D8181A"/>
    <w:rsid w:val="00D81925"/>
    <w:rsid w:val="00D824EB"/>
    <w:rsid w:val="00D83552"/>
    <w:rsid w:val="00D8444B"/>
    <w:rsid w:val="00D844EC"/>
    <w:rsid w:val="00D845E3"/>
    <w:rsid w:val="00D84A95"/>
    <w:rsid w:val="00D853BA"/>
    <w:rsid w:val="00D85A6E"/>
    <w:rsid w:val="00D85CAC"/>
    <w:rsid w:val="00D8600E"/>
    <w:rsid w:val="00D86092"/>
    <w:rsid w:val="00D8617B"/>
    <w:rsid w:val="00D8670B"/>
    <w:rsid w:val="00D86879"/>
    <w:rsid w:val="00D8689D"/>
    <w:rsid w:val="00D86D0A"/>
    <w:rsid w:val="00D8715D"/>
    <w:rsid w:val="00D8725B"/>
    <w:rsid w:val="00D876C6"/>
    <w:rsid w:val="00D87712"/>
    <w:rsid w:val="00D87CD8"/>
    <w:rsid w:val="00D87CE8"/>
    <w:rsid w:val="00D87E8B"/>
    <w:rsid w:val="00D90C25"/>
    <w:rsid w:val="00D92FAE"/>
    <w:rsid w:val="00D92FBA"/>
    <w:rsid w:val="00D931F7"/>
    <w:rsid w:val="00D94238"/>
    <w:rsid w:val="00D943FC"/>
    <w:rsid w:val="00D957C4"/>
    <w:rsid w:val="00D960FE"/>
    <w:rsid w:val="00D96DE9"/>
    <w:rsid w:val="00D96FD2"/>
    <w:rsid w:val="00D97467"/>
    <w:rsid w:val="00D975E0"/>
    <w:rsid w:val="00D97782"/>
    <w:rsid w:val="00D97FD8"/>
    <w:rsid w:val="00DA03EB"/>
    <w:rsid w:val="00DA07FD"/>
    <w:rsid w:val="00DA0C50"/>
    <w:rsid w:val="00DA0DB5"/>
    <w:rsid w:val="00DA11DF"/>
    <w:rsid w:val="00DA13A8"/>
    <w:rsid w:val="00DA13E6"/>
    <w:rsid w:val="00DA2AFC"/>
    <w:rsid w:val="00DA2EA3"/>
    <w:rsid w:val="00DA34DB"/>
    <w:rsid w:val="00DA4477"/>
    <w:rsid w:val="00DA4C3A"/>
    <w:rsid w:val="00DA5179"/>
    <w:rsid w:val="00DA531C"/>
    <w:rsid w:val="00DA667A"/>
    <w:rsid w:val="00DA68AC"/>
    <w:rsid w:val="00DA6B49"/>
    <w:rsid w:val="00DA6FD7"/>
    <w:rsid w:val="00DA777E"/>
    <w:rsid w:val="00DB03B0"/>
    <w:rsid w:val="00DB0402"/>
    <w:rsid w:val="00DB0A5E"/>
    <w:rsid w:val="00DB0AAB"/>
    <w:rsid w:val="00DB10EC"/>
    <w:rsid w:val="00DB1338"/>
    <w:rsid w:val="00DB19AA"/>
    <w:rsid w:val="00DB1C4F"/>
    <w:rsid w:val="00DB1C96"/>
    <w:rsid w:val="00DB1F74"/>
    <w:rsid w:val="00DB2791"/>
    <w:rsid w:val="00DB2EC1"/>
    <w:rsid w:val="00DB3197"/>
    <w:rsid w:val="00DB3414"/>
    <w:rsid w:val="00DB43A5"/>
    <w:rsid w:val="00DB4A66"/>
    <w:rsid w:val="00DB5016"/>
    <w:rsid w:val="00DB504B"/>
    <w:rsid w:val="00DB58D8"/>
    <w:rsid w:val="00DB592C"/>
    <w:rsid w:val="00DB62F0"/>
    <w:rsid w:val="00DB6519"/>
    <w:rsid w:val="00DB6DD6"/>
    <w:rsid w:val="00DB6F3E"/>
    <w:rsid w:val="00DB7827"/>
    <w:rsid w:val="00DC03EA"/>
    <w:rsid w:val="00DC0471"/>
    <w:rsid w:val="00DC07C9"/>
    <w:rsid w:val="00DC0B07"/>
    <w:rsid w:val="00DC0E26"/>
    <w:rsid w:val="00DC0EC7"/>
    <w:rsid w:val="00DC26A8"/>
    <w:rsid w:val="00DC2AEE"/>
    <w:rsid w:val="00DC2B3A"/>
    <w:rsid w:val="00DC306B"/>
    <w:rsid w:val="00DC3090"/>
    <w:rsid w:val="00DC3788"/>
    <w:rsid w:val="00DC381E"/>
    <w:rsid w:val="00DC3848"/>
    <w:rsid w:val="00DC3CE3"/>
    <w:rsid w:val="00DC4A03"/>
    <w:rsid w:val="00DC4D9C"/>
    <w:rsid w:val="00DC55EA"/>
    <w:rsid w:val="00DC5784"/>
    <w:rsid w:val="00DC57CF"/>
    <w:rsid w:val="00DC64C6"/>
    <w:rsid w:val="00DC6CB7"/>
    <w:rsid w:val="00DD07CB"/>
    <w:rsid w:val="00DD0B6F"/>
    <w:rsid w:val="00DD1014"/>
    <w:rsid w:val="00DD12CA"/>
    <w:rsid w:val="00DD1F7F"/>
    <w:rsid w:val="00DD1FC1"/>
    <w:rsid w:val="00DD2561"/>
    <w:rsid w:val="00DD258D"/>
    <w:rsid w:val="00DD38B4"/>
    <w:rsid w:val="00DD3ACC"/>
    <w:rsid w:val="00DD3BFC"/>
    <w:rsid w:val="00DD3DE4"/>
    <w:rsid w:val="00DD46A4"/>
    <w:rsid w:val="00DD46CF"/>
    <w:rsid w:val="00DD473E"/>
    <w:rsid w:val="00DD4F84"/>
    <w:rsid w:val="00DD52E3"/>
    <w:rsid w:val="00DD5548"/>
    <w:rsid w:val="00DD55C4"/>
    <w:rsid w:val="00DD56BD"/>
    <w:rsid w:val="00DD571A"/>
    <w:rsid w:val="00DD5D42"/>
    <w:rsid w:val="00DD5ED1"/>
    <w:rsid w:val="00DD695C"/>
    <w:rsid w:val="00DD6BB8"/>
    <w:rsid w:val="00DD6DA3"/>
    <w:rsid w:val="00DD7023"/>
    <w:rsid w:val="00DD7858"/>
    <w:rsid w:val="00DD7B1C"/>
    <w:rsid w:val="00DD7E27"/>
    <w:rsid w:val="00DE0080"/>
    <w:rsid w:val="00DE05F3"/>
    <w:rsid w:val="00DE10D7"/>
    <w:rsid w:val="00DE129C"/>
    <w:rsid w:val="00DE2140"/>
    <w:rsid w:val="00DE2717"/>
    <w:rsid w:val="00DE2998"/>
    <w:rsid w:val="00DE2B1C"/>
    <w:rsid w:val="00DE2D2E"/>
    <w:rsid w:val="00DE3010"/>
    <w:rsid w:val="00DE3B61"/>
    <w:rsid w:val="00DE3D89"/>
    <w:rsid w:val="00DE3E30"/>
    <w:rsid w:val="00DE416F"/>
    <w:rsid w:val="00DE42B2"/>
    <w:rsid w:val="00DE49C6"/>
    <w:rsid w:val="00DE4AAD"/>
    <w:rsid w:val="00DE58DB"/>
    <w:rsid w:val="00DE5BF9"/>
    <w:rsid w:val="00DE605A"/>
    <w:rsid w:val="00DE629F"/>
    <w:rsid w:val="00DE62F2"/>
    <w:rsid w:val="00DE67EC"/>
    <w:rsid w:val="00DF0271"/>
    <w:rsid w:val="00DF0A5D"/>
    <w:rsid w:val="00DF0D1E"/>
    <w:rsid w:val="00DF1379"/>
    <w:rsid w:val="00DF1C18"/>
    <w:rsid w:val="00DF202C"/>
    <w:rsid w:val="00DF2514"/>
    <w:rsid w:val="00DF2860"/>
    <w:rsid w:val="00DF2886"/>
    <w:rsid w:val="00DF28C5"/>
    <w:rsid w:val="00DF3A7B"/>
    <w:rsid w:val="00DF3DB2"/>
    <w:rsid w:val="00DF415B"/>
    <w:rsid w:val="00DF41DE"/>
    <w:rsid w:val="00DF555A"/>
    <w:rsid w:val="00DF5643"/>
    <w:rsid w:val="00DF57F0"/>
    <w:rsid w:val="00DF6327"/>
    <w:rsid w:val="00DF7025"/>
    <w:rsid w:val="00DF76D8"/>
    <w:rsid w:val="00DF7CF5"/>
    <w:rsid w:val="00E000A8"/>
    <w:rsid w:val="00E00119"/>
    <w:rsid w:val="00E00527"/>
    <w:rsid w:val="00E00701"/>
    <w:rsid w:val="00E00D4C"/>
    <w:rsid w:val="00E0122F"/>
    <w:rsid w:val="00E013EF"/>
    <w:rsid w:val="00E01C48"/>
    <w:rsid w:val="00E030D2"/>
    <w:rsid w:val="00E0321F"/>
    <w:rsid w:val="00E033D3"/>
    <w:rsid w:val="00E034F6"/>
    <w:rsid w:val="00E0383A"/>
    <w:rsid w:val="00E0393F"/>
    <w:rsid w:val="00E03B30"/>
    <w:rsid w:val="00E03D85"/>
    <w:rsid w:val="00E047C9"/>
    <w:rsid w:val="00E04B7E"/>
    <w:rsid w:val="00E04E7C"/>
    <w:rsid w:val="00E04F75"/>
    <w:rsid w:val="00E057EA"/>
    <w:rsid w:val="00E05DBA"/>
    <w:rsid w:val="00E060C8"/>
    <w:rsid w:val="00E060DA"/>
    <w:rsid w:val="00E06479"/>
    <w:rsid w:val="00E06B07"/>
    <w:rsid w:val="00E06F93"/>
    <w:rsid w:val="00E07528"/>
    <w:rsid w:val="00E07A6F"/>
    <w:rsid w:val="00E107E9"/>
    <w:rsid w:val="00E11735"/>
    <w:rsid w:val="00E11AB5"/>
    <w:rsid w:val="00E11ADB"/>
    <w:rsid w:val="00E1263B"/>
    <w:rsid w:val="00E12767"/>
    <w:rsid w:val="00E1276B"/>
    <w:rsid w:val="00E13093"/>
    <w:rsid w:val="00E13B47"/>
    <w:rsid w:val="00E13F28"/>
    <w:rsid w:val="00E13FCE"/>
    <w:rsid w:val="00E14146"/>
    <w:rsid w:val="00E15727"/>
    <w:rsid w:val="00E16A7A"/>
    <w:rsid w:val="00E17961"/>
    <w:rsid w:val="00E179D2"/>
    <w:rsid w:val="00E17A7B"/>
    <w:rsid w:val="00E17D5D"/>
    <w:rsid w:val="00E20C69"/>
    <w:rsid w:val="00E20EE0"/>
    <w:rsid w:val="00E21396"/>
    <w:rsid w:val="00E21763"/>
    <w:rsid w:val="00E21B50"/>
    <w:rsid w:val="00E229FA"/>
    <w:rsid w:val="00E23B91"/>
    <w:rsid w:val="00E2415F"/>
    <w:rsid w:val="00E24331"/>
    <w:rsid w:val="00E24466"/>
    <w:rsid w:val="00E247D4"/>
    <w:rsid w:val="00E24C82"/>
    <w:rsid w:val="00E270B9"/>
    <w:rsid w:val="00E271DB"/>
    <w:rsid w:val="00E27629"/>
    <w:rsid w:val="00E278BF"/>
    <w:rsid w:val="00E27CBB"/>
    <w:rsid w:val="00E27EBB"/>
    <w:rsid w:val="00E301E0"/>
    <w:rsid w:val="00E31959"/>
    <w:rsid w:val="00E31C52"/>
    <w:rsid w:val="00E31D4A"/>
    <w:rsid w:val="00E31EB3"/>
    <w:rsid w:val="00E3205C"/>
    <w:rsid w:val="00E32296"/>
    <w:rsid w:val="00E32691"/>
    <w:rsid w:val="00E32BFD"/>
    <w:rsid w:val="00E32D06"/>
    <w:rsid w:val="00E3313F"/>
    <w:rsid w:val="00E33504"/>
    <w:rsid w:val="00E34537"/>
    <w:rsid w:val="00E347EF"/>
    <w:rsid w:val="00E34A7F"/>
    <w:rsid w:val="00E34C52"/>
    <w:rsid w:val="00E3506A"/>
    <w:rsid w:val="00E35485"/>
    <w:rsid w:val="00E354E8"/>
    <w:rsid w:val="00E3597E"/>
    <w:rsid w:val="00E3692B"/>
    <w:rsid w:val="00E376D0"/>
    <w:rsid w:val="00E37AF3"/>
    <w:rsid w:val="00E37CA3"/>
    <w:rsid w:val="00E4011F"/>
    <w:rsid w:val="00E40153"/>
    <w:rsid w:val="00E402D1"/>
    <w:rsid w:val="00E40322"/>
    <w:rsid w:val="00E40B1F"/>
    <w:rsid w:val="00E41102"/>
    <w:rsid w:val="00E41931"/>
    <w:rsid w:val="00E41CA2"/>
    <w:rsid w:val="00E41FDC"/>
    <w:rsid w:val="00E42A66"/>
    <w:rsid w:val="00E42CC0"/>
    <w:rsid w:val="00E42D72"/>
    <w:rsid w:val="00E43386"/>
    <w:rsid w:val="00E44FD8"/>
    <w:rsid w:val="00E45111"/>
    <w:rsid w:val="00E45371"/>
    <w:rsid w:val="00E4550C"/>
    <w:rsid w:val="00E4571B"/>
    <w:rsid w:val="00E459AF"/>
    <w:rsid w:val="00E45CD1"/>
    <w:rsid w:val="00E45FA0"/>
    <w:rsid w:val="00E4658A"/>
    <w:rsid w:val="00E469C6"/>
    <w:rsid w:val="00E46B89"/>
    <w:rsid w:val="00E478CB"/>
    <w:rsid w:val="00E50360"/>
    <w:rsid w:val="00E5047A"/>
    <w:rsid w:val="00E50605"/>
    <w:rsid w:val="00E51204"/>
    <w:rsid w:val="00E51265"/>
    <w:rsid w:val="00E52DAB"/>
    <w:rsid w:val="00E5321D"/>
    <w:rsid w:val="00E53B92"/>
    <w:rsid w:val="00E53C8C"/>
    <w:rsid w:val="00E543B8"/>
    <w:rsid w:val="00E54458"/>
    <w:rsid w:val="00E54584"/>
    <w:rsid w:val="00E55C44"/>
    <w:rsid w:val="00E56F56"/>
    <w:rsid w:val="00E5760F"/>
    <w:rsid w:val="00E57991"/>
    <w:rsid w:val="00E57E32"/>
    <w:rsid w:val="00E60DE1"/>
    <w:rsid w:val="00E6164B"/>
    <w:rsid w:val="00E6167B"/>
    <w:rsid w:val="00E61927"/>
    <w:rsid w:val="00E61971"/>
    <w:rsid w:val="00E619D8"/>
    <w:rsid w:val="00E620DE"/>
    <w:rsid w:val="00E62412"/>
    <w:rsid w:val="00E626FF"/>
    <w:rsid w:val="00E638A6"/>
    <w:rsid w:val="00E63AD6"/>
    <w:rsid w:val="00E64879"/>
    <w:rsid w:val="00E650AD"/>
    <w:rsid w:val="00E650ED"/>
    <w:rsid w:val="00E65A16"/>
    <w:rsid w:val="00E665B7"/>
    <w:rsid w:val="00E66608"/>
    <w:rsid w:val="00E66902"/>
    <w:rsid w:val="00E66E08"/>
    <w:rsid w:val="00E6701A"/>
    <w:rsid w:val="00E67B4B"/>
    <w:rsid w:val="00E71085"/>
    <w:rsid w:val="00E71F2A"/>
    <w:rsid w:val="00E727C5"/>
    <w:rsid w:val="00E72FD8"/>
    <w:rsid w:val="00E732DC"/>
    <w:rsid w:val="00E73509"/>
    <w:rsid w:val="00E735ED"/>
    <w:rsid w:val="00E749D6"/>
    <w:rsid w:val="00E74AA3"/>
    <w:rsid w:val="00E74CF8"/>
    <w:rsid w:val="00E74EED"/>
    <w:rsid w:val="00E7582C"/>
    <w:rsid w:val="00E75CAD"/>
    <w:rsid w:val="00E76642"/>
    <w:rsid w:val="00E767A8"/>
    <w:rsid w:val="00E76925"/>
    <w:rsid w:val="00E769A4"/>
    <w:rsid w:val="00E76C81"/>
    <w:rsid w:val="00E76DDF"/>
    <w:rsid w:val="00E8009B"/>
    <w:rsid w:val="00E802C7"/>
    <w:rsid w:val="00E80948"/>
    <w:rsid w:val="00E810CC"/>
    <w:rsid w:val="00E815A2"/>
    <w:rsid w:val="00E816BE"/>
    <w:rsid w:val="00E82391"/>
    <w:rsid w:val="00E82652"/>
    <w:rsid w:val="00E8294F"/>
    <w:rsid w:val="00E83E85"/>
    <w:rsid w:val="00E843DE"/>
    <w:rsid w:val="00E8529B"/>
    <w:rsid w:val="00E852B6"/>
    <w:rsid w:val="00E85332"/>
    <w:rsid w:val="00E855A5"/>
    <w:rsid w:val="00E8578C"/>
    <w:rsid w:val="00E85E2C"/>
    <w:rsid w:val="00E85F80"/>
    <w:rsid w:val="00E8655E"/>
    <w:rsid w:val="00E8686C"/>
    <w:rsid w:val="00E86B62"/>
    <w:rsid w:val="00E86D0A"/>
    <w:rsid w:val="00E86D67"/>
    <w:rsid w:val="00E8706C"/>
    <w:rsid w:val="00E871B4"/>
    <w:rsid w:val="00E87FAD"/>
    <w:rsid w:val="00E90ACC"/>
    <w:rsid w:val="00E90DF1"/>
    <w:rsid w:val="00E913F4"/>
    <w:rsid w:val="00E914E2"/>
    <w:rsid w:val="00E9160C"/>
    <w:rsid w:val="00E9180D"/>
    <w:rsid w:val="00E91CB9"/>
    <w:rsid w:val="00E924D8"/>
    <w:rsid w:val="00E92CDE"/>
    <w:rsid w:val="00E930A4"/>
    <w:rsid w:val="00E9338E"/>
    <w:rsid w:val="00E93E20"/>
    <w:rsid w:val="00E94479"/>
    <w:rsid w:val="00E94CD6"/>
    <w:rsid w:val="00E9554A"/>
    <w:rsid w:val="00E95AC8"/>
    <w:rsid w:val="00E95DDA"/>
    <w:rsid w:val="00E971E8"/>
    <w:rsid w:val="00E972E8"/>
    <w:rsid w:val="00E9777E"/>
    <w:rsid w:val="00E97B77"/>
    <w:rsid w:val="00E97CFA"/>
    <w:rsid w:val="00E97F9E"/>
    <w:rsid w:val="00EA0230"/>
    <w:rsid w:val="00EA044A"/>
    <w:rsid w:val="00EA0496"/>
    <w:rsid w:val="00EA0A59"/>
    <w:rsid w:val="00EA0CF7"/>
    <w:rsid w:val="00EA1358"/>
    <w:rsid w:val="00EA182E"/>
    <w:rsid w:val="00EA1FE0"/>
    <w:rsid w:val="00EA214C"/>
    <w:rsid w:val="00EA288A"/>
    <w:rsid w:val="00EA2B1E"/>
    <w:rsid w:val="00EA3150"/>
    <w:rsid w:val="00EA3D3F"/>
    <w:rsid w:val="00EA3EE0"/>
    <w:rsid w:val="00EA54E4"/>
    <w:rsid w:val="00EA56B3"/>
    <w:rsid w:val="00EA5BE8"/>
    <w:rsid w:val="00EA6353"/>
    <w:rsid w:val="00EA649A"/>
    <w:rsid w:val="00EA71D0"/>
    <w:rsid w:val="00EA761D"/>
    <w:rsid w:val="00EB031E"/>
    <w:rsid w:val="00EB0407"/>
    <w:rsid w:val="00EB0412"/>
    <w:rsid w:val="00EB05DD"/>
    <w:rsid w:val="00EB107D"/>
    <w:rsid w:val="00EB14A5"/>
    <w:rsid w:val="00EB192B"/>
    <w:rsid w:val="00EB2397"/>
    <w:rsid w:val="00EB23AC"/>
    <w:rsid w:val="00EB2A1B"/>
    <w:rsid w:val="00EB2B5A"/>
    <w:rsid w:val="00EB31F2"/>
    <w:rsid w:val="00EB32C7"/>
    <w:rsid w:val="00EB36DF"/>
    <w:rsid w:val="00EB3726"/>
    <w:rsid w:val="00EB3C4F"/>
    <w:rsid w:val="00EB3F0E"/>
    <w:rsid w:val="00EB4C01"/>
    <w:rsid w:val="00EB511B"/>
    <w:rsid w:val="00EB5DF4"/>
    <w:rsid w:val="00EB6059"/>
    <w:rsid w:val="00EB6348"/>
    <w:rsid w:val="00EB672F"/>
    <w:rsid w:val="00EB7B32"/>
    <w:rsid w:val="00EC0168"/>
    <w:rsid w:val="00EC0C5F"/>
    <w:rsid w:val="00EC1161"/>
    <w:rsid w:val="00EC281D"/>
    <w:rsid w:val="00EC295A"/>
    <w:rsid w:val="00EC2B1F"/>
    <w:rsid w:val="00EC2C6E"/>
    <w:rsid w:val="00EC2C78"/>
    <w:rsid w:val="00EC2D82"/>
    <w:rsid w:val="00EC38E9"/>
    <w:rsid w:val="00EC3D95"/>
    <w:rsid w:val="00EC44C5"/>
    <w:rsid w:val="00EC4FD3"/>
    <w:rsid w:val="00EC515F"/>
    <w:rsid w:val="00EC5D7C"/>
    <w:rsid w:val="00EC605F"/>
    <w:rsid w:val="00EC6BDA"/>
    <w:rsid w:val="00EC6D77"/>
    <w:rsid w:val="00EC730C"/>
    <w:rsid w:val="00EC73E3"/>
    <w:rsid w:val="00EC7817"/>
    <w:rsid w:val="00EC79F5"/>
    <w:rsid w:val="00ED0012"/>
    <w:rsid w:val="00ED0838"/>
    <w:rsid w:val="00ED0B60"/>
    <w:rsid w:val="00ED118D"/>
    <w:rsid w:val="00ED1B55"/>
    <w:rsid w:val="00ED1DD5"/>
    <w:rsid w:val="00ED2C95"/>
    <w:rsid w:val="00ED310C"/>
    <w:rsid w:val="00ED339F"/>
    <w:rsid w:val="00ED4394"/>
    <w:rsid w:val="00ED4888"/>
    <w:rsid w:val="00ED5176"/>
    <w:rsid w:val="00ED5BD7"/>
    <w:rsid w:val="00ED5E59"/>
    <w:rsid w:val="00ED6030"/>
    <w:rsid w:val="00ED74A3"/>
    <w:rsid w:val="00ED76C6"/>
    <w:rsid w:val="00ED770B"/>
    <w:rsid w:val="00ED77D2"/>
    <w:rsid w:val="00ED7C12"/>
    <w:rsid w:val="00ED7CEC"/>
    <w:rsid w:val="00EE0076"/>
    <w:rsid w:val="00EE07C7"/>
    <w:rsid w:val="00EE08B8"/>
    <w:rsid w:val="00EE14BC"/>
    <w:rsid w:val="00EE18A6"/>
    <w:rsid w:val="00EE24ED"/>
    <w:rsid w:val="00EE2CDE"/>
    <w:rsid w:val="00EE2E73"/>
    <w:rsid w:val="00EE2FBC"/>
    <w:rsid w:val="00EE2FD2"/>
    <w:rsid w:val="00EE3195"/>
    <w:rsid w:val="00EE363E"/>
    <w:rsid w:val="00EE364E"/>
    <w:rsid w:val="00EE374B"/>
    <w:rsid w:val="00EE38B0"/>
    <w:rsid w:val="00EE4020"/>
    <w:rsid w:val="00EE41A4"/>
    <w:rsid w:val="00EE4288"/>
    <w:rsid w:val="00EE45CE"/>
    <w:rsid w:val="00EE4828"/>
    <w:rsid w:val="00EE498E"/>
    <w:rsid w:val="00EE5290"/>
    <w:rsid w:val="00EE54C6"/>
    <w:rsid w:val="00EE57A4"/>
    <w:rsid w:val="00EE5B2B"/>
    <w:rsid w:val="00EE5C13"/>
    <w:rsid w:val="00EE6480"/>
    <w:rsid w:val="00EE653C"/>
    <w:rsid w:val="00EE7421"/>
    <w:rsid w:val="00EF0431"/>
    <w:rsid w:val="00EF0F82"/>
    <w:rsid w:val="00EF1610"/>
    <w:rsid w:val="00EF18F9"/>
    <w:rsid w:val="00EF1DF1"/>
    <w:rsid w:val="00EF2079"/>
    <w:rsid w:val="00EF25E4"/>
    <w:rsid w:val="00EF2AAD"/>
    <w:rsid w:val="00EF2E36"/>
    <w:rsid w:val="00EF3250"/>
    <w:rsid w:val="00EF389B"/>
    <w:rsid w:val="00EF4CCC"/>
    <w:rsid w:val="00EF534C"/>
    <w:rsid w:val="00EF53DD"/>
    <w:rsid w:val="00EF58A6"/>
    <w:rsid w:val="00EF6FBA"/>
    <w:rsid w:val="00EF72DB"/>
    <w:rsid w:val="00EF7799"/>
    <w:rsid w:val="00F00A28"/>
    <w:rsid w:val="00F00A76"/>
    <w:rsid w:val="00F0123C"/>
    <w:rsid w:val="00F016D4"/>
    <w:rsid w:val="00F017B0"/>
    <w:rsid w:val="00F02085"/>
    <w:rsid w:val="00F0294F"/>
    <w:rsid w:val="00F035B3"/>
    <w:rsid w:val="00F036B6"/>
    <w:rsid w:val="00F0502D"/>
    <w:rsid w:val="00F057E3"/>
    <w:rsid w:val="00F05A22"/>
    <w:rsid w:val="00F06995"/>
    <w:rsid w:val="00F06B3A"/>
    <w:rsid w:val="00F06CC0"/>
    <w:rsid w:val="00F070F0"/>
    <w:rsid w:val="00F072A0"/>
    <w:rsid w:val="00F100D7"/>
    <w:rsid w:val="00F102C3"/>
    <w:rsid w:val="00F10921"/>
    <w:rsid w:val="00F112BC"/>
    <w:rsid w:val="00F114AD"/>
    <w:rsid w:val="00F11895"/>
    <w:rsid w:val="00F11CAD"/>
    <w:rsid w:val="00F122F2"/>
    <w:rsid w:val="00F123A8"/>
    <w:rsid w:val="00F133D1"/>
    <w:rsid w:val="00F13D72"/>
    <w:rsid w:val="00F13FB3"/>
    <w:rsid w:val="00F14246"/>
    <w:rsid w:val="00F14693"/>
    <w:rsid w:val="00F1545E"/>
    <w:rsid w:val="00F15640"/>
    <w:rsid w:val="00F159B5"/>
    <w:rsid w:val="00F16290"/>
    <w:rsid w:val="00F16754"/>
    <w:rsid w:val="00F16BED"/>
    <w:rsid w:val="00F16D97"/>
    <w:rsid w:val="00F17200"/>
    <w:rsid w:val="00F17A94"/>
    <w:rsid w:val="00F17D88"/>
    <w:rsid w:val="00F17E36"/>
    <w:rsid w:val="00F2005F"/>
    <w:rsid w:val="00F205AF"/>
    <w:rsid w:val="00F20A24"/>
    <w:rsid w:val="00F2116F"/>
    <w:rsid w:val="00F214A1"/>
    <w:rsid w:val="00F21646"/>
    <w:rsid w:val="00F21924"/>
    <w:rsid w:val="00F225A8"/>
    <w:rsid w:val="00F2382C"/>
    <w:rsid w:val="00F23A0B"/>
    <w:rsid w:val="00F23B81"/>
    <w:rsid w:val="00F23BB9"/>
    <w:rsid w:val="00F2403C"/>
    <w:rsid w:val="00F2497B"/>
    <w:rsid w:val="00F24B95"/>
    <w:rsid w:val="00F25023"/>
    <w:rsid w:val="00F2503B"/>
    <w:rsid w:val="00F25403"/>
    <w:rsid w:val="00F25887"/>
    <w:rsid w:val="00F26500"/>
    <w:rsid w:val="00F26A0F"/>
    <w:rsid w:val="00F26E63"/>
    <w:rsid w:val="00F27248"/>
    <w:rsid w:val="00F27294"/>
    <w:rsid w:val="00F27759"/>
    <w:rsid w:val="00F2779C"/>
    <w:rsid w:val="00F27A71"/>
    <w:rsid w:val="00F27D5F"/>
    <w:rsid w:val="00F3040B"/>
    <w:rsid w:val="00F309F0"/>
    <w:rsid w:val="00F30A32"/>
    <w:rsid w:val="00F312D2"/>
    <w:rsid w:val="00F31743"/>
    <w:rsid w:val="00F327CF"/>
    <w:rsid w:val="00F32B58"/>
    <w:rsid w:val="00F33530"/>
    <w:rsid w:val="00F337CE"/>
    <w:rsid w:val="00F34AFF"/>
    <w:rsid w:val="00F34BCE"/>
    <w:rsid w:val="00F34E1F"/>
    <w:rsid w:val="00F35145"/>
    <w:rsid w:val="00F35808"/>
    <w:rsid w:val="00F359AB"/>
    <w:rsid w:val="00F36013"/>
    <w:rsid w:val="00F3614E"/>
    <w:rsid w:val="00F36872"/>
    <w:rsid w:val="00F371AF"/>
    <w:rsid w:val="00F37439"/>
    <w:rsid w:val="00F37695"/>
    <w:rsid w:val="00F37845"/>
    <w:rsid w:val="00F40134"/>
    <w:rsid w:val="00F40186"/>
    <w:rsid w:val="00F4092A"/>
    <w:rsid w:val="00F409C9"/>
    <w:rsid w:val="00F41302"/>
    <w:rsid w:val="00F41545"/>
    <w:rsid w:val="00F4204F"/>
    <w:rsid w:val="00F423D6"/>
    <w:rsid w:val="00F42C76"/>
    <w:rsid w:val="00F42FEC"/>
    <w:rsid w:val="00F43176"/>
    <w:rsid w:val="00F43A4F"/>
    <w:rsid w:val="00F43C72"/>
    <w:rsid w:val="00F43CE1"/>
    <w:rsid w:val="00F43D64"/>
    <w:rsid w:val="00F43F77"/>
    <w:rsid w:val="00F440C7"/>
    <w:rsid w:val="00F4474C"/>
    <w:rsid w:val="00F4474F"/>
    <w:rsid w:val="00F44B4B"/>
    <w:rsid w:val="00F44B61"/>
    <w:rsid w:val="00F44D80"/>
    <w:rsid w:val="00F44E54"/>
    <w:rsid w:val="00F44F42"/>
    <w:rsid w:val="00F4586E"/>
    <w:rsid w:val="00F460B1"/>
    <w:rsid w:val="00F46488"/>
    <w:rsid w:val="00F46C85"/>
    <w:rsid w:val="00F47057"/>
    <w:rsid w:val="00F47A06"/>
    <w:rsid w:val="00F50A99"/>
    <w:rsid w:val="00F50C3F"/>
    <w:rsid w:val="00F51A39"/>
    <w:rsid w:val="00F51CE4"/>
    <w:rsid w:val="00F5234A"/>
    <w:rsid w:val="00F52A8D"/>
    <w:rsid w:val="00F52D29"/>
    <w:rsid w:val="00F53365"/>
    <w:rsid w:val="00F539D6"/>
    <w:rsid w:val="00F53A95"/>
    <w:rsid w:val="00F53D8D"/>
    <w:rsid w:val="00F54D4D"/>
    <w:rsid w:val="00F55DF4"/>
    <w:rsid w:val="00F564A1"/>
    <w:rsid w:val="00F56696"/>
    <w:rsid w:val="00F575A1"/>
    <w:rsid w:val="00F57836"/>
    <w:rsid w:val="00F60041"/>
    <w:rsid w:val="00F6007E"/>
    <w:rsid w:val="00F60388"/>
    <w:rsid w:val="00F60C95"/>
    <w:rsid w:val="00F61432"/>
    <w:rsid w:val="00F61D2B"/>
    <w:rsid w:val="00F61F11"/>
    <w:rsid w:val="00F620F0"/>
    <w:rsid w:val="00F62771"/>
    <w:rsid w:val="00F62E93"/>
    <w:rsid w:val="00F62FAE"/>
    <w:rsid w:val="00F63227"/>
    <w:rsid w:val="00F63258"/>
    <w:rsid w:val="00F63CFD"/>
    <w:rsid w:val="00F648F1"/>
    <w:rsid w:val="00F6491B"/>
    <w:rsid w:val="00F65004"/>
    <w:rsid w:val="00F65E6A"/>
    <w:rsid w:val="00F66569"/>
    <w:rsid w:val="00F666EA"/>
    <w:rsid w:val="00F66794"/>
    <w:rsid w:val="00F6778F"/>
    <w:rsid w:val="00F67E2D"/>
    <w:rsid w:val="00F70B55"/>
    <w:rsid w:val="00F715D4"/>
    <w:rsid w:val="00F7162A"/>
    <w:rsid w:val="00F71C91"/>
    <w:rsid w:val="00F7283F"/>
    <w:rsid w:val="00F735A4"/>
    <w:rsid w:val="00F736F2"/>
    <w:rsid w:val="00F7381F"/>
    <w:rsid w:val="00F73833"/>
    <w:rsid w:val="00F73BB5"/>
    <w:rsid w:val="00F73F69"/>
    <w:rsid w:val="00F740F3"/>
    <w:rsid w:val="00F74969"/>
    <w:rsid w:val="00F74FD9"/>
    <w:rsid w:val="00F755C2"/>
    <w:rsid w:val="00F75713"/>
    <w:rsid w:val="00F76D03"/>
    <w:rsid w:val="00F7741A"/>
    <w:rsid w:val="00F7776A"/>
    <w:rsid w:val="00F77A47"/>
    <w:rsid w:val="00F8006C"/>
    <w:rsid w:val="00F8023C"/>
    <w:rsid w:val="00F81286"/>
    <w:rsid w:val="00F81706"/>
    <w:rsid w:val="00F82E99"/>
    <w:rsid w:val="00F83473"/>
    <w:rsid w:val="00F84136"/>
    <w:rsid w:val="00F8427F"/>
    <w:rsid w:val="00F84375"/>
    <w:rsid w:val="00F848CE"/>
    <w:rsid w:val="00F84CD8"/>
    <w:rsid w:val="00F85254"/>
    <w:rsid w:val="00F8567A"/>
    <w:rsid w:val="00F85E9F"/>
    <w:rsid w:val="00F863E1"/>
    <w:rsid w:val="00F863EC"/>
    <w:rsid w:val="00F867F3"/>
    <w:rsid w:val="00F86997"/>
    <w:rsid w:val="00F86CCD"/>
    <w:rsid w:val="00F872F9"/>
    <w:rsid w:val="00F87599"/>
    <w:rsid w:val="00F87AC1"/>
    <w:rsid w:val="00F87B2F"/>
    <w:rsid w:val="00F903BA"/>
    <w:rsid w:val="00F9076C"/>
    <w:rsid w:val="00F90BA5"/>
    <w:rsid w:val="00F9246F"/>
    <w:rsid w:val="00F92756"/>
    <w:rsid w:val="00F929FF"/>
    <w:rsid w:val="00F92A61"/>
    <w:rsid w:val="00F92CC9"/>
    <w:rsid w:val="00F93103"/>
    <w:rsid w:val="00F93B04"/>
    <w:rsid w:val="00F93CD5"/>
    <w:rsid w:val="00F94A94"/>
    <w:rsid w:val="00F95B7F"/>
    <w:rsid w:val="00F95C9A"/>
    <w:rsid w:val="00F95EA7"/>
    <w:rsid w:val="00F9656E"/>
    <w:rsid w:val="00F966E1"/>
    <w:rsid w:val="00F96AC8"/>
    <w:rsid w:val="00F97255"/>
    <w:rsid w:val="00F9752E"/>
    <w:rsid w:val="00F97BEF"/>
    <w:rsid w:val="00F97D54"/>
    <w:rsid w:val="00FA011C"/>
    <w:rsid w:val="00FA02AA"/>
    <w:rsid w:val="00FA038A"/>
    <w:rsid w:val="00FA0868"/>
    <w:rsid w:val="00FA0970"/>
    <w:rsid w:val="00FA0F6B"/>
    <w:rsid w:val="00FA14FC"/>
    <w:rsid w:val="00FA2088"/>
    <w:rsid w:val="00FA2460"/>
    <w:rsid w:val="00FA24C1"/>
    <w:rsid w:val="00FA27D1"/>
    <w:rsid w:val="00FA2A9F"/>
    <w:rsid w:val="00FA2DDB"/>
    <w:rsid w:val="00FA2E65"/>
    <w:rsid w:val="00FA306B"/>
    <w:rsid w:val="00FA3CB2"/>
    <w:rsid w:val="00FA4342"/>
    <w:rsid w:val="00FA465D"/>
    <w:rsid w:val="00FA522D"/>
    <w:rsid w:val="00FA5399"/>
    <w:rsid w:val="00FA53F7"/>
    <w:rsid w:val="00FA5692"/>
    <w:rsid w:val="00FA5847"/>
    <w:rsid w:val="00FA5C7C"/>
    <w:rsid w:val="00FA616D"/>
    <w:rsid w:val="00FA6B0A"/>
    <w:rsid w:val="00FA7452"/>
    <w:rsid w:val="00FA7723"/>
    <w:rsid w:val="00FA775C"/>
    <w:rsid w:val="00FA7B27"/>
    <w:rsid w:val="00FA7B65"/>
    <w:rsid w:val="00FB0699"/>
    <w:rsid w:val="00FB075C"/>
    <w:rsid w:val="00FB0A10"/>
    <w:rsid w:val="00FB124F"/>
    <w:rsid w:val="00FB15C3"/>
    <w:rsid w:val="00FB291E"/>
    <w:rsid w:val="00FB3689"/>
    <w:rsid w:val="00FB37FC"/>
    <w:rsid w:val="00FB39E7"/>
    <w:rsid w:val="00FB40F3"/>
    <w:rsid w:val="00FB42E2"/>
    <w:rsid w:val="00FB533A"/>
    <w:rsid w:val="00FB5595"/>
    <w:rsid w:val="00FB5928"/>
    <w:rsid w:val="00FB5DA5"/>
    <w:rsid w:val="00FB6070"/>
    <w:rsid w:val="00FB6368"/>
    <w:rsid w:val="00FB6414"/>
    <w:rsid w:val="00FB663E"/>
    <w:rsid w:val="00FB6BF4"/>
    <w:rsid w:val="00FB6FDC"/>
    <w:rsid w:val="00FB7527"/>
    <w:rsid w:val="00FB77DA"/>
    <w:rsid w:val="00FB7AB8"/>
    <w:rsid w:val="00FC00C5"/>
    <w:rsid w:val="00FC0E58"/>
    <w:rsid w:val="00FC15AB"/>
    <w:rsid w:val="00FC1DCF"/>
    <w:rsid w:val="00FC26D0"/>
    <w:rsid w:val="00FC28F0"/>
    <w:rsid w:val="00FC2D16"/>
    <w:rsid w:val="00FC2EEC"/>
    <w:rsid w:val="00FC36E7"/>
    <w:rsid w:val="00FC3CEE"/>
    <w:rsid w:val="00FC483F"/>
    <w:rsid w:val="00FC4C5E"/>
    <w:rsid w:val="00FC507F"/>
    <w:rsid w:val="00FC51CC"/>
    <w:rsid w:val="00FC591D"/>
    <w:rsid w:val="00FC5AA1"/>
    <w:rsid w:val="00FC739F"/>
    <w:rsid w:val="00FC7909"/>
    <w:rsid w:val="00FC7E9C"/>
    <w:rsid w:val="00FD0055"/>
    <w:rsid w:val="00FD0168"/>
    <w:rsid w:val="00FD0350"/>
    <w:rsid w:val="00FD0B1D"/>
    <w:rsid w:val="00FD0E62"/>
    <w:rsid w:val="00FD1226"/>
    <w:rsid w:val="00FD1773"/>
    <w:rsid w:val="00FD2057"/>
    <w:rsid w:val="00FD208C"/>
    <w:rsid w:val="00FD3095"/>
    <w:rsid w:val="00FD32CB"/>
    <w:rsid w:val="00FD33D8"/>
    <w:rsid w:val="00FD349F"/>
    <w:rsid w:val="00FD354C"/>
    <w:rsid w:val="00FD35CD"/>
    <w:rsid w:val="00FD3A3F"/>
    <w:rsid w:val="00FD4116"/>
    <w:rsid w:val="00FD44B0"/>
    <w:rsid w:val="00FD513A"/>
    <w:rsid w:val="00FD518F"/>
    <w:rsid w:val="00FD5881"/>
    <w:rsid w:val="00FD5CFB"/>
    <w:rsid w:val="00FD6C3D"/>
    <w:rsid w:val="00FD6C90"/>
    <w:rsid w:val="00FD70B8"/>
    <w:rsid w:val="00FD7F6C"/>
    <w:rsid w:val="00FE13D5"/>
    <w:rsid w:val="00FE15A3"/>
    <w:rsid w:val="00FE1886"/>
    <w:rsid w:val="00FE1CE7"/>
    <w:rsid w:val="00FE28EB"/>
    <w:rsid w:val="00FE2ED8"/>
    <w:rsid w:val="00FE3317"/>
    <w:rsid w:val="00FE3B65"/>
    <w:rsid w:val="00FE3D0B"/>
    <w:rsid w:val="00FE3D33"/>
    <w:rsid w:val="00FE516F"/>
    <w:rsid w:val="00FE55A6"/>
    <w:rsid w:val="00FE5A55"/>
    <w:rsid w:val="00FE5D6D"/>
    <w:rsid w:val="00FE70F4"/>
    <w:rsid w:val="00FE7D71"/>
    <w:rsid w:val="00FE7F3A"/>
    <w:rsid w:val="00FF0478"/>
    <w:rsid w:val="00FF0A70"/>
    <w:rsid w:val="00FF0C3A"/>
    <w:rsid w:val="00FF0CD1"/>
    <w:rsid w:val="00FF22B1"/>
    <w:rsid w:val="00FF2346"/>
    <w:rsid w:val="00FF2426"/>
    <w:rsid w:val="00FF3615"/>
    <w:rsid w:val="00FF400D"/>
    <w:rsid w:val="00FF404F"/>
    <w:rsid w:val="00FF4B11"/>
    <w:rsid w:val="00FF4DAB"/>
    <w:rsid w:val="00FF53EB"/>
    <w:rsid w:val="00FF651E"/>
    <w:rsid w:val="00FF7702"/>
    <w:rsid w:val="038802E9"/>
    <w:rsid w:val="05217ED8"/>
    <w:rsid w:val="0612541E"/>
    <w:rsid w:val="0647E7F1"/>
    <w:rsid w:val="06737C3E"/>
    <w:rsid w:val="08E8BEB2"/>
    <w:rsid w:val="1099C9A2"/>
    <w:rsid w:val="1430363B"/>
    <w:rsid w:val="15D20AD8"/>
    <w:rsid w:val="1B53FF19"/>
    <w:rsid w:val="1D19DA90"/>
    <w:rsid w:val="1E275F2C"/>
    <w:rsid w:val="1F907C76"/>
    <w:rsid w:val="22171E92"/>
    <w:rsid w:val="22A53297"/>
    <w:rsid w:val="26FC56B6"/>
    <w:rsid w:val="2963164E"/>
    <w:rsid w:val="2BB26BC8"/>
    <w:rsid w:val="33A62195"/>
    <w:rsid w:val="33DB6731"/>
    <w:rsid w:val="3631C1B1"/>
    <w:rsid w:val="36F7FBFF"/>
    <w:rsid w:val="3886F7BA"/>
    <w:rsid w:val="38CCCB63"/>
    <w:rsid w:val="38ED7C1F"/>
    <w:rsid w:val="3C62B45A"/>
    <w:rsid w:val="3C74A276"/>
    <w:rsid w:val="3D4AEB7E"/>
    <w:rsid w:val="3E3ED7A7"/>
    <w:rsid w:val="3EAFB0C1"/>
    <w:rsid w:val="3F85FE8E"/>
    <w:rsid w:val="4081FB9F"/>
    <w:rsid w:val="4419CE9E"/>
    <w:rsid w:val="475E1A65"/>
    <w:rsid w:val="4B1D732C"/>
    <w:rsid w:val="4C660FF4"/>
    <w:rsid w:val="52C3F229"/>
    <w:rsid w:val="53160711"/>
    <w:rsid w:val="53E5F51C"/>
    <w:rsid w:val="564D3485"/>
    <w:rsid w:val="591AAF18"/>
    <w:rsid w:val="59E959F0"/>
    <w:rsid w:val="5B6179EF"/>
    <w:rsid w:val="60BB978C"/>
    <w:rsid w:val="62266F62"/>
    <w:rsid w:val="65034543"/>
    <w:rsid w:val="66E253CD"/>
    <w:rsid w:val="6AC91BC5"/>
    <w:rsid w:val="70355383"/>
    <w:rsid w:val="71480F9C"/>
    <w:rsid w:val="7431484E"/>
    <w:rsid w:val="77F7AE66"/>
    <w:rsid w:val="77FEE13F"/>
    <w:rsid w:val="78EC84E5"/>
    <w:rsid w:val="7929AF8E"/>
    <w:rsid w:val="7C09AF18"/>
    <w:rsid w:val="7DCC22BF"/>
    <w:rsid w:val="7DE0FAD0"/>
    <w:rsid w:val="7FE3E4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F7FBFF"/>
  <w15:chartTrackingRefBased/>
  <w15:docId w15:val="{CA1A1500-9320-4EB7-86A9-55858E2E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rsid w:val="003734A7"/>
    <w:pPr>
      <w:keepNext/>
      <w:numPr>
        <w:numId w:val="18"/>
      </w:numPr>
      <w:tabs>
        <w:tab w:val="clear" w:pos="850"/>
      </w:tabs>
      <w:spacing w:before="360" w:after="120" w:line="276" w:lineRule="auto"/>
      <w:ind w:left="0" w:firstLine="0"/>
      <w:jc w:val="both"/>
      <w:outlineLvl w:val="0"/>
    </w:pPr>
    <w:rPr>
      <w:rFonts w:ascii="Times New Roman" w:eastAsiaTheme="majorEastAsia" w:hAnsi="Times New Roman" w:cs="Times New Roman"/>
      <w:b/>
      <w:bCs/>
      <w:smallCaps/>
      <w:lang w:val="de-DE" w:eastAsia="en-US"/>
    </w:rPr>
  </w:style>
  <w:style w:type="paragraph" w:styleId="Heading2">
    <w:name w:val="heading 2"/>
    <w:basedOn w:val="Normal"/>
    <w:next w:val="Text1"/>
    <w:link w:val="Heading2Char"/>
    <w:uiPriority w:val="9"/>
    <w:semiHidden/>
    <w:unhideWhenUsed/>
    <w:qFormat/>
    <w:rsid w:val="003734A7"/>
    <w:pPr>
      <w:keepNext/>
      <w:numPr>
        <w:ilvl w:val="1"/>
        <w:numId w:val="18"/>
      </w:numPr>
      <w:tabs>
        <w:tab w:val="clear" w:pos="850"/>
      </w:tabs>
      <w:spacing w:before="120" w:after="120" w:line="276" w:lineRule="auto"/>
      <w:ind w:left="0" w:firstLine="0"/>
      <w:jc w:val="both"/>
      <w:outlineLvl w:val="1"/>
    </w:pPr>
    <w:rPr>
      <w:rFonts w:ascii="Times New Roman" w:eastAsiaTheme="majorEastAsia" w:hAnsi="Times New Roman" w:cs="Times New Roman"/>
      <w:b/>
      <w:bCs/>
      <w:lang w:val="de-DE" w:eastAsia="en-US"/>
    </w:rPr>
  </w:style>
  <w:style w:type="paragraph" w:styleId="Heading3">
    <w:name w:val="heading 3"/>
    <w:basedOn w:val="Normal"/>
    <w:next w:val="Text1"/>
    <w:link w:val="Heading3Char"/>
    <w:uiPriority w:val="9"/>
    <w:semiHidden/>
    <w:unhideWhenUsed/>
    <w:qFormat/>
    <w:rsid w:val="003734A7"/>
    <w:pPr>
      <w:keepNext/>
      <w:numPr>
        <w:ilvl w:val="2"/>
        <w:numId w:val="18"/>
      </w:numPr>
      <w:tabs>
        <w:tab w:val="clear" w:pos="850"/>
      </w:tabs>
      <w:spacing w:before="120" w:after="120" w:line="276" w:lineRule="auto"/>
      <w:ind w:left="0" w:firstLine="0"/>
      <w:jc w:val="both"/>
      <w:outlineLvl w:val="2"/>
    </w:pPr>
    <w:rPr>
      <w:rFonts w:ascii="Times New Roman" w:eastAsiaTheme="majorEastAsia" w:hAnsi="Times New Roman" w:cs="Times New Roman"/>
      <w:i/>
      <w:iCs/>
      <w:lang w:val="de-DE" w:eastAsia="en-US"/>
    </w:rPr>
  </w:style>
  <w:style w:type="paragraph" w:styleId="Heading4">
    <w:name w:val="heading 4"/>
    <w:basedOn w:val="Normal"/>
    <w:next w:val="Text1"/>
    <w:link w:val="Heading4Char"/>
    <w:uiPriority w:val="9"/>
    <w:unhideWhenUsed/>
    <w:qFormat/>
    <w:rsid w:val="003734A7"/>
    <w:pPr>
      <w:keepNext/>
      <w:numPr>
        <w:ilvl w:val="3"/>
        <w:numId w:val="18"/>
      </w:numPr>
      <w:tabs>
        <w:tab w:val="clear" w:pos="850"/>
      </w:tabs>
      <w:spacing w:before="120" w:after="120" w:line="276" w:lineRule="auto"/>
      <w:ind w:left="0" w:firstLine="0"/>
      <w:jc w:val="both"/>
      <w:outlineLvl w:val="3"/>
    </w:pPr>
    <w:rPr>
      <w:rFonts w:ascii="Times New Roman" w:eastAsiaTheme="majorEastAsia" w:hAnsi="Times New Roman" w:cs="Times New Roman"/>
      <w:lang w:val="de-DE" w:eastAsia="en-US"/>
    </w:rPr>
  </w:style>
  <w:style w:type="paragraph" w:styleId="Heading5">
    <w:name w:val="heading 5"/>
    <w:basedOn w:val="Normal"/>
    <w:next w:val="Normal"/>
    <w:link w:val="Heading5Char"/>
    <w:uiPriority w:val="9"/>
    <w:unhideWhenUsed/>
    <w:qFormat/>
    <w:rsid w:val="003734A7"/>
    <w:pPr>
      <w:keepNext/>
      <w:keepLines/>
      <w:spacing w:before="40" w:after="0" w:line="276" w:lineRule="auto"/>
      <w:outlineLvl w:val="4"/>
    </w:pPr>
    <w:rPr>
      <w:rFonts w:asciiTheme="majorHAnsi" w:eastAsiaTheme="majorEastAsia" w:hAnsiTheme="majorHAnsi" w:cstheme="majorBidi"/>
      <w:color w:val="0F4761" w:themeColor="accent1" w:themeShade="BF"/>
      <w:sz w:val="22"/>
      <w:szCs w:val="22"/>
      <w:lang w:val="de-DE" w:eastAsia="en-US"/>
    </w:rPr>
  </w:style>
  <w:style w:type="paragraph" w:styleId="Heading6">
    <w:name w:val="heading 6"/>
    <w:basedOn w:val="Normal"/>
    <w:next w:val="Normal"/>
    <w:link w:val="Heading6Char"/>
    <w:uiPriority w:val="9"/>
    <w:unhideWhenUsed/>
    <w:qFormat/>
    <w:rsid w:val="003734A7"/>
    <w:pPr>
      <w:keepNext/>
      <w:keepLines/>
      <w:spacing w:before="40" w:after="0" w:line="276" w:lineRule="auto"/>
      <w:outlineLvl w:val="5"/>
    </w:pPr>
    <w:rPr>
      <w:rFonts w:asciiTheme="majorHAnsi" w:eastAsiaTheme="majorEastAsia" w:hAnsiTheme="majorHAnsi" w:cstheme="majorBidi"/>
      <w:color w:val="243F60"/>
      <w:sz w:val="22"/>
      <w:szCs w:val="22"/>
      <w:lang w:val="de-DE" w:eastAsia="en-US"/>
    </w:rPr>
  </w:style>
  <w:style w:type="paragraph" w:styleId="Heading7">
    <w:name w:val="heading 7"/>
    <w:basedOn w:val="Normal"/>
    <w:next w:val="Normal"/>
    <w:link w:val="Heading7Char"/>
    <w:uiPriority w:val="9"/>
    <w:unhideWhenUsed/>
    <w:qFormat/>
    <w:rsid w:val="003734A7"/>
    <w:pPr>
      <w:keepNext/>
      <w:keepLines/>
      <w:spacing w:before="40" w:after="0" w:line="276" w:lineRule="auto"/>
      <w:outlineLvl w:val="6"/>
    </w:pPr>
    <w:rPr>
      <w:rFonts w:asciiTheme="majorHAnsi" w:eastAsiaTheme="majorEastAsia" w:hAnsiTheme="majorHAnsi" w:cstheme="majorBidi"/>
      <w:i/>
      <w:iCs/>
      <w:color w:val="243F60"/>
      <w:sz w:val="22"/>
      <w:szCs w:val="22"/>
      <w:lang w:val="de-DE" w:eastAsia="en-US"/>
    </w:rPr>
  </w:style>
  <w:style w:type="paragraph" w:styleId="Heading8">
    <w:name w:val="heading 8"/>
    <w:basedOn w:val="Normal"/>
    <w:next w:val="Normal"/>
    <w:link w:val="Heading8Char"/>
    <w:uiPriority w:val="9"/>
    <w:unhideWhenUsed/>
    <w:qFormat/>
    <w:rsid w:val="003734A7"/>
    <w:pPr>
      <w:keepNext/>
      <w:keepLines/>
      <w:spacing w:before="40" w:after="0" w:line="276" w:lineRule="auto"/>
      <w:outlineLvl w:val="7"/>
    </w:pPr>
    <w:rPr>
      <w:rFonts w:asciiTheme="majorHAnsi" w:eastAsiaTheme="majorEastAsia" w:hAnsiTheme="majorHAnsi" w:cstheme="majorBidi"/>
      <w:color w:val="272727"/>
      <w:sz w:val="21"/>
      <w:szCs w:val="21"/>
      <w:lang w:val="de-DE" w:eastAsia="en-US"/>
    </w:rPr>
  </w:style>
  <w:style w:type="paragraph" w:styleId="Heading9">
    <w:name w:val="heading 9"/>
    <w:basedOn w:val="Normal"/>
    <w:next w:val="Normal"/>
    <w:link w:val="Heading9Char"/>
    <w:uiPriority w:val="9"/>
    <w:unhideWhenUsed/>
    <w:qFormat/>
    <w:rsid w:val="003734A7"/>
    <w:pPr>
      <w:keepNext/>
      <w:keepLines/>
      <w:spacing w:before="40" w:after="0" w:line="276" w:lineRule="auto"/>
      <w:outlineLvl w:val="8"/>
    </w:pPr>
    <w:rPr>
      <w:rFonts w:asciiTheme="majorHAnsi" w:eastAsiaTheme="majorEastAsia" w:hAnsiTheme="majorHAnsi" w:cstheme="majorBidi"/>
      <w:i/>
      <w:iCs/>
      <w:color w:val="272727"/>
      <w:sz w:val="21"/>
      <w:szCs w:val="21"/>
      <w:lang w:val="de-DE"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0646FC"/>
    <w:pPr>
      <w:spacing w:after="0" w:line="240" w:lineRule="auto"/>
    </w:pPr>
  </w:style>
  <w:style w:type="character" w:styleId="CommentReference">
    <w:name w:val="annotation reference"/>
    <w:basedOn w:val="DefaultParagraphFont"/>
    <w:uiPriority w:val="99"/>
    <w:unhideWhenUsed/>
    <w:rsid w:val="000646FC"/>
    <w:rPr>
      <w:sz w:val="16"/>
      <w:szCs w:val="16"/>
    </w:rPr>
  </w:style>
  <w:style w:type="paragraph" w:styleId="CommentText">
    <w:name w:val="annotation text"/>
    <w:basedOn w:val="Normal"/>
    <w:link w:val="CommentTextChar"/>
    <w:uiPriority w:val="99"/>
    <w:unhideWhenUsed/>
    <w:rsid w:val="000646FC"/>
    <w:pPr>
      <w:spacing w:line="240" w:lineRule="auto"/>
    </w:pPr>
    <w:rPr>
      <w:sz w:val="20"/>
      <w:szCs w:val="20"/>
    </w:rPr>
  </w:style>
  <w:style w:type="character" w:customStyle="1" w:styleId="CommentTextChar">
    <w:name w:val="Comment Text Char"/>
    <w:basedOn w:val="DefaultParagraphFont"/>
    <w:link w:val="CommentText"/>
    <w:uiPriority w:val="99"/>
    <w:rsid w:val="000646FC"/>
    <w:rPr>
      <w:sz w:val="20"/>
      <w:szCs w:val="20"/>
    </w:rPr>
  </w:style>
  <w:style w:type="paragraph" w:styleId="CommentSubject">
    <w:name w:val="annotation subject"/>
    <w:basedOn w:val="CommentText"/>
    <w:next w:val="CommentText"/>
    <w:link w:val="CommentSubjectChar"/>
    <w:uiPriority w:val="99"/>
    <w:semiHidden/>
    <w:unhideWhenUsed/>
    <w:rsid w:val="000646FC"/>
    <w:rPr>
      <w:b/>
      <w:bCs/>
    </w:rPr>
  </w:style>
  <w:style w:type="character" w:customStyle="1" w:styleId="CommentSubjectChar">
    <w:name w:val="Comment Subject Char"/>
    <w:basedOn w:val="CommentTextChar"/>
    <w:link w:val="CommentSubject"/>
    <w:uiPriority w:val="99"/>
    <w:semiHidden/>
    <w:rsid w:val="000646FC"/>
    <w:rPr>
      <w:b/>
      <w:bCs/>
      <w:sz w:val="20"/>
      <w:szCs w:val="20"/>
    </w:rPr>
  </w:style>
  <w:style w:type="paragraph" w:customStyle="1" w:styleId="Text1">
    <w:name w:val="Text 1"/>
    <w:basedOn w:val="Normal"/>
    <w:uiPriority w:val="1"/>
    <w:rsid w:val="00C04BFF"/>
    <w:pPr>
      <w:spacing w:before="120" w:after="120" w:line="276" w:lineRule="auto"/>
      <w:ind w:left="850"/>
      <w:jc w:val="both"/>
    </w:pPr>
    <w:rPr>
      <w:rFonts w:ascii="Times New Roman" w:hAnsi="Times New Roman" w:cs="Times New Roman"/>
      <w:lang w:val="de-DE" w:eastAsia="en-US"/>
    </w:rPr>
  </w:style>
  <w:style w:type="paragraph" w:styleId="Header">
    <w:name w:val="header"/>
    <w:basedOn w:val="Normal"/>
    <w:link w:val="HeaderChar"/>
    <w:uiPriority w:val="99"/>
    <w:unhideWhenUsed/>
    <w:rsid w:val="00C04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FF"/>
  </w:style>
  <w:style w:type="paragraph" w:styleId="Footer">
    <w:name w:val="footer"/>
    <w:basedOn w:val="Normal"/>
    <w:link w:val="FooterChar"/>
    <w:uiPriority w:val="99"/>
    <w:unhideWhenUsed/>
    <w:rsid w:val="00C04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FF"/>
  </w:style>
  <w:style w:type="paragraph" w:styleId="ListParagraph">
    <w:name w:val="List Paragraph"/>
    <w:basedOn w:val="Normal"/>
    <w:link w:val="ListParagraphChar"/>
    <w:uiPriority w:val="34"/>
    <w:qFormat/>
    <w:rsid w:val="00C04BFF"/>
    <w:pPr>
      <w:spacing w:after="200" w:line="276" w:lineRule="auto"/>
      <w:ind w:left="720"/>
      <w:contextualSpacing/>
    </w:pPr>
    <w:rPr>
      <w:rFonts w:eastAsiaTheme="minorHAnsi"/>
      <w:sz w:val="22"/>
      <w:szCs w:val="22"/>
      <w:lang w:val="de-DE" w:eastAsia="en-US"/>
      <w14:ligatures w14:val="standardContextual"/>
    </w:rPr>
  </w:style>
  <w:style w:type="paragraph" w:customStyle="1" w:styleId="FooterCouncil">
    <w:name w:val="Footer Council"/>
    <w:basedOn w:val="Normal"/>
    <w:link w:val="FooterCouncilChar"/>
    <w:uiPriority w:val="1"/>
    <w:rsid w:val="00C04BFF"/>
    <w:pPr>
      <w:spacing w:after="0" w:line="276" w:lineRule="auto"/>
    </w:pPr>
    <w:rPr>
      <w:rFonts w:eastAsiaTheme="minorHAnsi"/>
      <w:noProof/>
      <w:sz w:val="2"/>
      <w:szCs w:val="2"/>
      <w:lang w:val="de-DE" w:eastAsia="en-US"/>
      <w14:ligatures w14:val="standardContextual"/>
    </w:rPr>
  </w:style>
  <w:style w:type="character" w:customStyle="1" w:styleId="FooterCouncilChar">
    <w:name w:val="Footer Council Char"/>
    <w:basedOn w:val="DefaultParagraphFont"/>
    <w:link w:val="FooterCouncil"/>
    <w:uiPriority w:val="1"/>
    <w:rsid w:val="00C04BFF"/>
    <w:rPr>
      <w:rFonts w:eastAsiaTheme="minorHAnsi"/>
      <w:noProof/>
      <w:sz w:val="2"/>
      <w:szCs w:val="2"/>
      <w:lang w:val="de-DE" w:eastAsia="en-US"/>
      <w14:ligatures w14:val="standardContextual"/>
    </w:rPr>
  </w:style>
  <w:style w:type="character" w:customStyle="1" w:styleId="ListParagraphChar">
    <w:name w:val="List Paragraph Char"/>
    <w:basedOn w:val="DefaultParagraphFont"/>
    <w:link w:val="ListParagraph"/>
    <w:uiPriority w:val="34"/>
    <w:rsid w:val="00C04BFF"/>
    <w:rPr>
      <w:rFonts w:eastAsiaTheme="minorHAnsi"/>
      <w:sz w:val="22"/>
      <w:szCs w:val="22"/>
      <w:lang w:val="de-DE" w:eastAsia="en-US"/>
      <w14:ligatures w14:val="standardContextual"/>
    </w:rPr>
  </w:style>
  <w:style w:type="character" w:customStyle="1" w:styleId="cf01">
    <w:name w:val="cf01"/>
    <w:basedOn w:val="DefaultParagraphFont"/>
    <w:rsid w:val="00C04BFF"/>
    <w:rPr>
      <w:rFonts w:ascii="Segoe UI" w:hAnsi="Segoe UI" w:cs="Segoe UI" w:hint="default"/>
      <w:sz w:val="18"/>
      <w:szCs w:val="18"/>
    </w:rPr>
  </w:style>
  <w:style w:type="character" w:customStyle="1" w:styleId="ui-provider">
    <w:name w:val="ui-provider"/>
    <w:basedOn w:val="DefaultParagraphFont"/>
    <w:rsid w:val="00B3049F"/>
  </w:style>
  <w:style w:type="character" w:customStyle="1" w:styleId="eop">
    <w:name w:val="eop"/>
    <w:basedOn w:val="DefaultParagraphFont"/>
    <w:rsid w:val="00B3049F"/>
  </w:style>
  <w:style w:type="character" w:customStyle="1" w:styleId="Mention">
    <w:name w:val="Mention"/>
    <w:basedOn w:val="DefaultParagraphFont"/>
    <w:uiPriority w:val="99"/>
    <w:unhideWhenUsed/>
    <w:rsid w:val="00B3049F"/>
    <w:rPr>
      <w:color w:val="2B579A"/>
      <w:shd w:val="clear" w:color="auto" w:fill="E1DFDD"/>
    </w:rPr>
  </w:style>
  <w:style w:type="character" w:customStyle="1" w:styleId="normaltextrun">
    <w:name w:val="normaltextrun"/>
    <w:basedOn w:val="DefaultParagraphFont"/>
    <w:rsid w:val="00B3049F"/>
  </w:style>
  <w:style w:type="character" w:customStyle="1" w:styleId="markedcontent">
    <w:name w:val="markedcontent"/>
    <w:basedOn w:val="DefaultParagraphFont"/>
    <w:rsid w:val="00B3049F"/>
  </w:style>
  <w:style w:type="character" w:customStyle="1" w:styleId="Heading1Char">
    <w:name w:val="Heading 1 Char"/>
    <w:basedOn w:val="DefaultParagraphFont"/>
    <w:link w:val="Heading1"/>
    <w:uiPriority w:val="9"/>
    <w:rsid w:val="003734A7"/>
    <w:rPr>
      <w:rFonts w:ascii="Times New Roman" w:eastAsiaTheme="majorEastAsia" w:hAnsi="Times New Roman" w:cs="Times New Roman"/>
      <w:b/>
      <w:bCs/>
      <w:smallCaps/>
      <w:lang w:val="de-DE" w:eastAsia="en-US"/>
    </w:rPr>
  </w:style>
  <w:style w:type="character" w:customStyle="1" w:styleId="Heading2Char">
    <w:name w:val="Heading 2 Char"/>
    <w:basedOn w:val="DefaultParagraphFont"/>
    <w:link w:val="Heading2"/>
    <w:uiPriority w:val="9"/>
    <w:semiHidden/>
    <w:rsid w:val="003734A7"/>
    <w:rPr>
      <w:rFonts w:ascii="Times New Roman" w:eastAsiaTheme="majorEastAsia" w:hAnsi="Times New Roman" w:cs="Times New Roman"/>
      <w:b/>
      <w:bCs/>
      <w:lang w:val="de-DE" w:eastAsia="en-US"/>
    </w:rPr>
  </w:style>
  <w:style w:type="character" w:customStyle="1" w:styleId="Heading3Char">
    <w:name w:val="Heading 3 Char"/>
    <w:basedOn w:val="DefaultParagraphFont"/>
    <w:link w:val="Heading3"/>
    <w:uiPriority w:val="9"/>
    <w:semiHidden/>
    <w:rsid w:val="003734A7"/>
    <w:rPr>
      <w:rFonts w:ascii="Times New Roman" w:eastAsiaTheme="majorEastAsia" w:hAnsi="Times New Roman" w:cs="Times New Roman"/>
      <w:i/>
      <w:iCs/>
      <w:lang w:val="de-DE" w:eastAsia="en-US"/>
    </w:rPr>
  </w:style>
  <w:style w:type="character" w:customStyle="1" w:styleId="Heading4Char">
    <w:name w:val="Heading 4 Char"/>
    <w:basedOn w:val="DefaultParagraphFont"/>
    <w:link w:val="Heading4"/>
    <w:uiPriority w:val="9"/>
    <w:rsid w:val="003734A7"/>
    <w:rPr>
      <w:rFonts w:ascii="Times New Roman" w:eastAsiaTheme="majorEastAsia" w:hAnsi="Times New Roman" w:cs="Times New Roman"/>
      <w:lang w:val="de-DE" w:eastAsia="en-US"/>
    </w:rPr>
  </w:style>
  <w:style w:type="character" w:customStyle="1" w:styleId="Heading5Char">
    <w:name w:val="Heading 5 Char"/>
    <w:basedOn w:val="DefaultParagraphFont"/>
    <w:link w:val="Heading5"/>
    <w:uiPriority w:val="9"/>
    <w:rsid w:val="003734A7"/>
    <w:rPr>
      <w:rFonts w:asciiTheme="majorHAnsi" w:eastAsiaTheme="majorEastAsia" w:hAnsiTheme="majorHAnsi" w:cstheme="majorBidi"/>
      <w:color w:val="0F4761" w:themeColor="accent1" w:themeShade="BF"/>
      <w:sz w:val="22"/>
      <w:szCs w:val="22"/>
      <w:lang w:val="de-DE" w:eastAsia="en-US"/>
    </w:rPr>
  </w:style>
  <w:style w:type="character" w:customStyle="1" w:styleId="Heading6Char">
    <w:name w:val="Heading 6 Char"/>
    <w:basedOn w:val="DefaultParagraphFont"/>
    <w:link w:val="Heading6"/>
    <w:uiPriority w:val="9"/>
    <w:rsid w:val="003734A7"/>
    <w:rPr>
      <w:rFonts w:asciiTheme="majorHAnsi" w:eastAsiaTheme="majorEastAsia" w:hAnsiTheme="majorHAnsi" w:cstheme="majorBidi"/>
      <w:color w:val="243F60"/>
      <w:sz w:val="22"/>
      <w:szCs w:val="22"/>
      <w:lang w:val="de-DE" w:eastAsia="en-US"/>
    </w:rPr>
  </w:style>
  <w:style w:type="character" w:customStyle="1" w:styleId="Heading7Char">
    <w:name w:val="Heading 7 Char"/>
    <w:basedOn w:val="DefaultParagraphFont"/>
    <w:link w:val="Heading7"/>
    <w:uiPriority w:val="9"/>
    <w:rsid w:val="003734A7"/>
    <w:rPr>
      <w:rFonts w:asciiTheme="majorHAnsi" w:eastAsiaTheme="majorEastAsia" w:hAnsiTheme="majorHAnsi" w:cstheme="majorBidi"/>
      <w:i/>
      <w:iCs/>
      <w:color w:val="243F60"/>
      <w:sz w:val="22"/>
      <w:szCs w:val="22"/>
      <w:lang w:val="de-DE" w:eastAsia="en-US"/>
    </w:rPr>
  </w:style>
  <w:style w:type="character" w:customStyle="1" w:styleId="Heading8Char">
    <w:name w:val="Heading 8 Char"/>
    <w:basedOn w:val="DefaultParagraphFont"/>
    <w:link w:val="Heading8"/>
    <w:uiPriority w:val="9"/>
    <w:rsid w:val="003734A7"/>
    <w:rPr>
      <w:rFonts w:asciiTheme="majorHAnsi" w:eastAsiaTheme="majorEastAsia" w:hAnsiTheme="majorHAnsi" w:cstheme="majorBidi"/>
      <w:color w:val="272727"/>
      <w:sz w:val="21"/>
      <w:szCs w:val="21"/>
      <w:lang w:val="de-DE" w:eastAsia="en-US"/>
    </w:rPr>
  </w:style>
  <w:style w:type="character" w:customStyle="1" w:styleId="Heading9Char">
    <w:name w:val="Heading 9 Char"/>
    <w:basedOn w:val="DefaultParagraphFont"/>
    <w:link w:val="Heading9"/>
    <w:uiPriority w:val="9"/>
    <w:rsid w:val="003734A7"/>
    <w:rPr>
      <w:rFonts w:asciiTheme="majorHAnsi" w:eastAsiaTheme="majorEastAsia" w:hAnsiTheme="majorHAnsi" w:cstheme="majorBidi"/>
      <w:i/>
      <w:iCs/>
      <w:color w:val="272727"/>
      <w:sz w:val="21"/>
      <w:szCs w:val="21"/>
      <w:lang w:val="de-DE" w:eastAsia="en-US"/>
    </w:rPr>
  </w:style>
  <w:style w:type="paragraph" w:customStyle="1" w:styleId="HeaderCouncilLarge">
    <w:name w:val="Header Council Large"/>
    <w:basedOn w:val="Normal"/>
    <w:link w:val="HeaderCouncilLargeChar"/>
    <w:uiPriority w:val="1"/>
    <w:rsid w:val="003734A7"/>
    <w:pPr>
      <w:spacing w:after="440" w:line="276" w:lineRule="auto"/>
    </w:pPr>
    <w:rPr>
      <w:rFonts w:eastAsiaTheme="minorHAnsi"/>
      <w:noProof/>
      <w:sz w:val="2"/>
      <w:szCs w:val="2"/>
      <w:lang w:val="de-DE" w:eastAsia="en-US"/>
    </w:rPr>
  </w:style>
  <w:style w:type="character" w:customStyle="1" w:styleId="HeaderCouncilLargeChar">
    <w:name w:val="Header Council Large Char"/>
    <w:basedOn w:val="DefaultParagraphFont"/>
    <w:link w:val="HeaderCouncilLarge"/>
    <w:uiPriority w:val="1"/>
    <w:rsid w:val="003734A7"/>
    <w:rPr>
      <w:rFonts w:eastAsiaTheme="minorHAnsi"/>
      <w:noProof/>
      <w:sz w:val="2"/>
      <w:szCs w:val="2"/>
      <w:lang w:val="de-DE" w:eastAsia="en-US"/>
    </w:rPr>
  </w:style>
  <w:style w:type="paragraph" w:customStyle="1" w:styleId="pf0">
    <w:name w:val="pf0"/>
    <w:basedOn w:val="Normal"/>
    <w:rsid w:val="003734A7"/>
    <w:pPr>
      <w:spacing w:before="100" w:beforeAutospacing="1" w:after="100" w:afterAutospacing="1" w:line="240" w:lineRule="auto"/>
    </w:pPr>
    <w:rPr>
      <w:rFonts w:ascii="Times New Roman" w:eastAsia="Times New Roman" w:hAnsi="Times New Roman" w:cs="Times New Roman"/>
      <w:lang w:val="de-DE" w:eastAsia="en-IE"/>
    </w:rPr>
  </w:style>
  <w:style w:type="character" w:customStyle="1" w:styleId="Mention1">
    <w:name w:val="Mention1"/>
    <w:basedOn w:val="DefaultParagraphFont"/>
    <w:uiPriority w:val="99"/>
    <w:unhideWhenUsed/>
    <w:rsid w:val="003734A7"/>
    <w:rPr>
      <w:color w:val="2B579A"/>
      <w:shd w:val="clear" w:color="auto" w:fill="E6E6E6"/>
    </w:rPr>
  </w:style>
  <w:style w:type="paragraph" w:styleId="FootnoteText">
    <w:name w:val="footnote text"/>
    <w:basedOn w:val="Normal"/>
    <w:link w:val="FootnoteTextChar"/>
    <w:uiPriority w:val="99"/>
    <w:semiHidden/>
    <w:unhideWhenUsed/>
    <w:rsid w:val="003734A7"/>
    <w:pPr>
      <w:spacing w:after="0" w:line="276" w:lineRule="auto"/>
      <w:ind w:left="720" w:hanging="720"/>
      <w:jc w:val="both"/>
    </w:pPr>
    <w:rPr>
      <w:rFonts w:ascii="Times New Roman" w:hAnsi="Times New Roman" w:cs="Times New Roman"/>
      <w:sz w:val="20"/>
      <w:szCs w:val="20"/>
      <w:lang w:val="de-DE" w:eastAsia="en-US"/>
    </w:rPr>
  </w:style>
  <w:style w:type="character" w:customStyle="1" w:styleId="FootnoteTextChar">
    <w:name w:val="Footnote Text Char"/>
    <w:basedOn w:val="DefaultParagraphFont"/>
    <w:link w:val="FootnoteText"/>
    <w:uiPriority w:val="99"/>
    <w:semiHidden/>
    <w:rsid w:val="003734A7"/>
    <w:rPr>
      <w:rFonts w:ascii="Times New Roman" w:hAnsi="Times New Roman" w:cs="Times New Roman"/>
      <w:sz w:val="20"/>
      <w:szCs w:val="20"/>
      <w:lang w:val="de-DE" w:eastAsia="en-US"/>
    </w:rPr>
  </w:style>
  <w:style w:type="character" w:styleId="FootnoteReference">
    <w:name w:val="footnote reference"/>
    <w:aliases w:val="Footnote Reference Number,Footnote Reference_LVL6,Footnote Reference_LVL61,Footnote Reference_LVL62,Footnote Reference_LVL63,Footnote Reference_LVL64,HAppel note de bas de p.,SUPERS,Ref,de nota al pie,BVI fnr,16 Point,titre,Nota"/>
    <w:basedOn w:val="DefaultParagraphFont"/>
    <w:uiPriority w:val="99"/>
    <w:unhideWhenUsed/>
    <w:qFormat/>
    <w:rsid w:val="003734A7"/>
    <w:rPr>
      <w:shd w:val="clear" w:color="auto" w:fill="auto"/>
      <w:vertAlign w:val="superscript"/>
    </w:rPr>
  </w:style>
  <w:style w:type="paragraph" w:customStyle="1" w:styleId="paragraph">
    <w:name w:val="paragraph"/>
    <w:basedOn w:val="Normal"/>
    <w:rsid w:val="003734A7"/>
    <w:pPr>
      <w:spacing w:beforeAutospacing="1" w:after="200" w:afterAutospacing="1" w:line="276" w:lineRule="auto"/>
    </w:pPr>
    <w:rPr>
      <w:rFonts w:ascii="Times New Roman" w:eastAsia="Times New Roman" w:hAnsi="Times New Roman" w:cs="Times New Roman"/>
      <w:lang w:val="de-DE" w:eastAsia="fr-FR"/>
    </w:rPr>
  </w:style>
  <w:style w:type="character" w:styleId="Hyperlink">
    <w:name w:val="Hyperlink"/>
    <w:basedOn w:val="DefaultParagraphFont"/>
    <w:uiPriority w:val="99"/>
    <w:unhideWhenUsed/>
    <w:rsid w:val="003734A7"/>
    <w:rPr>
      <w:color w:val="467886" w:themeColor="hyperlink"/>
      <w:u w:val="single"/>
    </w:rPr>
  </w:style>
  <w:style w:type="character" w:customStyle="1" w:styleId="highlight">
    <w:name w:val="highlight"/>
    <w:basedOn w:val="DefaultParagraphFont"/>
    <w:rsid w:val="003734A7"/>
  </w:style>
  <w:style w:type="character" w:customStyle="1" w:styleId="UnresolvedMention1">
    <w:name w:val="Unresolved Mention1"/>
    <w:basedOn w:val="DefaultParagraphFont"/>
    <w:uiPriority w:val="99"/>
    <w:semiHidden/>
    <w:unhideWhenUsed/>
    <w:rsid w:val="003734A7"/>
    <w:rPr>
      <w:color w:val="605E5C"/>
      <w:shd w:val="clear" w:color="auto" w:fill="E1DFDD"/>
    </w:rPr>
  </w:style>
  <w:style w:type="character" w:customStyle="1" w:styleId="Marker">
    <w:name w:val="Marker"/>
    <w:basedOn w:val="DefaultParagraphFont"/>
    <w:rsid w:val="003734A7"/>
    <w:rPr>
      <w:color w:val="0000FF"/>
      <w:shd w:val="clear" w:color="auto" w:fill="auto"/>
    </w:rPr>
  </w:style>
  <w:style w:type="paragraph" w:customStyle="1" w:styleId="Pagedecouverture">
    <w:name w:val="Page de couverture"/>
    <w:basedOn w:val="Normal"/>
    <w:next w:val="Normal"/>
    <w:uiPriority w:val="1"/>
    <w:rsid w:val="003734A7"/>
    <w:pPr>
      <w:spacing w:after="0" w:line="240" w:lineRule="auto"/>
      <w:jc w:val="both"/>
    </w:pPr>
    <w:rPr>
      <w:rFonts w:ascii="Times New Roman" w:eastAsiaTheme="minorHAnsi" w:hAnsi="Times New Roman" w:cs="Times New Roman"/>
      <w:szCs w:val="22"/>
      <w:lang w:val="de-DE" w:eastAsia="en-US"/>
    </w:rPr>
  </w:style>
  <w:style w:type="paragraph" w:customStyle="1" w:styleId="FooterCoverPage">
    <w:name w:val="Footer Cover Page"/>
    <w:basedOn w:val="Normal"/>
    <w:link w:val="FooterCoverPageChar"/>
    <w:uiPriority w:val="1"/>
    <w:rsid w:val="003734A7"/>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3734A7"/>
    <w:rPr>
      <w:rFonts w:ascii="Times New Roman" w:hAnsi="Times New Roman" w:cs="Times New Roman"/>
    </w:rPr>
  </w:style>
  <w:style w:type="paragraph" w:customStyle="1" w:styleId="FooterSensitivity">
    <w:name w:val="Footer Sensitivity"/>
    <w:basedOn w:val="Normal"/>
    <w:link w:val="FooterSensitivityChar"/>
    <w:rsid w:val="003734A7"/>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734A7"/>
    <w:rPr>
      <w:rFonts w:ascii="Times New Roman" w:hAnsi="Times New Roman" w:cs="Times New Roman"/>
      <w:b/>
      <w:sz w:val="32"/>
    </w:rPr>
  </w:style>
  <w:style w:type="paragraph" w:customStyle="1" w:styleId="HeaderCoverPage">
    <w:name w:val="Header Cover Page"/>
    <w:basedOn w:val="Normal"/>
    <w:link w:val="HeaderCoverPageChar"/>
    <w:uiPriority w:val="1"/>
    <w:rsid w:val="003734A7"/>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3734A7"/>
    <w:rPr>
      <w:rFonts w:ascii="Times New Roman" w:hAnsi="Times New Roman" w:cs="Times New Roman"/>
    </w:rPr>
  </w:style>
  <w:style w:type="paragraph" w:customStyle="1" w:styleId="HeaderSensitivity">
    <w:name w:val="Header Sensitivity"/>
    <w:basedOn w:val="Normal"/>
    <w:link w:val="HeaderSensitivityChar"/>
    <w:rsid w:val="003734A7"/>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734A7"/>
    <w:rPr>
      <w:rFonts w:ascii="Times New Roman" w:hAnsi="Times New Roman" w:cs="Times New Roman"/>
      <w:b/>
      <w:sz w:val="32"/>
    </w:rPr>
  </w:style>
  <w:style w:type="paragraph" w:customStyle="1" w:styleId="HeaderSensitivityRight">
    <w:name w:val="Header Sensitivity Right"/>
    <w:basedOn w:val="Normal"/>
    <w:link w:val="HeaderSensitivityRightChar"/>
    <w:rsid w:val="003734A7"/>
    <w:pPr>
      <w:keepNext/>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734A7"/>
    <w:rPr>
      <w:rFonts w:ascii="Times New Roman" w:hAnsi="Times New Roman" w:cs="Times New Roman"/>
      <w:sz w:val="28"/>
    </w:rPr>
  </w:style>
  <w:style w:type="numbering" w:customStyle="1" w:styleId="NoList1">
    <w:name w:val="No List1"/>
    <w:next w:val="NoList"/>
    <w:uiPriority w:val="99"/>
    <w:semiHidden/>
    <w:unhideWhenUsed/>
    <w:rsid w:val="003734A7"/>
  </w:style>
  <w:style w:type="character" w:styleId="IntenseEmphasis">
    <w:name w:val="Intense Emphasis"/>
    <w:basedOn w:val="DefaultParagraphFont"/>
    <w:uiPriority w:val="21"/>
    <w:qFormat/>
    <w:rsid w:val="003734A7"/>
    <w:rPr>
      <w:i/>
      <w:iCs/>
      <w:color w:val="156082" w:themeColor="accent1"/>
    </w:rPr>
  </w:style>
  <w:style w:type="paragraph" w:styleId="BalloonText">
    <w:name w:val="Balloon Text"/>
    <w:basedOn w:val="Normal"/>
    <w:link w:val="BalloonTextChar"/>
    <w:uiPriority w:val="99"/>
    <w:semiHidden/>
    <w:unhideWhenUsed/>
    <w:rsid w:val="003734A7"/>
    <w:pPr>
      <w:spacing w:after="0" w:line="276" w:lineRule="auto"/>
      <w:jc w:val="both"/>
    </w:pPr>
    <w:rPr>
      <w:rFonts w:ascii="Segoe UI" w:hAnsi="Segoe UI" w:cs="Segoe UI"/>
      <w:sz w:val="18"/>
      <w:szCs w:val="18"/>
      <w:lang w:val="de-DE" w:eastAsia="en-US"/>
    </w:rPr>
  </w:style>
  <w:style w:type="character" w:customStyle="1" w:styleId="BalloonTextChar">
    <w:name w:val="Balloon Text Char"/>
    <w:basedOn w:val="DefaultParagraphFont"/>
    <w:link w:val="BalloonText"/>
    <w:uiPriority w:val="99"/>
    <w:semiHidden/>
    <w:rsid w:val="003734A7"/>
    <w:rPr>
      <w:rFonts w:ascii="Segoe UI" w:hAnsi="Segoe UI" w:cs="Segoe UI"/>
      <w:sz w:val="18"/>
      <w:szCs w:val="18"/>
      <w:lang w:val="de-DE" w:eastAsia="en-US"/>
    </w:rPr>
  </w:style>
  <w:style w:type="paragraph" w:styleId="ListBullet">
    <w:name w:val="List Bullet"/>
    <w:basedOn w:val="Normal"/>
    <w:uiPriority w:val="99"/>
    <w:unhideWhenUsed/>
    <w:rsid w:val="003734A7"/>
    <w:pPr>
      <w:numPr>
        <w:numId w:val="26"/>
      </w:numPr>
      <w:tabs>
        <w:tab w:val="clear" w:pos="360"/>
      </w:tabs>
      <w:spacing w:before="120" w:after="120" w:line="276" w:lineRule="auto"/>
      <w:ind w:left="0" w:firstLine="0"/>
      <w:contextualSpacing/>
      <w:jc w:val="both"/>
    </w:pPr>
    <w:rPr>
      <w:rFonts w:ascii="Times New Roman" w:hAnsi="Times New Roman" w:cs="Times New Roman"/>
      <w:lang w:val="de-DE" w:eastAsia="en-US"/>
    </w:rPr>
  </w:style>
  <w:style w:type="paragraph" w:styleId="ListBullet2">
    <w:name w:val="List Bullet 2"/>
    <w:basedOn w:val="Normal"/>
    <w:uiPriority w:val="99"/>
    <w:semiHidden/>
    <w:unhideWhenUsed/>
    <w:rsid w:val="003734A7"/>
    <w:pPr>
      <w:numPr>
        <w:numId w:val="27"/>
      </w:numPr>
      <w:tabs>
        <w:tab w:val="clear" w:pos="643"/>
      </w:tabs>
      <w:spacing w:before="120" w:after="120" w:line="276" w:lineRule="auto"/>
      <w:ind w:left="0" w:firstLine="0"/>
      <w:contextualSpacing/>
      <w:jc w:val="both"/>
    </w:pPr>
    <w:rPr>
      <w:rFonts w:ascii="Times New Roman" w:hAnsi="Times New Roman" w:cs="Times New Roman"/>
      <w:lang w:val="de-DE" w:eastAsia="en-US"/>
    </w:rPr>
  </w:style>
  <w:style w:type="paragraph" w:styleId="ListBullet3">
    <w:name w:val="List Bullet 3"/>
    <w:basedOn w:val="Normal"/>
    <w:uiPriority w:val="99"/>
    <w:semiHidden/>
    <w:unhideWhenUsed/>
    <w:rsid w:val="003734A7"/>
    <w:pPr>
      <w:numPr>
        <w:numId w:val="28"/>
      </w:numPr>
      <w:tabs>
        <w:tab w:val="clear" w:pos="926"/>
      </w:tabs>
      <w:spacing w:before="120" w:after="120" w:line="276" w:lineRule="auto"/>
      <w:ind w:left="0" w:firstLine="0"/>
      <w:contextualSpacing/>
      <w:jc w:val="both"/>
    </w:pPr>
    <w:rPr>
      <w:rFonts w:ascii="Times New Roman" w:hAnsi="Times New Roman" w:cs="Times New Roman"/>
      <w:lang w:val="de-DE" w:eastAsia="en-US"/>
    </w:rPr>
  </w:style>
  <w:style w:type="paragraph" w:styleId="ListBullet4">
    <w:name w:val="List Bullet 4"/>
    <w:basedOn w:val="Normal"/>
    <w:uiPriority w:val="99"/>
    <w:semiHidden/>
    <w:unhideWhenUsed/>
    <w:rsid w:val="003734A7"/>
    <w:pPr>
      <w:numPr>
        <w:numId w:val="29"/>
      </w:numPr>
      <w:tabs>
        <w:tab w:val="clear" w:pos="1209"/>
      </w:tabs>
      <w:spacing w:before="120" w:after="120" w:line="276" w:lineRule="auto"/>
      <w:ind w:left="0" w:firstLine="0"/>
      <w:contextualSpacing/>
      <w:jc w:val="both"/>
    </w:pPr>
    <w:rPr>
      <w:rFonts w:ascii="Times New Roman" w:hAnsi="Times New Roman" w:cs="Times New Roman"/>
      <w:lang w:val="de-DE" w:eastAsia="en-US"/>
    </w:rPr>
  </w:style>
  <w:style w:type="paragraph" w:styleId="HTMLPreformatted">
    <w:name w:val="HTML Preformatted"/>
    <w:basedOn w:val="Normal"/>
    <w:link w:val="HTMLPreformattedChar"/>
    <w:uiPriority w:val="99"/>
    <w:semiHidden/>
    <w:unhideWhenUsed/>
    <w:rsid w:val="00373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Pr>
      <w:rFonts w:ascii="Courier New" w:eastAsia="Times New Roman" w:hAnsi="Courier New" w:cs="Courier New"/>
      <w:sz w:val="20"/>
      <w:szCs w:val="20"/>
      <w:lang w:val="de-DE" w:eastAsia="fr-FR"/>
    </w:rPr>
  </w:style>
  <w:style w:type="character" w:customStyle="1" w:styleId="HTMLPreformattedChar">
    <w:name w:val="HTML Preformatted Char"/>
    <w:basedOn w:val="DefaultParagraphFont"/>
    <w:link w:val="HTMLPreformatted"/>
    <w:uiPriority w:val="99"/>
    <w:semiHidden/>
    <w:rsid w:val="003734A7"/>
    <w:rPr>
      <w:rFonts w:ascii="Courier New" w:eastAsia="Times New Roman" w:hAnsi="Courier New" w:cs="Courier New"/>
      <w:sz w:val="20"/>
      <w:szCs w:val="20"/>
      <w:lang w:val="de-DE" w:eastAsia="fr-FR"/>
    </w:rPr>
  </w:style>
  <w:style w:type="character" w:styleId="HTMLCite">
    <w:name w:val="HTML Cite"/>
    <w:basedOn w:val="DefaultParagraphFont"/>
    <w:uiPriority w:val="99"/>
    <w:semiHidden/>
    <w:unhideWhenUsed/>
    <w:rsid w:val="003734A7"/>
    <w:rPr>
      <w:i/>
      <w:iCs/>
    </w:rPr>
  </w:style>
  <w:style w:type="character" w:customStyle="1" w:styleId="acopre">
    <w:name w:val="acopre"/>
    <w:basedOn w:val="DefaultParagraphFont"/>
    <w:rsid w:val="003734A7"/>
  </w:style>
  <w:style w:type="character" w:styleId="Emphasis">
    <w:name w:val="Emphasis"/>
    <w:basedOn w:val="DefaultParagraphFont"/>
    <w:uiPriority w:val="20"/>
    <w:qFormat/>
    <w:rsid w:val="003734A7"/>
    <w:rPr>
      <w:i/>
      <w:iCs/>
    </w:rPr>
  </w:style>
  <w:style w:type="character" w:customStyle="1" w:styleId="lo8sbd">
    <w:name w:val="lo8sbd"/>
    <w:basedOn w:val="DefaultParagraphFont"/>
    <w:rsid w:val="003734A7"/>
  </w:style>
  <w:style w:type="paragraph" w:customStyle="1" w:styleId="s1fapd">
    <w:name w:val="s1fapd"/>
    <w:basedOn w:val="Normal"/>
    <w:uiPriority w:val="1"/>
    <w:rsid w:val="003734A7"/>
    <w:pPr>
      <w:spacing w:beforeAutospacing="1" w:after="200" w:afterAutospacing="1" w:line="276" w:lineRule="auto"/>
    </w:pPr>
    <w:rPr>
      <w:rFonts w:ascii="Times New Roman" w:eastAsia="Times New Roman" w:hAnsi="Times New Roman" w:cs="Times New Roman"/>
      <w:lang w:val="de-DE" w:eastAsia="fr-FR"/>
    </w:rPr>
  </w:style>
  <w:style w:type="character" w:customStyle="1" w:styleId="wurvib">
    <w:name w:val="wurvib"/>
    <w:basedOn w:val="DefaultParagraphFont"/>
    <w:rsid w:val="003734A7"/>
  </w:style>
  <w:style w:type="character" w:customStyle="1" w:styleId="dyjrff">
    <w:name w:val="dyjrff"/>
    <w:basedOn w:val="DefaultParagraphFont"/>
    <w:rsid w:val="003734A7"/>
  </w:style>
  <w:style w:type="character" w:customStyle="1" w:styleId="glpvmc">
    <w:name w:val="glpvmc"/>
    <w:basedOn w:val="DefaultParagraphFont"/>
    <w:rsid w:val="003734A7"/>
  </w:style>
  <w:style w:type="character" w:customStyle="1" w:styleId="f">
    <w:name w:val="f"/>
    <w:basedOn w:val="DefaultParagraphFont"/>
    <w:rsid w:val="003734A7"/>
  </w:style>
  <w:style w:type="character" w:customStyle="1" w:styleId="mfmhoc">
    <w:name w:val="mfmhoc"/>
    <w:basedOn w:val="DefaultParagraphFont"/>
    <w:rsid w:val="003734A7"/>
  </w:style>
  <w:style w:type="character" w:customStyle="1" w:styleId="q8lrlc">
    <w:name w:val="q8lrlc"/>
    <w:basedOn w:val="DefaultParagraphFont"/>
    <w:rsid w:val="003734A7"/>
  </w:style>
  <w:style w:type="character" w:customStyle="1" w:styleId="b4gxfc">
    <w:name w:val="b4gxfc"/>
    <w:basedOn w:val="DefaultParagraphFont"/>
    <w:rsid w:val="003734A7"/>
  </w:style>
  <w:style w:type="character" w:customStyle="1" w:styleId="jlqj4b">
    <w:name w:val="jlqj4b"/>
    <w:basedOn w:val="DefaultParagraphFont"/>
    <w:rsid w:val="003734A7"/>
  </w:style>
  <w:style w:type="character" w:customStyle="1" w:styleId="hgkelc">
    <w:name w:val="hgkelc"/>
    <w:basedOn w:val="DefaultParagraphFont"/>
    <w:rsid w:val="003734A7"/>
  </w:style>
  <w:style w:type="character" w:customStyle="1" w:styleId="y2iqfc">
    <w:name w:val="y2iqfc"/>
    <w:basedOn w:val="DefaultParagraphFont"/>
    <w:rsid w:val="003734A7"/>
  </w:style>
  <w:style w:type="paragraph" w:customStyle="1" w:styleId="Bodytext211">
    <w:name w:val="Body text|211"/>
    <w:basedOn w:val="Normal"/>
    <w:link w:val="Bodytext2"/>
    <w:qFormat/>
    <w:rsid w:val="003734A7"/>
    <w:pPr>
      <w:widowControl w:val="0"/>
      <w:shd w:val="clear" w:color="auto" w:fill="FFFFFF"/>
      <w:spacing w:before="400" w:after="100" w:line="244" w:lineRule="exact"/>
      <w:ind w:hanging="380"/>
    </w:pPr>
    <w:rPr>
      <w:rFonts w:ascii="Calibri" w:eastAsia="Calibri" w:hAnsi="Calibri" w:cs="Calibri"/>
      <w:color w:val="000000"/>
      <w:sz w:val="20"/>
      <w:szCs w:val="20"/>
      <w:lang w:val="de-DE" w:eastAsia="fr-FR" w:bidi="fr-FR"/>
    </w:rPr>
  </w:style>
  <w:style w:type="character" w:customStyle="1" w:styleId="Bodytext2">
    <w:name w:val="Body text|2_"/>
    <w:basedOn w:val="DefaultParagraphFont"/>
    <w:link w:val="Bodytext211"/>
    <w:rsid w:val="003734A7"/>
    <w:rPr>
      <w:rFonts w:ascii="Calibri" w:eastAsia="Calibri" w:hAnsi="Calibri" w:cs="Calibri"/>
      <w:color w:val="000000"/>
      <w:sz w:val="20"/>
      <w:szCs w:val="20"/>
      <w:shd w:val="clear" w:color="auto" w:fill="FFFFFF"/>
      <w:lang w:val="de-DE" w:eastAsia="fr-FR" w:bidi="fr-FR"/>
    </w:rPr>
  </w:style>
  <w:style w:type="character" w:customStyle="1" w:styleId="Bodytext2Italic">
    <w:name w:val="Body text|2 + Italic"/>
    <w:basedOn w:val="Bodytext2"/>
    <w:semiHidden/>
    <w:unhideWhenUsed/>
    <w:rsid w:val="003734A7"/>
    <w:rPr>
      <w:rFonts w:ascii="Calibri" w:eastAsia="Calibri" w:hAnsi="Calibri" w:cs="Calibri"/>
      <w:i/>
      <w:iCs/>
      <w:color w:val="000000"/>
      <w:spacing w:val="0"/>
      <w:w w:val="100"/>
      <w:position w:val="0"/>
      <w:sz w:val="20"/>
      <w:szCs w:val="20"/>
      <w:shd w:val="clear" w:color="auto" w:fill="FFFFFF"/>
      <w:lang w:val="de-DE" w:eastAsia="fr-FR" w:bidi="fr-FR"/>
    </w:rPr>
  </w:style>
  <w:style w:type="character" w:customStyle="1" w:styleId="Bodytext20">
    <w:name w:val="Body text|20"/>
    <w:basedOn w:val="Bodytext2"/>
    <w:semiHidden/>
    <w:unhideWhenUsed/>
    <w:rsid w:val="003734A7"/>
    <w:rPr>
      <w:rFonts w:ascii="Calibri" w:eastAsia="Calibri" w:hAnsi="Calibri" w:cs="Calibri"/>
      <w:color w:val="000000"/>
      <w:spacing w:val="0"/>
      <w:w w:val="100"/>
      <w:position w:val="0"/>
      <w:sz w:val="20"/>
      <w:szCs w:val="20"/>
      <w:u w:val="single"/>
      <w:shd w:val="clear" w:color="auto" w:fill="FFFFFF"/>
      <w:lang w:val="de-DE" w:eastAsia="fr-FR" w:bidi="fr-FR"/>
    </w:rPr>
  </w:style>
  <w:style w:type="character" w:customStyle="1" w:styleId="Footnote1">
    <w:name w:val="Footnote|1_"/>
    <w:basedOn w:val="DefaultParagraphFont"/>
    <w:link w:val="Footnote11"/>
    <w:rsid w:val="003734A7"/>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3734A7"/>
    <w:rPr>
      <w:rFonts w:ascii="Calibri" w:eastAsia="Calibri" w:hAnsi="Calibri" w:cs="Calibri"/>
      <w:color w:val="0563C1"/>
      <w:spacing w:val="0"/>
      <w:w w:val="100"/>
      <w:position w:val="0"/>
      <w:sz w:val="15"/>
      <w:szCs w:val="15"/>
      <w:u w:val="single"/>
      <w:shd w:val="clear" w:color="auto" w:fill="FFFFFF"/>
      <w:lang w:val="de-DE" w:eastAsia="fr-FR" w:bidi="fr-FR"/>
    </w:rPr>
  </w:style>
  <w:style w:type="paragraph" w:customStyle="1" w:styleId="Footnote11">
    <w:name w:val="Footnote|11"/>
    <w:basedOn w:val="Normal"/>
    <w:link w:val="Footnote1"/>
    <w:qFormat/>
    <w:rsid w:val="003734A7"/>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3734A7"/>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3734A7"/>
    <w:rPr>
      <w:rFonts w:ascii="Calibri" w:eastAsia="Calibri" w:hAnsi="Calibri" w:cs="Calibri"/>
      <w:i/>
      <w:iCs/>
      <w:color w:val="000000"/>
      <w:spacing w:val="0"/>
      <w:w w:val="100"/>
      <w:position w:val="0"/>
      <w:sz w:val="15"/>
      <w:szCs w:val="15"/>
      <w:shd w:val="clear" w:color="auto" w:fill="FFFFFF"/>
      <w:lang w:val="de-DE" w:eastAsia="fr-FR" w:bidi="fr-FR"/>
    </w:rPr>
  </w:style>
  <w:style w:type="paragraph" w:customStyle="1" w:styleId="Footnote30">
    <w:name w:val="Footnote|3"/>
    <w:basedOn w:val="Normal"/>
    <w:link w:val="Footnote3"/>
    <w:rsid w:val="003734A7"/>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3734A7"/>
    <w:pPr>
      <w:spacing w:beforeAutospacing="1" w:after="200" w:afterAutospacing="1" w:line="276" w:lineRule="auto"/>
    </w:pPr>
    <w:rPr>
      <w:rFonts w:ascii="Times New Roman" w:eastAsia="Times New Roman" w:hAnsi="Times New Roman" w:cs="Times New Roman"/>
      <w:lang w:val="de-DE" w:eastAsia="en-GB"/>
    </w:rPr>
  </w:style>
  <w:style w:type="paragraph" w:styleId="TOCHeading">
    <w:name w:val="TOC Heading"/>
    <w:basedOn w:val="Normal"/>
    <w:next w:val="Normal"/>
    <w:uiPriority w:val="39"/>
    <w:semiHidden/>
    <w:unhideWhenUsed/>
    <w:qFormat/>
    <w:rsid w:val="003734A7"/>
    <w:pPr>
      <w:spacing w:before="120" w:after="240" w:line="276" w:lineRule="auto"/>
      <w:jc w:val="center"/>
    </w:pPr>
    <w:rPr>
      <w:rFonts w:ascii="Times New Roman" w:hAnsi="Times New Roman" w:cs="Times New Roman"/>
      <w:b/>
      <w:bCs/>
      <w:sz w:val="28"/>
      <w:szCs w:val="28"/>
      <w:lang w:val="de-DE" w:eastAsia="en-US"/>
    </w:rPr>
  </w:style>
  <w:style w:type="paragraph" w:styleId="TOC1">
    <w:name w:val="toc 1"/>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lang w:val="de-DE" w:eastAsia="en-US"/>
    </w:rPr>
  </w:style>
  <w:style w:type="paragraph" w:styleId="TOC2">
    <w:name w:val="toc 2"/>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lang w:val="de-DE" w:eastAsia="en-US"/>
    </w:rPr>
  </w:style>
  <w:style w:type="paragraph" w:styleId="TOC3">
    <w:name w:val="toc 3"/>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lang w:val="de-DE" w:eastAsia="en-US"/>
    </w:rPr>
  </w:style>
  <w:style w:type="paragraph" w:styleId="TOC4">
    <w:name w:val="toc 4"/>
    <w:basedOn w:val="Normal"/>
    <w:next w:val="Normal"/>
    <w:uiPriority w:val="39"/>
    <w:semiHidden/>
    <w:unhideWhenUsed/>
    <w:rsid w:val="003734A7"/>
    <w:pPr>
      <w:tabs>
        <w:tab w:val="right" w:leader="dot" w:pos="9071"/>
      </w:tabs>
      <w:spacing w:before="60" w:after="120" w:line="276" w:lineRule="auto"/>
      <w:ind w:left="850" w:hanging="850"/>
    </w:pPr>
    <w:rPr>
      <w:rFonts w:ascii="Times New Roman" w:hAnsi="Times New Roman" w:cs="Times New Roman"/>
      <w:lang w:val="de-DE" w:eastAsia="en-US"/>
    </w:rPr>
  </w:style>
  <w:style w:type="paragraph" w:styleId="TOC5">
    <w:name w:val="toc 5"/>
    <w:basedOn w:val="Normal"/>
    <w:next w:val="Normal"/>
    <w:uiPriority w:val="39"/>
    <w:semiHidden/>
    <w:unhideWhenUsed/>
    <w:rsid w:val="003734A7"/>
    <w:pPr>
      <w:tabs>
        <w:tab w:val="right" w:leader="dot" w:pos="9071"/>
      </w:tabs>
      <w:spacing w:before="300" w:after="120" w:line="276" w:lineRule="auto"/>
    </w:pPr>
    <w:rPr>
      <w:rFonts w:ascii="Times New Roman" w:hAnsi="Times New Roman" w:cs="Times New Roman"/>
      <w:lang w:val="de-DE" w:eastAsia="en-US"/>
    </w:rPr>
  </w:style>
  <w:style w:type="paragraph" w:styleId="TOC6">
    <w:name w:val="toc 6"/>
    <w:basedOn w:val="Normal"/>
    <w:next w:val="Normal"/>
    <w:uiPriority w:val="39"/>
    <w:semiHidden/>
    <w:unhideWhenUsed/>
    <w:rsid w:val="003734A7"/>
    <w:pPr>
      <w:tabs>
        <w:tab w:val="right" w:leader="dot" w:pos="9071"/>
      </w:tabs>
      <w:spacing w:before="240" w:after="120" w:line="276" w:lineRule="auto"/>
    </w:pPr>
    <w:rPr>
      <w:rFonts w:ascii="Times New Roman" w:hAnsi="Times New Roman" w:cs="Times New Roman"/>
      <w:lang w:val="de-DE" w:eastAsia="en-US"/>
    </w:rPr>
  </w:style>
  <w:style w:type="paragraph" w:styleId="TOC7">
    <w:name w:val="toc 7"/>
    <w:basedOn w:val="Normal"/>
    <w:next w:val="Normal"/>
    <w:uiPriority w:val="39"/>
    <w:semiHidden/>
    <w:unhideWhenUsed/>
    <w:rsid w:val="003734A7"/>
    <w:pPr>
      <w:tabs>
        <w:tab w:val="right" w:leader="dot" w:pos="9071"/>
      </w:tabs>
      <w:spacing w:before="180" w:after="120" w:line="276" w:lineRule="auto"/>
    </w:pPr>
    <w:rPr>
      <w:rFonts w:ascii="Times New Roman" w:hAnsi="Times New Roman" w:cs="Times New Roman"/>
      <w:lang w:val="de-DE" w:eastAsia="en-US"/>
    </w:rPr>
  </w:style>
  <w:style w:type="paragraph" w:styleId="TOC8">
    <w:name w:val="toc 8"/>
    <w:basedOn w:val="Normal"/>
    <w:next w:val="Normal"/>
    <w:uiPriority w:val="39"/>
    <w:semiHidden/>
    <w:unhideWhenUsed/>
    <w:rsid w:val="003734A7"/>
    <w:pPr>
      <w:tabs>
        <w:tab w:val="right" w:leader="dot" w:pos="9071"/>
      </w:tabs>
      <w:spacing w:before="120" w:after="120" w:line="276" w:lineRule="auto"/>
    </w:pPr>
    <w:rPr>
      <w:rFonts w:ascii="Times New Roman" w:hAnsi="Times New Roman" w:cs="Times New Roman"/>
      <w:lang w:val="de-DE" w:eastAsia="en-US"/>
    </w:rPr>
  </w:style>
  <w:style w:type="paragraph" w:styleId="TOC9">
    <w:name w:val="toc 9"/>
    <w:basedOn w:val="Normal"/>
    <w:next w:val="Normal"/>
    <w:uiPriority w:val="39"/>
    <w:semiHidden/>
    <w:unhideWhenUsed/>
    <w:rsid w:val="003734A7"/>
    <w:pPr>
      <w:tabs>
        <w:tab w:val="right" w:leader="dot" w:pos="9071"/>
      </w:tabs>
      <w:spacing w:before="120" w:after="120" w:line="276" w:lineRule="auto"/>
      <w:jc w:val="both"/>
    </w:pPr>
    <w:rPr>
      <w:rFonts w:ascii="Times New Roman" w:hAnsi="Times New Roman" w:cs="Times New Roman"/>
      <w:lang w:val="de-DE" w:eastAsia="en-US"/>
    </w:rPr>
  </w:style>
  <w:style w:type="paragraph" w:customStyle="1" w:styleId="HeaderLandscape">
    <w:name w:val="HeaderLandscape"/>
    <w:basedOn w:val="Normal"/>
    <w:uiPriority w:val="1"/>
    <w:rsid w:val="003734A7"/>
    <w:pPr>
      <w:tabs>
        <w:tab w:val="center" w:pos="7285"/>
        <w:tab w:val="right" w:pos="14003"/>
      </w:tabs>
      <w:spacing w:after="120" w:line="276" w:lineRule="auto"/>
      <w:jc w:val="both"/>
    </w:pPr>
    <w:rPr>
      <w:rFonts w:ascii="Times New Roman" w:hAnsi="Times New Roman" w:cs="Times New Roman"/>
      <w:lang w:val="de-DE" w:eastAsia="en-US"/>
    </w:rPr>
  </w:style>
  <w:style w:type="paragraph" w:customStyle="1" w:styleId="FooterLandscape">
    <w:name w:val="FooterLandscape"/>
    <w:basedOn w:val="Normal"/>
    <w:uiPriority w:val="1"/>
    <w:rsid w:val="003734A7"/>
    <w:pPr>
      <w:tabs>
        <w:tab w:val="center" w:pos="7285"/>
        <w:tab w:val="center" w:pos="10913"/>
        <w:tab w:val="right" w:pos="15137"/>
      </w:tabs>
      <w:spacing w:before="360" w:after="0" w:line="276" w:lineRule="auto"/>
      <w:ind w:left="-567" w:right="-567"/>
    </w:pPr>
    <w:rPr>
      <w:rFonts w:ascii="Times New Roman" w:hAnsi="Times New Roman" w:cs="Times New Roman"/>
      <w:lang w:val="de-DE" w:eastAsia="en-US"/>
    </w:rPr>
  </w:style>
  <w:style w:type="paragraph" w:customStyle="1" w:styleId="Text2">
    <w:name w:val="Text 2"/>
    <w:basedOn w:val="Normal"/>
    <w:uiPriority w:val="1"/>
    <w:rsid w:val="003734A7"/>
    <w:pPr>
      <w:spacing w:before="120" w:after="120" w:line="276" w:lineRule="auto"/>
      <w:ind w:left="1417"/>
      <w:jc w:val="both"/>
    </w:pPr>
    <w:rPr>
      <w:rFonts w:ascii="Times New Roman" w:hAnsi="Times New Roman" w:cs="Times New Roman"/>
      <w:lang w:val="de-DE" w:eastAsia="en-US"/>
    </w:rPr>
  </w:style>
  <w:style w:type="paragraph" w:customStyle="1" w:styleId="Text3">
    <w:name w:val="Text 3"/>
    <w:basedOn w:val="Normal"/>
    <w:uiPriority w:val="1"/>
    <w:rsid w:val="003734A7"/>
    <w:pPr>
      <w:spacing w:before="120" w:after="120" w:line="276" w:lineRule="auto"/>
      <w:ind w:left="1984"/>
      <w:jc w:val="both"/>
    </w:pPr>
    <w:rPr>
      <w:rFonts w:ascii="Times New Roman" w:hAnsi="Times New Roman" w:cs="Times New Roman"/>
      <w:lang w:val="de-DE" w:eastAsia="en-US"/>
    </w:rPr>
  </w:style>
  <w:style w:type="paragraph" w:customStyle="1" w:styleId="Text4">
    <w:name w:val="Text 4"/>
    <w:basedOn w:val="Normal"/>
    <w:uiPriority w:val="1"/>
    <w:rsid w:val="003734A7"/>
    <w:pPr>
      <w:spacing w:before="120" w:after="120" w:line="276" w:lineRule="auto"/>
      <w:ind w:left="2551"/>
      <w:jc w:val="both"/>
    </w:pPr>
    <w:rPr>
      <w:rFonts w:ascii="Times New Roman" w:hAnsi="Times New Roman" w:cs="Times New Roman"/>
      <w:lang w:val="de-DE" w:eastAsia="en-US"/>
    </w:rPr>
  </w:style>
  <w:style w:type="paragraph" w:customStyle="1" w:styleId="NormalCentered">
    <w:name w:val="Normal Centered"/>
    <w:basedOn w:val="Normal"/>
    <w:uiPriority w:val="1"/>
    <w:rsid w:val="003734A7"/>
    <w:pPr>
      <w:spacing w:before="120" w:after="120" w:line="276" w:lineRule="auto"/>
      <w:jc w:val="center"/>
    </w:pPr>
    <w:rPr>
      <w:rFonts w:ascii="Times New Roman" w:hAnsi="Times New Roman" w:cs="Times New Roman"/>
      <w:lang w:val="de-DE" w:eastAsia="en-US"/>
    </w:rPr>
  </w:style>
  <w:style w:type="paragraph" w:customStyle="1" w:styleId="NormalLeft">
    <w:name w:val="Normal Left"/>
    <w:basedOn w:val="Normal"/>
    <w:uiPriority w:val="1"/>
    <w:rsid w:val="003734A7"/>
    <w:pPr>
      <w:spacing w:before="120" w:after="120" w:line="276" w:lineRule="auto"/>
    </w:pPr>
    <w:rPr>
      <w:rFonts w:ascii="Times New Roman" w:hAnsi="Times New Roman" w:cs="Times New Roman"/>
      <w:lang w:val="de-DE" w:eastAsia="en-US"/>
    </w:rPr>
  </w:style>
  <w:style w:type="paragraph" w:customStyle="1" w:styleId="NormalRight">
    <w:name w:val="Normal Right"/>
    <w:basedOn w:val="Normal"/>
    <w:uiPriority w:val="1"/>
    <w:rsid w:val="003734A7"/>
    <w:pPr>
      <w:spacing w:before="120" w:after="120" w:line="276" w:lineRule="auto"/>
      <w:jc w:val="right"/>
    </w:pPr>
    <w:rPr>
      <w:rFonts w:ascii="Times New Roman" w:hAnsi="Times New Roman" w:cs="Times New Roman"/>
      <w:lang w:val="de-DE" w:eastAsia="en-US"/>
    </w:rPr>
  </w:style>
  <w:style w:type="paragraph" w:customStyle="1" w:styleId="QuotedText">
    <w:name w:val="Quoted Text"/>
    <w:basedOn w:val="Normal"/>
    <w:uiPriority w:val="1"/>
    <w:rsid w:val="003734A7"/>
    <w:pPr>
      <w:spacing w:before="120" w:after="120" w:line="276" w:lineRule="auto"/>
      <w:ind w:left="1417"/>
      <w:jc w:val="both"/>
    </w:pPr>
    <w:rPr>
      <w:rFonts w:ascii="Times New Roman" w:hAnsi="Times New Roman" w:cs="Times New Roman"/>
      <w:lang w:val="de-DE" w:eastAsia="en-US"/>
    </w:rPr>
  </w:style>
  <w:style w:type="paragraph" w:customStyle="1" w:styleId="Point0">
    <w:name w:val="Point 0"/>
    <w:basedOn w:val="Normal"/>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Point1">
    <w:name w:val="Point 1"/>
    <w:basedOn w:val="Normal"/>
    <w:uiPriority w:val="1"/>
    <w:rsid w:val="003734A7"/>
    <w:pPr>
      <w:spacing w:before="120" w:after="120" w:line="276" w:lineRule="auto"/>
      <w:ind w:left="1417" w:hanging="567"/>
      <w:jc w:val="both"/>
    </w:pPr>
    <w:rPr>
      <w:rFonts w:ascii="Times New Roman" w:hAnsi="Times New Roman" w:cs="Times New Roman"/>
      <w:lang w:val="de-DE" w:eastAsia="en-US"/>
    </w:rPr>
  </w:style>
  <w:style w:type="paragraph" w:customStyle="1" w:styleId="Point2">
    <w:name w:val="Point 2"/>
    <w:basedOn w:val="Normal"/>
    <w:uiPriority w:val="1"/>
    <w:rsid w:val="003734A7"/>
    <w:pPr>
      <w:spacing w:before="120" w:after="120" w:line="276" w:lineRule="auto"/>
      <w:ind w:left="1984" w:hanging="567"/>
      <w:jc w:val="both"/>
    </w:pPr>
    <w:rPr>
      <w:rFonts w:ascii="Times New Roman" w:hAnsi="Times New Roman" w:cs="Times New Roman"/>
      <w:lang w:val="de-DE" w:eastAsia="en-US"/>
    </w:rPr>
  </w:style>
  <w:style w:type="paragraph" w:customStyle="1" w:styleId="Point3">
    <w:name w:val="Point 3"/>
    <w:basedOn w:val="Normal"/>
    <w:uiPriority w:val="1"/>
    <w:rsid w:val="003734A7"/>
    <w:pPr>
      <w:spacing w:before="120" w:after="120" w:line="276" w:lineRule="auto"/>
      <w:ind w:left="2551" w:hanging="567"/>
      <w:jc w:val="both"/>
    </w:pPr>
    <w:rPr>
      <w:rFonts w:ascii="Times New Roman" w:hAnsi="Times New Roman" w:cs="Times New Roman"/>
      <w:lang w:val="de-DE" w:eastAsia="en-US"/>
    </w:rPr>
  </w:style>
  <w:style w:type="paragraph" w:customStyle="1" w:styleId="Point4">
    <w:name w:val="Point 4"/>
    <w:basedOn w:val="Normal"/>
    <w:uiPriority w:val="1"/>
    <w:rsid w:val="003734A7"/>
    <w:pPr>
      <w:spacing w:before="120" w:after="120" w:line="276" w:lineRule="auto"/>
      <w:ind w:left="3118" w:hanging="567"/>
      <w:jc w:val="both"/>
    </w:pPr>
    <w:rPr>
      <w:rFonts w:ascii="Times New Roman" w:hAnsi="Times New Roman" w:cs="Times New Roman"/>
      <w:lang w:val="de-DE" w:eastAsia="en-US"/>
    </w:rPr>
  </w:style>
  <w:style w:type="paragraph" w:customStyle="1" w:styleId="Tiret0">
    <w:name w:val="Tiret 0"/>
    <w:basedOn w:val="Point0"/>
    <w:uiPriority w:val="1"/>
    <w:rsid w:val="003734A7"/>
    <w:pPr>
      <w:numPr>
        <w:numId w:val="12"/>
      </w:numPr>
      <w:tabs>
        <w:tab w:val="clear" w:pos="850"/>
      </w:tabs>
      <w:ind w:left="0" w:firstLine="0"/>
    </w:pPr>
  </w:style>
  <w:style w:type="paragraph" w:customStyle="1" w:styleId="Tiret1">
    <w:name w:val="Tiret 1"/>
    <w:basedOn w:val="Point1"/>
    <w:uiPriority w:val="1"/>
    <w:rsid w:val="003734A7"/>
    <w:pPr>
      <w:numPr>
        <w:numId w:val="13"/>
      </w:numPr>
      <w:tabs>
        <w:tab w:val="clear" w:pos="1417"/>
      </w:tabs>
      <w:ind w:left="0" w:firstLine="0"/>
    </w:pPr>
  </w:style>
  <w:style w:type="paragraph" w:customStyle="1" w:styleId="Tiret2">
    <w:name w:val="Tiret 2"/>
    <w:basedOn w:val="Point2"/>
    <w:uiPriority w:val="1"/>
    <w:rsid w:val="003734A7"/>
    <w:pPr>
      <w:numPr>
        <w:numId w:val="14"/>
      </w:numPr>
      <w:tabs>
        <w:tab w:val="clear" w:pos="1984"/>
      </w:tabs>
      <w:ind w:left="0" w:firstLine="0"/>
    </w:pPr>
  </w:style>
  <w:style w:type="paragraph" w:customStyle="1" w:styleId="Tiret3">
    <w:name w:val="Tiret 3"/>
    <w:basedOn w:val="Point3"/>
    <w:uiPriority w:val="1"/>
    <w:rsid w:val="003734A7"/>
    <w:pPr>
      <w:numPr>
        <w:numId w:val="15"/>
      </w:numPr>
      <w:tabs>
        <w:tab w:val="clear" w:pos="2551"/>
      </w:tabs>
      <w:ind w:left="0" w:firstLine="0"/>
    </w:pPr>
  </w:style>
  <w:style w:type="paragraph" w:customStyle="1" w:styleId="Tiret4">
    <w:name w:val="Tiret 4"/>
    <w:basedOn w:val="Point4"/>
    <w:uiPriority w:val="1"/>
    <w:rsid w:val="003734A7"/>
    <w:pPr>
      <w:numPr>
        <w:numId w:val="16"/>
      </w:numPr>
      <w:tabs>
        <w:tab w:val="clear" w:pos="3118"/>
      </w:tabs>
      <w:ind w:left="0" w:firstLine="0"/>
    </w:pPr>
  </w:style>
  <w:style w:type="paragraph" w:customStyle="1" w:styleId="PointDouble0">
    <w:name w:val="PointDouble 0"/>
    <w:basedOn w:val="Normal"/>
    <w:uiPriority w:val="1"/>
    <w:rsid w:val="003734A7"/>
    <w:pPr>
      <w:tabs>
        <w:tab w:val="left" w:pos="850"/>
      </w:tabs>
      <w:spacing w:before="120" w:after="120" w:line="276" w:lineRule="auto"/>
      <w:ind w:left="1417" w:hanging="1417"/>
      <w:jc w:val="both"/>
    </w:pPr>
    <w:rPr>
      <w:rFonts w:ascii="Times New Roman" w:hAnsi="Times New Roman" w:cs="Times New Roman"/>
      <w:lang w:val="de-DE" w:eastAsia="en-US"/>
    </w:rPr>
  </w:style>
  <w:style w:type="paragraph" w:customStyle="1" w:styleId="PointDouble1">
    <w:name w:val="PointDouble 1"/>
    <w:basedOn w:val="Normal"/>
    <w:uiPriority w:val="1"/>
    <w:rsid w:val="003734A7"/>
    <w:pPr>
      <w:tabs>
        <w:tab w:val="left" w:pos="1417"/>
      </w:tabs>
      <w:spacing w:before="120" w:after="120" w:line="276" w:lineRule="auto"/>
      <w:ind w:left="1984" w:hanging="1134"/>
      <w:jc w:val="both"/>
    </w:pPr>
    <w:rPr>
      <w:rFonts w:ascii="Times New Roman" w:hAnsi="Times New Roman" w:cs="Times New Roman"/>
      <w:lang w:val="de-DE" w:eastAsia="en-US"/>
    </w:rPr>
  </w:style>
  <w:style w:type="paragraph" w:customStyle="1" w:styleId="PointDouble2">
    <w:name w:val="PointDouble 2"/>
    <w:basedOn w:val="Normal"/>
    <w:uiPriority w:val="1"/>
    <w:rsid w:val="003734A7"/>
    <w:pPr>
      <w:tabs>
        <w:tab w:val="left" w:pos="1984"/>
      </w:tabs>
      <w:spacing w:before="120" w:after="120" w:line="276" w:lineRule="auto"/>
      <w:ind w:left="2551" w:hanging="1134"/>
      <w:jc w:val="both"/>
    </w:pPr>
    <w:rPr>
      <w:rFonts w:ascii="Times New Roman" w:hAnsi="Times New Roman" w:cs="Times New Roman"/>
      <w:lang w:val="de-DE" w:eastAsia="en-US"/>
    </w:rPr>
  </w:style>
  <w:style w:type="paragraph" w:customStyle="1" w:styleId="PointDouble3">
    <w:name w:val="PointDouble 3"/>
    <w:basedOn w:val="Normal"/>
    <w:uiPriority w:val="1"/>
    <w:rsid w:val="003734A7"/>
    <w:pPr>
      <w:tabs>
        <w:tab w:val="left" w:pos="2551"/>
      </w:tabs>
      <w:spacing w:before="120" w:after="120" w:line="276" w:lineRule="auto"/>
      <w:ind w:left="3118" w:hanging="1134"/>
      <w:jc w:val="both"/>
    </w:pPr>
    <w:rPr>
      <w:rFonts w:ascii="Times New Roman" w:hAnsi="Times New Roman" w:cs="Times New Roman"/>
      <w:lang w:val="de-DE" w:eastAsia="en-US"/>
    </w:rPr>
  </w:style>
  <w:style w:type="paragraph" w:customStyle="1" w:styleId="PointDouble4">
    <w:name w:val="PointDouble 4"/>
    <w:basedOn w:val="Normal"/>
    <w:uiPriority w:val="1"/>
    <w:rsid w:val="003734A7"/>
    <w:pPr>
      <w:tabs>
        <w:tab w:val="left" w:pos="3118"/>
      </w:tabs>
      <w:spacing w:before="120" w:after="120" w:line="276" w:lineRule="auto"/>
      <w:ind w:left="3685" w:hanging="1134"/>
      <w:jc w:val="both"/>
    </w:pPr>
    <w:rPr>
      <w:rFonts w:ascii="Times New Roman" w:hAnsi="Times New Roman" w:cs="Times New Roman"/>
      <w:lang w:val="de-DE" w:eastAsia="en-US"/>
    </w:rPr>
  </w:style>
  <w:style w:type="paragraph" w:customStyle="1" w:styleId="PointTriple0">
    <w:name w:val="PointTriple 0"/>
    <w:basedOn w:val="Normal"/>
    <w:uiPriority w:val="1"/>
    <w:rsid w:val="003734A7"/>
    <w:pPr>
      <w:tabs>
        <w:tab w:val="left" w:pos="850"/>
        <w:tab w:val="left" w:pos="1417"/>
      </w:tabs>
      <w:spacing w:before="120" w:after="120" w:line="276" w:lineRule="auto"/>
      <w:ind w:left="1984" w:hanging="1984"/>
      <w:jc w:val="both"/>
    </w:pPr>
    <w:rPr>
      <w:rFonts w:ascii="Times New Roman" w:hAnsi="Times New Roman" w:cs="Times New Roman"/>
      <w:lang w:val="de-DE" w:eastAsia="en-US"/>
    </w:rPr>
  </w:style>
  <w:style w:type="paragraph" w:customStyle="1" w:styleId="PointTriple1">
    <w:name w:val="PointTriple 1"/>
    <w:basedOn w:val="Normal"/>
    <w:uiPriority w:val="1"/>
    <w:rsid w:val="003734A7"/>
    <w:pPr>
      <w:tabs>
        <w:tab w:val="left" w:pos="1417"/>
        <w:tab w:val="left" w:pos="1984"/>
      </w:tabs>
      <w:spacing w:before="120" w:after="120" w:line="276" w:lineRule="auto"/>
      <w:ind w:left="2551" w:hanging="1701"/>
      <w:jc w:val="both"/>
    </w:pPr>
    <w:rPr>
      <w:rFonts w:ascii="Times New Roman" w:hAnsi="Times New Roman" w:cs="Times New Roman"/>
      <w:lang w:val="de-DE" w:eastAsia="en-US"/>
    </w:rPr>
  </w:style>
  <w:style w:type="paragraph" w:customStyle="1" w:styleId="PointTriple2">
    <w:name w:val="PointTriple 2"/>
    <w:basedOn w:val="Normal"/>
    <w:uiPriority w:val="1"/>
    <w:rsid w:val="003734A7"/>
    <w:pPr>
      <w:tabs>
        <w:tab w:val="left" w:pos="1984"/>
        <w:tab w:val="left" w:pos="2551"/>
      </w:tabs>
      <w:spacing w:before="120" w:after="120" w:line="276" w:lineRule="auto"/>
      <w:ind w:left="3118" w:hanging="1701"/>
      <w:jc w:val="both"/>
    </w:pPr>
    <w:rPr>
      <w:rFonts w:ascii="Times New Roman" w:hAnsi="Times New Roman" w:cs="Times New Roman"/>
      <w:lang w:val="de-DE" w:eastAsia="en-US"/>
    </w:rPr>
  </w:style>
  <w:style w:type="paragraph" w:customStyle="1" w:styleId="PointTriple3">
    <w:name w:val="PointTriple 3"/>
    <w:basedOn w:val="Normal"/>
    <w:uiPriority w:val="1"/>
    <w:rsid w:val="003734A7"/>
    <w:pPr>
      <w:tabs>
        <w:tab w:val="left" w:pos="2551"/>
        <w:tab w:val="left" w:pos="3118"/>
      </w:tabs>
      <w:spacing w:before="120" w:after="120" w:line="276" w:lineRule="auto"/>
      <w:ind w:left="3685" w:hanging="1701"/>
      <w:jc w:val="both"/>
    </w:pPr>
    <w:rPr>
      <w:rFonts w:ascii="Times New Roman" w:hAnsi="Times New Roman" w:cs="Times New Roman"/>
      <w:lang w:val="de-DE" w:eastAsia="en-US"/>
    </w:rPr>
  </w:style>
  <w:style w:type="paragraph" w:customStyle="1" w:styleId="PointTriple4">
    <w:name w:val="PointTriple 4"/>
    <w:basedOn w:val="Normal"/>
    <w:uiPriority w:val="1"/>
    <w:rsid w:val="003734A7"/>
    <w:pPr>
      <w:tabs>
        <w:tab w:val="left" w:pos="3118"/>
        <w:tab w:val="left" w:pos="3685"/>
      </w:tabs>
      <w:spacing w:before="120" w:after="120" w:line="276" w:lineRule="auto"/>
      <w:ind w:left="4252" w:hanging="1701"/>
      <w:jc w:val="both"/>
    </w:pPr>
    <w:rPr>
      <w:rFonts w:ascii="Times New Roman" w:hAnsi="Times New Roman" w:cs="Times New Roman"/>
      <w:lang w:val="de-DE" w:eastAsia="en-US"/>
    </w:rPr>
  </w:style>
  <w:style w:type="paragraph" w:customStyle="1" w:styleId="NumPar1">
    <w:name w:val="NumPar 1"/>
    <w:basedOn w:val="Normal"/>
    <w:next w:val="Text1"/>
    <w:uiPriority w:val="1"/>
    <w:rsid w:val="003734A7"/>
    <w:pPr>
      <w:numPr>
        <w:numId w:val="17"/>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NumPar2">
    <w:name w:val="NumPar 2"/>
    <w:basedOn w:val="Normal"/>
    <w:next w:val="Text1"/>
    <w:uiPriority w:val="1"/>
    <w:rsid w:val="003734A7"/>
    <w:pPr>
      <w:numPr>
        <w:ilvl w:val="1"/>
        <w:numId w:val="17"/>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NumPar3">
    <w:name w:val="NumPar 3"/>
    <w:basedOn w:val="Normal"/>
    <w:next w:val="Text1"/>
    <w:uiPriority w:val="1"/>
    <w:rsid w:val="003734A7"/>
    <w:pPr>
      <w:numPr>
        <w:ilvl w:val="2"/>
        <w:numId w:val="17"/>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NumPar4">
    <w:name w:val="NumPar 4"/>
    <w:basedOn w:val="Normal"/>
    <w:next w:val="Text1"/>
    <w:uiPriority w:val="1"/>
    <w:rsid w:val="003734A7"/>
    <w:pPr>
      <w:numPr>
        <w:ilvl w:val="3"/>
        <w:numId w:val="17"/>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ManualNumPar1">
    <w:name w:val="Manual NumPar 1"/>
    <w:basedOn w:val="Normal"/>
    <w:next w:val="Text1"/>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ManualNumPar2">
    <w:name w:val="Manual NumPar 2"/>
    <w:basedOn w:val="Normal"/>
    <w:next w:val="Text1"/>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ManualNumPar3">
    <w:name w:val="Manual NumPar 3"/>
    <w:basedOn w:val="Normal"/>
    <w:next w:val="Text1"/>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ManualNumPar4">
    <w:name w:val="Manual NumPar 4"/>
    <w:basedOn w:val="Normal"/>
    <w:next w:val="Text1"/>
    <w:uiPriority w:val="1"/>
    <w:rsid w:val="003734A7"/>
    <w:pPr>
      <w:spacing w:before="120" w:after="120" w:line="276" w:lineRule="auto"/>
      <w:ind w:left="850" w:hanging="850"/>
      <w:jc w:val="both"/>
    </w:pPr>
    <w:rPr>
      <w:rFonts w:ascii="Times New Roman" w:hAnsi="Times New Roman" w:cs="Times New Roman"/>
      <w:lang w:val="de-DE" w:eastAsia="en-US"/>
    </w:rPr>
  </w:style>
  <w:style w:type="paragraph" w:customStyle="1" w:styleId="QuotedNumPar">
    <w:name w:val="Quoted NumPar"/>
    <w:basedOn w:val="Normal"/>
    <w:uiPriority w:val="1"/>
    <w:rsid w:val="003734A7"/>
    <w:pPr>
      <w:spacing w:before="120" w:after="120" w:line="276" w:lineRule="auto"/>
      <w:ind w:left="1417" w:hanging="567"/>
      <w:jc w:val="both"/>
    </w:pPr>
    <w:rPr>
      <w:rFonts w:ascii="Times New Roman" w:hAnsi="Times New Roman" w:cs="Times New Roman"/>
      <w:lang w:val="de-DE" w:eastAsia="en-US"/>
    </w:rPr>
  </w:style>
  <w:style w:type="paragraph" w:customStyle="1" w:styleId="ManualHeading1">
    <w:name w:val="Manual Heading 1"/>
    <w:basedOn w:val="Normal"/>
    <w:next w:val="Text1"/>
    <w:uiPriority w:val="1"/>
    <w:rsid w:val="003734A7"/>
    <w:pPr>
      <w:keepNext/>
      <w:tabs>
        <w:tab w:val="left" w:pos="850"/>
      </w:tabs>
      <w:spacing w:before="360" w:after="120" w:line="276" w:lineRule="auto"/>
      <w:ind w:left="850" w:hanging="850"/>
      <w:jc w:val="both"/>
      <w:outlineLvl w:val="0"/>
    </w:pPr>
    <w:rPr>
      <w:rFonts w:ascii="Times New Roman" w:hAnsi="Times New Roman" w:cs="Times New Roman"/>
      <w:b/>
      <w:bCs/>
      <w:smallCaps/>
      <w:lang w:val="de-DE" w:eastAsia="en-US"/>
    </w:rPr>
  </w:style>
  <w:style w:type="paragraph" w:customStyle="1" w:styleId="ManualHeading2">
    <w:name w:val="Manual Heading 2"/>
    <w:basedOn w:val="Normal"/>
    <w:next w:val="Text1"/>
    <w:uiPriority w:val="1"/>
    <w:rsid w:val="003734A7"/>
    <w:pPr>
      <w:keepNext/>
      <w:tabs>
        <w:tab w:val="left" w:pos="850"/>
      </w:tabs>
      <w:spacing w:before="120" w:after="120" w:line="276" w:lineRule="auto"/>
      <w:ind w:left="850" w:hanging="850"/>
      <w:jc w:val="both"/>
      <w:outlineLvl w:val="1"/>
    </w:pPr>
    <w:rPr>
      <w:rFonts w:ascii="Times New Roman" w:hAnsi="Times New Roman" w:cs="Times New Roman"/>
      <w:b/>
      <w:bCs/>
      <w:lang w:val="de-DE" w:eastAsia="en-US"/>
    </w:rPr>
  </w:style>
  <w:style w:type="paragraph" w:customStyle="1" w:styleId="ManualHeading3">
    <w:name w:val="Manual Heading 3"/>
    <w:basedOn w:val="Normal"/>
    <w:next w:val="Text1"/>
    <w:uiPriority w:val="1"/>
    <w:rsid w:val="003734A7"/>
    <w:pPr>
      <w:keepNext/>
      <w:tabs>
        <w:tab w:val="left" w:pos="850"/>
      </w:tabs>
      <w:spacing w:before="120" w:after="120" w:line="276" w:lineRule="auto"/>
      <w:ind w:left="850" w:hanging="850"/>
      <w:jc w:val="both"/>
      <w:outlineLvl w:val="2"/>
    </w:pPr>
    <w:rPr>
      <w:rFonts w:ascii="Times New Roman" w:hAnsi="Times New Roman" w:cs="Times New Roman"/>
      <w:i/>
      <w:iCs/>
      <w:lang w:val="de-DE" w:eastAsia="en-US"/>
    </w:rPr>
  </w:style>
  <w:style w:type="paragraph" w:customStyle="1" w:styleId="ManualHeading4">
    <w:name w:val="Manual Heading 4"/>
    <w:basedOn w:val="Normal"/>
    <w:next w:val="Text1"/>
    <w:uiPriority w:val="1"/>
    <w:rsid w:val="003734A7"/>
    <w:pPr>
      <w:keepNext/>
      <w:tabs>
        <w:tab w:val="left" w:pos="850"/>
      </w:tabs>
      <w:spacing w:before="120" w:after="120" w:line="276" w:lineRule="auto"/>
      <w:ind w:left="850" w:hanging="850"/>
      <w:jc w:val="both"/>
      <w:outlineLvl w:val="3"/>
    </w:pPr>
    <w:rPr>
      <w:rFonts w:ascii="Times New Roman" w:hAnsi="Times New Roman" w:cs="Times New Roman"/>
      <w:lang w:val="de-DE" w:eastAsia="en-US"/>
    </w:rPr>
  </w:style>
  <w:style w:type="paragraph" w:customStyle="1" w:styleId="ChapterTitle">
    <w:name w:val="ChapterTitle"/>
    <w:basedOn w:val="Normal"/>
    <w:next w:val="Normal"/>
    <w:uiPriority w:val="1"/>
    <w:rsid w:val="003734A7"/>
    <w:pPr>
      <w:keepNext/>
      <w:spacing w:before="120" w:after="360" w:line="276" w:lineRule="auto"/>
      <w:jc w:val="center"/>
    </w:pPr>
    <w:rPr>
      <w:rFonts w:ascii="Times New Roman" w:hAnsi="Times New Roman" w:cs="Times New Roman"/>
      <w:b/>
      <w:bCs/>
      <w:sz w:val="32"/>
      <w:szCs w:val="32"/>
      <w:lang w:val="de-DE" w:eastAsia="en-US"/>
    </w:rPr>
  </w:style>
  <w:style w:type="paragraph" w:customStyle="1" w:styleId="PartTitle">
    <w:name w:val="PartTitle"/>
    <w:basedOn w:val="Normal"/>
    <w:next w:val="ChapterTitle"/>
    <w:uiPriority w:val="1"/>
    <w:rsid w:val="003734A7"/>
    <w:pPr>
      <w:keepNext/>
      <w:spacing w:before="120" w:after="360" w:line="276" w:lineRule="auto"/>
      <w:jc w:val="center"/>
    </w:pPr>
    <w:rPr>
      <w:rFonts w:ascii="Times New Roman" w:hAnsi="Times New Roman" w:cs="Times New Roman"/>
      <w:b/>
      <w:bCs/>
      <w:sz w:val="36"/>
      <w:szCs w:val="36"/>
      <w:lang w:val="de-DE" w:eastAsia="en-US"/>
    </w:rPr>
  </w:style>
  <w:style w:type="paragraph" w:customStyle="1" w:styleId="SectionTitle">
    <w:name w:val="SectionTitle"/>
    <w:basedOn w:val="Normal"/>
    <w:next w:val="Heading1"/>
    <w:uiPriority w:val="1"/>
    <w:rsid w:val="003734A7"/>
    <w:pPr>
      <w:keepNext/>
      <w:spacing w:before="120" w:after="360" w:line="276" w:lineRule="auto"/>
      <w:jc w:val="center"/>
    </w:pPr>
    <w:rPr>
      <w:rFonts w:ascii="Times New Roman" w:hAnsi="Times New Roman" w:cs="Times New Roman"/>
      <w:b/>
      <w:bCs/>
      <w:smallCaps/>
      <w:sz w:val="28"/>
      <w:szCs w:val="28"/>
      <w:lang w:val="de-DE" w:eastAsia="en-US"/>
    </w:rPr>
  </w:style>
  <w:style w:type="paragraph" w:customStyle="1" w:styleId="TableTitle">
    <w:name w:val="Table Title"/>
    <w:basedOn w:val="Normal"/>
    <w:next w:val="Normal"/>
    <w:uiPriority w:val="1"/>
    <w:rsid w:val="003734A7"/>
    <w:pPr>
      <w:spacing w:before="120" w:after="120" w:line="276" w:lineRule="auto"/>
      <w:jc w:val="center"/>
    </w:pPr>
    <w:rPr>
      <w:rFonts w:ascii="Times New Roman" w:hAnsi="Times New Roman" w:cs="Times New Roman"/>
      <w:b/>
      <w:bCs/>
      <w:lang w:val="de-DE" w:eastAsia="en-US"/>
    </w:rPr>
  </w:style>
  <w:style w:type="character" w:customStyle="1" w:styleId="Marker1">
    <w:name w:val="Marker1"/>
    <w:basedOn w:val="DefaultParagraphFont"/>
    <w:rsid w:val="003734A7"/>
    <w:rPr>
      <w:color w:val="008000"/>
      <w:shd w:val="clear" w:color="auto" w:fill="auto"/>
    </w:rPr>
  </w:style>
  <w:style w:type="character" w:customStyle="1" w:styleId="Marker2">
    <w:name w:val="Marker2"/>
    <w:basedOn w:val="DefaultParagraphFont"/>
    <w:rsid w:val="003734A7"/>
    <w:rPr>
      <w:color w:val="FF0000"/>
      <w:shd w:val="clear" w:color="auto" w:fill="auto"/>
    </w:rPr>
  </w:style>
  <w:style w:type="paragraph" w:customStyle="1" w:styleId="Point0number">
    <w:name w:val="Point 0 (number)"/>
    <w:basedOn w:val="Normal"/>
    <w:uiPriority w:val="1"/>
    <w:rsid w:val="003734A7"/>
    <w:pPr>
      <w:numPr>
        <w:numId w:val="19"/>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Point1number">
    <w:name w:val="Point 1 (number)"/>
    <w:basedOn w:val="Normal"/>
    <w:uiPriority w:val="1"/>
    <w:rsid w:val="003734A7"/>
    <w:pPr>
      <w:numPr>
        <w:ilvl w:val="2"/>
        <w:numId w:val="19"/>
      </w:numPr>
      <w:tabs>
        <w:tab w:val="clear" w:pos="1417"/>
      </w:tabs>
      <w:spacing w:before="120" w:after="120" w:line="276" w:lineRule="auto"/>
      <w:ind w:left="0" w:firstLine="0"/>
      <w:jc w:val="both"/>
    </w:pPr>
    <w:rPr>
      <w:rFonts w:ascii="Times New Roman" w:hAnsi="Times New Roman" w:cs="Times New Roman"/>
      <w:lang w:val="de-DE" w:eastAsia="en-US"/>
    </w:rPr>
  </w:style>
  <w:style w:type="paragraph" w:customStyle="1" w:styleId="Point2number">
    <w:name w:val="Point 2 (number)"/>
    <w:basedOn w:val="Normal"/>
    <w:uiPriority w:val="1"/>
    <w:rsid w:val="003734A7"/>
    <w:pPr>
      <w:numPr>
        <w:ilvl w:val="4"/>
        <w:numId w:val="19"/>
      </w:numPr>
      <w:tabs>
        <w:tab w:val="clear" w:pos="1984"/>
      </w:tabs>
      <w:spacing w:before="120" w:after="120" w:line="276" w:lineRule="auto"/>
      <w:ind w:left="0" w:firstLine="0"/>
      <w:jc w:val="both"/>
    </w:pPr>
    <w:rPr>
      <w:rFonts w:ascii="Times New Roman" w:hAnsi="Times New Roman" w:cs="Times New Roman"/>
      <w:lang w:val="de-DE" w:eastAsia="en-US"/>
    </w:rPr>
  </w:style>
  <w:style w:type="paragraph" w:customStyle="1" w:styleId="Point3number">
    <w:name w:val="Point 3 (number)"/>
    <w:basedOn w:val="Normal"/>
    <w:uiPriority w:val="1"/>
    <w:rsid w:val="003734A7"/>
    <w:pPr>
      <w:numPr>
        <w:ilvl w:val="6"/>
        <w:numId w:val="19"/>
      </w:numPr>
      <w:tabs>
        <w:tab w:val="clear" w:pos="2551"/>
      </w:tabs>
      <w:spacing w:before="120" w:after="120" w:line="276" w:lineRule="auto"/>
      <w:ind w:left="0" w:firstLine="0"/>
      <w:jc w:val="both"/>
    </w:pPr>
    <w:rPr>
      <w:rFonts w:ascii="Times New Roman" w:hAnsi="Times New Roman" w:cs="Times New Roman"/>
      <w:lang w:val="de-DE" w:eastAsia="en-US"/>
    </w:rPr>
  </w:style>
  <w:style w:type="paragraph" w:customStyle="1" w:styleId="Point0letter">
    <w:name w:val="Point 0 (letter)"/>
    <w:basedOn w:val="Normal"/>
    <w:uiPriority w:val="1"/>
    <w:rsid w:val="003734A7"/>
    <w:pPr>
      <w:numPr>
        <w:ilvl w:val="1"/>
        <w:numId w:val="19"/>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Point1letter">
    <w:name w:val="Point 1 (letter)"/>
    <w:basedOn w:val="Normal"/>
    <w:uiPriority w:val="1"/>
    <w:rsid w:val="003734A7"/>
    <w:pPr>
      <w:numPr>
        <w:ilvl w:val="3"/>
        <w:numId w:val="19"/>
      </w:numPr>
      <w:tabs>
        <w:tab w:val="clear" w:pos="1417"/>
      </w:tabs>
      <w:spacing w:before="120" w:after="120" w:line="276" w:lineRule="auto"/>
      <w:ind w:left="0" w:firstLine="0"/>
      <w:jc w:val="both"/>
    </w:pPr>
    <w:rPr>
      <w:rFonts w:ascii="Times New Roman" w:hAnsi="Times New Roman" w:cs="Times New Roman"/>
      <w:lang w:val="de-DE" w:eastAsia="en-US"/>
    </w:rPr>
  </w:style>
  <w:style w:type="paragraph" w:customStyle="1" w:styleId="Point2letter">
    <w:name w:val="Point 2 (letter)"/>
    <w:basedOn w:val="Normal"/>
    <w:uiPriority w:val="1"/>
    <w:rsid w:val="003734A7"/>
    <w:pPr>
      <w:numPr>
        <w:ilvl w:val="5"/>
        <w:numId w:val="19"/>
      </w:numPr>
      <w:tabs>
        <w:tab w:val="clear" w:pos="1984"/>
      </w:tabs>
      <w:spacing w:before="120" w:after="120" w:line="276" w:lineRule="auto"/>
      <w:ind w:left="0" w:firstLine="0"/>
      <w:jc w:val="both"/>
    </w:pPr>
    <w:rPr>
      <w:rFonts w:ascii="Times New Roman" w:hAnsi="Times New Roman" w:cs="Times New Roman"/>
      <w:lang w:val="de-DE" w:eastAsia="en-US"/>
    </w:rPr>
  </w:style>
  <w:style w:type="paragraph" w:customStyle="1" w:styleId="Point3letter">
    <w:name w:val="Point 3 (letter)"/>
    <w:basedOn w:val="Normal"/>
    <w:uiPriority w:val="1"/>
    <w:rsid w:val="003734A7"/>
    <w:pPr>
      <w:numPr>
        <w:ilvl w:val="7"/>
        <w:numId w:val="19"/>
      </w:numPr>
      <w:tabs>
        <w:tab w:val="clear" w:pos="2551"/>
      </w:tabs>
      <w:spacing w:before="120" w:after="120" w:line="276" w:lineRule="auto"/>
      <w:ind w:left="0" w:firstLine="0"/>
      <w:jc w:val="both"/>
    </w:pPr>
    <w:rPr>
      <w:rFonts w:ascii="Times New Roman" w:hAnsi="Times New Roman" w:cs="Times New Roman"/>
      <w:lang w:val="de-DE" w:eastAsia="en-US"/>
    </w:rPr>
  </w:style>
  <w:style w:type="paragraph" w:customStyle="1" w:styleId="Point4letter">
    <w:name w:val="Point 4 (letter)"/>
    <w:basedOn w:val="Normal"/>
    <w:uiPriority w:val="1"/>
    <w:rsid w:val="003734A7"/>
    <w:pPr>
      <w:numPr>
        <w:ilvl w:val="8"/>
        <w:numId w:val="19"/>
      </w:numPr>
      <w:tabs>
        <w:tab w:val="clear" w:pos="3118"/>
      </w:tabs>
      <w:spacing w:before="120" w:after="120" w:line="276" w:lineRule="auto"/>
      <w:ind w:left="0" w:firstLine="0"/>
      <w:jc w:val="both"/>
    </w:pPr>
    <w:rPr>
      <w:rFonts w:ascii="Times New Roman" w:hAnsi="Times New Roman" w:cs="Times New Roman"/>
      <w:lang w:val="de-DE" w:eastAsia="en-US"/>
    </w:rPr>
  </w:style>
  <w:style w:type="paragraph" w:customStyle="1" w:styleId="Bullet0">
    <w:name w:val="Bullet 0"/>
    <w:basedOn w:val="Normal"/>
    <w:uiPriority w:val="1"/>
    <w:rsid w:val="003734A7"/>
    <w:pPr>
      <w:numPr>
        <w:numId w:val="20"/>
      </w:numPr>
      <w:tabs>
        <w:tab w:val="clear" w:pos="850"/>
      </w:tabs>
      <w:spacing w:before="120" w:after="120" w:line="276" w:lineRule="auto"/>
      <w:ind w:left="0" w:firstLine="0"/>
      <w:jc w:val="both"/>
    </w:pPr>
    <w:rPr>
      <w:rFonts w:ascii="Times New Roman" w:hAnsi="Times New Roman" w:cs="Times New Roman"/>
      <w:lang w:val="de-DE" w:eastAsia="en-US"/>
    </w:rPr>
  </w:style>
  <w:style w:type="paragraph" w:customStyle="1" w:styleId="Bullet1">
    <w:name w:val="Bullet 1"/>
    <w:basedOn w:val="Normal"/>
    <w:uiPriority w:val="1"/>
    <w:rsid w:val="003734A7"/>
    <w:pPr>
      <w:numPr>
        <w:numId w:val="21"/>
      </w:numPr>
      <w:tabs>
        <w:tab w:val="clear" w:pos="1417"/>
      </w:tabs>
      <w:spacing w:before="120" w:after="120" w:line="276" w:lineRule="auto"/>
      <w:ind w:left="0" w:firstLine="0"/>
      <w:jc w:val="both"/>
    </w:pPr>
    <w:rPr>
      <w:rFonts w:ascii="Times New Roman" w:hAnsi="Times New Roman" w:cs="Times New Roman"/>
      <w:lang w:val="de-DE" w:eastAsia="en-US"/>
    </w:rPr>
  </w:style>
  <w:style w:type="paragraph" w:customStyle="1" w:styleId="Bullet2">
    <w:name w:val="Bullet 2"/>
    <w:basedOn w:val="Normal"/>
    <w:uiPriority w:val="1"/>
    <w:rsid w:val="003734A7"/>
    <w:pPr>
      <w:numPr>
        <w:numId w:val="22"/>
      </w:numPr>
      <w:tabs>
        <w:tab w:val="clear" w:pos="1984"/>
      </w:tabs>
      <w:spacing w:before="120" w:after="120" w:line="276" w:lineRule="auto"/>
      <w:ind w:left="0" w:firstLine="0"/>
      <w:jc w:val="both"/>
    </w:pPr>
    <w:rPr>
      <w:rFonts w:ascii="Times New Roman" w:hAnsi="Times New Roman" w:cs="Times New Roman"/>
      <w:lang w:val="de-DE" w:eastAsia="en-US"/>
    </w:rPr>
  </w:style>
  <w:style w:type="paragraph" w:customStyle="1" w:styleId="Bullet3">
    <w:name w:val="Bullet 3"/>
    <w:basedOn w:val="Normal"/>
    <w:uiPriority w:val="1"/>
    <w:rsid w:val="003734A7"/>
    <w:pPr>
      <w:numPr>
        <w:numId w:val="23"/>
      </w:numPr>
      <w:tabs>
        <w:tab w:val="clear" w:pos="2551"/>
      </w:tabs>
      <w:spacing w:before="120" w:after="120" w:line="276" w:lineRule="auto"/>
      <w:ind w:left="0" w:firstLine="0"/>
      <w:jc w:val="both"/>
    </w:pPr>
    <w:rPr>
      <w:rFonts w:ascii="Times New Roman" w:hAnsi="Times New Roman" w:cs="Times New Roman"/>
      <w:lang w:val="de-DE" w:eastAsia="en-US"/>
    </w:rPr>
  </w:style>
  <w:style w:type="paragraph" w:customStyle="1" w:styleId="Bullet4">
    <w:name w:val="Bullet 4"/>
    <w:basedOn w:val="Normal"/>
    <w:uiPriority w:val="1"/>
    <w:rsid w:val="003734A7"/>
    <w:pPr>
      <w:numPr>
        <w:numId w:val="24"/>
      </w:numPr>
      <w:tabs>
        <w:tab w:val="clear" w:pos="3118"/>
      </w:tabs>
      <w:spacing w:before="120" w:after="120" w:line="276" w:lineRule="auto"/>
      <w:ind w:left="0" w:firstLine="0"/>
      <w:jc w:val="both"/>
    </w:pPr>
    <w:rPr>
      <w:rFonts w:ascii="Times New Roman" w:hAnsi="Times New Roman" w:cs="Times New Roman"/>
      <w:lang w:val="de-DE" w:eastAsia="en-US"/>
    </w:rPr>
  </w:style>
  <w:style w:type="paragraph" w:customStyle="1" w:styleId="Langue">
    <w:name w:val="Langue"/>
    <w:basedOn w:val="Normal"/>
    <w:next w:val="Rfrenceinterne"/>
    <w:uiPriority w:val="1"/>
    <w:rsid w:val="003734A7"/>
    <w:pPr>
      <w:spacing w:after="600" w:line="276" w:lineRule="auto"/>
      <w:jc w:val="center"/>
    </w:pPr>
    <w:rPr>
      <w:rFonts w:ascii="Times New Roman" w:hAnsi="Times New Roman" w:cs="Times New Roman"/>
      <w:b/>
      <w:bCs/>
      <w:caps/>
      <w:lang w:val="de-DE" w:eastAsia="en-US"/>
    </w:rPr>
  </w:style>
  <w:style w:type="paragraph" w:customStyle="1" w:styleId="Nomdelinstitution">
    <w:name w:val="Nom de l'institution"/>
    <w:basedOn w:val="Normal"/>
    <w:next w:val="Emission"/>
    <w:uiPriority w:val="1"/>
    <w:rsid w:val="003734A7"/>
    <w:pPr>
      <w:spacing w:after="0" w:line="276" w:lineRule="auto"/>
    </w:pPr>
    <w:rPr>
      <w:rFonts w:ascii="Arial" w:hAnsi="Arial" w:cs="Arial"/>
      <w:lang w:val="de-DE" w:eastAsia="en-US"/>
    </w:rPr>
  </w:style>
  <w:style w:type="paragraph" w:customStyle="1" w:styleId="Emission">
    <w:name w:val="Emission"/>
    <w:basedOn w:val="Normal"/>
    <w:next w:val="Rfrenceinstitutionnelle"/>
    <w:uiPriority w:val="1"/>
    <w:rsid w:val="003734A7"/>
    <w:pPr>
      <w:spacing w:after="0" w:line="276" w:lineRule="auto"/>
      <w:ind w:left="5103"/>
    </w:pPr>
    <w:rPr>
      <w:rFonts w:ascii="Times New Roman" w:hAnsi="Times New Roman" w:cs="Times New Roman"/>
      <w:lang w:val="de-DE" w:eastAsia="en-US"/>
    </w:rPr>
  </w:style>
  <w:style w:type="paragraph" w:customStyle="1" w:styleId="Rfrenceinstitutionnelle">
    <w:name w:val="Référence institutionnelle"/>
    <w:basedOn w:val="Normal"/>
    <w:next w:val="Confidentialit"/>
    <w:uiPriority w:val="1"/>
    <w:rsid w:val="003734A7"/>
    <w:pPr>
      <w:spacing w:after="240" w:line="276" w:lineRule="auto"/>
      <w:ind w:left="5103"/>
    </w:pPr>
    <w:rPr>
      <w:rFonts w:ascii="Times New Roman" w:hAnsi="Times New Roman" w:cs="Times New Roman"/>
      <w:lang w:val="de-DE" w:eastAsia="en-US"/>
    </w:rPr>
  </w:style>
  <w:style w:type="paragraph" w:customStyle="1" w:styleId="Declassification">
    <w:name w:val="Declassification"/>
    <w:basedOn w:val="Normal"/>
    <w:next w:val="Normal"/>
    <w:uiPriority w:val="1"/>
    <w:rsid w:val="003734A7"/>
    <w:pPr>
      <w:spacing w:after="0" w:line="276" w:lineRule="auto"/>
      <w:jc w:val="both"/>
    </w:pPr>
    <w:rPr>
      <w:rFonts w:ascii="Times New Roman" w:hAnsi="Times New Roman" w:cs="Times New Roman"/>
      <w:lang w:val="de-DE" w:eastAsia="en-US"/>
    </w:rPr>
  </w:style>
  <w:style w:type="paragraph" w:customStyle="1" w:styleId="Disclaimer">
    <w:name w:val="Disclaimer"/>
    <w:basedOn w:val="Normal"/>
    <w:uiPriority w:val="1"/>
    <w:rsid w:val="003734A7"/>
    <w:pPr>
      <w:spacing w:before="120" w:after="120" w:line="276" w:lineRule="auto"/>
      <w:jc w:val="both"/>
    </w:pPr>
    <w:rPr>
      <w:rFonts w:ascii="Times New Roman" w:hAnsi="Times New Roman" w:cs="Times New Roman"/>
      <w:lang w:val="de-DE" w:eastAsia="en-US"/>
    </w:rPr>
  </w:style>
  <w:style w:type="paragraph" w:customStyle="1" w:styleId="SecurityMarking">
    <w:name w:val="SecurityMarking"/>
    <w:basedOn w:val="Normal"/>
    <w:uiPriority w:val="1"/>
    <w:rsid w:val="003734A7"/>
    <w:pPr>
      <w:spacing w:after="0" w:line="276" w:lineRule="auto"/>
      <w:ind w:left="5103"/>
    </w:pPr>
    <w:rPr>
      <w:rFonts w:ascii="Times New Roman" w:hAnsi="Times New Roman" w:cs="Times New Roman"/>
      <w:sz w:val="28"/>
      <w:szCs w:val="28"/>
      <w:lang w:val="de-DE" w:eastAsia="en-US"/>
    </w:rPr>
  </w:style>
  <w:style w:type="paragraph" w:customStyle="1" w:styleId="DateMarking">
    <w:name w:val="DateMarking"/>
    <w:basedOn w:val="Normal"/>
    <w:uiPriority w:val="1"/>
    <w:rsid w:val="003734A7"/>
    <w:pPr>
      <w:spacing w:after="0" w:line="276" w:lineRule="auto"/>
      <w:ind w:left="5103"/>
    </w:pPr>
    <w:rPr>
      <w:rFonts w:ascii="Times New Roman" w:hAnsi="Times New Roman" w:cs="Times New Roman"/>
      <w:i/>
      <w:iCs/>
      <w:sz w:val="28"/>
      <w:szCs w:val="28"/>
      <w:lang w:val="de-DE" w:eastAsia="en-US"/>
    </w:rPr>
  </w:style>
  <w:style w:type="paragraph" w:customStyle="1" w:styleId="ReleasableTo">
    <w:name w:val="ReleasableTo"/>
    <w:basedOn w:val="Normal"/>
    <w:uiPriority w:val="1"/>
    <w:rsid w:val="003734A7"/>
    <w:pPr>
      <w:spacing w:after="0" w:line="276" w:lineRule="auto"/>
      <w:ind w:left="5103"/>
    </w:pPr>
    <w:rPr>
      <w:rFonts w:ascii="Times New Roman" w:hAnsi="Times New Roman" w:cs="Times New Roman"/>
      <w:i/>
      <w:iCs/>
      <w:sz w:val="28"/>
      <w:szCs w:val="28"/>
      <w:lang w:val="de-DE" w:eastAsia="en-US"/>
    </w:rPr>
  </w:style>
  <w:style w:type="paragraph" w:customStyle="1" w:styleId="Annexetitreexpos">
    <w:name w:val="Annexe titre (exposé)"/>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Annexetitre">
    <w:name w:val="Annexe titre"/>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Annexetitrefichefinancire">
    <w:name w:val="Annexe titre (fiche financière)"/>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Applicationdirecte">
    <w:name w:val="Application directe"/>
    <w:basedOn w:val="Normal"/>
    <w:next w:val="Fait"/>
    <w:uiPriority w:val="1"/>
    <w:rsid w:val="003734A7"/>
    <w:pPr>
      <w:spacing w:before="480" w:after="120" w:line="276" w:lineRule="auto"/>
      <w:jc w:val="both"/>
    </w:pPr>
    <w:rPr>
      <w:rFonts w:ascii="Times New Roman" w:hAnsi="Times New Roman" w:cs="Times New Roman"/>
      <w:lang w:val="de-DE" w:eastAsia="en-US"/>
    </w:rPr>
  </w:style>
  <w:style w:type="paragraph" w:customStyle="1" w:styleId="Avertissementtitre">
    <w:name w:val="Avertissement titre"/>
    <w:basedOn w:val="Normal"/>
    <w:next w:val="Normal"/>
    <w:uiPriority w:val="1"/>
    <w:rsid w:val="003734A7"/>
    <w:pPr>
      <w:keepNext/>
      <w:spacing w:before="480" w:after="120" w:line="276" w:lineRule="auto"/>
      <w:jc w:val="both"/>
    </w:pPr>
    <w:rPr>
      <w:rFonts w:ascii="Times New Roman" w:hAnsi="Times New Roman" w:cs="Times New Roman"/>
      <w:u w:val="single"/>
      <w:lang w:val="de-DE" w:eastAsia="en-US"/>
    </w:rPr>
  </w:style>
  <w:style w:type="paragraph" w:customStyle="1" w:styleId="Confidence">
    <w:name w:val="Confidence"/>
    <w:basedOn w:val="Normal"/>
    <w:next w:val="Normal"/>
    <w:uiPriority w:val="1"/>
    <w:rsid w:val="003734A7"/>
    <w:pPr>
      <w:spacing w:before="360" w:after="120" w:line="276" w:lineRule="auto"/>
      <w:jc w:val="center"/>
    </w:pPr>
    <w:rPr>
      <w:rFonts w:ascii="Times New Roman" w:hAnsi="Times New Roman" w:cs="Times New Roman"/>
      <w:lang w:val="de-DE" w:eastAsia="en-US"/>
    </w:rPr>
  </w:style>
  <w:style w:type="paragraph" w:customStyle="1" w:styleId="Confidentialit">
    <w:name w:val="Confidentialité"/>
    <w:basedOn w:val="Normal"/>
    <w:next w:val="TypedudocumentPagedecouverture"/>
    <w:uiPriority w:val="1"/>
    <w:rsid w:val="003734A7"/>
    <w:pPr>
      <w:spacing w:before="240" w:after="240" w:line="276" w:lineRule="auto"/>
      <w:ind w:left="5103"/>
    </w:pPr>
    <w:rPr>
      <w:rFonts w:ascii="Times New Roman" w:hAnsi="Times New Roman" w:cs="Times New Roman"/>
      <w:i/>
      <w:iCs/>
      <w:sz w:val="32"/>
      <w:szCs w:val="32"/>
      <w:lang w:val="de-DE" w:eastAsia="en-US"/>
    </w:rPr>
  </w:style>
  <w:style w:type="paragraph" w:customStyle="1" w:styleId="Considrant">
    <w:name w:val="Considérant"/>
    <w:basedOn w:val="Normal"/>
    <w:uiPriority w:val="1"/>
    <w:rsid w:val="003734A7"/>
    <w:pPr>
      <w:numPr>
        <w:numId w:val="25"/>
      </w:numPr>
      <w:tabs>
        <w:tab w:val="clear" w:pos="709"/>
      </w:tabs>
      <w:spacing w:before="120" w:after="120" w:line="276" w:lineRule="auto"/>
      <w:ind w:left="0" w:firstLine="0"/>
      <w:jc w:val="both"/>
    </w:pPr>
    <w:rPr>
      <w:rFonts w:ascii="Times New Roman" w:hAnsi="Times New Roman" w:cs="Times New Roman"/>
      <w:lang w:val="de-DE" w:eastAsia="en-US"/>
    </w:rPr>
  </w:style>
  <w:style w:type="paragraph" w:customStyle="1" w:styleId="Corrigendum">
    <w:name w:val="Corrigendum"/>
    <w:basedOn w:val="Normal"/>
    <w:next w:val="Normal"/>
    <w:uiPriority w:val="1"/>
    <w:rsid w:val="003734A7"/>
    <w:pPr>
      <w:spacing w:after="240" w:line="276" w:lineRule="auto"/>
    </w:pPr>
    <w:rPr>
      <w:rFonts w:ascii="Times New Roman" w:hAnsi="Times New Roman" w:cs="Times New Roman"/>
      <w:lang w:val="de-DE" w:eastAsia="en-US"/>
    </w:rPr>
  </w:style>
  <w:style w:type="paragraph" w:customStyle="1" w:styleId="Datedadoption">
    <w:name w:val="Date d'adoption"/>
    <w:basedOn w:val="Normal"/>
    <w:next w:val="IntrtEEE"/>
    <w:uiPriority w:val="1"/>
    <w:rsid w:val="003734A7"/>
    <w:pPr>
      <w:spacing w:before="360" w:after="0" w:line="276" w:lineRule="auto"/>
      <w:jc w:val="center"/>
    </w:pPr>
    <w:rPr>
      <w:rFonts w:ascii="Times New Roman" w:hAnsi="Times New Roman" w:cs="Times New Roman"/>
      <w:b/>
      <w:bCs/>
      <w:lang w:val="de-DE" w:eastAsia="en-US"/>
    </w:rPr>
  </w:style>
  <w:style w:type="paragraph" w:customStyle="1" w:styleId="Exposdesmotifstitre">
    <w:name w:val="Exposé des motifs titre"/>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Fait">
    <w:name w:val="Fait à"/>
    <w:basedOn w:val="Normal"/>
    <w:next w:val="Institutionquisigne"/>
    <w:uiPriority w:val="1"/>
    <w:rsid w:val="003734A7"/>
    <w:pPr>
      <w:keepNext/>
      <w:spacing w:before="120" w:after="0" w:line="276" w:lineRule="auto"/>
      <w:jc w:val="both"/>
    </w:pPr>
    <w:rPr>
      <w:rFonts w:ascii="Times New Roman" w:hAnsi="Times New Roman" w:cs="Times New Roman"/>
      <w:lang w:val="de-DE" w:eastAsia="en-US"/>
    </w:rPr>
  </w:style>
  <w:style w:type="paragraph" w:customStyle="1" w:styleId="Formuledadoption">
    <w:name w:val="Formule d'adoption"/>
    <w:basedOn w:val="Normal"/>
    <w:next w:val="Titrearticle"/>
    <w:uiPriority w:val="1"/>
    <w:rsid w:val="003734A7"/>
    <w:pPr>
      <w:keepNext/>
      <w:spacing w:before="120" w:after="120" w:line="276" w:lineRule="auto"/>
      <w:jc w:val="both"/>
    </w:pPr>
    <w:rPr>
      <w:rFonts w:ascii="Times New Roman" w:hAnsi="Times New Roman" w:cs="Times New Roman"/>
      <w:lang w:val="de-DE" w:eastAsia="en-US"/>
    </w:rPr>
  </w:style>
  <w:style w:type="paragraph" w:customStyle="1" w:styleId="Institutionquiagit">
    <w:name w:val="Institution qui agit"/>
    <w:basedOn w:val="Normal"/>
    <w:next w:val="Normal"/>
    <w:uiPriority w:val="1"/>
    <w:rsid w:val="003734A7"/>
    <w:pPr>
      <w:keepNext/>
      <w:spacing w:before="600" w:after="120" w:line="276" w:lineRule="auto"/>
      <w:jc w:val="both"/>
    </w:pPr>
    <w:rPr>
      <w:rFonts w:ascii="Times New Roman" w:hAnsi="Times New Roman" w:cs="Times New Roman"/>
      <w:lang w:val="de-DE" w:eastAsia="en-US"/>
    </w:rPr>
  </w:style>
  <w:style w:type="paragraph" w:customStyle="1" w:styleId="Institutionquisigne">
    <w:name w:val="Institution qui signe"/>
    <w:basedOn w:val="Normal"/>
    <w:next w:val="Personnequisigne"/>
    <w:uiPriority w:val="1"/>
    <w:rsid w:val="003734A7"/>
    <w:pPr>
      <w:keepNext/>
      <w:tabs>
        <w:tab w:val="left" w:pos="4252"/>
      </w:tabs>
      <w:spacing w:before="720" w:after="0" w:line="276" w:lineRule="auto"/>
      <w:jc w:val="both"/>
    </w:pPr>
    <w:rPr>
      <w:rFonts w:ascii="Times New Roman" w:hAnsi="Times New Roman" w:cs="Times New Roman"/>
      <w:i/>
      <w:iCs/>
      <w:lang w:val="de-DE" w:eastAsia="en-US"/>
    </w:rPr>
  </w:style>
  <w:style w:type="paragraph" w:customStyle="1" w:styleId="ManualConsidrant">
    <w:name w:val="Manual Considérant"/>
    <w:basedOn w:val="Normal"/>
    <w:uiPriority w:val="1"/>
    <w:rsid w:val="003734A7"/>
    <w:pPr>
      <w:spacing w:before="120" w:after="120" w:line="276" w:lineRule="auto"/>
      <w:ind w:left="709" w:hanging="709"/>
      <w:jc w:val="both"/>
    </w:pPr>
    <w:rPr>
      <w:rFonts w:ascii="Times New Roman" w:hAnsi="Times New Roman" w:cs="Times New Roman"/>
      <w:lang w:val="de-DE" w:eastAsia="en-US"/>
    </w:rPr>
  </w:style>
  <w:style w:type="paragraph" w:customStyle="1" w:styleId="Personnequisigne">
    <w:name w:val="Personne qui signe"/>
    <w:basedOn w:val="Normal"/>
    <w:next w:val="Institutionquisigne"/>
    <w:uiPriority w:val="1"/>
    <w:rsid w:val="003734A7"/>
    <w:pPr>
      <w:tabs>
        <w:tab w:val="left" w:pos="4252"/>
      </w:tabs>
      <w:spacing w:after="0" w:line="276" w:lineRule="auto"/>
    </w:pPr>
    <w:rPr>
      <w:rFonts w:ascii="Times New Roman" w:hAnsi="Times New Roman" w:cs="Times New Roman"/>
      <w:i/>
      <w:iCs/>
      <w:lang w:val="de-DE" w:eastAsia="en-US"/>
    </w:rPr>
  </w:style>
  <w:style w:type="paragraph" w:customStyle="1" w:styleId="Rfrenceinterinstitutionnelle">
    <w:name w:val="Référence interinstitutionnelle"/>
    <w:basedOn w:val="Normal"/>
    <w:next w:val="Statut"/>
    <w:uiPriority w:val="1"/>
    <w:rsid w:val="003734A7"/>
    <w:pPr>
      <w:spacing w:after="0" w:line="276" w:lineRule="auto"/>
      <w:ind w:left="5103"/>
    </w:pPr>
    <w:rPr>
      <w:rFonts w:ascii="Times New Roman" w:hAnsi="Times New Roman" w:cs="Times New Roman"/>
      <w:lang w:val="de-DE" w:eastAsia="en-US"/>
    </w:rPr>
  </w:style>
  <w:style w:type="paragraph" w:customStyle="1" w:styleId="Rfrenceinterne">
    <w:name w:val="Référence interne"/>
    <w:basedOn w:val="Normal"/>
    <w:next w:val="Rfrenceinterinstitutionnelle"/>
    <w:uiPriority w:val="1"/>
    <w:rsid w:val="003734A7"/>
    <w:pPr>
      <w:spacing w:after="0" w:line="276" w:lineRule="auto"/>
      <w:ind w:left="5103"/>
    </w:pPr>
    <w:rPr>
      <w:rFonts w:ascii="Times New Roman" w:hAnsi="Times New Roman" w:cs="Times New Roman"/>
      <w:lang w:val="de-DE" w:eastAsia="en-US"/>
    </w:rPr>
  </w:style>
  <w:style w:type="paragraph" w:customStyle="1" w:styleId="Statut">
    <w:name w:val="Statut"/>
    <w:basedOn w:val="Normal"/>
    <w:next w:val="Typedudocument"/>
    <w:uiPriority w:val="1"/>
    <w:rsid w:val="003734A7"/>
    <w:pPr>
      <w:spacing w:after="240" w:line="276" w:lineRule="auto"/>
      <w:jc w:val="center"/>
    </w:pPr>
    <w:rPr>
      <w:rFonts w:ascii="Times New Roman" w:hAnsi="Times New Roman" w:cs="Times New Roman"/>
      <w:lang w:val="de-DE" w:eastAsia="en-US"/>
    </w:rPr>
  </w:style>
  <w:style w:type="paragraph" w:customStyle="1" w:styleId="Titrearticle">
    <w:name w:val="Titre article"/>
    <w:basedOn w:val="Normal"/>
    <w:next w:val="Normal"/>
    <w:uiPriority w:val="1"/>
    <w:rsid w:val="003734A7"/>
    <w:pPr>
      <w:keepNext/>
      <w:spacing w:before="360" w:after="120" w:line="276" w:lineRule="auto"/>
      <w:jc w:val="center"/>
    </w:pPr>
    <w:rPr>
      <w:rFonts w:ascii="Times New Roman" w:hAnsi="Times New Roman" w:cs="Times New Roman"/>
      <w:i/>
      <w:iCs/>
      <w:lang w:val="de-DE" w:eastAsia="en-US"/>
    </w:rPr>
  </w:style>
  <w:style w:type="paragraph" w:customStyle="1" w:styleId="Typedudocument">
    <w:name w:val="Type du document"/>
    <w:basedOn w:val="Normal"/>
    <w:next w:val="Accompagnant"/>
    <w:uiPriority w:val="1"/>
    <w:rsid w:val="003734A7"/>
    <w:pPr>
      <w:spacing w:before="360" w:after="180" w:line="276" w:lineRule="auto"/>
      <w:jc w:val="center"/>
    </w:pPr>
    <w:rPr>
      <w:rFonts w:ascii="Times New Roman" w:hAnsi="Times New Roman" w:cs="Times New Roman"/>
      <w:b/>
      <w:bCs/>
      <w:lang w:val="de-DE" w:eastAsia="en-US"/>
    </w:rPr>
  </w:style>
  <w:style w:type="character" w:customStyle="1" w:styleId="Added">
    <w:name w:val="Added"/>
    <w:basedOn w:val="DefaultParagraphFont"/>
    <w:rsid w:val="003734A7"/>
    <w:rPr>
      <w:b/>
      <w:u w:val="single"/>
      <w:shd w:val="clear" w:color="auto" w:fill="auto"/>
    </w:rPr>
  </w:style>
  <w:style w:type="character" w:customStyle="1" w:styleId="Deleted">
    <w:name w:val="Deleted"/>
    <w:basedOn w:val="DefaultParagraphFont"/>
    <w:rsid w:val="003734A7"/>
    <w:rPr>
      <w:strike/>
      <w:dstrike w:val="0"/>
      <w:shd w:val="clear" w:color="auto" w:fill="auto"/>
    </w:rPr>
  </w:style>
  <w:style w:type="paragraph" w:customStyle="1" w:styleId="Address">
    <w:name w:val="Address"/>
    <w:basedOn w:val="Normal"/>
    <w:next w:val="Normal"/>
    <w:uiPriority w:val="1"/>
    <w:rsid w:val="003734A7"/>
    <w:pPr>
      <w:keepLines/>
      <w:spacing w:before="120" w:after="120" w:line="276" w:lineRule="auto"/>
      <w:ind w:left="3402"/>
    </w:pPr>
    <w:rPr>
      <w:rFonts w:ascii="Times New Roman" w:hAnsi="Times New Roman" w:cs="Times New Roman"/>
      <w:lang w:val="de-DE" w:eastAsia="en-US"/>
    </w:rPr>
  </w:style>
  <w:style w:type="paragraph" w:customStyle="1" w:styleId="Objetexterne">
    <w:name w:val="Objet externe"/>
    <w:basedOn w:val="Normal"/>
    <w:next w:val="Normal"/>
    <w:uiPriority w:val="1"/>
    <w:rsid w:val="003734A7"/>
    <w:pPr>
      <w:spacing w:before="120" w:after="120" w:line="276" w:lineRule="auto"/>
      <w:jc w:val="both"/>
    </w:pPr>
    <w:rPr>
      <w:rFonts w:ascii="Times New Roman" w:hAnsi="Times New Roman" w:cs="Times New Roman"/>
      <w:i/>
      <w:iCs/>
      <w:caps/>
      <w:lang w:val="de-DE" w:eastAsia="en-US"/>
    </w:rPr>
  </w:style>
  <w:style w:type="paragraph" w:customStyle="1" w:styleId="Supertitre">
    <w:name w:val="Supertitre"/>
    <w:basedOn w:val="Normal"/>
    <w:next w:val="Normal"/>
    <w:uiPriority w:val="1"/>
    <w:rsid w:val="003734A7"/>
    <w:pPr>
      <w:spacing w:after="600" w:line="276" w:lineRule="auto"/>
      <w:jc w:val="center"/>
    </w:pPr>
    <w:rPr>
      <w:rFonts w:ascii="Times New Roman" w:hAnsi="Times New Roman" w:cs="Times New Roman"/>
      <w:b/>
      <w:bCs/>
      <w:lang w:val="de-DE" w:eastAsia="en-US"/>
    </w:rPr>
  </w:style>
  <w:style w:type="paragraph" w:customStyle="1" w:styleId="Languesfaisantfoi">
    <w:name w:val="Langues faisant foi"/>
    <w:basedOn w:val="Normal"/>
    <w:next w:val="Normal"/>
    <w:uiPriority w:val="1"/>
    <w:rsid w:val="003734A7"/>
    <w:pPr>
      <w:spacing w:before="360" w:after="0" w:line="276" w:lineRule="auto"/>
      <w:jc w:val="center"/>
    </w:pPr>
    <w:rPr>
      <w:rFonts w:ascii="Times New Roman" w:hAnsi="Times New Roman" w:cs="Times New Roman"/>
      <w:lang w:val="de-DE" w:eastAsia="en-US"/>
    </w:rPr>
  </w:style>
  <w:style w:type="paragraph" w:customStyle="1" w:styleId="Rfrencecroise">
    <w:name w:val="Référence croisée"/>
    <w:basedOn w:val="Normal"/>
    <w:uiPriority w:val="1"/>
    <w:rsid w:val="003734A7"/>
    <w:pPr>
      <w:spacing w:after="0" w:line="276" w:lineRule="auto"/>
      <w:jc w:val="center"/>
    </w:pPr>
    <w:rPr>
      <w:rFonts w:ascii="Times New Roman" w:hAnsi="Times New Roman" w:cs="Times New Roman"/>
      <w:lang w:val="de-DE" w:eastAsia="en-US"/>
    </w:rPr>
  </w:style>
  <w:style w:type="paragraph" w:customStyle="1" w:styleId="Fichefinanciretitre">
    <w:name w:val="Fiche financière titre"/>
    <w:basedOn w:val="Normal"/>
    <w:next w:val="Normal"/>
    <w:uiPriority w:val="1"/>
    <w:rsid w:val="003734A7"/>
    <w:pPr>
      <w:spacing w:before="120" w:after="120" w:line="276" w:lineRule="auto"/>
      <w:jc w:val="center"/>
    </w:pPr>
    <w:rPr>
      <w:rFonts w:ascii="Times New Roman" w:hAnsi="Times New Roman" w:cs="Times New Roman"/>
      <w:b/>
      <w:bCs/>
      <w:u w:val="single"/>
      <w:lang w:val="de-DE" w:eastAsia="en-US"/>
    </w:rPr>
  </w:style>
  <w:style w:type="paragraph" w:customStyle="1" w:styleId="DatedadoptionPagedecouverture">
    <w:name w:val="Date d'adoption (Page de couverture)"/>
    <w:basedOn w:val="Datedadoption"/>
    <w:next w:val="IntrtEEEPagedecouverture"/>
    <w:uiPriority w:val="1"/>
    <w:rsid w:val="003734A7"/>
  </w:style>
  <w:style w:type="paragraph" w:customStyle="1" w:styleId="RfrenceinterinstitutionnellePagedecouverture">
    <w:name w:val="Référence interinstitutionnelle (Page de couverture)"/>
    <w:basedOn w:val="Rfrenceinterinstitutionnelle"/>
    <w:next w:val="Confidentialit"/>
    <w:uiPriority w:val="1"/>
    <w:rsid w:val="003734A7"/>
  </w:style>
  <w:style w:type="paragraph" w:customStyle="1" w:styleId="StatutPagedecouverture">
    <w:name w:val="Statut (Page de couverture)"/>
    <w:basedOn w:val="Statut"/>
    <w:next w:val="TypedudocumentPagedecouverture"/>
    <w:uiPriority w:val="1"/>
    <w:rsid w:val="003734A7"/>
  </w:style>
  <w:style w:type="paragraph" w:customStyle="1" w:styleId="TypedudocumentPagedecouverture">
    <w:name w:val="Type du document (Page de couverture)"/>
    <w:basedOn w:val="Typedudocument"/>
    <w:next w:val="AccompagnantPagedecouverture"/>
    <w:uiPriority w:val="1"/>
    <w:rsid w:val="003734A7"/>
  </w:style>
  <w:style w:type="paragraph" w:customStyle="1" w:styleId="Volume">
    <w:name w:val="Volume"/>
    <w:basedOn w:val="Normal"/>
    <w:next w:val="Confidentialit"/>
    <w:uiPriority w:val="1"/>
    <w:rsid w:val="003734A7"/>
    <w:pPr>
      <w:spacing w:after="240" w:line="276" w:lineRule="auto"/>
      <w:ind w:left="5103"/>
    </w:pPr>
    <w:rPr>
      <w:rFonts w:ascii="Times New Roman" w:hAnsi="Times New Roman" w:cs="Times New Roman"/>
      <w:lang w:val="de-DE" w:eastAsia="en-US"/>
    </w:rPr>
  </w:style>
  <w:style w:type="paragraph" w:customStyle="1" w:styleId="IntrtEEE">
    <w:name w:val="Intérêt EEE"/>
    <w:basedOn w:val="Languesfaisantfoi"/>
    <w:next w:val="Normal"/>
    <w:uiPriority w:val="1"/>
    <w:rsid w:val="003734A7"/>
    <w:pPr>
      <w:spacing w:after="240"/>
    </w:pPr>
  </w:style>
  <w:style w:type="paragraph" w:customStyle="1" w:styleId="Accompagnant">
    <w:name w:val="Accompagnant"/>
    <w:basedOn w:val="Normal"/>
    <w:next w:val="Typeacteprincipal"/>
    <w:uiPriority w:val="1"/>
    <w:rsid w:val="003734A7"/>
    <w:pPr>
      <w:spacing w:before="180" w:after="240" w:line="276" w:lineRule="auto"/>
      <w:jc w:val="center"/>
    </w:pPr>
    <w:rPr>
      <w:rFonts w:ascii="Times New Roman" w:hAnsi="Times New Roman" w:cs="Times New Roman"/>
      <w:b/>
      <w:bCs/>
      <w:lang w:val="de-DE" w:eastAsia="en-US"/>
    </w:rPr>
  </w:style>
  <w:style w:type="paragraph" w:customStyle="1" w:styleId="Typeacteprincipal">
    <w:name w:val="Type acte principal"/>
    <w:basedOn w:val="Normal"/>
    <w:next w:val="Objetacteprincipal"/>
    <w:uiPriority w:val="1"/>
    <w:rsid w:val="003734A7"/>
    <w:pPr>
      <w:spacing w:after="240" w:line="276" w:lineRule="auto"/>
      <w:jc w:val="center"/>
    </w:pPr>
    <w:rPr>
      <w:rFonts w:ascii="Times New Roman" w:hAnsi="Times New Roman" w:cs="Times New Roman"/>
      <w:b/>
      <w:bCs/>
      <w:lang w:val="de-DE" w:eastAsia="en-US"/>
    </w:rPr>
  </w:style>
  <w:style w:type="paragraph" w:customStyle="1" w:styleId="Objetacteprincipal">
    <w:name w:val="Objet acte principal"/>
    <w:basedOn w:val="Normal"/>
    <w:next w:val="Titrearticle"/>
    <w:uiPriority w:val="1"/>
    <w:rsid w:val="003734A7"/>
    <w:pPr>
      <w:spacing w:after="360" w:line="276" w:lineRule="auto"/>
      <w:jc w:val="center"/>
    </w:pPr>
    <w:rPr>
      <w:rFonts w:ascii="Times New Roman" w:hAnsi="Times New Roman" w:cs="Times New Roman"/>
      <w:b/>
      <w:bCs/>
      <w:lang w:val="de-DE" w:eastAsia="en-US"/>
    </w:rPr>
  </w:style>
  <w:style w:type="paragraph" w:customStyle="1" w:styleId="IntrtEEEPagedecouverture">
    <w:name w:val="Intérêt EEE (Page de couverture)"/>
    <w:basedOn w:val="IntrtEEE"/>
    <w:next w:val="Rfrencecroise"/>
    <w:uiPriority w:val="1"/>
    <w:rsid w:val="003734A7"/>
  </w:style>
  <w:style w:type="paragraph" w:customStyle="1" w:styleId="AccompagnantPagedecouverture">
    <w:name w:val="Accompagnant (Page de couverture)"/>
    <w:basedOn w:val="Accompagnant"/>
    <w:next w:val="TypeacteprincipalPagedecouverture"/>
    <w:uiPriority w:val="1"/>
    <w:rsid w:val="003734A7"/>
  </w:style>
  <w:style w:type="paragraph" w:customStyle="1" w:styleId="TypeacteprincipalPagedecouverture">
    <w:name w:val="Type acte principal (Page de couverture)"/>
    <w:basedOn w:val="Typeacteprincipal"/>
    <w:next w:val="ObjetacteprincipalPagedecouverture"/>
    <w:uiPriority w:val="1"/>
    <w:rsid w:val="003734A7"/>
  </w:style>
  <w:style w:type="paragraph" w:customStyle="1" w:styleId="ObjetacteprincipalPagedecouverture">
    <w:name w:val="Objet acte principal (Page de couverture)"/>
    <w:basedOn w:val="Objetacteprincipal"/>
    <w:next w:val="Rfrencecroise"/>
    <w:uiPriority w:val="1"/>
    <w:rsid w:val="003734A7"/>
  </w:style>
  <w:style w:type="paragraph" w:customStyle="1" w:styleId="LanguesfaisantfoiPagedecouverture">
    <w:name w:val="Langues faisant foi (Page de couverture)"/>
    <w:basedOn w:val="Normal"/>
    <w:next w:val="Normal"/>
    <w:uiPriority w:val="1"/>
    <w:rsid w:val="003734A7"/>
    <w:pPr>
      <w:spacing w:before="360" w:after="0" w:line="276" w:lineRule="auto"/>
      <w:jc w:val="center"/>
    </w:pPr>
    <w:rPr>
      <w:rFonts w:ascii="Times New Roman" w:hAnsi="Times New Roman" w:cs="Times New Roman"/>
      <w:lang w:val="de-DE" w:eastAsia="en-US"/>
    </w:rPr>
  </w:style>
  <w:style w:type="paragraph" w:styleId="Caption">
    <w:name w:val="caption"/>
    <w:basedOn w:val="Normal"/>
    <w:next w:val="Normal"/>
    <w:uiPriority w:val="35"/>
    <w:semiHidden/>
    <w:unhideWhenUsed/>
    <w:qFormat/>
    <w:rsid w:val="003734A7"/>
    <w:pPr>
      <w:spacing w:after="200" w:line="276" w:lineRule="auto"/>
      <w:jc w:val="both"/>
    </w:pPr>
    <w:rPr>
      <w:rFonts w:ascii="Times New Roman" w:hAnsi="Times New Roman" w:cs="Times New Roman"/>
      <w:i/>
      <w:iCs/>
      <w:color w:val="0E2841" w:themeColor="text2"/>
      <w:sz w:val="18"/>
      <w:szCs w:val="18"/>
      <w:lang w:val="de-DE" w:eastAsia="en-US"/>
    </w:rPr>
  </w:style>
  <w:style w:type="paragraph" w:styleId="TableofFigures">
    <w:name w:val="table of figures"/>
    <w:basedOn w:val="Normal"/>
    <w:next w:val="Normal"/>
    <w:uiPriority w:val="99"/>
    <w:semiHidden/>
    <w:unhideWhenUsed/>
    <w:rsid w:val="003734A7"/>
    <w:pPr>
      <w:spacing w:before="120" w:after="0" w:line="276" w:lineRule="auto"/>
      <w:jc w:val="both"/>
    </w:pPr>
    <w:rPr>
      <w:rFonts w:ascii="Times New Roman" w:hAnsi="Times New Roman" w:cs="Times New Roman"/>
      <w:lang w:val="de-DE" w:eastAsia="en-US"/>
    </w:rPr>
  </w:style>
  <w:style w:type="paragraph" w:styleId="ListNumber">
    <w:name w:val="List Number"/>
    <w:basedOn w:val="Normal"/>
    <w:uiPriority w:val="99"/>
    <w:semiHidden/>
    <w:unhideWhenUsed/>
    <w:rsid w:val="003734A7"/>
    <w:pPr>
      <w:numPr>
        <w:numId w:val="30"/>
      </w:numPr>
      <w:tabs>
        <w:tab w:val="clear" w:pos="360"/>
        <w:tab w:val="num" w:pos="850"/>
      </w:tabs>
      <w:spacing w:before="120" w:after="120" w:line="276" w:lineRule="auto"/>
      <w:ind w:left="0" w:firstLine="0"/>
      <w:contextualSpacing/>
      <w:jc w:val="both"/>
    </w:pPr>
    <w:rPr>
      <w:rFonts w:ascii="Times New Roman" w:hAnsi="Times New Roman" w:cs="Times New Roman"/>
      <w:lang w:val="de-DE" w:eastAsia="en-US"/>
    </w:rPr>
  </w:style>
  <w:style w:type="paragraph" w:styleId="ListNumber2">
    <w:name w:val="List Number 2"/>
    <w:basedOn w:val="Normal"/>
    <w:uiPriority w:val="99"/>
    <w:semiHidden/>
    <w:unhideWhenUsed/>
    <w:rsid w:val="003734A7"/>
    <w:pPr>
      <w:numPr>
        <w:numId w:val="31"/>
      </w:numPr>
      <w:tabs>
        <w:tab w:val="clear" w:pos="643"/>
      </w:tabs>
      <w:spacing w:before="120" w:after="120" w:line="276" w:lineRule="auto"/>
      <w:ind w:left="0" w:firstLine="0"/>
      <w:contextualSpacing/>
      <w:jc w:val="both"/>
    </w:pPr>
    <w:rPr>
      <w:rFonts w:ascii="Times New Roman" w:hAnsi="Times New Roman" w:cs="Times New Roman"/>
      <w:lang w:val="de-DE" w:eastAsia="en-US"/>
    </w:rPr>
  </w:style>
  <w:style w:type="paragraph" w:styleId="ListNumber3">
    <w:name w:val="List Number 3"/>
    <w:basedOn w:val="Normal"/>
    <w:uiPriority w:val="99"/>
    <w:semiHidden/>
    <w:unhideWhenUsed/>
    <w:rsid w:val="003734A7"/>
    <w:pPr>
      <w:numPr>
        <w:numId w:val="32"/>
      </w:numPr>
      <w:tabs>
        <w:tab w:val="clear" w:pos="926"/>
      </w:tabs>
      <w:spacing w:before="120" w:after="120" w:line="276" w:lineRule="auto"/>
      <w:ind w:left="0" w:firstLine="0"/>
      <w:contextualSpacing/>
      <w:jc w:val="both"/>
    </w:pPr>
    <w:rPr>
      <w:rFonts w:ascii="Times New Roman" w:hAnsi="Times New Roman" w:cs="Times New Roman"/>
      <w:lang w:val="de-DE" w:eastAsia="en-US"/>
    </w:rPr>
  </w:style>
  <w:style w:type="paragraph" w:styleId="ListNumber4">
    <w:name w:val="List Number 4"/>
    <w:basedOn w:val="Normal"/>
    <w:uiPriority w:val="99"/>
    <w:semiHidden/>
    <w:unhideWhenUsed/>
    <w:rsid w:val="003734A7"/>
    <w:pPr>
      <w:numPr>
        <w:numId w:val="33"/>
      </w:numPr>
      <w:tabs>
        <w:tab w:val="clear" w:pos="1209"/>
      </w:tabs>
      <w:spacing w:before="120" w:after="120" w:line="276" w:lineRule="auto"/>
      <w:ind w:left="0" w:firstLine="0"/>
      <w:contextualSpacing/>
      <w:jc w:val="both"/>
    </w:pPr>
    <w:rPr>
      <w:rFonts w:ascii="Times New Roman" w:hAnsi="Times New Roman" w:cs="Times New Roman"/>
      <w:lang w:val="de-DE" w:eastAsia="en-US"/>
    </w:rPr>
  </w:style>
  <w:style w:type="character" w:customStyle="1" w:styleId="Bodytext5">
    <w:name w:val="Body text|5_"/>
    <w:basedOn w:val="DefaultParagraphFont"/>
    <w:link w:val="Bodytext50"/>
    <w:rsid w:val="003734A7"/>
    <w:rPr>
      <w:rFonts w:ascii="Arial" w:eastAsia="Arial" w:hAnsi="Arial" w:cs="Arial"/>
      <w:sz w:val="17"/>
      <w:szCs w:val="17"/>
      <w:shd w:val="clear" w:color="auto" w:fill="FFFFFF"/>
    </w:rPr>
  </w:style>
  <w:style w:type="paragraph" w:customStyle="1" w:styleId="Bodytext21">
    <w:name w:val="Body text|2"/>
    <w:basedOn w:val="Normal"/>
    <w:qFormat/>
    <w:rsid w:val="003734A7"/>
    <w:pPr>
      <w:widowControl w:val="0"/>
      <w:shd w:val="clear" w:color="auto" w:fill="FFFFFF"/>
      <w:spacing w:after="0" w:line="446" w:lineRule="exact"/>
      <w:ind w:hanging="660"/>
      <w:jc w:val="both"/>
    </w:pPr>
    <w:rPr>
      <w:rFonts w:ascii="Arial" w:eastAsia="Arial" w:hAnsi="Arial" w:cs="Arial"/>
      <w:sz w:val="21"/>
      <w:szCs w:val="21"/>
      <w:lang w:val="de-DE" w:eastAsia="en-US"/>
    </w:rPr>
  </w:style>
  <w:style w:type="paragraph" w:customStyle="1" w:styleId="Bodytext50">
    <w:name w:val="Body text|5"/>
    <w:basedOn w:val="Normal"/>
    <w:link w:val="Bodytext5"/>
    <w:rsid w:val="003734A7"/>
    <w:pPr>
      <w:widowControl w:val="0"/>
      <w:shd w:val="clear" w:color="auto" w:fill="FFFFFF"/>
      <w:spacing w:before="1000" w:after="1000" w:line="190" w:lineRule="exact"/>
    </w:pPr>
    <w:rPr>
      <w:rFonts w:ascii="Arial" w:eastAsia="Arial" w:hAnsi="Arial" w:cs="Arial"/>
      <w:sz w:val="17"/>
      <w:szCs w:val="17"/>
    </w:rPr>
  </w:style>
  <w:style w:type="table" w:customStyle="1" w:styleId="GridTable1Light-Accent11">
    <w:name w:val="Grid Table 1 Light - Accent 11"/>
    <w:basedOn w:val="TableNormal"/>
    <w:uiPriority w:val="46"/>
    <w:rsid w:val="003734A7"/>
    <w:pPr>
      <w:spacing w:after="0" w:line="240" w:lineRule="auto"/>
    </w:pPr>
    <w:rPr>
      <w:rFonts w:eastAsiaTheme="minorHAnsi"/>
      <w:sz w:val="22"/>
      <w:szCs w:val="22"/>
      <w:lang w:val="de-DE" w:eastAsia="en-US"/>
    </w:rPr>
    <w:tblPr>
      <w:tblStyleRowBandSize w:val="1"/>
      <w:tblStyleColBandSize w:val="1"/>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3734A7"/>
  </w:style>
  <w:style w:type="paragraph" w:customStyle="1" w:styleId="Default">
    <w:name w:val="Default"/>
    <w:rsid w:val="003734A7"/>
    <w:pPr>
      <w:autoSpaceDE w:val="0"/>
      <w:autoSpaceDN w:val="0"/>
      <w:adjustRightInd w:val="0"/>
      <w:spacing w:after="0" w:line="240" w:lineRule="auto"/>
    </w:pPr>
    <w:rPr>
      <w:rFonts w:ascii="Calibri" w:eastAsiaTheme="minorHAnsi" w:hAnsi="Calibri" w:cs="Calibri"/>
      <w:color w:val="000000"/>
      <w:lang w:val="de-DE" w:eastAsia="en-US"/>
    </w:rPr>
  </w:style>
  <w:style w:type="paragraph" w:styleId="BodyText">
    <w:name w:val="Body Text"/>
    <w:basedOn w:val="Normal"/>
    <w:link w:val="BodyTextChar"/>
    <w:uiPriority w:val="99"/>
    <w:unhideWhenUsed/>
    <w:rsid w:val="003734A7"/>
    <w:pPr>
      <w:spacing w:before="120" w:after="120" w:line="276" w:lineRule="auto"/>
      <w:jc w:val="both"/>
    </w:pPr>
    <w:rPr>
      <w:rFonts w:ascii="Times New Roman" w:hAnsi="Times New Roman" w:cs="Times New Roman"/>
      <w:lang w:val="de-DE" w:eastAsia="en-US"/>
    </w:rPr>
  </w:style>
  <w:style w:type="character" w:customStyle="1" w:styleId="BodyTextChar">
    <w:name w:val="Body Text Char"/>
    <w:basedOn w:val="DefaultParagraphFont"/>
    <w:link w:val="BodyText"/>
    <w:uiPriority w:val="99"/>
    <w:rsid w:val="003734A7"/>
    <w:rPr>
      <w:rFonts w:ascii="Times New Roman" w:hAnsi="Times New Roman" w:cs="Times New Roman"/>
      <w:lang w:val="de-DE" w:eastAsia="en-US"/>
    </w:rPr>
  </w:style>
  <w:style w:type="paragraph" w:styleId="BodyTextIndent">
    <w:name w:val="Body Text Indent"/>
    <w:basedOn w:val="Normal"/>
    <w:link w:val="BodyTextIndentChar"/>
    <w:uiPriority w:val="99"/>
    <w:unhideWhenUsed/>
    <w:rsid w:val="003734A7"/>
    <w:pPr>
      <w:spacing w:before="120" w:after="120" w:line="276" w:lineRule="auto"/>
      <w:ind w:left="283"/>
      <w:jc w:val="both"/>
    </w:pPr>
    <w:rPr>
      <w:rFonts w:ascii="Times New Roman" w:hAnsi="Times New Roman" w:cs="Times New Roman"/>
      <w:lang w:val="de-DE" w:eastAsia="en-US"/>
    </w:rPr>
  </w:style>
  <w:style w:type="character" w:customStyle="1" w:styleId="BodyTextIndentChar">
    <w:name w:val="Body Text Indent Char"/>
    <w:basedOn w:val="DefaultParagraphFont"/>
    <w:link w:val="BodyTextIndent"/>
    <w:uiPriority w:val="99"/>
    <w:rsid w:val="003734A7"/>
    <w:rPr>
      <w:rFonts w:ascii="Times New Roman" w:hAnsi="Times New Roman" w:cs="Times New Roman"/>
      <w:lang w:val="de-DE" w:eastAsia="en-US"/>
    </w:rPr>
  </w:style>
  <w:style w:type="paragraph" w:styleId="BodyTextFirstIndent2">
    <w:name w:val="Body Text First Indent 2"/>
    <w:basedOn w:val="BodyTextIndent"/>
    <w:link w:val="BodyTextFirstIndent2Char"/>
    <w:uiPriority w:val="99"/>
    <w:unhideWhenUsed/>
    <w:rsid w:val="003734A7"/>
    <w:pPr>
      <w:ind w:left="360" w:firstLine="360"/>
    </w:pPr>
  </w:style>
  <w:style w:type="character" w:customStyle="1" w:styleId="BodyTextFirstIndent2Char">
    <w:name w:val="Body Text First Indent 2 Char"/>
    <w:basedOn w:val="BodyTextIndentChar"/>
    <w:link w:val="BodyTextFirstIndent2"/>
    <w:uiPriority w:val="99"/>
    <w:rsid w:val="003734A7"/>
    <w:rPr>
      <w:rFonts w:ascii="Times New Roman" w:hAnsi="Times New Roman" w:cs="Times New Roman"/>
      <w:lang w:val="de-DE" w:eastAsia="en-US"/>
    </w:rPr>
  </w:style>
  <w:style w:type="character" w:styleId="Strong">
    <w:name w:val="Strong"/>
    <w:basedOn w:val="DefaultParagraphFont"/>
    <w:uiPriority w:val="22"/>
    <w:qFormat/>
    <w:rsid w:val="003734A7"/>
    <w:rPr>
      <w:b/>
      <w:bCs/>
    </w:rPr>
  </w:style>
  <w:style w:type="table" w:customStyle="1" w:styleId="TableGrid1">
    <w:name w:val="Table Grid1"/>
    <w:basedOn w:val="TableNormal"/>
    <w:next w:val="TableGrid"/>
    <w:uiPriority w:val="59"/>
    <w:rsid w:val="003734A7"/>
    <w:pPr>
      <w:spacing w:after="0" w:line="240" w:lineRule="auto"/>
    </w:pPr>
    <w:rPr>
      <w:rFonts w:eastAsiaTheme="minorHAnsi"/>
      <w:sz w:val="22"/>
      <w:szCs w:val="22"/>
      <w:lang w:val="de-DE" w:eastAsia="en-US"/>
    </w:rPr>
    <w:tblPr/>
  </w:style>
  <w:style w:type="character" w:styleId="FollowedHyperlink">
    <w:name w:val="FollowedHyperlink"/>
    <w:basedOn w:val="DefaultParagraphFont"/>
    <w:uiPriority w:val="99"/>
    <w:semiHidden/>
    <w:unhideWhenUsed/>
    <w:rsid w:val="003734A7"/>
    <w:rPr>
      <w:color w:val="96607D" w:themeColor="followedHyperlink"/>
      <w:u w:val="single"/>
    </w:rPr>
  </w:style>
  <w:style w:type="paragraph" w:customStyle="1" w:styleId="TechnicalBlock">
    <w:name w:val="Technical Block"/>
    <w:basedOn w:val="Normal"/>
    <w:link w:val="TechnicalBlockChar"/>
    <w:uiPriority w:val="1"/>
    <w:rsid w:val="003734A7"/>
    <w:pPr>
      <w:spacing w:after="240" w:line="276" w:lineRule="auto"/>
      <w:jc w:val="center"/>
    </w:pPr>
    <w:rPr>
      <w:rFonts w:ascii="Times New Roman" w:hAnsi="Times New Roman" w:cs="Times New Roman"/>
      <w:noProof/>
      <w:lang w:val="de-DE" w:eastAsia="en-US"/>
    </w:rPr>
  </w:style>
  <w:style w:type="character" w:customStyle="1" w:styleId="TechnicalBlockChar">
    <w:name w:val="Technical Block Char"/>
    <w:basedOn w:val="DefaultParagraphFont"/>
    <w:link w:val="TechnicalBlock"/>
    <w:uiPriority w:val="1"/>
    <w:rsid w:val="003734A7"/>
    <w:rPr>
      <w:rFonts w:ascii="Times New Roman" w:hAnsi="Times New Roman" w:cs="Times New Roman"/>
      <w:noProof/>
      <w:lang w:val="de-DE" w:eastAsia="en-US"/>
    </w:rPr>
  </w:style>
  <w:style w:type="paragraph" w:customStyle="1" w:styleId="EntText">
    <w:name w:val="EntText"/>
    <w:basedOn w:val="Normal"/>
    <w:rsid w:val="003734A7"/>
    <w:pPr>
      <w:spacing w:before="120" w:after="120" w:line="360" w:lineRule="auto"/>
    </w:pPr>
    <w:rPr>
      <w:rFonts w:ascii="Times New Roman" w:eastAsiaTheme="minorHAnsi" w:hAnsi="Times New Roman" w:cs="Times New Roman"/>
      <w:szCs w:val="22"/>
      <w:lang w:val="de-DE" w:eastAsia="en-US"/>
    </w:rPr>
  </w:style>
  <w:style w:type="paragraph" w:customStyle="1" w:styleId="Lignefinal">
    <w:name w:val="Ligne final"/>
    <w:basedOn w:val="Normal"/>
    <w:next w:val="Normal"/>
    <w:rsid w:val="003734A7"/>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lang w:val="de-DE" w:eastAsia="en-US"/>
    </w:rPr>
  </w:style>
  <w:style w:type="paragraph" w:customStyle="1" w:styleId="pj">
    <w:name w:val="p.j."/>
    <w:basedOn w:val="Normal"/>
    <w:link w:val="pjChar"/>
    <w:uiPriority w:val="1"/>
    <w:rsid w:val="003734A7"/>
    <w:pPr>
      <w:spacing w:before="1200" w:after="120" w:line="240" w:lineRule="auto"/>
      <w:ind w:left="1440" w:hanging="1440"/>
    </w:pPr>
    <w:rPr>
      <w:rFonts w:ascii="Times New Roman" w:eastAsiaTheme="minorHAnsi" w:hAnsi="Times New Roman" w:cs="Times New Roman"/>
      <w:szCs w:val="22"/>
      <w:lang w:val="de-DE" w:eastAsia="en-US"/>
    </w:rPr>
  </w:style>
  <w:style w:type="character" w:customStyle="1" w:styleId="pjChar">
    <w:name w:val="p.j. Char"/>
    <w:basedOn w:val="DefaultParagraphFont"/>
    <w:link w:val="pj"/>
    <w:uiPriority w:val="1"/>
    <w:rsid w:val="003734A7"/>
    <w:rPr>
      <w:rFonts w:ascii="Times New Roman" w:eastAsiaTheme="minorHAnsi" w:hAnsi="Times New Roman" w:cs="Times New Roman"/>
      <w:szCs w:val="22"/>
      <w:lang w:val="de-DE" w:eastAsia="en-US"/>
    </w:rPr>
  </w:style>
  <w:style w:type="paragraph" w:customStyle="1" w:styleId="nbbordered">
    <w:name w:val="nb bordered"/>
    <w:basedOn w:val="Normal"/>
    <w:link w:val="nbborderedChar"/>
    <w:uiPriority w:val="1"/>
    <w:rsid w:val="003734A7"/>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Cs w:val="22"/>
      <w:lang w:val="de-DE" w:eastAsia="en-US"/>
    </w:rPr>
  </w:style>
  <w:style w:type="character" w:customStyle="1" w:styleId="nbborderedChar">
    <w:name w:val="nb bordered Char"/>
    <w:basedOn w:val="DefaultParagraphFont"/>
    <w:link w:val="nbbordered"/>
    <w:uiPriority w:val="1"/>
    <w:rsid w:val="003734A7"/>
    <w:rPr>
      <w:rFonts w:ascii="Times New Roman" w:eastAsiaTheme="minorHAnsi" w:hAnsi="Times New Roman" w:cs="Times New Roman"/>
      <w:b/>
      <w:szCs w:val="22"/>
      <w:lang w:val="de-DE" w:eastAsia="en-US"/>
    </w:rPr>
  </w:style>
  <w:style w:type="paragraph" w:customStyle="1" w:styleId="HeaderCouncil">
    <w:name w:val="Header Council"/>
    <w:basedOn w:val="Normal"/>
    <w:link w:val="HeaderCouncilChar"/>
    <w:uiPriority w:val="1"/>
    <w:rsid w:val="003734A7"/>
    <w:pPr>
      <w:spacing w:after="0" w:line="276" w:lineRule="auto"/>
    </w:pPr>
    <w:rPr>
      <w:rFonts w:eastAsiaTheme="minorHAnsi"/>
      <w:noProof/>
      <w:sz w:val="2"/>
      <w:szCs w:val="2"/>
      <w:lang w:val="de-DE" w:eastAsia="en-US"/>
    </w:rPr>
  </w:style>
  <w:style w:type="character" w:customStyle="1" w:styleId="HeaderCouncilChar">
    <w:name w:val="Header Council Char"/>
    <w:basedOn w:val="DefaultParagraphFont"/>
    <w:link w:val="HeaderCouncil"/>
    <w:uiPriority w:val="1"/>
    <w:rsid w:val="003734A7"/>
    <w:rPr>
      <w:rFonts w:eastAsiaTheme="minorHAnsi"/>
      <w:noProof/>
      <w:sz w:val="2"/>
      <w:szCs w:val="2"/>
      <w:lang w:val="de-DE" w:eastAsia="en-US"/>
    </w:rPr>
  </w:style>
  <w:style w:type="paragraph" w:customStyle="1" w:styleId="FooterText">
    <w:name w:val="Footer Text"/>
    <w:basedOn w:val="Normal"/>
    <w:rsid w:val="003734A7"/>
    <w:pPr>
      <w:spacing w:after="0" w:line="240" w:lineRule="auto"/>
    </w:pPr>
    <w:rPr>
      <w:rFonts w:ascii="Times New Roman" w:eastAsia="Times New Roman" w:hAnsi="Times New Roman" w:cs="Times New Roman"/>
      <w:lang w:val="de-DE" w:eastAsia="en-US"/>
    </w:rPr>
  </w:style>
  <w:style w:type="character" w:styleId="PlaceholderText">
    <w:name w:val="Placeholder Text"/>
    <w:basedOn w:val="DefaultParagraphFont"/>
    <w:uiPriority w:val="99"/>
    <w:semiHidden/>
    <w:rsid w:val="003734A7"/>
    <w:rPr>
      <w:color w:val="808080"/>
    </w:rPr>
  </w:style>
  <w:style w:type="paragraph" w:styleId="Title">
    <w:name w:val="Title"/>
    <w:basedOn w:val="Normal"/>
    <w:next w:val="Normal"/>
    <w:link w:val="TitleChar"/>
    <w:uiPriority w:val="10"/>
    <w:qFormat/>
    <w:rsid w:val="003734A7"/>
    <w:pPr>
      <w:spacing w:after="0" w:line="276" w:lineRule="auto"/>
      <w:contextualSpacing/>
    </w:pPr>
    <w:rPr>
      <w:rFonts w:asciiTheme="majorHAnsi" w:eastAsiaTheme="majorEastAsia" w:hAnsiTheme="majorHAnsi" w:cstheme="majorBidi"/>
      <w:sz w:val="56"/>
      <w:szCs w:val="56"/>
      <w:lang w:val="de-DE" w:eastAsia="en-US"/>
    </w:rPr>
  </w:style>
  <w:style w:type="character" w:customStyle="1" w:styleId="TitleChar">
    <w:name w:val="Title Char"/>
    <w:basedOn w:val="DefaultParagraphFont"/>
    <w:link w:val="Title"/>
    <w:uiPriority w:val="10"/>
    <w:rsid w:val="003734A7"/>
    <w:rPr>
      <w:rFonts w:asciiTheme="majorHAnsi" w:eastAsiaTheme="majorEastAsia" w:hAnsiTheme="majorHAnsi" w:cstheme="majorBidi"/>
      <w:sz w:val="56"/>
      <w:szCs w:val="56"/>
      <w:lang w:val="de-DE" w:eastAsia="en-US"/>
    </w:rPr>
  </w:style>
  <w:style w:type="paragraph" w:styleId="Subtitle">
    <w:name w:val="Subtitle"/>
    <w:basedOn w:val="Normal"/>
    <w:next w:val="Normal"/>
    <w:link w:val="SubtitleChar"/>
    <w:uiPriority w:val="11"/>
    <w:qFormat/>
    <w:rsid w:val="003734A7"/>
    <w:pPr>
      <w:spacing w:after="200" w:line="276" w:lineRule="auto"/>
    </w:pPr>
    <w:rPr>
      <w:color w:val="5A5A5A"/>
      <w:sz w:val="22"/>
      <w:szCs w:val="22"/>
      <w:lang w:val="de-DE" w:eastAsia="en-US"/>
    </w:rPr>
  </w:style>
  <w:style w:type="character" w:customStyle="1" w:styleId="SubtitleChar">
    <w:name w:val="Subtitle Char"/>
    <w:basedOn w:val="DefaultParagraphFont"/>
    <w:link w:val="Subtitle"/>
    <w:uiPriority w:val="11"/>
    <w:rsid w:val="003734A7"/>
    <w:rPr>
      <w:color w:val="5A5A5A"/>
      <w:sz w:val="22"/>
      <w:szCs w:val="22"/>
      <w:lang w:val="de-DE" w:eastAsia="en-US"/>
    </w:rPr>
  </w:style>
  <w:style w:type="paragraph" w:styleId="Quote">
    <w:name w:val="Quote"/>
    <w:basedOn w:val="Normal"/>
    <w:next w:val="Normal"/>
    <w:link w:val="QuoteChar"/>
    <w:uiPriority w:val="29"/>
    <w:qFormat/>
    <w:rsid w:val="003734A7"/>
    <w:pPr>
      <w:spacing w:before="200" w:after="200" w:line="276" w:lineRule="auto"/>
      <w:ind w:left="864" w:right="864"/>
      <w:jc w:val="center"/>
    </w:pPr>
    <w:rPr>
      <w:rFonts w:eastAsiaTheme="minorHAnsi"/>
      <w:i/>
      <w:iCs/>
      <w:color w:val="404040" w:themeColor="text1" w:themeTint="BF"/>
      <w:sz w:val="22"/>
      <w:szCs w:val="22"/>
      <w:lang w:val="de-DE" w:eastAsia="en-US"/>
    </w:rPr>
  </w:style>
  <w:style w:type="character" w:customStyle="1" w:styleId="QuoteChar">
    <w:name w:val="Quote Char"/>
    <w:basedOn w:val="DefaultParagraphFont"/>
    <w:link w:val="Quote"/>
    <w:uiPriority w:val="29"/>
    <w:rsid w:val="003734A7"/>
    <w:rPr>
      <w:rFonts w:eastAsiaTheme="minorHAnsi"/>
      <w:i/>
      <w:iCs/>
      <w:color w:val="404040" w:themeColor="text1" w:themeTint="BF"/>
      <w:sz w:val="22"/>
      <w:szCs w:val="22"/>
      <w:lang w:val="de-DE" w:eastAsia="en-US"/>
    </w:rPr>
  </w:style>
  <w:style w:type="paragraph" w:styleId="IntenseQuote">
    <w:name w:val="Intense Quote"/>
    <w:basedOn w:val="Normal"/>
    <w:next w:val="Normal"/>
    <w:link w:val="IntenseQuoteChar"/>
    <w:uiPriority w:val="30"/>
    <w:qFormat/>
    <w:rsid w:val="003734A7"/>
    <w:pPr>
      <w:spacing w:before="360" w:after="360" w:line="276" w:lineRule="auto"/>
      <w:ind w:left="864" w:right="864"/>
      <w:jc w:val="center"/>
    </w:pPr>
    <w:rPr>
      <w:rFonts w:eastAsiaTheme="minorHAnsi"/>
      <w:i/>
      <w:iCs/>
      <w:color w:val="156082" w:themeColor="accent1"/>
      <w:sz w:val="22"/>
      <w:szCs w:val="22"/>
      <w:lang w:val="de-DE" w:eastAsia="en-US"/>
    </w:rPr>
  </w:style>
  <w:style w:type="character" w:customStyle="1" w:styleId="IntenseQuoteChar">
    <w:name w:val="Intense Quote Char"/>
    <w:basedOn w:val="DefaultParagraphFont"/>
    <w:link w:val="IntenseQuote"/>
    <w:uiPriority w:val="30"/>
    <w:rsid w:val="003734A7"/>
    <w:rPr>
      <w:rFonts w:eastAsiaTheme="minorHAnsi"/>
      <w:i/>
      <w:iCs/>
      <w:color w:val="156082" w:themeColor="accent1"/>
      <w:sz w:val="22"/>
      <w:szCs w:val="22"/>
      <w:lang w:val="de-DE" w:eastAsia="en-US"/>
    </w:rPr>
  </w:style>
  <w:style w:type="paragraph" w:styleId="EndnoteText">
    <w:name w:val="endnote text"/>
    <w:basedOn w:val="Normal"/>
    <w:link w:val="EndnoteTextChar"/>
    <w:uiPriority w:val="99"/>
    <w:semiHidden/>
    <w:unhideWhenUsed/>
    <w:rsid w:val="003734A7"/>
    <w:pPr>
      <w:spacing w:after="0" w:line="276" w:lineRule="auto"/>
    </w:pPr>
    <w:rPr>
      <w:rFonts w:eastAsiaTheme="minorHAnsi"/>
      <w:sz w:val="20"/>
      <w:szCs w:val="20"/>
      <w:lang w:val="de-DE" w:eastAsia="en-US"/>
    </w:rPr>
  </w:style>
  <w:style w:type="character" w:customStyle="1" w:styleId="EndnoteTextChar">
    <w:name w:val="Endnote Text Char"/>
    <w:basedOn w:val="DefaultParagraphFont"/>
    <w:link w:val="EndnoteText"/>
    <w:uiPriority w:val="99"/>
    <w:semiHidden/>
    <w:rsid w:val="003734A7"/>
    <w:rPr>
      <w:rFonts w:eastAsiaTheme="minorHAnsi"/>
      <w:sz w:val="20"/>
      <w:szCs w:val="20"/>
      <w:lang w:val="de-DE" w:eastAsia="en-US"/>
    </w:rPr>
  </w:style>
  <w:style w:type="character" w:customStyle="1" w:styleId="Mention10">
    <w:name w:val="Mention10"/>
    <w:basedOn w:val="DefaultParagraphFont"/>
    <w:uiPriority w:val="99"/>
    <w:unhideWhenUsed/>
    <w:rsid w:val="003734A7"/>
    <w:rPr>
      <w:color w:val="2B579A"/>
      <w:shd w:val="clear" w:color="auto" w:fill="E1DFDD"/>
    </w:rPr>
  </w:style>
  <w:style w:type="character" w:customStyle="1" w:styleId="Mention2">
    <w:name w:val="Mention2"/>
    <w:basedOn w:val="DefaultParagraphFont"/>
    <w:uiPriority w:val="99"/>
    <w:unhideWhenUsed/>
    <w:rsid w:val="003734A7"/>
    <w:rPr>
      <w:color w:val="2B579A"/>
      <w:shd w:val="clear" w:color="auto" w:fill="E1DFDD"/>
    </w:rPr>
  </w:style>
  <w:style w:type="character" w:customStyle="1" w:styleId="Mention3">
    <w:name w:val="Mention3"/>
    <w:basedOn w:val="DefaultParagraphFont"/>
    <w:uiPriority w:val="99"/>
    <w:unhideWhenUsed/>
    <w:rsid w:val="003734A7"/>
    <w:rPr>
      <w:color w:val="2B579A"/>
      <w:shd w:val="clear" w:color="auto" w:fill="E1DFDD"/>
    </w:rPr>
  </w:style>
  <w:style w:type="character" w:customStyle="1" w:styleId="Mention4">
    <w:name w:val="Mention4"/>
    <w:basedOn w:val="DefaultParagraphFont"/>
    <w:uiPriority w:val="99"/>
    <w:unhideWhenUsed/>
    <w:rsid w:val="003734A7"/>
    <w:rPr>
      <w:color w:val="2B579A"/>
      <w:shd w:val="clear" w:color="auto" w:fill="E1DFDD"/>
    </w:rPr>
  </w:style>
  <w:style w:type="character" w:styleId="EndnoteReference">
    <w:name w:val="endnote reference"/>
    <w:basedOn w:val="DefaultParagraphFont"/>
    <w:uiPriority w:val="99"/>
    <w:semiHidden/>
    <w:unhideWhenUsed/>
    <w:rsid w:val="003734A7"/>
    <w:rPr>
      <w:vertAlign w:val="superscript"/>
    </w:rPr>
  </w:style>
  <w:style w:type="character" w:customStyle="1" w:styleId="Mention5">
    <w:name w:val="Mention5"/>
    <w:basedOn w:val="DefaultParagraphFont"/>
    <w:uiPriority w:val="99"/>
    <w:unhideWhenUsed/>
    <w:rsid w:val="003734A7"/>
    <w:rPr>
      <w:color w:val="2B579A"/>
      <w:shd w:val="clear" w:color="auto" w:fill="E1DFDD"/>
    </w:rPr>
  </w:style>
  <w:style w:type="character" w:customStyle="1" w:styleId="UnresolvedMention2">
    <w:name w:val="Unresolved Mention2"/>
    <w:basedOn w:val="DefaultParagraphFont"/>
    <w:uiPriority w:val="99"/>
    <w:semiHidden/>
    <w:unhideWhenUsed/>
    <w:rsid w:val="003734A7"/>
    <w:rPr>
      <w:color w:val="605E5C"/>
      <w:shd w:val="clear" w:color="auto" w:fill="E1DFDD"/>
    </w:rPr>
  </w:style>
  <w:style w:type="character" w:styleId="IntenseReference">
    <w:name w:val="Intense Reference"/>
    <w:basedOn w:val="DefaultParagraphFont"/>
    <w:uiPriority w:val="32"/>
    <w:qFormat/>
    <w:rsid w:val="003734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08330">
      <w:bodyDiv w:val="1"/>
      <w:marLeft w:val="0"/>
      <w:marRight w:val="0"/>
      <w:marTop w:val="0"/>
      <w:marBottom w:val="0"/>
      <w:divBdr>
        <w:top w:val="none" w:sz="0" w:space="0" w:color="auto"/>
        <w:left w:val="none" w:sz="0" w:space="0" w:color="auto"/>
        <w:bottom w:val="none" w:sz="0" w:space="0" w:color="auto"/>
        <w:right w:val="none" w:sz="0" w:space="0" w:color="auto"/>
      </w:divBdr>
    </w:div>
    <w:div w:id="196877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header" Target="header29.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footer" Target="footer61.xml"/><Relationship Id="rId16" Type="http://schemas.openxmlformats.org/officeDocument/2006/relationships/header" Target="header3.xml"/><Relationship Id="rId107" Type="http://schemas.openxmlformats.org/officeDocument/2006/relationships/header" Target="header49.xml"/><Relationship Id="rId11" Type="http://schemas.openxmlformats.org/officeDocument/2006/relationships/image" Target="media/image1.emf"/><Relationship Id="rId32" Type="http://schemas.openxmlformats.org/officeDocument/2006/relationships/header" Target="header11.xml"/><Relationship Id="rId37" Type="http://schemas.openxmlformats.org/officeDocument/2006/relationships/footer" Target="footer13.xml"/><Relationship Id="rId53" Type="http://schemas.openxmlformats.org/officeDocument/2006/relationships/footer" Target="footer21.xml"/><Relationship Id="rId58" Type="http://schemas.openxmlformats.org/officeDocument/2006/relationships/footer" Target="footer23.xml"/><Relationship Id="rId74" Type="http://schemas.openxmlformats.org/officeDocument/2006/relationships/header" Target="header32.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13" Type="http://schemas.openxmlformats.org/officeDocument/2006/relationships/header" Target="header52.xml"/><Relationship Id="rId118" Type="http://schemas.openxmlformats.org/officeDocument/2006/relationships/header" Target="header54.xml"/><Relationship Id="rId126" Type="http://schemas.openxmlformats.org/officeDocument/2006/relationships/header" Target="header58.xml"/><Relationship Id="rId13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footer" Target="footer30.xml"/><Relationship Id="rId80" Type="http://schemas.openxmlformats.org/officeDocument/2006/relationships/header" Target="header35.xml"/><Relationship Id="rId85" Type="http://schemas.openxmlformats.org/officeDocument/2006/relationships/footer" Target="footer37.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footer" Target="foot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4.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footer" Target="footer28.xml"/><Relationship Id="rId103" Type="http://schemas.openxmlformats.org/officeDocument/2006/relationships/footer" Target="footer46.xml"/><Relationship Id="rId108" Type="http://schemas.openxmlformats.org/officeDocument/2006/relationships/footer" Target="footer48.xml"/><Relationship Id="rId116" Type="http://schemas.openxmlformats.org/officeDocument/2006/relationships/header" Target="header53.xml"/><Relationship Id="rId124" Type="http://schemas.openxmlformats.org/officeDocument/2006/relationships/header" Target="header57.xml"/><Relationship Id="rId129" Type="http://schemas.openxmlformats.org/officeDocument/2006/relationships/footer" Target="footer59.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header" Target="header26.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footer" Target="footer36.xml"/><Relationship Id="rId88" Type="http://schemas.openxmlformats.org/officeDocument/2006/relationships/header" Target="header39.xml"/><Relationship Id="rId91" Type="http://schemas.openxmlformats.org/officeDocument/2006/relationships/footer" Target="footer40.xml"/><Relationship Id="rId96" Type="http://schemas.openxmlformats.org/officeDocument/2006/relationships/header" Target="header43.xml"/><Relationship Id="rId111" Type="http://schemas.openxmlformats.org/officeDocument/2006/relationships/footer" Target="footer50.xml"/><Relationship Id="rId132" Type="http://schemas.openxmlformats.org/officeDocument/2006/relationships/header" Target="header6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footer" Target="footer19.xml"/><Relationship Id="rId57" Type="http://schemas.openxmlformats.org/officeDocument/2006/relationships/header" Target="header24.xml"/><Relationship Id="rId106" Type="http://schemas.openxmlformats.org/officeDocument/2006/relationships/header" Target="header48.xml"/><Relationship Id="rId114" Type="http://schemas.openxmlformats.org/officeDocument/2006/relationships/footer" Target="footer51.xml"/><Relationship Id="rId119" Type="http://schemas.openxmlformats.org/officeDocument/2006/relationships/header" Target="header55.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footer" Target="footer10.xml"/><Relationship Id="rId44" Type="http://schemas.openxmlformats.org/officeDocument/2006/relationships/header" Target="header17.xml"/><Relationship Id="rId52" Type="http://schemas.openxmlformats.org/officeDocument/2006/relationships/footer" Target="footer20.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footer" Target="footer31.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header" Target="header38.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30" Type="http://schemas.openxmlformats.org/officeDocument/2006/relationships/header" Target="header60.xml"/><Relationship Id="rId13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49.xml"/><Relationship Id="rId34" Type="http://schemas.openxmlformats.org/officeDocument/2006/relationships/header" Target="header12.xml"/><Relationship Id="rId50" Type="http://schemas.openxmlformats.org/officeDocument/2006/relationships/header" Target="header20.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header" Target="header47.xml"/><Relationship Id="rId120" Type="http://schemas.openxmlformats.org/officeDocument/2006/relationships/footer" Target="footer54.xml"/><Relationship Id="rId125" Type="http://schemas.openxmlformats.org/officeDocument/2006/relationships/footer" Target="footer57.xml"/><Relationship Id="rId7" Type="http://schemas.openxmlformats.org/officeDocument/2006/relationships/settings" Target="settings.xml"/><Relationship Id="rId71" Type="http://schemas.openxmlformats.org/officeDocument/2006/relationships/header" Target="header31.xml"/><Relationship Id="rId92" Type="http://schemas.openxmlformats.org/officeDocument/2006/relationships/header" Target="header41.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header" Target="header50.xml"/><Relationship Id="rId115" Type="http://schemas.openxmlformats.org/officeDocument/2006/relationships/footer" Target="footer52.xml"/><Relationship Id="rId131" Type="http://schemas.openxmlformats.org/officeDocument/2006/relationships/footer" Target="footer60.xml"/><Relationship Id="rId61" Type="http://schemas.openxmlformats.org/officeDocument/2006/relationships/footer" Target="footer25.xml"/><Relationship Id="rId82" Type="http://schemas.openxmlformats.org/officeDocument/2006/relationships/header" Target="header36.xml"/><Relationship Id="rId19"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EC_ARES_TRANSFERRED_BY xmlns="e6c3bc29-9e11-4027-900b-c73633d792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1ec478e2f19cda365653a6d85380fc4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26de9b7d37ad3715a3cb2961f0e73ee1"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9E29E-0607-4BCB-9302-D5BCB5416550}">
  <ds:schemaRefs>
    <ds:schemaRef ds:uri="http://schemas.microsoft.com/sharepoint/v3/contenttype/forms"/>
  </ds:schemaRefs>
</ds:datastoreItem>
</file>

<file path=customXml/itemProps2.xml><?xml version="1.0" encoding="utf-8"?>
<ds:datastoreItem xmlns:ds="http://schemas.openxmlformats.org/officeDocument/2006/customXml" ds:itemID="{39197C28-C12B-49D5-8B9B-9E0DE3143B04}">
  <ds:schemaRefs>
    <ds:schemaRef ds:uri="http://schemas.microsoft.com/sharepoint/v3"/>
    <ds:schemaRef ds:uri="http://schemas.microsoft.com/office/2006/documentManagement/types"/>
    <ds:schemaRef ds:uri="http://www.w3.org/XML/1998/namespace"/>
    <ds:schemaRef ds:uri="http://schemas.microsoft.com/office/infopath/2007/PartnerControls"/>
    <ds:schemaRef ds:uri="http://schemas.microsoft.com/sharepoint/v4"/>
    <ds:schemaRef ds:uri="http://schemas.openxmlformats.org/package/2006/metadata/core-properties"/>
    <ds:schemaRef ds:uri="http://schemas.microsoft.com/office/2006/metadata/properties"/>
    <ds:schemaRef ds:uri="e6c3bc29-9e11-4027-900b-c73633d7928a"/>
    <ds:schemaRef ds:uri="http://purl.org/dc/dcmitype/"/>
    <ds:schemaRef ds:uri="1700ab43-7395-48ff-866c-657c86ba7f4e"/>
    <ds:schemaRef ds:uri="http://purl.org/dc/terms/"/>
    <ds:schemaRef ds:uri="http://purl.org/dc/elements/1.1/"/>
  </ds:schemaRefs>
</ds:datastoreItem>
</file>

<file path=customXml/itemProps3.xml><?xml version="1.0" encoding="utf-8"?>
<ds:datastoreItem xmlns:ds="http://schemas.openxmlformats.org/officeDocument/2006/customXml" ds:itemID="{12CA3458-C88F-48F3-A616-2D9C787EC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7A42EE-431C-4E30-AD9D-C0081AC8D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8</Pages>
  <Words>33837</Words>
  <Characters>192875</Characters>
  <Application>Microsoft Office Word</Application>
  <DocSecurity>0</DocSecurity>
  <Lines>1607</Lines>
  <Paragraphs>452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555</cp:revision>
  <dcterms:created xsi:type="dcterms:W3CDTF">2026-06-09T13:50:00Z</dcterms:created>
  <dcterms:modified xsi:type="dcterms:W3CDTF">2026-06-16T16:11:00Z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0x01010062094E9F29D6C04F85860C631ABC812A</vt:lpwstr>
  </property>
  <property fmtid="{D5CDD505-2E9C-101B-9397-08002B2CF9AE}" pid="3" name="MSIP_Label_6bd9ddd1-4d20-43f6-abfa-fc3c07406f94_Enabled">
    <vt:lpwstr>true</vt:lpwstr>
  </property>
  <property fmtid="{D5CDD505-2E9C-101B-9397-08002B2CF9AE}" pid="4" name="MSIP_Label_6bd9ddd1-4d20-43f6-abfa-fc3c07406f94_SetDate">
    <vt:lpwstr>2026-04-15T14:40:53Z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bee92e16-63dc-4210-b696-bc08a0b2b4ba</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