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3D8101" w14:textId="28F30D81" w:rsidR="00BC617A" w:rsidRPr="000D79BF" w:rsidRDefault="00F171CF" w:rsidP="00F171CF">
      <w:pPr>
        <w:pStyle w:val="Pagedecouverture"/>
        <w:rPr>
          <w:noProof/>
        </w:rPr>
      </w:pPr>
      <w:r>
        <w:rPr>
          <w:noProof/>
        </w:rPr>
        <w:pict w14:anchorId="2B43F4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70F141-85C6-4A3A-8628-FEF0CDB821AF" style="width:455.25pt;height:396pt">
            <v:imagedata r:id="rId11" o:title=""/>
          </v:shape>
        </w:pict>
      </w:r>
    </w:p>
    <w:p w14:paraId="538B091C" w14:textId="77777777" w:rsidR="00BC617A" w:rsidRPr="000D79BF" w:rsidRDefault="00BC617A" w:rsidP="0032298E">
      <w:pPr>
        <w:rPr>
          <w:noProof/>
        </w:rPr>
        <w:sectPr w:rsidR="00BC617A" w:rsidRPr="000D79BF" w:rsidSect="00F171CF">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7E959DB" w14:textId="253E859A" w:rsidR="00CE072C" w:rsidRPr="000D79BF" w:rsidRDefault="00CE072C" w:rsidP="00CE072C">
      <w:pPr>
        <w:pStyle w:val="Annexetitre"/>
        <w:rPr>
          <w:noProof/>
        </w:rPr>
      </w:pPr>
      <w:bookmarkStart w:id="0" w:name="_GoBack"/>
      <w:bookmarkEnd w:id="0"/>
      <w:r w:rsidRPr="000D79BF">
        <w:rPr>
          <w:noProof/>
        </w:rPr>
        <w:lastRenderedPageBreak/>
        <w:t>ANNEXE</w:t>
      </w:r>
    </w:p>
    <w:p w14:paraId="6E28E280" w14:textId="77777777" w:rsidR="00905D22" w:rsidRPr="000D79BF" w:rsidRDefault="00905D22" w:rsidP="00CE072C">
      <w:pPr>
        <w:rPr>
          <w:noProof/>
        </w:rPr>
      </w:pPr>
    </w:p>
    <w:p w14:paraId="31862E54" w14:textId="77777777" w:rsidR="00CE072C" w:rsidRPr="000D79BF" w:rsidRDefault="00CE072C" w:rsidP="00CE072C">
      <w:pPr>
        <w:rPr>
          <w:b/>
          <w:bCs/>
          <w:noProof/>
        </w:rPr>
      </w:pPr>
      <w:r w:rsidRPr="000D79BF">
        <w:rPr>
          <w:b/>
          <w:noProof/>
        </w:rPr>
        <w:t>[Projet de] DÉCISION N …/2026 DU COMITÉ MIXTE CE/ÎLES FÉROÉ</w:t>
      </w:r>
    </w:p>
    <w:p w14:paraId="03AC20AA" w14:textId="77777777" w:rsidR="00CE072C" w:rsidRPr="000D79BF" w:rsidRDefault="00CE072C" w:rsidP="00CE072C">
      <w:pPr>
        <w:rPr>
          <w:b/>
          <w:bCs/>
          <w:noProof/>
        </w:rPr>
      </w:pPr>
      <w:r w:rsidRPr="000D79BF">
        <w:rPr>
          <w:b/>
          <w:noProof/>
        </w:rPr>
        <w:t>du xx xx 2026</w:t>
      </w:r>
    </w:p>
    <w:p w14:paraId="7D6DCC8E" w14:textId="77777777" w:rsidR="00CE072C" w:rsidRPr="000D79BF" w:rsidRDefault="00FE0E68" w:rsidP="00CE072C">
      <w:pPr>
        <w:rPr>
          <w:b/>
          <w:bCs/>
          <w:noProof/>
        </w:rPr>
      </w:pPr>
      <w:r w:rsidRPr="000D79BF">
        <w:rPr>
          <w:b/>
          <w:noProof/>
        </w:rPr>
        <w:t>établissant les modalités d'application du protocole sur les questions vétérinaires complémentaire à l'accord entre la Communauté européenne, d'une part, et le gouvernement du Danemark et le gouvernement local des Îles Féroé, d'autre part, et abrogeant la décision n° 1/2001</w:t>
      </w:r>
    </w:p>
    <w:p w14:paraId="784D69A1" w14:textId="77777777" w:rsidR="00FE0E68" w:rsidRPr="000D79BF" w:rsidRDefault="00FE0E68" w:rsidP="00CE072C">
      <w:pPr>
        <w:rPr>
          <w:noProof/>
        </w:rPr>
      </w:pPr>
    </w:p>
    <w:p w14:paraId="4CDA440B" w14:textId="77777777" w:rsidR="00CE072C" w:rsidRPr="000D79BF" w:rsidRDefault="00CE072C" w:rsidP="00CE072C">
      <w:pPr>
        <w:rPr>
          <w:noProof/>
        </w:rPr>
      </w:pPr>
      <w:r w:rsidRPr="000D79BF">
        <w:rPr>
          <w:noProof/>
        </w:rPr>
        <w:t xml:space="preserve">LE COMITÉ MIXTE UE-ÎLES FÉROÉ, </w:t>
      </w:r>
    </w:p>
    <w:p w14:paraId="6C712BE4" w14:textId="77777777" w:rsidR="00CE072C" w:rsidRPr="000D79BF" w:rsidRDefault="00CE072C" w:rsidP="00CE072C">
      <w:pPr>
        <w:rPr>
          <w:noProof/>
        </w:rPr>
      </w:pPr>
      <w:r w:rsidRPr="000D79BF">
        <w:rPr>
          <w:noProof/>
        </w:rPr>
        <w:t xml:space="preserve">vu l'accord sous forme d'échange de lettres entre la Communauté européenne, d'une part, et le gouvernement du Danemark et le gouvernement local des Îles Féroé, d'autre part, </w:t>
      </w:r>
    </w:p>
    <w:p w14:paraId="4CADB81F" w14:textId="77777777" w:rsidR="00CE072C" w:rsidRPr="000D79BF" w:rsidRDefault="00CE072C" w:rsidP="00CE072C">
      <w:pPr>
        <w:rPr>
          <w:noProof/>
        </w:rPr>
      </w:pPr>
      <w:r w:rsidRPr="000D79BF">
        <w:rPr>
          <w:noProof/>
        </w:rPr>
        <w:t xml:space="preserve">vu le protocole sur les questions vétérinaires complémentaire à l'accord entre la Communauté européenne, d'une part, et le gouvernement du Danemark et le gouvernement local des Îles Féroé, d'autre part (ci-après le «protocole»), et notamment son article 2, </w:t>
      </w:r>
    </w:p>
    <w:p w14:paraId="3F7D657D" w14:textId="77777777" w:rsidR="00FE0E68" w:rsidRPr="000D79BF" w:rsidRDefault="00FE0E68" w:rsidP="00CE072C">
      <w:pPr>
        <w:rPr>
          <w:noProof/>
        </w:rPr>
      </w:pPr>
    </w:p>
    <w:p w14:paraId="48AB3949" w14:textId="77777777" w:rsidR="00FE0E68" w:rsidRPr="000D79BF" w:rsidRDefault="00FE0E68" w:rsidP="00CE072C">
      <w:pPr>
        <w:rPr>
          <w:noProof/>
        </w:rPr>
      </w:pPr>
      <w:r w:rsidRPr="000D79BF">
        <w:rPr>
          <w:noProof/>
        </w:rPr>
        <w:t>considérant ce qui suit:</w:t>
      </w:r>
    </w:p>
    <w:p w14:paraId="6BC18D4B" w14:textId="77777777" w:rsidR="00E36F06" w:rsidRPr="000D79BF" w:rsidRDefault="00E36F06" w:rsidP="00E36F06">
      <w:pPr>
        <w:rPr>
          <w:noProof/>
        </w:rPr>
      </w:pPr>
    </w:p>
    <w:p w14:paraId="7B566609" w14:textId="5875DB49" w:rsidR="002A2EA8" w:rsidRPr="000D79BF" w:rsidRDefault="002A2EA8" w:rsidP="002A2EA8">
      <w:pPr>
        <w:rPr>
          <w:noProof/>
        </w:rPr>
      </w:pPr>
      <w:r w:rsidRPr="000D79BF">
        <w:rPr>
          <w:noProof/>
        </w:rPr>
        <w:t>(1) Les parties conviennent de la nécessité d’actualiser les modalités d’application du protocole sur les questions vétérinaires complémentaire à l’accord entre la Communauté européenne, d’une part, et le gouvernement du Danemark et le gouvernement local des Îles Féroé, d’autre part, et ont examiné la question au sein du sous-groupe vétérinaire institué par le comité mixte Union européenne-Îles Féroé.</w:t>
      </w:r>
    </w:p>
    <w:p w14:paraId="3C9567C6" w14:textId="77777777" w:rsidR="0078049C" w:rsidRPr="000D79BF" w:rsidRDefault="0078049C" w:rsidP="002A2EA8">
      <w:pPr>
        <w:rPr>
          <w:noProof/>
        </w:rPr>
      </w:pPr>
    </w:p>
    <w:p w14:paraId="4ABADE30" w14:textId="77777777" w:rsidR="0078049C" w:rsidRPr="000D79BF" w:rsidRDefault="0078049C" w:rsidP="002A2EA8">
      <w:pPr>
        <w:rPr>
          <w:noProof/>
        </w:rPr>
      </w:pPr>
      <w:r w:rsidRPr="000D79BF">
        <w:rPr>
          <w:noProof/>
        </w:rPr>
        <w:t>(2) Plusieurs références aux actes juridiques de l’Union figurant dans les modalités d’application du protocole contenues dans la décision 1/2001 ne sont plus pertinentes, et il manque des références aux actes juridiques pertinents. En outre, les Îles Féroé ont demandé davantage de clarté sur les règles applicables aux mouvements de sous-produits de la pêche et de l’aquaculture destinés à l’alimentation animale depuis les Îles Féroé vers l’UE et sur les mouvements de chevaux nés dans les Îles Féroé vers l’UE.</w:t>
      </w:r>
    </w:p>
    <w:p w14:paraId="7DEAA74F" w14:textId="77777777" w:rsidR="002A2EA8" w:rsidRPr="000D79BF" w:rsidRDefault="002A2EA8" w:rsidP="002A2EA8">
      <w:pPr>
        <w:rPr>
          <w:noProof/>
        </w:rPr>
      </w:pPr>
    </w:p>
    <w:p w14:paraId="2E2173AB" w14:textId="77777777" w:rsidR="002A2EA8" w:rsidRPr="000D79BF" w:rsidRDefault="002A2EA8" w:rsidP="002A2EA8">
      <w:pPr>
        <w:rPr>
          <w:noProof/>
        </w:rPr>
      </w:pPr>
      <w:r w:rsidRPr="000D79BF">
        <w:rPr>
          <w:noProof/>
        </w:rPr>
        <w:t xml:space="preserve">(3) Les parties souhaitent maintenir les flux commerciaux d’animaux et de produits d’origine animale entre l’Union et les Îles Féroé, principalement les produits de la pêche destinés à la consommation humaine, les sous-produits animaux de la pêche et de l’aquaculture, les animaux d’aquaculture, les mollusques bivalves, les chevaux et la laine non transformée. </w:t>
      </w:r>
    </w:p>
    <w:p w14:paraId="545F253C" w14:textId="77777777" w:rsidR="002A2EA8" w:rsidRPr="000D79BF" w:rsidRDefault="002A2EA8" w:rsidP="002A2EA8">
      <w:pPr>
        <w:rPr>
          <w:noProof/>
        </w:rPr>
      </w:pPr>
    </w:p>
    <w:p w14:paraId="61245EE3" w14:textId="58D5889D" w:rsidR="002A2EA8" w:rsidRPr="000D79BF" w:rsidRDefault="002A2EA8" w:rsidP="002A2EA8">
      <w:pPr>
        <w:rPr>
          <w:noProof/>
        </w:rPr>
      </w:pPr>
      <w:r w:rsidRPr="000D79BF">
        <w:rPr>
          <w:noProof/>
        </w:rPr>
        <w:t>(4) Ces échanges devraient pouvoir s’effectuer selon les mêmes règles que celles qui sont applicables aux mouvements de ces animaux et produits au sein de l’Union, auxquelles il convient donc de faire référence de dans la présente décision. À cette fin, et étant donné que de nouvelles règles relatives aux médicaments vétérinaires ont été adoptées dans l’Union, les importations en provenance d’autres pays tiers et des Îles Féroé doivent également respecter l’interdiction d’utiliser des antimicrobiens pour favoriser la croissance et augmenter le rendement, ainsi que les restrictions applicables aux antimicrobiens désignés comme réservés à un usage humain dans l’Union.</w:t>
      </w:r>
    </w:p>
    <w:p w14:paraId="4B59207A" w14:textId="77777777" w:rsidR="00B46825" w:rsidRPr="000D79BF" w:rsidRDefault="00B46825" w:rsidP="002A2EA8">
      <w:pPr>
        <w:rPr>
          <w:noProof/>
        </w:rPr>
      </w:pPr>
    </w:p>
    <w:p w14:paraId="353FC562" w14:textId="77777777" w:rsidR="00A34F4E" w:rsidRPr="000D79BF" w:rsidRDefault="002A2EA8" w:rsidP="00A35E64">
      <w:pPr>
        <w:rPr>
          <w:noProof/>
        </w:rPr>
      </w:pPr>
      <w:r w:rsidRPr="000D79BF">
        <w:rPr>
          <w:noProof/>
        </w:rPr>
        <w:t xml:space="preserve">(5) Le sous-groupe vétérinaire a donc recommandé que la présente décision abroge et remplace la décision n° 1/2001. </w:t>
      </w:r>
    </w:p>
    <w:p w14:paraId="6A840B01" w14:textId="77777777" w:rsidR="00E36F06" w:rsidRPr="000D79BF" w:rsidRDefault="00E36F06" w:rsidP="00E36F06">
      <w:pPr>
        <w:rPr>
          <w:noProof/>
        </w:rPr>
      </w:pPr>
    </w:p>
    <w:p w14:paraId="66A70D5D" w14:textId="77777777" w:rsidR="00CE072C" w:rsidRPr="000D79BF" w:rsidRDefault="00E36F06" w:rsidP="00E36F06">
      <w:pPr>
        <w:rPr>
          <w:noProof/>
        </w:rPr>
      </w:pPr>
      <w:r w:rsidRPr="000D79BF">
        <w:rPr>
          <w:noProof/>
        </w:rPr>
        <w:t>DÉCIDE:</w:t>
      </w:r>
    </w:p>
    <w:p w14:paraId="31B8871F" w14:textId="77777777" w:rsidR="00F11E54" w:rsidRPr="000D79BF" w:rsidRDefault="00F11E54" w:rsidP="00E117EC">
      <w:pPr>
        <w:spacing w:before="0" w:after="200" w:line="276" w:lineRule="auto"/>
        <w:jc w:val="left"/>
        <w:rPr>
          <w:b/>
          <w:bCs/>
          <w:i/>
          <w:iCs/>
          <w:noProof/>
        </w:rPr>
      </w:pPr>
    </w:p>
    <w:p w14:paraId="0F247E0A" w14:textId="77777777" w:rsidR="00E117EC" w:rsidRPr="000D79BF" w:rsidRDefault="00E117EC" w:rsidP="00E117EC">
      <w:pPr>
        <w:spacing w:before="0" w:after="200" w:line="276" w:lineRule="auto"/>
        <w:jc w:val="left"/>
        <w:rPr>
          <w:b/>
          <w:bCs/>
          <w:i/>
          <w:iCs/>
          <w:noProof/>
        </w:rPr>
      </w:pPr>
      <w:r w:rsidRPr="000D79BF">
        <w:rPr>
          <w:b/>
          <w:i/>
          <w:noProof/>
        </w:rPr>
        <w:t>Article premier</w:t>
      </w:r>
    </w:p>
    <w:p w14:paraId="06040DF1" w14:textId="77777777" w:rsidR="00A35E64" w:rsidRPr="000D79BF" w:rsidRDefault="00A35E64" w:rsidP="000904BE">
      <w:pPr>
        <w:spacing w:before="0" w:after="200" w:line="276" w:lineRule="auto"/>
        <w:rPr>
          <w:b/>
          <w:bCs/>
          <w:i/>
          <w:iCs/>
          <w:noProof/>
        </w:rPr>
      </w:pPr>
      <w:r w:rsidRPr="000D79BF">
        <w:rPr>
          <w:b/>
          <w:i/>
          <w:noProof/>
        </w:rPr>
        <w:t>Règles de l’Union applicables aux mouvements en provenance d’autres pays tiers ou territoires à destination des Îles Féroé ainsi qu’aux mouvements entre les Îles Féroé et l’Union</w:t>
      </w:r>
    </w:p>
    <w:p w14:paraId="649794E4" w14:textId="77777777" w:rsidR="00E117EC" w:rsidRPr="000D79BF" w:rsidRDefault="00E117EC" w:rsidP="00E117EC">
      <w:pPr>
        <w:rPr>
          <w:noProof/>
        </w:rPr>
      </w:pPr>
      <w:r w:rsidRPr="000D79BF">
        <w:rPr>
          <w:noProof/>
        </w:rPr>
        <w:t xml:space="preserve">1. Les Îles Féroé appliquent: </w:t>
      </w:r>
    </w:p>
    <w:p w14:paraId="2637CD77" w14:textId="77777777" w:rsidR="00E117EC" w:rsidRPr="000D79BF" w:rsidRDefault="00E117EC" w:rsidP="00740EA2">
      <w:pPr>
        <w:rPr>
          <w:noProof/>
        </w:rPr>
      </w:pPr>
      <w:r w:rsidRPr="000D79BF">
        <w:rPr>
          <w:noProof/>
        </w:rPr>
        <w:t xml:space="preserve">i) les règles applicables de l’Union, visées à l’annexe 1, concernant l’entrée dans l’Union d’animaux, de produits d’origine animale et de sous-produits animaux en provenance de pays tiers à l’entrée dans les Îles Féroé d’animaux, de produits d’origine animale et de sous-produits animaux depuis des pays tiers; </w:t>
      </w:r>
    </w:p>
    <w:p w14:paraId="45D21184" w14:textId="77777777" w:rsidR="00E117EC" w:rsidRPr="000D79BF" w:rsidRDefault="00E117EC" w:rsidP="00740EA2">
      <w:pPr>
        <w:rPr>
          <w:noProof/>
        </w:rPr>
      </w:pPr>
      <w:r w:rsidRPr="000D79BF">
        <w:rPr>
          <w:noProof/>
        </w:rPr>
        <w:t>ii) les règles applicables de l’Union, visées à l’annexe 1, concernant les mouvements entre États membres d’animaux, de produits d’origine animale et de sous-produits animaux aux mouvements d’animaux, de produits d’origine animale et de sous-produits animaux depuis l’Union vers les Îles Féroé; et</w:t>
      </w:r>
    </w:p>
    <w:p w14:paraId="26F6D324" w14:textId="77777777" w:rsidR="00E117EC" w:rsidRPr="000D79BF" w:rsidRDefault="00E117EC" w:rsidP="00740EA2">
      <w:pPr>
        <w:rPr>
          <w:noProof/>
        </w:rPr>
      </w:pPr>
      <w:r w:rsidRPr="000D79BF">
        <w:rPr>
          <w:noProof/>
        </w:rPr>
        <w:t xml:space="preserve">iii) les règles applicables de l’Union visées à l’annexe 1 en ce qui concerne </w:t>
      </w:r>
      <w:bookmarkStart w:id="1" w:name="_Hlk215753335"/>
      <w:r w:rsidRPr="000D79BF">
        <w:rPr>
          <w:noProof/>
        </w:rPr>
        <w:t>les animaux, les produits d’origine animale et les sous-produits animaux</w:t>
      </w:r>
      <w:bookmarkEnd w:id="1"/>
      <w:r w:rsidRPr="000D79BF">
        <w:rPr>
          <w:noProof/>
        </w:rPr>
        <w:t xml:space="preserve"> énumérés à l’annexe 2 à ces produits d’origine animale ou sous-produits animaux. </w:t>
      </w:r>
    </w:p>
    <w:p w14:paraId="660ECBEA" w14:textId="77777777" w:rsidR="00E117EC" w:rsidRPr="000D79BF" w:rsidRDefault="00E117EC" w:rsidP="00E117EC">
      <w:pPr>
        <w:rPr>
          <w:noProof/>
        </w:rPr>
      </w:pPr>
      <w:r w:rsidRPr="000D79BF">
        <w:rPr>
          <w:noProof/>
        </w:rPr>
        <w:t xml:space="preserve">2. L’Union européenne applique les règles applicables de l’Union, visées à l’annexe 1, concernant les mouvements entre États membres d’animaux, de produits d’origine animale et de sous-produits animaux énumérés à l’annexe 2, auxdits mouvements d’animaux, de produits d’origine animale et de sous-produits animaux entre les Îles Féroé et l’Union européenne. </w:t>
      </w:r>
    </w:p>
    <w:p w14:paraId="60B1C6EB" w14:textId="77777777" w:rsidR="00E117EC" w:rsidRPr="000D79BF" w:rsidRDefault="00E117EC" w:rsidP="00E117EC">
      <w:pPr>
        <w:rPr>
          <w:noProof/>
        </w:rPr>
      </w:pPr>
      <w:r w:rsidRPr="000D79BF">
        <w:rPr>
          <w:noProof/>
        </w:rPr>
        <w:t>3. Les Îles Féroé et l’Union coopèrent pour faire en sorte que l’entrée dans l’Union d’animaux, de produits d’origine animale et de sous-produits animaux en provenance des Îles Féroé puisse être autorisée.</w:t>
      </w:r>
    </w:p>
    <w:p w14:paraId="1F290954" w14:textId="77777777" w:rsidR="00E117EC" w:rsidRPr="000D79BF" w:rsidRDefault="00E117EC" w:rsidP="00E117EC">
      <w:pPr>
        <w:rPr>
          <w:noProof/>
        </w:rPr>
      </w:pPr>
    </w:p>
    <w:p w14:paraId="04579AD6" w14:textId="77777777" w:rsidR="00E117EC" w:rsidRPr="000D79BF" w:rsidRDefault="00E117EC" w:rsidP="00E117EC">
      <w:pPr>
        <w:rPr>
          <w:b/>
          <w:bCs/>
          <w:i/>
          <w:iCs/>
          <w:noProof/>
        </w:rPr>
      </w:pPr>
      <w:r w:rsidRPr="000D79BF">
        <w:rPr>
          <w:b/>
          <w:i/>
          <w:noProof/>
        </w:rPr>
        <w:t>Article 2</w:t>
      </w:r>
    </w:p>
    <w:p w14:paraId="2FDBA383" w14:textId="77777777" w:rsidR="00E117EC" w:rsidRPr="000D79BF" w:rsidRDefault="00E117EC" w:rsidP="00E117EC">
      <w:pPr>
        <w:rPr>
          <w:b/>
          <w:bCs/>
          <w:i/>
          <w:iCs/>
          <w:noProof/>
        </w:rPr>
      </w:pPr>
      <w:r w:rsidRPr="000D79BF">
        <w:rPr>
          <w:b/>
          <w:i/>
          <w:noProof/>
        </w:rPr>
        <w:t>Financement des contrôles</w:t>
      </w:r>
    </w:p>
    <w:p w14:paraId="181CB308" w14:textId="77777777" w:rsidR="00E117EC" w:rsidRPr="000D79BF" w:rsidRDefault="00E117EC" w:rsidP="00E117EC">
      <w:pPr>
        <w:rPr>
          <w:noProof/>
        </w:rPr>
      </w:pPr>
      <w:r w:rsidRPr="000D79BF">
        <w:rPr>
          <w:noProof/>
        </w:rPr>
        <w:t>Les Îles Féroé s’engagent à effectuer des contrôles sur les produits d’origine animale entrant dans les Îles Féroé en provenance de pays tiers conformément aux dispositions de l’article 79, de l’article 80, de l’article 83, paragraphe 2, ainsi que des articles 84 et 85 du règlement (UE) 2017/625 en ce qui concerne les redevances.</w:t>
      </w:r>
    </w:p>
    <w:p w14:paraId="200CF69A" w14:textId="77777777" w:rsidR="00E117EC" w:rsidRPr="000D79BF" w:rsidRDefault="00E117EC" w:rsidP="00E117EC">
      <w:pPr>
        <w:rPr>
          <w:b/>
          <w:bCs/>
          <w:i/>
          <w:iCs/>
          <w:noProof/>
        </w:rPr>
      </w:pPr>
    </w:p>
    <w:p w14:paraId="2C5D2A5E" w14:textId="77777777" w:rsidR="00787DCB" w:rsidRPr="000D79BF" w:rsidRDefault="00787DCB">
      <w:pPr>
        <w:spacing w:before="0" w:after="200" w:line="276" w:lineRule="auto"/>
        <w:jc w:val="left"/>
        <w:rPr>
          <w:b/>
          <w:bCs/>
          <w:i/>
          <w:iCs/>
          <w:noProof/>
        </w:rPr>
      </w:pPr>
      <w:bookmarkStart w:id="2" w:name="_Hlk216280577"/>
      <w:r w:rsidRPr="000D79BF">
        <w:rPr>
          <w:noProof/>
        </w:rPr>
        <w:br w:type="page"/>
      </w:r>
    </w:p>
    <w:p w14:paraId="0D2F2960" w14:textId="77777777" w:rsidR="00E117EC" w:rsidRPr="000D79BF" w:rsidRDefault="00E117EC" w:rsidP="00E117EC">
      <w:pPr>
        <w:rPr>
          <w:b/>
          <w:bCs/>
          <w:i/>
          <w:iCs/>
          <w:noProof/>
        </w:rPr>
      </w:pPr>
      <w:r w:rsidRPr="000D79BF">
        <w:rPr>
          <w:b/>
          <w:i/>
          <w:noProof/>
        </w:rPr>
        <w:t>Article 3</w:t>
      </w:r>
    </w:p>
    <w:p w14:paraId="6552F774" w14:textId="77777777" w:rsidR="00E117EC" w:rsidRPr="000D79BF" w:rsidRDefault="00E117EC" w:rsidP="00E117EC">
      <w:pPr>
        <w:rPr>
          <w:b/>
          <w:bCs/>
          <w:i/>
          <w:iCs/>
          <w:noProof/>
        </w:rPr>
      </w:pPr>
      <w:r w:rsidRPr="000D79BF">
        <w:rPr>
          <w:b/>
          <w:i/>
          <w:noProof/>
        </w:rPr>
        <w:t>Assistance mutuelle</w:t>
      </w:r>
    </w:p>
    <w:p w14:paraId="3AEC0418" w14:textId="77777777" w:rsidR="00E117EC" w:rsidRPr="000D79BF" w:rsidRDefault="00E117EC" w:rsidP="00E117EC">
      <w:pPr>
        <w:rPr>
          <w:noProof/>
        </w:rPr>
      </w:pPr>
      <w:r w:rsidRPr="000D79BF">
        <w:rPr>
          <w:noProof/>
        </w:rPr>
        <w:t>Les Îles Féroé s’engagent à appliquer les dispositions prévues à l’article 8 et aux articles 102 à 108 du règlement (UE) 2017/625.</w:t>
      </w:r>
    </w:p>
    <w:bookmarkEnd w:id="2"/>
    <w:p w14:paraId="0B65D63A" w14:textId="77777777" w:rsidR="00E117EC" w:rsidRPr="000D79BF" w:rsidRDefault="00E117EC" w:rsidP="00E117EC">
      <w:pPr>
        <w:rPr>
          <w:noProof/>
        </w:rPr>
      </w:pPr>
    </w:p>
    <w:p w14:paraId="5CD829D0" w14:textId="77777777" w:rsidR="00E117EC" w:rsidRPr="000D79BF" w:rsidRDefault="00E117EC" w:rsidP="00E117EC">
      <w:pPr>
        <w:rPr>
          <w:b/>
          <w:bCs/>
          <w:i/>
          <w:iCs/>
          <w:noProof/>
        </w:rPr>
      </w:pPr>
      <w:r w:rsidRPr="000D79BF">
        <w:rPr>
          <w:b/>
          <w:i/>
          <w:noProof/>
        </w:rPr>
        <w:t>Article 4</w:t>
      </w:r>
    </w:p>
    <w:p w14:paraId="6BC8F9FC" w14:textId="77777777" w:rsidR="00E117EC" w:rsidRPr="000D79BF" w:rsidRDefault="00E117EC" w:rsidP="00E117EC">
      <w:pPr>
        <w:rPr>
          <w:b/>
          <w:bCs/>
          <w:i/>
          <w:iCs/>
          <w:noProof/>
        </w:rPr>
      </w:pPr>
      <w:r w:rsidRPr="000D79BF">
        <w:rPr>
          <w:b/>
          <w:i/>
          <w:noProof/>
        </w:rPr>
        <w:t>Systèmes d’information</w:t>
      </w:r>
    </w:p>
    <w:p w14:paraId="182B2831" w14:textId="77777777" w:rsidR="00E117EC" w:rsidRPr="000D79BF" w:rsidRDefault="00E117EC" w:rsidP="00E117EC">
      <w:pPr>
        <w:rPr>
          <w:noProof/>
        </w:rPr>
      </w:pPr>
      <w:r w:rsidRPr="000D79BF">
        <w:rPr>
          <w:noProof/>
        </w:rPr>
        <w:t>1. Les Îles Féroé utilisent le système Traces (système informatique vétérinaire intégré) visé à l’article 133, paragraphe 4, du règlement (UE) 2017/625 pour notifier aux États membres les mouvements et les échanges d’animaux, de produits d’origine animale et de sous-produits animaux, lorsque les dispositions de l’Union l’exigent.</w:t>
      </w:r>
    </w:p>
    <w:p w14:paraId="4AB1AC27" w14:textId="57014F72" w:rsidR="00E117EC" w:rsidRPr="000D79BF" w:rsidRDefault="00E117EC" w:rsidP="00E117EC">
      <w:pPr>
        <w:rPr>
          <w:noProof/>
        </w:rPr>
      </w:pPr>
      <w:r w:rsidRPr="000D79BF">
        <w:rPr>
          <w:noProof/>
        </w:rPr>
        <w:t>2. Les Îles Féroé utilisent l’outil européen de notification et de déclaration ADIS (système d'information sur les maladies des animaux) visé aux articles 4, 19, 20, 21, 22 et 23 du règlement (UE) 2016/429.</w:t>
      </w:r>
    </w:p>
    <w:p w14:paraId="1D263188" w14:textId="77777777" w:rsidR="00A35E64" w:rsidRPr="000D79BF" w:rsidRDefault="00A35E64">
      <w:pPr>
        <w:spacing w:before="0" w:after="200" w:line="276" w:lineRule="auto"/>
        <w:jc w:val="left"/>
        <w:rPr>
          <w:noProof/>
        </w:rPr>
      </w:pPr>
    </w:p>
    <w:p w14:paraId="5D46EE52" w14:textId="77777777" w:rsidR="00A35E64" w:rsidRPr="000D79BF" w:rsidRDefault="00A35E64" w:rsidP="00A35E64">
      <w:pPr>
        <w:rPr>
          <w:b/>
          <w:bCs/>
          <w:i/>
          <w:iCs/>
          <w:noProof/>
        </w:rPr>
      </w:pPr>
      <w:r w:rsidRPr="000D79BF">
        <w:rPr>
          <w:b/>
          <w:i/>
          <w:noProof/>
        </w:rPr>
        <w:t xml:space="preserve">Article 5 </w:t>
      </w:r>
    </w:p>
    <w:p w14:paraId="0531974F" w14:textId="77777777" w:rsidR="00A35E64" w:rsidRPr="000D79BF" w:rsidRDefault="00A35E64" w:rsidP="00A35E64">
      <w:pPr>
        <w:rPr>
          <w:b/>
          <w:bCs/>
          <w:i/>
          <w:iCs/>
          <w:noProof/>
        </w:rPr>
      </w:pPr>
      <w:r w:rsidRPr="000D79BF">
        <w:rPr>
          <w:b/>
          <w:i/>
          <w:noProof/>
        </w:rPr>
        <w:t>Abrogation de la décision 1/2001</w:t>
      </w:r>
    </w:p>
    <w:p w14:paraId="5A866B2B" w14:textId="77777777" w:rsidR="00A35E64" w:rsidRPr="000D79BF" w:rsidRDefault="00A35E64">
      <w:pPr>
        <w:spacing w:before="0" w:after="200" w:line="276" w:lineRule="auto"/>
        <w:jc w:val="left"/>
        <w:rPr>
          <w:noProof/>
        </w:rPr>
      </w:pPr>
      <w:r w:rsidRPr="000D79BF">
        <w:rPr>
          <w:noProof/>
        </w:rPr>
        <w:t>La décision n° 1/2001 est abrogée.</w:t>
      </w:r>
    </w:p>
    <w:p w14:paraId="71CA36AC" w14:textId="77777777" w:rsidR="00F11E54" w:rsidRPr="000D79BF" w:rsidRDefault="00F11E54">
      <w:pPr>
        <w:spacing w:before="0" w:after="200" w:line="276" w:lineRule="auto"/>
        <w:jc w:val="left"/>
        <w:rPr>
          <w:noProof/>
        </w:rPr>
      </w:pPr>
    </w:p>
    <w:p w14:paraId="75A04D75" w14:textId="77777777" w:rsidR="00A35E64" w:rsidRPr="000D79BF" w:rsidRDefault="00A35E64" w:rsidP="00A35E64">
      <w:pPr>
        <w:rPr>
          <w:b/>
          <w:bCs/>
          <w:i/>
          <w:iCs/>
          <w:noProof/>
        </w:rPr>
      </w:pPr>
      <w:r w:rsidRPr="000D79BF">
        <w:rPr>
          <w:b/>
          <w:i/>
          <w:noProof/>
        </w:rPr>
        <w:t>Article 6</w:t>
      </w:r>
    </w:p>
    <w:p w14:paraId="21C86DC7" w14:textId="77777777" w:rsidR="00A35E64" w:rsidRPr="000D79BF" w:rsidRDefault="00A35E64" w:rsidP="00A35E64">
      <w:pPr>
        <w:rPr>
          <w:noProof/>
        </w:rPr>
      </w:pPr>
      <w:r w:rsidRPr="000D79BF">
        <w:rPr>
          <w:b/>
          <w:i/>
          <w:noProof/>
        </w:rPr>
        <w:t>Entrée en vigueur</w:t>
      </w:r>
    </w:p>
    <w:p w14:paraId="212830E7" w14:textId="77777777" w:rsidR="00A35E64" w:rsidRPr="000D79BF" w:rsidRDefault="00A35E64" w:rsidP="00A35E64">
      <w:pPr>
        <w:rPr>
          <w:noProof/>
        </w:rPr>
      </w:pPr>
      <w:r w:rsidRPr="000D79BF">
        <w:rPr>
          <w:noProof/>
        </w:rPr>
        <w:t>La présente décision entre en vigueur le jour de son adoption.</w:t>
      </w:r>
    </w:p>
    <w:p w14:paraId="1DE8DDF2" w14:textId="77777777" w:rsidR="00A35E64" w:rsidRPr="000D79BF" w:rsidRDefault="00A35E64">
      <w:pPr>
        <w:spacing w:before="0" w:after="200" w:line="276" w:lineRule="auto"/>
        <w:jc w:val="left"/>
        <w:rPr>
          <w:noProof/>
        </w:rPr>
        <w:sectPr w:rsidR="00A35E64" w:rsidRPr="000D79BF" w:rsidSect="00F171CF">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09974018" w14:textId="77777777" w:rsidR="00B81FC0" w:rsidRPr="000D79BF" w:rsidRDefault="00B81FC0">
      <w:pPr>
        <w:spacing w:before="0" w:after="200" w:line="276" w:lineRule="auto"/>
        <w:jc w:val="left"/>
        <w:rPr>
          <w:noProof/>
        </w:rPr>
      </w:pPr>
    </w:p>
    <w:p w14:paraId="0A828E85" w14:textId="77777777" w:rsidR="00B81FC0" w:rsidRPr="000D79BF" w:rsidRDefault="00DD6541" w:rsidP="0032298E">
      <w:pPr>
        <w:jc w:val="center"/>
        <w:rPr>
          <w:b/>
          <w:bCs/>
          <w:noProof/>
        </w:rPr>
      </w:pPr>
      <w:r w:rsidRPr="000D79BF">
        <w:rPr>
          <w:b/>
          <w:noProof/>
        </w:rPr>
        <w:t>ANNEXE 1</w:t>
      </w:r>
    </w:p>
    <w:p w14:paraId="4DA247D4" w14:textId="2E8BBF8F" w:rsidR="00FC2ED6" w:rsidRPr="000D79BF" w:rsidRDefault="00FC2ED6" w:rsidP="0032298E">
      <w:pPr>
        <w:jc w:val="center"/>
        <w:rPr>
          <w:noProof/>
        </w:rPr>
      </w:pPr>
      <w:r w:rsidRPr="000D79BF">
        <w:rPr>
          <w:noProof/>
        </w:rPr>
        <w:t>Règles applicables aux animaux, aux produits d’origine animale et aux sous-produits animaux, telles que visées à l’article 1</w:t>
      </w:r>
      <w:r w:rsidRPr="000D79BF">
        <w:rPr>
          <w:noProof/>
          <w:vertAlign w:val="superscript"/>
        </w:rPr>
        <w:t>er</w:t>
      </w:r>
    </w:p>
    <w:p w14:paraId="65AA5CBD" w14:textId="77777777" w:rsidR="00B81FC0" w:rsidRPr="000D79BF" w:rsidRDefault="00B81FC0" w:rsidP="00BA7532">
      <w:pPr>
        <w:rPr>
          <w:noProof/>
        </w:rPr>
      </w:pPr>
    </w:p>
    <w:p w14:paraId="53B4BEDD" w14:textId="343D5C75" w:rsidR="00B81FC0" w:rsidRPr="000D79BF" w:rsidRDefault="00BF5C86" w:rsidP="00BA7532">
      <w:pPr>
        <w:rPr>
          <w:noProof/>
        </w:rPr>
      </w:pPr>
      <w:r w:rsidRPr="000D79BF">
        <w:rPr>
          <w:noProof/>
        </w:rPr>
        <w:t xml:space="preserve">Les actes juridiques énumérés ci-dessous s’entendent comme étant mises en œuvre, complétées ou modifiées. </w:t>
      </w:r>
    </w:p>
    <w:tbl>
      <w:tblPr>
        <w:tblStyle w:val="TableGrid"/>
        <w:tblW w:w="5000" w:type="pct"/>
        <w:tblLook w:val="04A0" w:firstRow="1" w:lastRow="0" w:firstColumn="1" w:lastColumn="0" w:noHBand="0" w:noVBand="1"/>
      </w:tblPr>
      <w:tblGrid>
        <w:gridCol w:w="7393"/>
        <w:gridCol w:w="7394"/>
      </w:tblGrid>
      <w:tr w:rsidR="00AB03FE" w:rsidRPr="000D79BF" w14:paraId="59F89DEA" w14:textId="77777777" w:rsidTr="2CC942B6">
        <w:tc>
          <w:tcPr>
            <w:tcW w:w="2500" w:type="pct"/>
          </w:tcPr>
          <w:p w14:paraId="580AF5F5" w14:textId="77777777" w:rsidR="00AB03FE" w:rsidRPr="000D79BF" w:rsidRDefault="00AB03FE" w:rsidP="00BA7532">
            <w:pPr>
              <w:rPr>
                <w:b/>
                <w:bCs/>
                <w:noProof/>
              </w:rPr>
            </w:pPr>
            <w:r w:rsidRPr="000D79BF">
              <w:rPr>
                <w:b/>
                <w:noProof/>
              </w:rPr>
              <w:t>Acte juridique</w:t>
            </w:r>
          </w:p>
        </w:tc>
        <w:tc>
          <w:tcPr>
            <w:tcW w:w="2500" w:type="pct"/>
          </w:tcPr>
          <w:p w14:paraId="378A9165" w14:textId="77777777" w:rsidR="00AB03FE" w:rsidRPr="000D79BF" w:rsidRDefault="00AB03FE" w:rsidP="00BA7532">
            <w:pPr>
              <w:rPr>
                <w:b/>
                <w:bCs/>
                <w:noProof/>
              </w:rPr>
            </w:pPr>
            <w:r w:rsidRPr="000D79BF">
              <w:rPr>
                <w:b/>
                <w:noProof/>
              </w:rPr>
              <w:t>Points méritant une attention particulière</w:t>
            </w:r>
          </w:p>
        </w:tc>
      </w:tr>
      <w:tr w:rsidR="004C1836" w:rsidRPr="000D79BF" w14:paraId="785E3BD3" w14:textId="77777777" w:rsidTr="2CC942B6">
        <w:tc>
          <w:tcPr>
            <w:tcW w:w="2500" w:type="pct"/>
          </w:tcPr>
          <w:p w14:paraId="31CF0C20" w14:textId="77777777" w:rsidR="004C1836" w:rsidRPr="000D79BF" w:rsidRDefault="004C1836" w:rsidP="00BA7532">
            <w:pPr>
              <w:rPr>
                <w:noProof/>
              </w:rPr>
            </w:pPr>
            <w:r w:rsidRPr="000D79BF">
              <w:rPr>
                <w:noProof/>
              </w:rPr>
              <w:t>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0D79BF">
              <w:rPr>
                <w:rStyle w:val="FootnoteReference"/>
                <w:noProof/>
              </w:rPr>
              <w:footnoteReference w:id="1"/>
            </w:r>
          </w:p>
        </w:tc>
        <w:tc>
          <w:tcPr>
            <w:tcW w:w="2500" w:type="pct"/>
          </w:tcPr>
          <w:p w14:paraId="6F10F39A" w14:textId="77777777" w:rsidR="004C1836" w:rsidRPr="000D79BF" w:rsidRDefault="004C1836" w:rsidP="00BA7532">
            <w:pPr>
              <w:rPr>
                <w:noProof/>
              </w:rPr>
            </w:pPr>
          </w:p>
        </w:tc>
      </w:tr>
      <w:tr w:rsidR="004C1836" w:rsidRPr="000D79BF" w14:paraId="3EA2A569"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CE66D5" w:rsidRPr="000D79BF" w14:paraId="5B3B0859" w14:textId="77777777" w:rsidTr="00CE66D5">
              <w:trPr>
                <w:tblCellSpacing w:w="0" w:type="dxa"/>
              </w:trPr>
              <w:tc>
                <w:tcPr>
                  <w:tcW w:w="0" w:type="auto"/>
                  <w:hideMark/>
                </w:tcPr>
                <w:p w14:paraId="522A089C" w14:textId="77777777" w:rsidR="00CE66D5" w:rsidRPr="000D79BF" w:rsidRDefault="00CE66D5" w:rsidP="00CE66D5">
                  <w:pPr>
                    <w:spacing w:before="0" w:after="0"/>
                    <w:jc w:val="left"/>
                    <w:rPr>
                      <w:rFonts w:eastAsia="Times New Roman"/>
                      <w:noProof/>
                      <w:sz w:val="20"/>
                      <w:szCs w:val="24"/>
                      <w:lang w:eastAsia="fr-BE"/>
                    </w:rPr>
                  </w:pPr>
                </w:p>
              </w:tc>
              <w:tc>
                <w:tcPr>
                  <w:tcW w:w="0" w:type="auto"/>
                  <w:hideMark/>
                </w:tcPr>
                <w:p w14:paraId="3199255C" w14:textId="77777777" w:rsidR="00CE66D5" w:rsidRPr="000D79BF" w:rsidRDefault="00CE66D5" w:rsidP="000904BE">
                  <w:pPr>
                    <w:spacing w:before="100" w:beforeAutospacing="1" w:after="100" w:afterAutospacing="1"/>
                    <w:rPr>
                      <w:rFonts w:eastAsia="Times New Roman"/>
                      <w:noProof/>
                      <w:szCs w:val="24"/>
                    </w:rPr>
                  </w:pPr>
                  <w:r w:rsidRPr="000D79BF">
                    <w:rPr>
                      <w:noProof/>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w:t>
                  </w:r>
                  <w:r w:rsidRPr="000D79BF">
                    <w:rPr>
                      <w:rStyle w:val="FootnoteReference"/>
                      <w:rFonts w:eastAsia="Times New Roman"/>
                      <w:noProof/>
                      <w:szCs w:val="24"/>
                      <w:lang w:eastAsia="fr-BE"/>
                    </w:rPr>
                    <w:footnoteReference w:id="2"/>
                  </w:r>
                </w:p>
              </w:tc>
            </w:tr>
          </w:tbl>
          <w:p w14:paraId="02BC1494" w14:textId="77777777" w:rsidR="004C1836" w:rsidRPr="000D79BF" w:rsidRDefault="004C1836" w:rsidP="00BA7532">
            <w:pPr>
              <w:rPr>
                <w:noProof/>
              </w:rPr>
            </w:pPr>
          </w:p>
        </w:tc>
        <w:tc>
          <w:tcPr>
            <w:tcW w:w="2500" w:type="pct"/>
          </w:tcPr>
          <w:p w14:paraId="046E27DE" w14:textId="1629A6A7" w:rsidR="00CE66D5" w:rsidRPr="000D79BF" w:rsidRDefault="55DAA06B" w:rsidP="000904BE">
            <w:pPr>
              <w:pStyle w:val="ListParagraph"/>
              <w:numPr>
                <w:ilvl w:val="0"/>
                <w:numId w:val="5"/>
              </w:numPr>
              <w:ind w:left="404"/>
              <w:rPr>
                <w:noProof/>
              </w:rPr>
            </w:pPr>
            <w:r w:rsidRPr="000D79BF">
              <w:rPr>
                <w:noProof/>
              </w:rPr>
              <w:t>L’établissement des listes d’opérateurs par les Îles Féroé conformément à l’article 10, paragraphe 2, du règlement (UE) 2017/625 est effectué sur la plateforme Traces [visée à l’article 4].</w:t>
            </w:r>
          </w:p>
          <w:p w14:paraId="10FC28AD" w14:textId="6B404D76" w:rsidR="00CE66D5" w:rsidRPr="000D79BF" w:rsidRDefault="55DAA06B" w:rsidP="000904BE">
            <w:pPr>
              <w:pStyle w:val="ListParagraph"/>
              <w:numPr>
                <w:ilvl w:val="0"/>
                <w:numId w:val="5"/>
              </w:numPr>
              <w:ind w:left="404"/>
              <w:rPr>
                <w:noProof/>
              </w:rPr>
            </w:pPr>
            <w:r w:rsidRPr="000D79BF">
              <w:rPr>
                <w:noProof/>
              </w:rPr>
              <w:t>Les règles relatives aux contrôles dans les États membres prévues aux articles 116 à 119 du règlement (UE) 2017/625 s’appliquent mutatis mutandis aux Îles Féroé.</w:t>
            </w:r>
          </w:p>
          <w:p w14:paraId="0A67793C" w14:textId="19220ACB" w:rsidR="004C1836" w:rsidRPr="000D79BF" w:rsidRDefault="00CE66D5" w:rsidP="000904BE">
            <w:pPr>
              <w:pStyle w:val="ListParagraph"/>
              <w:numPr>
                <w:ilvl w:val="0"/>
                <w:numId w:val="5"/>
              </w:numPr>
              <w:ind w:left="404"/>
              <w:rPr>
                <w:noProof/>
              </w:rPr>
            </w:pPr>
            <w:r w:rsidRPr="000D79BF">
              <w:rPr>
                <w:noProof/>
              </w:rPr>
              <w:t>Les Îles Féroé veillent à ce que les installations de leurs postes de contrôle frontaliers soient conformes aux exigences spécifiques énoncées à l’article 64 du règlement (UE) 2017/625.</w:t>
            </w:r>
          </w:p>
        </w:tc>
      </w:tr>
      <w:tr w:rsidR="004C1836" w:rsidRPr="000D79BF" w14:paraId="1AADCB8D" w14:textId="77777777" w:rsidTr="2CC942B6">
        <w:tc>
          <w:tcPr>
            <w:tcW w:w="2500" w:type="pct"/>
          </w:tcPr>
          <w:p w14:paraId="00B08E98" w14:textId="77777777" w:rsidR="004C1836" w:rsidRPr="000D79BF" w:rsidRDefault="00CE66D5" w:rsidP="00BA7532">
            <w:pPr>
              <w:rPr>
                <w:noProof/>
              </w:rPr>
            </w:pPr>
            <w:r w:rsidRPr="000D79BF">
              <w:rPr>
                <w:noProof/>
              </w:rPr>
              <w:t>Règlement (CE) nº 853/2004 du Parlement européen et du Conseil du 29 avril 2004 fixant des règles spécifiques d’hygiène applicables aux denrées alimentaires d’origine animale</w:t>
            </w:r>
            <w:r w:rsidRPr="000D79BF">
              <w:rPr>
                <w:rStyle w:val="FootnoteReference"/>
                <w:noProof/>
              </w:rPr>
              <w:footnoteReference w:id="3"/>
            </w:r>
          </w:p>
        </w:tc>
        <w:tc>
          <w:tcPr>
            <w:tcW w:w="2500" w:type="pct"/>
          </w:tcPr>
          <w:p w14:paraId="0F070093" w14:textId="4A04DFF1" w:rsidR="004C1836" w:rsidRPr="000D79BF" w:rsidRDefault="00CE66D5" w:rsidP="000904BE">
            <w:pPr>
              <w:rPr>
                <w:noProof/>
              </w:rPr>
            </w:pPr>
            <w:r w:rsidRPr="000D79BF">
              <w:rPr>
                <w:noProof/>
              </w:rPr>
              <w:t>Les Îles Féroé utilisent «FO» comme la marque d’identification prévue à l’annexe II, section I, du règlement (CE) n° 853/2004.</w:t>
            </w:r>
          </w:p>
        </w:tc>
      </w:tr>
      <w:tr w:rsidR="004C1836" w:rsidRPr="000D79BF" w14:paraId="46D85F1C" w14:textId="77777777" w:rsidTr="2CC942B6">
        <w:tc>
          <w:tcPr>
            <w:tcW w:w="2500" w:type="pct"/>
          </w:tcPr>
          <w:p w14:paraId="1866AEA3" w14:textId="77777777" w:rsidR="004C1836" w:rsidRPr="000D79BF" w:rsidRDefault="00CE66D5" w:rsidP="00BA7532">
            <w:pPr>
              <w:rPr>
                <w:noProof/>
              </w:rPr>
            </w:pPr>
            <w:r w:rsidRPr="000D79BF">
              <w:rPr>
                <w:noProof/>
              </w:rPr>
              <w:t>Règlement (CE) nº 852/2004 du Parlement européen et du Conseil du 29 avril 2004 relatif à l’hygiène des denrées alimentaires</w:t>
            </w:r>
            <w:r w:rsidRPr="000D79BF">
              <w:rPr>
                <w:rStyle w:val="FootnoteReference"/>
                <w:noProof/>
              </w:rPr>
              <w:footnoteReference w:id="4"/>
            </w:r>
          </w:p>
        </w:tc>
        <w:tc>
          <w:tcPr>
            <w:tcW w:w="2500" w:type="pct"/>
          </w:tcPr>
          <w:p w14:paraId="36466D35" w14:textId="77777777" w:rsidR="004C1836" w:rsidRPr="000D79BF" w:rsidRDefault="004C1836" w:rsidP="00BA7532">
            <w:pPr>
              <w:rPr>
                <w:noProof/>
              </w:rPr>
            </w:pPr>
          </w:p>
        </w:tc>
      </w:tr>
      <w:tr w:rsidR="004C1836" w:rsidRPr="000D79BF" w14:paraId="375BECFA"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B474B4" w:rsidRPr="000D79BF" w14:paraId="02324F9C" w14:textId="77777777" w:rsidTr="00B474B4">
              <w:trPr>
                <w:tblCellSpacing w:w="0" w:type="dxa"/>
              </w:trPr>
              <w:tc>
                <w:tcPr>
                  <w:tcW w:w="0" w:type="auto"/>
                  <w:hideMark/>
                </w:tcPr>
                <w:p w14:paraId="75C59706" w14:textId="77777777" w:rsidR="00B474B4" w:rsidRPr="000D79BF" w:rsidRDefault="00B474B4" w:rsidP="00B474B4">
                  <w:pPr>
                    <w:spacing w:before="0" w:after="0"/>
                    <w:jc w:val="left"/>
                    <w:rPr>
                      <w:rFonts w:eastAsia="Times New Roman"/>
                      <w:noProof/>
                      <w:sz w:val="20"/>
                      <w:szCs w:val="24"/>
                      <w:lang w:eastAsia="fr-BE"/>
                    </w:rPr>
                  </w:pPr>
                </w:p>
              </w:tc>
              <w:tc>
                <w:tcPr>
                  <w:tcW w:w="0" w:type="auto"/>
                  <w:hideMark/>
                </w:tcPr>
                <w:p w14:paraId="383FC9ED" w14:textId="77777777" w:rsidR="00B474B4" w:rsidRPr="000D79BF" w:rsidRDefault="00B474B4" w:rsidP="000904BE">
                  <w:pPr>
                    <w:spacing w:before="100" w:beforeAutospacing="1" w:after="100" w:afterAutospacing="1"/>
                    <w:rPr>
                      <w:rFonts w:eastAsia="Times New Roman"/>
                      <w:noProof/>
                      <w:szCs w:val="24"/>
                    </w:rPr>
                  </w:pPr>
                  <w:r w:rsidRPr="000D79BF">
                    <w:rPr>
                      <w:noProof/>
                    </w:rPr>
                    <w:t>Règlement (CE) nº 183/2005 du Parlement européen et du Conseil du 12 janvier 2005 établissant des exigences en matière d’hygiène des aliments pour animaux</w:t>
                  </w:r>
                  <w:r w:rsidRPr="000D79BF">
                    <w:rPr>
                      <w:rStyle w:val="FootnoteReference"/>
                      <w:rFonts w:eastAsia="Times New Roman"/>
                      <w:noProof/>
                      <w:szCs w:val="24"/>
                      <w:lang w:eastAsia="fr-BE"/>
                    </w:rPr>
                    <w:footnoteReference w:id="5"/>
                  </w:r>
                </w:p>
              </w:tc>
            </w:tr>
          </w:tbl>
          <w:p w14:paraId="5F24C439" w14:textId="77777777" w:rsidR="004C1836" w:rsidRPr="000D79BF" w:rsidRDefault="004C1836" w:rsidP="00BA7532">
            <w:pPr>
              <w:rPr>
                <w:noProof/>
              </w:rPr>
            </w:pPr>
          </w:p>
        </w:tc>
        <w:tc>
          <w:tcPr>
            <w:tcW w:w="2500" w:type="pct"/>
          </w:tcPr>
          <w:p w14:paraId="2088B386" w14:textId="77777777" w:rsidR="004C1836" w:rsidRPr="000D79BF" w:rsidRDefault="004C1836" w:rsidP="00BA7532">
            <w:pPr>
              <w:rPr>
                <w:noProof/>
              </w:rPr>
            </w:pPr>
          </w:p>
        </w:tc>
      </w:tr>
      <w:tr w:rsidR="004C1836" w:rsidRPr="000D79BF" w14:paraId="6D752867"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B474B4" w:rsidRPr="000D79BF" w14:paraId="636C3815" w14:textId="77777777" w:rsidTr="00B474B4">
              <w:trPr>
                <w:tblCellSpacing w:w="0" w:type="dxa"/>
              </w:trPr>
              <w:tc>
                <w:tcPr>
                  <w:tcW w:w="0" w:type="auto"/>
                  <w:hideMark/>
                </w:tcPr>
                <w:p w14:paraId="5C9F0FBB" w14:textId="77777777" w:rsidR="00B474B4" w:rsidRPr="000D79BF" w:rsidRDefault="00B474B4" w:rsidP="00B474B4">
                  <w:pPr>
                    <w:spacing w:before="0" w:after="0"/>
                    <w:jc w:val="left"/>
                    <w:rPr>
                      <w:rFonts w:eastAsia="Times New Roman"/>
                      <w:noProof/>
                      <w:sz w:val="20"/>
                      <w:szCs w:val="24"/>
                      <w:lang w:eastAsia="fr-BE"/>
                    </w:rPr>
                  </w:pPr>
                </w:p>
              </w:tc>
              <w:tc>
                <w:tcPr>
                  <w:tcW w:w="0" w:type="auto"/>
                  <w:hideMark/>
                </w:tcPr>
                <w:p w14:paraId="5D2B5BC3" w14:textId="77777777" w:rsidR="00B474B4" w:rsidRPr="000D79BF" w:rsidRDefault="00B474B4" w:rsidP="000904BE">
                  <w:pPr>
                    <w:spacing w:before="100" w:beforeAutospacing="1" w:after="100" w:afterAutospacing="1"/>
                    <w:rPr>
                      <w:rFonts w:eastAsia="Times New Roman"/>
                      <w:noProof/>
                      <w:szCs w:val="24"/>
                    </w:rPr>
                  </w:pPr>
                  <w:r w:rsidRPr="000D79BF">
                    <w:rPr>
                      <w:noProof/>
                    </w:rPr>
                    <w:t>Règlement (UE) 2016/429 du Parlement Européen et du Conseil du 9 mars 2016 relatif aux maladies animales transmissibles et modifiant et abrogeant certains actes dans le domaine de la santé animale («Législation sur la santé animale»)</w:t>
                  </w:r>
                  <w:r w:rsidRPr="000D79BF">
                    <w:rPr>
                      <w:rStyle w:val="FootnoteReference"/>
                      <w:rFonts w:eastAsia="Times New Roman"/>
                      <w:noProof/>
                      <w:szCs w:val="24"/>
                      <w:lang w:eastAsia="fr-BE"/>
                    </w:rPr>
                    <w:footnoteReference w:id="6"/>
                  </w:r>
                </w:p>
              </w:tc>
            </w:tr>
          </w:tbl>
          <w:p w14:paraId="49B05B37" w14:textId="77777777" w:rsidR="004C1836" w:rsidRPr="000D79BF" w:rsidRDefault="004C1836" w:rsidP="00BA7532">
            <w:pPr>
              <w:rPr>
                <w:noProof/>
              </w:rPr>
            </w:pPr>
          </w:p>
        </w:tc>
        <w:tc>
          <w:tcPr>
            <w:tcW w:w="2500" w:type="pct"/>
          </w:tcPr>
          <w:p w14:paraId="0DA821CD" w14:textId="446C3F3C" w:rsidR="00B474B4" w:rsidRPr="000D79BF" w:rsidRDefault="00B474B4" w:rsidP="00B474B4">
            <w:pPr>
              <w:rPr>
                <w:noProof/>
              </w:rPr>
            </w:pPr>
            <w:r w:rsidRPr="000D79BF">
              <w:rPr>
                <w:noProof/>
              </w:rPr>
              <w:t>La procédure suivante s’appliquera à l’octroi et au retrait du statut «indemne de maladie» ainsi qu’à l’approbation et au retrait des programmes d’éradication obligatoires et optionnels:</w:t>
            </w:r>
          </w:p>
          <w:p w14:paraId="062580A1" w14:textId="77777777" w:rsidR="00B474B4" w:rsidRPr="000D79BF" w:rsidRDefault="00B474B4" w:rsidP="00B474B4">
            <w:pPr>
              <w:rPr>
                <w:noProof/>
              </w:rPr>
            </w:pPr>
            <w:r w:rsidRPr="000D79BF">
              <w:rPr>
                <w:noProof/>
              </w:rPr>
              <w:t>- présentation par les Îles Féroé d’une demande accompagnée de l’ensemble des justifications appropriées au sous-groupe vétérinaire,</w:t>
            </w:r>
          </w:p>
          <w:p w14:paraId="67C45B15" w14:textId="77777777" w:rsidR="00B474B4" w:rsidRPr="000D79BF" w:rsidRDefault="00B474B4" w:rsidP="00B474B4">
            <w:pPr>
              <w:rPr>
                <w:noProof/>
              </w:rPr>
            </w:pPr>
            <w:r w:rsidRPr="000D79BF">
              <w:rPr>
                <w:noProof/>
              </w:rPr>
              <w:t>- approbation par le sous-groupe vétérinaire,</w:t>
            </w:r>
          </w:p>
          <w:p w14:paraId="72E7101D" w14:textId="21626B6A" w:rsidR="00B474B4" w:rsidRPr="000D79BF" w:rsidRDefault="00B474B4" w:rsidP="00B474B4">
            <w:pPr>
              <w:rPr>
                <w:noProof/>
              </w:rPr>
            </w:pPr>
            <w:r w:rsidRPr="000D79BF">
              <w:rPr>
                <w:noProof/>
              </w:rPr>
              <w:t>- mise à jour par la Commission après notification aux États membres au sein du comité permanent des végétaux, des animaux, des denrées alimentaires et des aliments pour animaux,</w:t>
            </w:r>
          </w:p>
          <w:p w14:paraId="40829AB0" w14:textId="3810045B" w:rsidR="004C1836" w:rsidRPr="000D79BF" w:rsidRDefault="00B474B4" w:rsidP="000904BE">
            <w:pPr>
              <w:rPr>
                <w:noProof/>
              </w:rPr>
            </w:pPr>
            <w:r w:rsidRPr="000D79BF">
              <w:rPr>
                <w:noProof/>
              </w:rPr>
              <w:t>L’examen d’une éventuelle demande des Îles Féroé concernant leur statut est effectué sur la base des mêmes critères que ceux qui sont applicables aux demandes similaires des États membres.</w:t>
            </w:r>
          </w:p>
        </w:tc>
      </w:tr>
      <w:tr w:rsidR="004C1836" w:rsidRPr="000D79BF" w14:paraId="69FAAB72" w14:textId="77777777" w:rsidTr="2CC942B6">
        <w:tc>
          <w:tcPr>
            <w:tcW w:w="2500" w:type="pct"/>
          </w:tcPr>
          <w:p w14:paraId="429BE8C9" w14:textId="77777777" w:rsidR="004C1836" w:rsidRPr="000D79BF" w:rsidRDefault="00A746A7" w:rsidP="00BA7532">
            <w:pPr>
              <w:rPr>
                <w:noProof/>
              </w:rPr>
            </w:pPr>
            <w:r w:rsidRPr="000D79BF">
              <w:rPr>
                <w:noProof/>
              </w:rPr>
              <w:t>Règlement (UE) 2019/6 du Parlement européen et du Conseil du 11 décembre 2018 relatif aux médicaments vétérinaires et abrogeant la directive 2001/82/CE</w:t>
            </w:r>
            <w:r w:rsidR="0090126A" w:rsidRPr="000D79BF">
              <w:rPr>
                <w:rStyle w:val="FootnoteReference"/>
                <w:noProof/>
              </w:rPr>
              <w:footnoteReference w:id="7"/>
            </w:r>
          </w:p>
        </w:tc>
        <w:tc>
          <w:tcPr>
            <w:tcW w:w="2500" w:type="pct"/>
          </w:tcPr>
          <w:p w14:paraId="723E3A1D" w14:textId="77777777" w:rsidR="004C1836" w:rsidRPr="000D79BF" w:rsidRDefault="00AB03FE" w:rsidP="00BA7532">
            <w:pPr>
              <w:rPr>
                <w:noProof/>
              </w:rPr>
            </w:pPr>
            <w:r w:rsidRPr="000D79BF">
              <w:rPr>
                <w:noProof/>
              </w:rPr>
              <w:t>Uniquement l’article 107 (paragraphes 1 à 5) et l’article 118, y compris les actes juridiques adoptés sur la base de ces dispositions</w:t>
            </w:r>
          </w:p>
          <w:p w14:paraId="5848553B" w14:textId="6573C93C" w:rsidR="00D80589" w:rsidRPr="000D79BF" w:rsidRDefault="00D80589" w:rsidP="00BA7532">
            <w:pPr>
              <w:rPr>
                <w:noProof/>
              </w:rPr>
            </w:pPr>
            <w:r w:rsidRPr="000D79BF">
              <w:rPr>
                <w:noProof/>
              </w:rPr>
              <w:t>L’article 107, paragraphe 5, est interprété en ce sens que les médicaments contenant les antimicrobiens ou groupes d’antimicrobiens réservés au traitement de certaines infections chez l’homme conformément au règlement d’exécution (UE) 2022/1255 de la Commission ne doivent pas être utilisés chez les animaux</w:t>
            </w:r>
            <w:r w:rsidRPr="000D79BF">
              <w:rPr>
                <w:rStyle w:val="FootnoteReference"/>
                <w:noProof/>
              </w:rPr>
              <w:footnoteReference w:id="8"/>
            </w:r>
            <w:r w:rsidRPr="000D79BF">
              <w:rPr>
                <w:noProof/>
              </w:rPr>
              <w:t>.</w:t>
            </w:r>
          </w:p>
        </w:tc>
      </w:tr>
      <w:tr w:rsidR="004C1836" w:rsidRPr="000D79BF" w14:paraId="56340B19" w14:textId="77777777" w:rsidTr="2CC942B6">
        <w:tc>
          <w:tcPr>
            <w:tcW w:w="2500" w:type="pct"/>
          </w:tcPr>
          <w:p w14:paraId="50902DA6" w14:textId="77777777" w:rsidR="004C1836" w:rsidRPr="000D79BF" w:rsidRDefault="00AB03FE" w:rsidP="00BA7532">
            <w:pPr>
              <w:rPr>
                <w:noProof/>
              </w:rPr>
            </w:pPr>
            <w:r w:rsidRPr="000D79BF">
              <w:rPr>
                <w:noProof/>
              </w:rPr>
              <w:t>Règlement (UE) 2019/4 du Parlement européen et du Conseil du 11 décembre 2018 concernant la fabrication, la mise sur le marché et l’utilisation d’aliments médicamenteux pour animaux, modifiant le règlement (CE) nº 183/2005 du Parlement européen et du Conseil et abrogeant la directive 90/167/CEE du Conseil</w:t>
            </w:r>
            <w:r w:rsidR="006933B0" w:rsidRPr="000D79BF">
              <w:rPr>
                <w:rStyle w:val="FootnoteReference"/>
                <w:noProof/>
              </w:rPr>
              <w:footnoteReference w:id="9"/>
            </w:r>
          </w:p>
        </w:tc>
        <w:tc>
          <w:tcPr>
            <w:tcW w:w="2500" w:type="pct"/>
          </w:tcPr>
          <w:p w14:paraId="46340F19" w14:textId="77777777" w:rsidR="004C1836" w:rsidRPr="000D79BF" w:rsidRDefault="00AB03FE" w:rsidP="00BA7532">
            <w:pPr>
              <w:rPr>
                <w:noProof/>
              </w:rPr>
            </w:pPr>
            <w:r w:rsidRPr="000D79BF">
              <w:rPr>
                <w:noProof/>
              </w:rPr>
              <w:t>Uniquement l’article 17, paragraphe 3</w:t>
            </w:r>
          </w:p>
        </w:tc>
      </w:tr>
      <w:tr w:rsidR="004C1836" w:rsidRPr="000D79BF" w14:paraId="6DBE64FA" w14:textId="77777777" w:rsidTr="2CC942B6">
        <w:tc>
          <w:tcPr>
            <w:tcW w:w="2500" w:type="pct"/>
          </w:tcPr>
          <w:p w14:paraId="259A8FD5" w14:textId="77777777" w:rsidR="004C1836" w:rsidRPr="000D79BF" w:rsidRDefault="003A6E37" w:rsidP="00BA7532">
            <w:pPr>
              <w:rPr>
                <w:noProof/>
              </w:rPr>
            </w:pPr>
            <w:r w:rsidRPr="000D79BF">
              <w:rPr>
                <w:noProof/>
              </w:rPr>
              <w:t>Règlement (CE) nº 1069/2009 du Parlement européen et du Conseil du 21 octobre 2009 établissant des règles sanitaires applicables aux sous-produits animaux et produits dérivés non destinés à la consommation humaine et abrogeant le règlement (CE) nº 1774/2002 (règlement relatif aux sous-produits animaux)</w:t>
            </w:r>
            <w:r w:rsidRPr="000D79BF">
              <w:rPr>
                <w:rStyle w:val="FootnoteReference"/>
                <w:noProof/>
              </w:rPr>
              <w:footnoteReference w:id="10"/>
            </w:r>
          </w:p>
        </w:tc>
        <w:tc>
          <w:tcPr>
            <w:tcW w:w="2500" w:type="pct"/>
          </w:tcPr>
          <w:p w14:paraId="358C9860" w14:textId="77777777" w:rsidR="004C1836" w:rsidRPr="000D79BF" w:rsidRDefault="004C1836" w:rsidP="00BA7532">
            <w:pPr>
              <w:rPr>
                <w:noProof/>
              </w:rPr>
            </w:pPr>
          </w:p>
        </w:tc>
      </w:tr>
      <w:tr w:rsidR="004C1836" w:rsidRPr="000D79BF" w14:paraId="584FB098" w14:textId="77777777" w:rsidTr="2CC942B6">
        <w:tc>
          <w:tcPr>
            <w:tcW w:w="2500" w:type="pct"/>
          </w:tcPr>
          <w:p w14:paraId="3C34BD50" w14:textId="77777777" w:rsidR="004C1836" w:rsidRPr="000D79BF" w:rsidRDefault="003A6E37" w:rsidP="00BA7532">
            <w:pPr>
              <w:rPr>
                <w:noProof/>
              </w:rPr>
            </w:pPr>
            <w:r w:rsidRPr="000D79BF">
              <w:rPr>
                <w:noProof/>
              </w:rPr>
              <w:t>Directive 96/22/CE du Conseil du 29 avril 1996 concernant l'interdiction d'utilisation de certaines substances à effet hormonal ou thyréostatique et des substances ß-agonistes dans les spéculations animales et abrogeant les directives 81/602/CEE, 88/146/CEE et 88/299/CEE</w:t>
            </w:r>
            <w:r w:rsidRPr="000D79BF">
              <w:rPr>
                <w:rStyle w:val="FootnoteReference"/>
                <w:noProof/>
              </w:rPr>
              <w:footnoteReference w:id="11"/>
            </w:r>
          </w:p>
        </w:tc>
        <w:tc>
          <w:tcPr>
            <w:tcW w:w="2500" w:type="pct"/>
          </w:tcPr>
          <w:p w14:paraId="4E4F6E85" w14:textId="77777777" w:rsidR="004C1836" w:rsidRPr="000D79BF" w:rsidRDefault="004C1836" w:rsidP="00946576">
            <w:pPr>
              <w:rPr>
                <w:noProof/>
              </w:rPr>
            </w:pPr>
          </w:p>
        </w:tc>
      </w:tr>
      <w:tr w:rsidR="004C1836" w:rsidRPr="000D79BF" w14:paraId="3B393E32" w14:textId="77777777" w:rsidTr="2CC942B6">
        <w:tc>
          <w:tcPr>
            <w:tcW w:w="2500" w:type="pct"/>
          </w:tcPr>
          <w:tbl>
            <w:tblPr>
              <w:tblW w:w="5000" w:type="pct"/>
              <w:tblCellSpacing w:w="0" w:type="dxa"/>
              <w:tblCellMar>
                <w:left w:w="0" w:type="dxa"/>
                <w:right w:w="0" w:type="dxa"/>
              </w:tblCellMar>
              <w:tblLook w:val="04A0" w:firstRow="1" w:lastRow="0" w:firstColumn="1" w:lastColumn="0" w:noHBand="0" w:noVBand="1"/>
            </w:tblPr>
            <w:tblGrid>
              <w:gridCol w:w="6"/>
              <w:gridCol w:w="7171"/>
            </w:tblGrid>
            <w:tr w:rsidR="003A6E37" w:rsidRPr="000D79BF" w14:paraId="224E7DAF" w14:textId="77777777" w:rsidTr="003A6E37">
              <w:trPr>
                <w:tblCellSpacing w:w="0" w:type="dxa"/>
              </w:trPr>
              <w:tc>
                <w:tcPr>
                  <w:tcW w:w="0" w:type="auto"/>
                  <w:hideMark/>
                </w:tcPr>
                <w:p w14:paraId="04368D9D" w14:textId="77777777" w:rsidR="003A6E37" w:rsidRPr="000D79BF" w:rsidRDefault="003A6E37" w:rsidP="003A6E37">
                  <w:pPr>
                    <w:spacing w:before="0" w:after="0"/>
                    <w:jc w:val="left"/>
                    <w:rPr>
                      <w:rFonts w:eastAsia="Times New Roman"/>
                      <w:noProof/>
                      <w:sz w:val="20"/>
                      <w:szCs w:val="24"/>
                      <w:lang w:eastAsia="fr-BE"/>
                    </w:rPr>
                  </w:pPr>
                </w:p>
              </w:tc>
              <w:tc>
                <w:tcPr>
                  <w:tcW w:w="0" w:type="auto"/>
                  <w:hideMark/>
                </w:tcPr>
                <w:p w14:paraId="3BE38412" w14:textId="54CEFEDE" w:rsidR="003A6E37" w:rsidRPr="000D79BF" w:rsidRDefault="003A6E37" w:rsidP="000904BE">
                  <w:pPr>
                    <w:spacing w:before="0" w:after="0"/>
                    <w:rPr>
                      <w:rFonts w:eastAsia="Times New Roman"/>
                      <w:noProof/>
                      <w:szCs w:val="24"/>
                    </w:rPr>
                  </w:pPr>
                  <w:r w:rsidRPr="000D79BF">
                    <w:rPr>
                      <w:noProof/>
                    </w:rPr>
                    <w:t>Règlement (CE) nº 767/2009 du Parlement européen et du Conseil du 13 juillet 2009 concernant la mise sur le marché et l’utilisation des aliments pour animaux, modifiant le règlement (CE) nº 1831/2003 du Parlement européen et du Conseil et abrogeant la directive 79/373/CEE du Conseil, la directive 80/511/CEE de la Commission, les directives 82/471/CEE, 83/228/CEE, 93/74/CEE, 93/113/CE et 96/25/CE du Conseil, ainsi que la décision 2004/217/CE de la Commission</w:t>
                  </w:r>
                  <w:r w:rsidRPr="000D79BF">
                    <w:rPr>
                      <w:rStyle w:val="FootnoteReference"/>
                      <w:rFonts w:eastAsia="Times New Roman"/>
                      <w:noProof/>
                      <w:szCs w:val="24"/>
                      <w:lang w:eastAsia="fr-BE"/>
                    </w:rPr>
                    <w:footnoteReference w:id="12"/>
                  </w:r>
                  <w:r w:rsidRPr="000D79BF">
                    <w:rPr>
                      <w:noProof/>
                    </w:rPr>
                    <w:t>.</w:t>
                  </w:r>
                </w:p>
              </w:tc>
            </w:tr>
          </w:tbl>
          <w:p w14:paraId="38385F91" w14:textId="77777777" w:rsidR="004C1836" w:rsidRPr="000D79BF" w:rsidRDefault="004C1836" w:rsidP="00BA7532">
            <w:pPr>
              <w:rPr>
                <w:noProof/>
              </w:rPr>
            </w:pPr>
          </w:p>
        </w:tc>
        <w:tc>
          <w:tcPr>
            <w:tcW w:w="2500" w:type="pct"/>
          </w:tcPr>
          <w:p w14:paraId="65B711F8" w14:textId="77777777" w:rsidR="004C1836" w:rsidRPr="000D79BF" w:rsidRDefault="004C1836" w:rsidP="00BA7532">
            <w:pPr>
              <w:rPr>
                <w:noProof/>
              </w:rPr>
            </w:pPr>
          </w:p>
        </w:tc>
      </w:tr>
      <w:tr w:rsidR="004C1836" w:rsidRPr="000D79BF" w14:paraId="7D465C28" w14:textId="77777777" w:rsidTr="2CC942B6">
        <w:tc>
          <w:tcPr>
            <w:tcW w:w="2500" w:type="pct"/>
          </w:tcPr>
          <w:p w14:paraId="1E13DB9C" w14:textId="77777777" w:rsidR="004C1836" w:rsidRPr="000D79BF" w:rsidRDefault="003A6E37" w:rsidP="00BA7532">
            <w:pPr>
              <w:rPr>
                <w:noProof/>
              </w:rPr>
            </w:pPr>
            <w:r w:rsidRPr="000D79BF">
              <w:rPr>
                <w:noProof/>
              </w:rPr>
              <w:t>Directive 2002/32/CE du Parlement européen et du Conseil du 7 mai 2002 sur les substances indésirables dans les aliments pour animaux</w:t>
            </w:r>
            <w:r w:rsidRPr="000D79BF">
              <w:rPr>
                <w:rStyle w:val="FootnoteReference"/>
                <w:noProof/>
              </w:rPr>
              <w:footnoteReference w:id="13"/>
            </w:r>
          </w:p>
        </w:tc>
        <w:tc>
          <w:tcPr>
            <w:tcW w:w="2500" w:type="pct"/>
          </w:tcPr>
          <w:p w14:paraId="7ADCA22C" w14:textId="77777777" w:rsidR="004C1836" w:rsidRPr="000D79BF" w:rsidRDefault="004C1836" w:rsidP="00BA7532">
            <w:pPr>
              <w:rPr>
                <w:noProof/>
              </w:rPr>
            </w:pPr>
          </w:p>
        </w:tc>
      </w:tr>
      <w:tr w:rsidR="0090126A" w:rsidRPr="000D79BF" w14:paraId="53F824AF" w14:textId="77777777" w:rsidTr="2CC942B6">
        <w:tc>
          <w:tcPr>
            <w:tcW w:w="2500" w:type="pct"/>
          </w:tcPr>
          <w:p w14:paraId="0F4A5336" w14:textId="77777777" w:rsidR="0090126A" w:rsidRPr="000D79BF" w:rsidRDefault="0090126A" w:rsidP="00BA7532">
            <w:pPr>
              <w:rPr>
                <w:noProof/>
              </w:rPr>
            </w:pPr>
            <w:r w:rsidRPr="000D79BF">
              <w:rPr>
                <w:noProof/>
              </w:rPr>
              <w:t>Règlement (CE) nº 999/2001 du Parlement européen et du Conseil du 22 mai 2001 fixant les règles pour la prévention, le contrôle et l'éradication de certaines encéphalopathies spongiformes transmissibles</w:t>
            </w:r>
            <w:r w:rsidRPr="000D79BF">
              <w:rPr>
                <w:rStyle w:val="FootnoteReference"/>
                <w:noProof/>
              </w:rPr>
              <w:footnoteReference w:id="14"/>
            </w:r>
          </w:p>
        </w:tc>
        <w:tc>
          <w:tcPr>
            <w:tcW w:w="2500" w:type="pct"/>
          </w:tcPr>
          <w:p w14:paraId="3166E8A7" w14:textId="77777777" w:rsidR="0090126A" w:rsidRPr="000D79BF" w:rsidRDefault="0090126A" w:rsidP="00BA7532">
            <w:pPr>
              <w:rPr>
                <w:noProof/>
              </w:rPr>
            </w:pPr>
          </w:p>
        </w:tc>
      </w:tr>
      <w:tr w:rsidR="00946576" w:rsidRPr="000D79BF" w14:paraId="2C9D9BF3" w14:textId="77777777" w:rsidTr="2CC942B6">
        <w:tc>
          <w:tcPr>
            <w:tcW w:w="2500" w:type="pct"/>
          </w:tcPr>
          <w:p w14:paraId="71A43B7E" w14:textId="77777777" w:rsidR="00946576" w:rsidRPr="000D79BF" w:rsidRDefault="00946576" w:rsidP="00BA7532">
            <w:pPr>
              <w:rPr>
                <w:noProof/>
              </w:rPr>
            </w:pPr>
            <w:r w:rsidRPr="000D79BF">
              <w:rPr>
                <w:noProof/>
              </w:rPr>
              <w:t>Règlement (CE) nº 1831/2003 du Parlement européen et du Conseil du 22 septembre 2003 relatif aux additifs destinés à l’alimentation des animaux</w:t>
            </w:r>
            <w:r w:rsidRPr="000D79BF">
              <w:rPr>
                <w:rStyle w:val="FootnoteReference"/>
                <w:noProof/>
              </w:rPr>
              <w:footnoteReference w:id="15"/>
            </w:r>
          </w:p>
        </w:tc>
        <w:tc>
          <w:tcPr>
            <w:tcW w:w="2500" w:type="pct"/>
          </w:tcPr>
          <w:p w14:paraId="448B3C85" w14:textId="77777777" w:rsidR="00946576" w:rsidRPr="000D79BF" w:rsidRDefault="00946576" w:rsidP="00BA7532">
            <w:pPr>
              <w:rPr>
                <w:noProof/>
              </w:rPr>
            </w:pPr>
          </w:p>
        </w:tc>
      </w:tr>
      <w:tr w:rsidR="0090126A" w:rsidRPr="000D79BF" w14:paraId="24F8F579" w14:textId="77777777" w:rsidTr="2CC942B6">
        <w:tc>
          <w:tcPr>
            <w:tcW w:w="2500" w:type="pct"/>
          </w:tcPr>
          <w:p w14:paraId="357486C1" w14:textId="77777777" w:rsidR="0090126A" w:rsidRPr="000D79BF" w:rsidRDefault="0090126A" w:rsidP="0090126A">
            <w:pPr>
              <w:rPr>
                <w:noProof/>
              </w:rPr>
            </w:pPr>
            <w:bookmarkStart w:id="3" w:name="_Hlk216283051"/>
            <w:r w:rsidRPr="000D79BF">
              <w:rPr>
                <w:noProof/>
              </w:rPr>
              <w:t>Règlement (CE) nº 470/2009 du Parlement européen et du Conseil du 6 mai 2009 établissant des procédures communautaires pour la fixation des limites de résidus des substances pharmacologiquement actives dans les aliments d’origine animale, abrogeant le règlement (CEE) nº 2377/90 du Conseil et modifiant la directive 2001/82/CE du Parlement européen et du Conseil et le règlement (CE) nº 726/2004 du Parlement européen et du Conseil</w:t>
            </w:r>
            <w:r w:rsidRPr="000D79BF">
              <w:rPr>
                <w:rStyle w:val="FootnoteReference"/>
                <w:noProof/>
              </w:rPr>
              <w:footnoteReference w:id="16"/>
            </w:r>
            <w:bookmarkEnd w:id="3"/>
            <w:r w:rsidRPr="000D79BF">
              <w:rPr>
                <w:noProof/>
              </w:rPr>
              <w:t> </w:t>
            </w:r>
          </w:p>
        </w:tc>
        <w:tc>
          <w:tcPr>
            <w:tcW w:w="2500" w:type="pct"/>
          </w:tcPr>
          <w:p w14:paraId="52626CE9" w14:textId="77777777" w:rsidR="0090126A" w:rsidRPr="000D79BF" w:rsidRDefault="0090126A" w:rsidP="0090126A">
            <w:pPr>
              <w:rPr>
                <w:noProof/>
              </w:rPr>
            </w:pPr>
          </w:p>
        </w:tc>
      </w:tr>
      <w:tr w:rsidR="00AA79E0" w:rsidRPr="000D79BF" w14:paraId="68CD105D" w14:textId="77777777" w:rsidTr="2CC942B6">
        <w:tc>
          <w:tcPr>
            <w:tcW w:w="2500" w:type="pct"/>
          </w:tcPr>
          <w:p w14:paraId="7DEDD9BA" w14:textId="77777777" w:rsidR="00AA79E0" w:rsidRPr="000D79BF" w:rsidRDefault="00AA79E0" w:rsidP="0090126A">
            <w:pPr>
              <w:rPr>
                <w:noProof/>
              </w:rPr>
            </w:pPr>
            <w:r w:rsidRPr="000D79BF">
              <w:rPr>
                <w:noProof/>
              </w:rPr>
              <w:t>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w:t>
            </w:r>
            <w:r w:rsidRPr="000D79BF">
              <w:rPr>
                <w:rStyle w:val="FootnoteReference"/>
                <w:noProof/>
              </w:rPr>
              <w:footnoteReference w:id="17"/>
            </w:r>
          </w:p>
        </w:tc>
        <w:tc>
          <w:tcPr>
            <w:tcW w:w="2500" w:type="pct"/>
          </w:tcPr>
          <w:p w14:paraId="28C6AC4F" w14:textId="77777777" w:rsidR="00AA79E0" w:rsidRPr="000D79BF" w:rsidRDefault="00AA79E0" w:rsidP="0090126A">
            <w:pPr>
              <w:rPr>
                <w:noProof/>
              </w:rPr>
            </w:pPr>
          </w:p>
        </w:tc>
      </w:tr>
      <w:tr w:rsidR="00AA79E0" w:rsidRPr="000D79BF" w14:paraId="02A31E0F" w14:textId="77777777" w:rsidTr="2CC942B6">
        <w:tc>
          <w:tcPr>
            <w:tcW w:w="2500" w:type="pct"/>
          </w:tcPr>
          <w:p w14:paraId="1DF9AC6F" w14:textId="77777777" w:rsidR="00AA79E0" w:rsidRPr="000D79BF" w:rsidRDefault="00AA79E0" w:rsidP="0090126A">
            <w:pPr>
              <w:rPr>
                <w:noProof/>
              </w:rPr>
            </w:pPr>
            <w:r w:rsidRPr="000D79BF">
              <w:rPr>
                <w:noProof/>
              </w:rPr>
              <w:t>Règlement (CEE) nº 315/93 du Conseil du 8 février 1993 portant établissement des procédures communautaires relatives aux contaminants dans les denrées alimentaires</w:t>
            </w:r>
            <w:r w:rsidRPr="000D79BF">
              <w:rPr>
                <w:rStyle w:val="FootnoteReference"/>
                <w:noProof/>
              </w:rPr>
              <w:footnoteReference w:id="18"/>
            </w:r>
          </w:p>
        </w:tc>
        <w:tc>
          <w:tcPr>
            <w:tcW w:w="2500" w:type="pct"/>
          </w:tcPr>
          <w:p w14:paraId="0E58E057" w14:textId="77777777" w:rsidR="00AA79E0" w:rsidRPr="000D79BF" w:rsidRDefault="00AA79E0" w:rsidP="0090126A">
            <w:pPr>
              <w:rPr>
                <w:noProof/>
              </w:rPr>
            </w:pPr>
          </w:p>
        </w:tc>
      </w:tr>
    </w:tbl>
    <w:p w14:paraId="46C4DE9F" w14:textId="77777777" w:rsidR="00DD6541" w:rsidRPr="000D79BF" w:rsidRDefault="00DD6541" w:rsidP="00BA7532">
      <w:pPr>
        <w:rPr>
          <w:noProof/>
        </w:rPr>
        <w:sectPr w:rsidR="00DD6541" w:rsidRPr="000D79BF" w:rsidSect="00F171CF">
          <w:headerReference w:type="default" r:id="rId23"/>
          <w:footerReference w:type="default" r:id="rId24"/>
          <w:pgSz w:w="16839" w:h="11907" w:orient="landscape"/>
          <w:pgMar w:top="1417" w:right="1134" w:bottom="1417" w:left="1134" w:header="709" w:footer="454" w:gutter="0"/>
          <w:cols w:space="720"/>
          <w:docGrid w:linePitch="360"/>
        </w:sectPr>
      </w:pPr>
    </w:p>
    <w:p w14:paraId="099D43F2" w14:textId="77777777" w:rsidR="007A54A1" w:rsidRPr="000D79BF" w:rsidRDefault="00DD6541" w:rsidP="00DD6541">
      <w:pPr>
        <w:jc w:val="center"/>
        <w:rPr>
          <w:b/>
          <w:bCs/>
          <w:noProof/>
        </w:rPr>
      </w:pPr>
      <w:r w:rsidRPr="000D79BF">
        <w:rPr>
          <w:b/>
          <w:noProof/>
        </w:rPr>
        <w:t>ANNEXE 2</w:t>
      </w:r>
    </w:p>
    <w:p w14:paraId="71445EA6" w14:textId="77777777" w:rsidR="00DD6541" w:rsidRPr="000D79BF" w:rsidRDefault="00DD6541" w:rsidP="00BA7532">
      <w:pPr>
        <w:rPr>
          <w:b/>
          <w:bCs/>
          <w:noProof/>
        </w:rPr>
      </w:pPr>
      <w:r w:rsidRPr="000D79BF">
        <w:rPr>
          <w:b/>
          <w:noProof/>
        </w:rPr>
        <w:t>Liste des animaux, produits animaux, produits d’origine animale et sous-produits animaux</w:t>
      </w:r>
    </w:p>
    <w:p w14:paraId="66EFE7EF" w14:textId="77777777" w:rsidR="009F75DF" w:rsidRPr="000D79BF" w:rsidRDefault="009F75DF" w:rsidP="00BA7532">
      <w:pPr>
        <w:rPr>
          <w:noProof/>
        </w:rPr>
      </w:pPr>
      <w:r w:rsidRPr="000D79BF">
        <w:rPr>
          <w:noProof/>
        </w:rPr>
        <w:t>Produits de la pêche destinés à la consommation humaine.</w:t>
      </w:r>
    </w:p>
    <w:p w14:paraId="1CA1AFBE" w14:textId="77777777" w:rsidR="00244A25" w:rsidRPr="000D79BF" w:rsidRDefault="00244A25" w:rsidP="00BA7532">
      <w:pPr>
        <w:rPr>
          <w:noProof/>
        </w:rPr>
      </w:pPr>
      <w:r w:rsidRPr="000D79BF">
        <w:rPr>
          <w:noProof/>
        </w:rPr>
        <w:t>Mollusques bivalves</w:t>
      </w:r>
      <w:r w:rsidRPr="000D79BF">
        <w:rPr>
          <w:b/>
          <w:noProof/>
        </w:rPr>
        <w:t xml:space="preserve">, </w:t>
      </w:r>
      <w:r w:rsidRPr="000D79BF">
        <w:rPr>
          <w:noProof/>
        </w:rPr>
        <w:t>échinodermes, tuniciers, gastéropodes marins vivants et produits d’origine animale issus de ces animaux destinés à la</w:t>
      </w:r>
      <w:r w:rsidRPr="000D79BF">
        <w:rPr>
          <w:b/>
          <w:noProof/>
        </w:rPr>
        <w:t xml:space="preserve"> </w:t>
      </w:r>
      <w:r w:rsidRPr="000D79BF">
        <w:rPr>
          <w:noProof/>
        </w:rPr>
        <w:t>consommation humaine</w:t>
      </w:r>
    </w:p>
    <w:p w14:paraId="01DFBF6E" w14:textId="77777777" w:rsidR="00244A25" w:rsidRPr="000D79BF" w:rsidRDefault="00244A25" w:rsidP="00BA7532">
      <w:pPr>
        <w:rPr>
          <w:noProof/>
        </w:rPr>
      </w:pPr>
      <w:r w:rsidRPr="000D79BF">
        <w:rPr>
          <w:noProof/>
        </w:rPr>
        <w:t>Animaux d'aquaculture</w:t>
      </w:r>
    </w:p>
    <w:p w14:paraId="7FBF834C" w14:textId="77777777" w:rsidR="00244A25" w:rsidRPr="000D79BF" w:rsidRDefault="00244A25" w:rsidP="00BA7532">
      <w:pPr>
        <w:rPr>
          <w:noProof/>
        </w:rPr>
      </w:pPr>
      <w:r w:rsidRPr="000D79BF">
        <w:rPr>
          <w:noProof/>
        </w:rPr>
        <w:t>Sous-produits de la pêche et de l’aquaculture</w:t>
      </w:r>
    </w:p>
    <w:p w14:paraId="711CFE7C" w14:textId="77777777" w:rsidR="00244A25" w:rsidRPr="000D79BF" w:rsidRDefault="00244A25" w:rsidP="00BA7532">
      <w:pPr>
        <w:rPr>
          <w:noProof/>
        </w:rPr>
      </w:pPr>
      <w:r w:rsidRPr="000D79BF">
        <w:rPr>
          <w:noProof/>
        </w:rPr>
        <w:t>Chevaux enregistrés</w:t>
      </w:r>
    </w:p>
    <w:p w14:paraId="005BBFFB" w14:textId="77777777" w:rsidR="00244A25" w:rsidRPr="000D79BF" w:rsidRDefault="00244A25" w:rsidP="00BA7532">
      <w:pPr>
        <w:rPr>
          <w:noProof/>
        </w:rPr>
      </w:pPr>
      <w:r w:rsidRPr="000D79BF">
        <w:rPr>
          <w:noProof/>
        </w:rPr>
        <w:t>Laine de mouton non transformée</w:t>
      </w:r>
    </w:p>
    <w:sectPr w:rsidR="00244A25" w:rsidRPr="000D79BF" w:rsidSect="00F171CF">
      <w:headerReference w:type="default" r:id="rId25"/>
      <w:footerReference w:type="default" r:id="rId2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D1986" w14:textId="77777777" w:rsidR="007C58AE" w:rsidRDefault="007C58AE" w:rsidP="00CE072C">
      <w:pPr>
        <w:spacing w:before="0" w:after="0"/>
      </w:pPr>
      <w:r>
        <w:separator/>
      </w:r>
    </w:p>
  </w:endnote>
  <w:endnote w:type="continuationSeparator" w:id="0">
    <w:p w14:paraId="3D0327CD" w14:textId="77777777" w:rsidR="007C58AE" w:rsidRDefault="007C58AE" w:rsidP="00CE07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9EE86" w14:textId="043E3832" w:rsidR="00F171CF" w:rsidRPr="00F171CF" w:rsidRDefault="00F171CF" w:rsidP="00F171CF">
    <w:pPr>
      <w:pStyle w:val="Footer"/>
      <w:rPr>
        <w:rFonts w:ascii="Arial" w:hAnsi="Arial" w:cs="Arial"/>
        <w:b/>
        <w:sz w:val="48"/>
      </w:rPr>
    </w:pPr>
    <w:r w:rsidRPr="00F171CF">
      <w:rPr>
        <w:rFonts w:ascii="Arial" w:hAnsi="Arial" w:cs="Arial"/>
        <w:b/>
        <w:sz w:val="48"/>
      </w:rPr>
      <w:t>FR</w:t>
    </w:r>
    <w:r w:rsidRPr="00F171CF">
      <w:rPr>
        <w:rFonts w:ascii="Arial" w:hAnsi="Arial" w:cs="Arial"/>
        <w:b/>
        <w:sz w:val="48"/>
      </w:rPr>
      <w:tab/>
    </w:r>
    <w:r w:rsidRPr="00F171CF">
      <w:rPr>
        <w:rFonts w:ascii="Arial" w:hAnsi="Arial" w:cs="Arial"/>
        <w:b/>
        <w:sz w:val="48"/>
      </w:rPr>
      <w:tab/>
    </w:r>
    <w:r w:rsidRPr="00F171CF">
      <w:tab/>
    </w:r>
    <w:r w:rsidRPr="00F171C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3CC7C" w14:textId="14D26A0B" w:rsidR="00F171CF" w:rsidRPr="00F171CF" w:rsidRDefault="00F171CF" w:rsidP="00F171CF">
    <w:pPr>
      <w:pStyle w:val="Footer"/>
      <w:rPr>
        <w:rFonts w:ascii="Arial" w:hAnsi="Arial" w:cs="Arial"/>
        <w:b/>
        <w:sz w:val="48"/>
      </w:rPr>
    </w:pPr>
    <w:r w:rsidRPr="00F171CF">
      <w:rPr>
        <w:rFonts w:ascii="Arial" w:hAnsi="Arial" w:cs="Arial"/>
        <w:b/>
        <w:sz w:val="48"/>
      </w:rPr>
      <w:t>FR</w:t>
    </w:r>
    <w:r w:rsidRPr="00F171CF">
      <w:rPr>
        <w:rFonts w:ascii="Arial" w:hAnsi="Arial" w:cs="Arial"/>
        <w:b/>
        <w:sz w:val="48"/>
      </w:rPr>
      <w:tab/>
    </w:r>
    <w:r w:rsidRPr="00F171CF">
      <w:rPr>
        <w:rFonts w:ascii="Arial" w:hAnsi="Arial" w:cs="Arial"/>
        <w:b/>
        <w:sz w:val="48"/>
      </w:rPr>
      <w:tab/>
    </w:r>
    <w:r w:rsidRPr="00F171CF">
      <w:tab/>
    </w:r>
    <w:r w:rsidRPr="00F171C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BD8C8" w14:textId="77777777" w:rsidR="00F171CF" w:rsidRPr="00F171CF" w:rsidRDefault="00F171CF" w:rsidP="00F171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AE97" w14:textId="77777777" w:rsidR="00F171CF" w:rsidRDefault="00F171C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AF2E" w14:textId="73F4D0A9" w:rsidR="00F171CF" w:rsidRPr="00F171CF" w:rsidRDefault="00F171CF" w:rsidP="00F171CF">
    <w:pPr>
      <w:pStyle w:val="Footer"/>
      <w:rPr>
        <w:rFonts w:ascii="Arial" w:hAnsi="Arial" w:cs="Arial"/>
        <w:b/>
        <w:sz w:val="48"/>
      </w:rPr>
    </w:pPr>
    <w:r w:rsidRPr="00F171CF">
      <w:rPr>
        <w:rFonts w:ascii="Arial" w:hAnsi="Arial" w:cs="Arial"/>
        <w:b/>
        <w:sz w:val="48"/>
      </w:rPr>
      <w:t>FR</w:t>
    </w:r>
    <w:r w:rsidRPr="00F171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171CF">
      <w:tab/>
    </w:r>
    <w:r w:rsidRPr="00F171CF">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7DF3B" w14:textId="77777777" w:rsidR="00F171CF" w:rsidRDefault="00F171CF" w:rsidP="00F171C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58C1A" w14:textId="43173608" w:rsidR="00F171CF" w:rsidRPr="00F171CF" w:rsidRDefault="00F171CF" w:rsidP="00F171CF">
    <w:pPr>
      <w:pStyle w:val="FooterLandscape"/>
      <w:rPr>
        <w:rFonts w:ascii="Arial" w:hAnsi="Arial" w:cs="Arial"/>
        <w:b/>
        <w:sz w:val="48"/>
      </w:rPr>
    </w:pPr>
    <w:r w:rsidRPr="00F171CF">
      <w:rPr>
        <w:rFonts w:ascii="Arial" w:hAnsi="Arial" w:cs="Arial"/>
        <w:b/>
        <w:sz w:val="48"/>
      </w:rPr>
      <w:t>FR</w:t>
    </w:r>
    <w:r w:rsidRPr="00F171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171CF">
      <w:tab/>
    </w:r>
    <w:r w:rsidRPr="00F171CF">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76CD2" w14:textId="0F5FF60D" w:rsidR="00F171CF" w:rsidRPr="00F171CF" w:rsidRDefault="00F171CF" w:rsidP="00F171CF">
    <w:pPr>
      <w:pStyle w:val="Footer"/>
      <w:rPr>
        <w:rFonts w:ascii="Arial" w:hAnsi="Arial" w:cs="Arial"/>
        <w:b/>
        <w:sz w:val="48"/>
      </w:rPr>
    </w:pPr>
    <w:r w:rsidRPr="00F171CF">
      <w:rPr>
        <w:rFonts w:ascii="Arial" w:hAnsi="Arial" w:cs="Arial"/>
        <w:b/>
        <w:sz w:val="48"/>
      </w:rPr>
      <w:t>FR</w:t>
    </w:r>
    <w:r w:rsidRPr="00F171CF">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171CF">
      <w:tab/>
    </w:r>
    <w:r w:rsidRPr="00F171CF">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0709B" w14:textId="77777777" w:rsidR="007C58AE" w:rsidRDefault="007C58AE" w:rsidP="00CE072C">
      <w:pPr>
        <w:spacing w:before="0" w:after="0"/>
      </w:pPr>
      <w:r>
        <w:separator/>
      </w:r>
    </w:p>
  </w:footnote>
  <w:footnote w:type="continuationSeparator" w:id="0">
    <w:p w14:paraId="32485302" w14:textId="77777777" w:rsidR="007C58AE" w:rsidRDefault="007C58AE" w:rsidP="00CE072C">
      <w:pPr>
        <w:spacing w:before="0" w:after="0"/>
      </w:pPr>
      <w:r>
        <w:continuationSeparator/>
      </w:r>
    </w:p>
  </w:footnote>
  <w:footnote w:id="1">
    <w:p w14:paraId="50CAA9DD" w14:textId="40A294D7" w:rsidR="004C1836" w:rsidRPr="0032298E" w:rsidRDefault="004C1836">
      <w:pPr>
        <w:pStyle w:val="FootnoteText"/>
      </w:pPr>
      <w:r>
        <w:rPr>
          <w:rStyle w:val="FootnoteReference"/>
        </w:rPr>
        <w:footnoteRef/>
      </w:r>
      <w:r>
        <w:tab/>
      </w:r>
      <w:hyperlink r:id="rId1" w:history="1">
        <w:r>
          <w:rPr>
            <w:rStyle w:val="Hyperlink"/>
          </w:rPr>
          <w:t>JO L 31 du 1.2.2002, p. 1</w:t>
        </w:r>
      </w:hyperlink>
      <w:r>
        <w:t>.</w:t>
      </w:r>
    </w:p>
  </w:footnote>
  <w:footnote w:id="2">
    <w:p w14:paraId="09E35E54" w14:textId="0FA237A5" w:rsidR="00CE66D5" w:rsidRPr="0032298E" w:rsidRDefault="00CE66D5">
      <w:pPr>
        <w:pStyle w:val="FootnoteText"/>
      </w:pPr>
      <w:r>
        <w:rPr>
          <w:rStyle w:val="FootnoteReference"/>
        </w:rPr>
        <w:footnoteRef/>
      </w:r>
      <w:r>
        <w:tab/>
      </w:r>
      <w:hyperlink r:id="rId2" w:history="1">
        <w:r>
          <w:rPr>
            <w:rStyle w:val="Hyperlink"/>
          </w:rPr>
          <w:t>JO L 95 du 7.4.2017, p. 1</w:t>
        </w:r>
      </w:hyperlink>
      <w:r>
        <w:t>.</w:t>
      </w:r>
    </w:p>
  </w:footnote>
  <w:footnote w:id="3">
    <w:p w14:paraId="72A6643A" w14:textId="4B7DBFB9" w:rsidR="00CE66D5" w:rsidRPr="0032298E" w:rsidRDefault="00CE66D5">
      <w:pPr>
        <w:pStyle w:val="FootnoteText"/>
      </w:pPr>
      <w:r>
        <w:rPr>
          <w:rStyle w:val="FootnoteReference"/>
        </w:rPr>
        <w:footnoteRef/>
      </w:r>
      <w:r>
        <w:tab/>
      </w:r>
      <w:hyperlink r:id="rId3" w:history="1">
        <w:r>
          <w:rPr>
            <w:rStyle w:val="Hyperlink"/>
          </w:rPr>
          <w:t>JO L 139 du 30.4.2004, p. 55</w:t>
        </w:r>
      </w:hyperlink>
      <w:r>
        <w:t>.</w:t>
      </w:r>
    </w:p>
  </w:footnote>
  <w:footnote w:id="4">
    <w:p w14:paraId="745FE93F" w14:textId="4E64B97C" w:rsidR="00CE66D5" w:rsidRPr="0032298E" w:rsidRDefault="00CE66D5">
      <w:pPr>
        <w:pStyle w:val="FootnoteText"/>
      </w:pPr>
      <w:r>
        <w:rPr>
          <w:rStyle w:val="FootnoteReference"/>
        </w:rPr>
        <w:footnoteRef/>
      </w:r>
      <w:r>
        <w:tab/>
      </w:r>
      <w:hyperlink r:id="rId4" w:history="1">
        <w:r>
          <w:rPr>
            <w:rStyle w:val="Hyperlink"/>
          </w:rPr>
          <w:t>JO L 139 du 30.4.2004, p. 1</w:t>
        </w:r>
      </w:hyperlink>
      <w:r>
        <w:t>.</w:t>
      </w:r>
    </w:p>
  </w:footnote>
  <w:footnote w:id="5">
    <w:p w14:paraId="1E84108C" w14:textId="28F800E5" w:rsidR="00B474B4" w:rsidRPr="0032298E" w:rsidRDefault="00B474B4">
      <w:pPr>
        <w:pStyle w:val="FootnoteText"/>
      </w:pPr>
      <w:r>
        <w:rPr>
          <w:rStyle w:val="FootnoteReference"/>
        </w:rPr>
        <w:footnoteRef/>
      </w:r>
      <w:r>
        <w:tab/>
      </w:r>
      <w:hyperlink r:id="rId5" w:history="1">
        <w:r>
          <w:rPr>
            <w:rStyle w:val="Hyperlink"/>
          </w:rPr>
          <w:t>JO L 35 du 8.2.2005, p. 1</w:t>
        </w:r>
      </w:hyperlink>
      <w:r>
        <w:t>.</w:t>
      </w:r>
    </w:p>
  </w:footnote>
  <w:footnote w:id="6">
    <w:p w14:paraId="4B7B8BAC" w14:textId="08293D04" w:rsidR="00B474B4" w:rsidRPr="0032298E" w:rsidRDefault="00B474B4">
      <w:pPr>
        <w:pStyle w:val="FootnoteText"/>
      </w:pPr>
      <w:r>
        <w:rPr>
          <w:rStyle w:val="FootnoteReference"/>
        </w:rPr>
        <w:footnoteRef/>
      </w:r>
      <w:r>
        <w:tab/>
      </w:r>
      <w:hyperlink r:id="rId6" w:history="1">
        <w:r>
          <w:rPr>
            <w:rStyle w:val="Hyperlink"/>
          </w:rPr>
          <w:t>JO L 84 du 31.3.2016, p. 1</w:t>
        </w:r>
      </w:hyperlink>
      <w:r>
        <w:t>.</w:t>
      </w:r>
    </w:p>
  </w:footnote>
  <w:footnote w:id="7">
    <w:p w14:paraId="5DAA23E4" w14:textId="3E873136" w:rsidR="0090126A" w:rsidRPr="00F11E54" w:rsidRDefault="0090126A" w:rsidP="0090126A">
      <w:pPr>
        <w:pStyle w:val="FootnoteText"/>
      </w:pPr>
      <w:r>
        <w:rPr>
          <w:rStyle w:val="FootnoteReference"/>
        </w:rPr>
        <w:footnoteRef/>
      </w:r>
      <w:r>
        <w:tab/>
      </w:r>
      <w:hyperlink r:id="rId7" w:history="1">
        <w:r>
          <w:rPr>
            <w:rStyle w:val="Hyperlink"/>
          </w:rPr>
          <w:t>JO L 4 du 7.1.2019, p. 43</w:t>
        </w:r>
      </w:hyperlink>
    </w:p>
  </w:footnote>
  <w:footnote w:id="8">
    <w:p w14:paraId="632FDCEF" w14:textId="08E330D8" w:rsidR="00D80589" w:rsidRPr="00F11E54" w:rsidRDefault="00D80589">
      <w:pPr>
        <w:pStyle w:val="FootnoteText"/>
      </w:pPr>
      <w:r>
        <w:rPr>
          <w:rStyle w:val="FootnoteReference"/>
        </w:rPr>
        <w:footnoteRef/>
      </w:r>
      <w:r>
        <w:tab/>
      </w:r>
      <w:hyperlink r:id="rId8" w:history="1">
        <w:r>
          <w:rPr>
            <w:rStyle w:val="Hyperlink"/>
          </w:rPr>
          <w:t>JO L 191 du 20.7.2022, p. 58</w:t>
        </w:r>
      </w:hyperlink>
      <w:r>
        <w:t>.</w:t>
      </w:r>
    </w:p>
  </w:footnote>
  <w:footnote w:id="9">
    <w:p w14:paraId="3E3BA75F" w14:textId="78535961" w:rsidR="006933B0" w:rsidRPr="00F11E54" w:rsidRDefault="006933B0">
      <w:pPr>
        <w:pStyle w:val="FootnoteText"/>
      </w:pPr>
      <w:r>
        <w:rPr>
          <w:rStyle w:val="FootnoteReference"/>
        </w:rPr>
        <w:footnoteRef/>
      </w:r>
      <w:r>
        <w:tab/>
      </w:r>
      <w:hyperlink r:id="rId9" w:history="1">
        <w:r>
          <w:rPr>
            <w:rStyle w:val="Hyperlink"/>
          </w:rPr>
          <w:t>JO L 4 du 7.1.2019, p. 1</w:t>
        </w:r>
      </w:hyperlink>
      <w:r>
        <w:t>.</w:t>
      </w:r>
    </w:p>
  </w:footnote>
  <w:footnote w:id="10">
    <w:p w14:paraId="1190CC98" w14:textId="11038A3C" w:rsidR="003A6E37" w:rsidRPr="0032298E" w:rsidRDefault="003A6E37">
      <w:pPr>
        <w:pStyle w:val="FootnoteText"/>
      </w:pPr>
      <w:r>
        <w:rPr>
          <w:rStyle w:val="FootnoteReference"/>
        </w:rPr>
        <w:footnoteRef/>
      </w:r>
      <w:r>
        <w:tab/>
      </w:r>
      <w:hyperlink r:id="rId10" w:history="1">
        <w:r>
          <w:rPr>
            <w:rStyle w:val="Hyperlink"/>
          </w:rPr>
          <w:t>JO L 300 du 14.11.2009, p. 1</w:t>
        </w:r>
      </w:hyperlink>
      <w:r>
        <w:t>.</w:t>
      </w:r>
    </w:p>
  </w:footnote>
  <w:footnote w:id="11">
    <w:p w14:paraId="7B0597F7" w14:textId="60D82BE0" w:rsidR="003A6E37" w:rsidRPr="0032298E" w:rsidRDefault="003A6E37">
      <w:pPr>
        <w:pStyle w:val="FootnoteText"/>
      </w:pPr>
      <w:r>
        <w:rPr>
          <w:rStyle w:val="FootnoteReference"/>
        </w:rPr>
        <w:footnoteRef/>
      </w:r>
      <w:r>
        <w:tab/>
      </w:r>
      <w:hyperlink r:id="rId11" w:history="1">
        <w:r>
          <w:rPr>
            <w:rStyle w:val="Hyperlink"/>
          </w:rPr>
          <w:t>JO L 125 du 23.5.1996, p. 3</w:t>
        </w:r>
      </w:hyperlink>
      <w:r>
        <w:t>.</w:t>
      </w:r>
    </w:p>
  </w:footnote>
  <w:footnote w:id="12">
    <w:p w14:paraId="20A3DA24" w14:textId="778236FA" w:rsidR="003A6E37" w:rsidRPr="0032298E" w:rsidRDefault="003A6E37">
      <w:pPr>
        <w:pStyle w:val="FootnoteText"/>
      </w:pPr>
      <w:r>
        <w:rPr>
          <w:rStyle w:val="FootnoteReference"/>
        </w:rPr>
        <w:footnoteRef/>
      </w:r>
      <w:r>
        <w:tab/>
      </w:r>
      <w:hyperlink r:id="rId12" w:history="1">
        <w:r>
          <w:rPr>
            <w:rStyle w:val="Hyperlink"/>
          </w:rPr>
          <w:t>JO L 229 du 1.9.2009, p. 1</w:t>
        </w:r>
      </w:hyperlink>
      <w:r>
        <w:t>.</w:t>
      </w:r>
    </w:p>
  </w:footnote>
  <w:footnote w:id="13">
    <w:p w14:paraId="48F450D9" w14:textId="3795420E" w:rsidR="003A6E37" w:rsidRPr="00F4452A" w:rsidRDefault="003A6E37">
      <w:pPr>
        <w:pStyle w:val="FootnoteText"/>
      </w:pPr>
      <w:r>
        <w:rPr>
          <w:rStyle w:val="FootnoteReference"/>
        </w:rPr>
        <w:footnoteRef/>
      </w:r>
      <w:r>
        <w:tab/>
      </w:r>
      <w:hyperlink r:id="rId13" w:history="1">
        <w:r>
          <w:rPr>
            <w:rStyle w:val="Hyperlink"/>
          </w:rPr>
          <w:t>JO L 140 du 30.5.2002, p. 10</w:t>
        </w:r>
      </w:hyperlink>
      <w:r>
        <w:t>.</w:t>
      </w:r>
    </w:p>
  </w:footnote>
  <w:footnote w:id="14">
    <w:p w14:paraId="5FCE7065" w14:textId="54D8B2AC" w:rsidR="0090126A" w:rsidRPr="00F4452A" w:rsidRDefault="0090126A">
      <w:pPr>
        <w:pStyle w:val="FootnoteText"/>
      </w:pPr>
      <w:r>
        <w:rPr>
          <w:rStyle w:val="FootnoteReference"/>
        </w:rPr>
        <w:footnoteRef/>
      </w:r>
      <w:r>
        <w:tab/>
      </w:r>
      <w:hyperlink r:id="rId14" w:history="1">
        <w:r>
          <w:rPr>
            <w:rStyle w:val="Hyperlink"/>
          </w:rPr>
          <w:t>JO L 147 du 31.5.2001, p. 1</w:t>
        </w:r>
      </w:hyperlink>
      <w:r>
        <w:t>.</w:t>
      </w:r>
    </w:p>
  </w:footnote>
  <w:footnote w:id="15">
    <w:p w14:paraId="0DBAAB2F" w14:textId="25EA3DB2" w:rsidR="00946576" w:rsidRPr="00F4452A" w:rsidRDefault="00946576" w:rsidP="00946576">
      <w:pPr>
        <w:pStyle w:val="FootnoteText"/>
      </w:pPr>
      <w:r>
        <w:rPr>
          <w:rStyle w:val="FootnoteReference"/>
        </w:rPr>
        <w:footnoteRef/>
      </w:r>
      <w:r>
        <w:tab/>
      </w:r>
      <w:hyperlink r:id="rId15" w:history="1">
        <w:r>
          <w:rPr>
            <w:rStyle w:val="Hyperlink"/>
          </w:rPr>
          <w:t>JO L 268 du 18.10.2003, p. 29</w:t>
        </w:r>
      </w:hyperlink>
      <w:r>
        <w:t>.</w:t>
      </w:r>
    </w:p>
  </w:footnote>
  <w:footnote w:id="16">
    <w:p w14:paraId="4D45F168" w14:textId="74B2C9F4" w:rsidR="0090126A" w:rsidRPr="006D55E7" w:rsidRDefault="0090126A" w:rsidP="0090126A">
      <w:pPr>
        <w:pStyle w:val="FootnoteText"/>
      </w:pPr>
      <w:r>
        <w:rPr>
          <w:rStyle w:val="FootnoteReference"/>
        </w:rPr>
        <w:footnoteRef/>
      </w:r>
      <w:r>
        <w:tab/>
      </w:r>
      <w:hyperlink r:id="rId16" w:history="1">
        <w:r>
          <w:rPr>
            <w:rStyle w:val="Hyperlink"/>
          </w:rPr>
          <w:t>JO L 152 du 16.6.2009, p. 11</w:t>
        </w:r>
      </w:hyperlink>
    </w:p>
  </w:footnote>
  <w:footnote w:id="17">
    <w:p w14:paraId="0F4AF9A0" w14:textId="66EA5253" w:rsidR="00AA79E0" w:rsidRPr="006933B0" w:rsidRDefault="00AA79E0">
      <w:pPr>
        <w:pStyle w:val="FootnoteText"/>
      </w:pPr>
      <w:r>
        <w:rPr>
          <w:rStyle w:val="FootnoteReference"/>
        </w:rPr>
        <w:footnoteRef/>
      </w:r>
      <w:r>
        <w:tab/>
      </w:r>
      <w:hyperlink r:id="rId17" w:history="1">
        <w:r>
          <w:rPr>
            <w:rStyle w:val="Hyperlink"/>
          </w:rPr>
          <w:t>JO L 70 du 16.3.2005, p. 1</w:t>
        </w:r>
      </w:hyperlink>
      <w:r>
        <w:t>.</w:t>
      </w:r>
    </w:p>
  </w:footnote>
  <w:footnote w:id="18">
    <w:p w14:paraId="4A57369B" w14:textId="7EA260DA" w:rsidR="00AA79E0" w:rsidRPr="006933B0" w:rsidRDefault="00AA79E0">
      <w:pPr>
        <w:pStyle w:val="FootnoteText"/>
      </w:pPr>
      <w:r>
        <w:rPr>
          <w:rStyle w:val="FootnoteReference"/>
        </w:rPr>
        <w:footnoteRef/>
      </w:r>
      <w:r>
        <w:tab/>
      </w:r>
      <w:hyperlink r:id="rId18" w:history="1">
        <w:r>
          <w:rPr>
            <w:rStyle w:val="Hyperlink"/>
          </w:rPr>
          <w:t>JO L 37 du 13.2.1993, p. 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C8A2" w14:textId="77777777" w:rsidR="00F171CF" w:rsidRPr="00F171CF" w:rsidRDefault="00F171CF" w:rsidP="00F171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0E2D6" w14:textId="77777777" w:rsidR="00F171CF" w:rsidRPr="00F171CF" w:rsidRDefault="00F171CF" w:rsidP="00F171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45F5" w14:textId="77777777" w:rsidR="00F171CF" w:rsidRPr="00F171CF" w:rsidRDefault="00F171CF" w:rsidP="00F171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1838" w14:textId="77777777" w:rsidR="00F171CF" w:rsidRDefault="00F171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E60FE" w14:textId="77777777" w:rsidR="00F171CF" w:rsidRDefault="00F171CF" w:rsidP="00F171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9B32D" w14:textId="77777777" w:rsidR="00F171CF" w:rsidRPr="00F171CF" w:rsidRDefault="00F171CF" w:rsidP="00F171CF">
    <w:pPr>
      <w:pStyle w:val="HeaderLandscap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7A00A" w14:textId="77777777" w:rsidR="00F171CF" w:rsidRPr="00F171CF" w:rsidRDefault="00F171CF" w:rsidP="00F171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B665BE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79E021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0C86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7241AF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192FA9"/>
    <w:multiLevelType w:val="hybridMultilevel"/>
    <w:tmpl w:val="8CAE6E9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6"/>
  </w:num>
  <w:num w:numId="6">
    <w:abstractNumId w:val="16"/>
  </w:num>
  <w:num w:numId="7">
    <w:abstractNumId w:val="9"/>
  </w:num>
  <w:num w:numId="8">
    <w:abstractNumId w:val="18"/>
  </w:num>
  <w:num w:numId="9">
    <w:abstractNumId w:val="8"/>
  </w:num>
  <w:num w:numId="10">
    <w:abstractNumId w:val="10"/>
  </w:num>
  <w:num w:numId="11">
    <w:abstractNumId w:val="11"/>
  </w:num>
  <w:num w:numId="12">
    <w:abstractNumId w:val="5"/>
  </w:num>
  <w:num w:numId="13">
    <w:abstractNumId w:val="17"/>
  </w:num>
  <w:num w:numId="14">
    <w:abstractNumId w:val="4"/>
  </w:num>
  <w:num w:numId="15">
    <w:abstractNumId w:val="12"/>
  </w:num>
  <w:num w:numId="16">
    <w:abstractNumId w:val="14"/>
  </w:num>
  <w:num w:numId="17">
    <w:abstractNumId w:val="15"/>
  </w:num>
  <w:num w:numId="18">
    <w:abstractNumId w:val="7"/>
  </w:num>
  <w:num w:numId="19">
    <w:abstractNumId w:val="13"/>
  </w:num>
  <w:num w:numId="20">
    <w:abstractNumId w:val="19"/>
  </w:num>
  <w:num w:numId="21">
    <w:abstractNumId w:val="16"/>
  </w:num>
  <w:num w:numId="22">
    <w:abstractNumId w:val="9"/>
  </w:num>
  <w:num w:numId="23">
    <w:abstractNumId w:val="18"/>
  </w:num>
  <w:num w:numId="24">
    <w:abstractNumId w:val="8"/>
  </w:num>
  <w:num w:numId="25">
    <w:abstractNumId w:val="10"/>
  </w:num>
  <w:num w:numId="26">
    <w:abstractNumId w:val="11"/>
  </w:num>
  <w:num w:numId="27">
    <w:abstractNumId w:val="5"/>
  </w:num>
  <w:num w:numId="28">
    <w:abstractNumId w:val="17"/>
  </w:num>
  <w:num w:numId="29">
    <w:abstractNumId w:val="4"/>
  </w:num>
  <w:num w:numId="30">
    <w:abstractNumId w:val="12"/>
  </w:num>
  <w:num w:numId="31">
    <w:abstractNumId w:val="14"/>
  </w:num>
  <w:num w:numId="32">
    <w:abstractNumId w:val="15"/>
  </w:num>
  <w:num w:numId="33">
    <w:abstractNumId w:val="7"/>
  </w:num>
  <w:num w:numId="34">
    <w:abstractNumId w:val="13"/>
  </w:num>
  <w:num w:numId="35">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6-19 09:49: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F370F141-85C6-4A3A-8628-FEF0CDB821AF"/>
    <w:docVar w:name="LW_COVERPAGE_TYPE" w:val="1"/>
    <w:docVar w:name="LW_CreatedUtc" w:val="2025-03-20T17:15:03.9934864Z"/>
    <w:docVar w:name="LW_CROSSREFERENCE" w:val="&lt;UNUSED&gt;"/>
    <w:docVar w:name="LW_DocType" w:val="ANNEX"/>
    <w:docVar w:name="LW_EMISSION" w:val="26.6.2026"/>
    <w:docVar w:name="LW_EMISSION_ISODATE" w:val="2026-06-26"/>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mixte institué par l\u8217?accord entre la Communauté européenne, d\u8217?une part, et le gouvernement du Danemark et le gouvernement local des Îles Féroé, d\u8217?autre part, en ce qui concerne les modalités d\u8217?application du protocole sur les questions vétérinaires complémentaire à l\u8217?accord"/>
    <w:docVar w:name="LW_OBJETACTEPRINCIPAL.CP" w:val="relative à la position à prendre, au nom de l\u8217?Union européenne, au sein du comité mixte institué par l\u8217?accord entre la Communauté européenne, d\u8217?une part, et le gouvernement du Danemark et le gouvernement local des Îles Féroé, d\u8217?autre part, en ce qui concerne les modalités d\u8217?application du protocole sur les questions vétérinaires complémentaire à l\u8217?accord"/>
    <w:docVar w:name="LW_PART_NBR" w:val="1"/>
    <w:docVar w:name="LW_PART_NBR_TOTAL" w:val="1"/>
    <w:docVar w:name="LW_REF.INST.NEW" w:val="COM"/>
    <w:docVar w:name="LW_REF.INST.NEW_ADOPTED" w:val="final"/>
    <w:docVar w:name="LW_REF.INST.NEW_TEXT" w:val="(2026) 31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CE072C"/>
    <w:rsid w:val="00003EEE"/>
    <w:rsid w:val="00010AC0"/>
    <w:rsid w:val="000115AF"/>
    <w:rsid w:val="00055B9B"/>
    <w:rsid w:val="00062826"/>
    <w:rsid w:val="000654BC"/>
    <w:rsid w:val="000727F2"/>
    <w:rsid w:val="000904BE"/>
    <w:rsid w:val="000A44EA"/>
    <w:rsid w:val="000A5961"/>
    <w:rsid w:val="000A626F"/>
    <w:rsid w:val="000A7461"/>
    <w:rsid w:val="000C1FBB"/>
    <w:rsid w:val="000C5F00"/>
    <w:rsid w:val="000D79BF"/>
    <w:rsid w:val="000E3FA2"/>
    <w:rsid w:val="000E455F"/>
    <w:rsid w:val="000F0B95"/>
    <w:rsid w:val="000F7E04"/>
    <w:rsid w:val="00106B3A"/>
    <w:rsid w:val="001328C4"/>
    <w:rsid w:val="00133392"/>
    <w:rsid w:val="00133689"/>
    <w:rsid w:val="001422A8"/>
    <w:rsid w:val="00143CBC"/>
    <w:rsid w:val="00165C4F"/>
    <w:rsid w:val="00166C99"/>
    <w:rsid w:val="00176937"/>
    <w:rsid w:val="001B07A4"/>
    <w:rsid w:val="001B1424"/>
    <w:rsid w:val="001C78F5"/>
    <w:rsid w:val="001D2D79"/>
    <w:rsid w:val="001E0BBC"/>
    <w:rsid w:val="001F343E"/>
    <w:rsid w:val="001F358D"/>
    <w:rsid w:val="00206969"/>
    <w:rsid w:val="00214C95"/>
    <w:rsid w:val="00216334"/>
    <w:rsid w:val="0022061D"/>
    <w:rsid w:val="002356AF"/>
    <w:rsid w:val="00242122"/>
    <w:rsid w:val="00244A25"/>
    <w:rsid w:val="0026347F"/>
    <w:rsid w:val="002647F0"/>
    <w:rsid w:val="00264A75"/>
    <w:rsid w:val="0026573F"/>
    <w:rsid w:val="00287E52"/>
    <w:rsid w:val="00290204"/>
    <w:rsid w:val="00292193"/>
    <w:rsid w:val="002959F8"/>
    <w:rsid w:val="002A2EA8"/>
    <w:rsid w:val="002A4D29"/>
    <w:rsid w:val="002B7137"/>
    <w:rsid w:val="002D7262"/>
    <w:rsid w:val="002E5354"/>
    <w:rsid w:val="003063A3"/>
    <w:rsid w:val="003154C2"/>
    <w:rsid w:val="0031658C"/>
    <w:rsid w:val="0032298E"/>
    <w:rsid w:val="00323ACA"/>
    <w:rsid w:val="00350667"/>
    <w:rsid w:val="00354D6F"/>
    <w:rsid w:val="00360618"/>
    <w:rsid w:val="00363FE2"/>
    <w:rsid w:val="00370497"/>
    <w:rsid w:val="00383FBC"/>
    <w:rsid w:val="003874A1"/>
    <w:rsid w:val="003917A1"/>
    <w:rsid w:val="003A6E37"/>
    <w:rsid w:val="003B5C1B"/>
    <w:rsid w:val="003B6FBD"/>
    <w:rsid w:val="003C1C90"/>
    <w:rsid w:val="003C2331"/>
    <w:rsid w:val="003C56B9"/>
    <w:rsid w:val="003E2F4F"/>
    <w:rsid w:val="00420F28"/>
    <w:rsid w:val="004243F3"/>
    <w:rsid w:val="00437F8A"/>
    <w:rsid w:val="0045078E"/>
    <w:rsid w:val="0045176E"/>
    <w:rsid w:val="004817F0"/>
    <w:rsid w:val="00492EB7"/>
    <w:rsid w:val="004A51CC"/>
    <w:rsid w:val="004B046C"/>
    <w:rsid w:val="004B0CF7"/>
    <w:rsid w:val="004B303E"/>
    <w:rsid w:val="004B5290"/>
    <w:rsid w:val="004C1836"/>
    <w:rsid w:val="004C5144"/>
    <w:rsid w:val="004D3625"/>
    <w:rsid w:val="004E3D06"/>
    <w:rsid w:val="004F44F5"/>
    <w:rsid w:val="004F4D7F"/>
    <w:rsid w:val="005041BC"/>
    <w:rsid w:val="005153A4"/>
    <w:rsid w:val="0051661A"/>
    <w:rsid w:val="00517139"/>
    <w:rsid w:val="00522BAC"/>
    <w:rsid w:val="00531367"/>
    <w:rsid w:val="0055594E"/>
    <w:rsid w:val="00555A3B"/>
    <w:rsid w:val="00565C67"/>
    <w:rsid w:val="00571024"/>
    <w:rsid w:val="0057666A"/>
    <w:rsid w:val="00595998"/>
    <w:rsid w:val="00595D3F"/>
    <w:rsid w:val="005964C2"/>
    <w:rsid w:val="00596F61"/>
    <w:rsid w:val="005A22C4"/>
    <w:rsid w:val="005A7F3A"/>
    <w:rsid w:val="005B0C82"/>
    <w:rsid w:val="005B1077"/>
    <w:rsid w:val="005B69D6"/>
    <w:rsid w:val="005C6F05"/>
    <w:rsid w:val="005C7063"/>
    <w:rsid w:val="005C7748"/>
    <w:rsid w:val="005D389A"/>
    <w:rsid w:val="005F097A"/>
    <w:rsid w:val="00617FF6"/>
    <w:rsid w:val="00626E37"/>
    <w:rsid w:val="00631005"/>
    <w:rsid w:val="006317DC"/>
    <w:rsid w:val="0063399C"/>
    <w:rsid w:val="00636DAB"/>
    <w:rsid w:val="00644E3D"/>
    <w:rsid w:val="00647783"/>
    <w:rsid w:val="00663D82"/>
    <w:rsid w:val="00675AFE"/>
    <w:rsid w:val="00684FF8"/>
    <w:rsid w:val="006933B0"/>
    <w:rsid w:val="006A6BCB"/>
    <w:rsid w:val="006B3F86"/>
    <w:rsid w:val="006C75BE"/>
    <w:rsid w:val="006D64EE"/>
    <w:rsid w:val="006D69FB"/>
    <w:rsid w:val="006F6934"/>
    <w:rsid w:val="007075FF"/>
    <w:rsid w:val="00733121"/>
    <w:rsid w:val="00740EA2"/>
    <w:rsid w:val="00772740"/>
    <w:rsid w:val="0078049C"/>
    <w:rsid w:val="00787DCB"/>
    <w:rsid w:val="0079511C"/>
    <w:rsid w:val="007A54A1"/>
    <w:rsid w:val="007A60C5"/>
    <w:rsid w:val="007C027F"/>
    <w:rsid w:val="007C58AE"/>
    <w:rsid w:val="007E2AAF"/>
    <w:rsid w:val="007E2E3C"/>
    <w:rsid w:val="007E7F77"/>
    <w:rsid w:val="00810A2C"/>
    <w:rsid w:val="008158E4"/>
    <w:rsid w:val="00820478"/>
    <w:rsid w:val="008211D3"/>
    <w:rsid w:val="00825347"/>
    <w:rsid w:val="0083690A"/>
    <w:rsid w:val="00836BFE"/>
    <w:rsid w:val="00844973"/>
    <w:rsid w:val="00845A7A"/>
    <w:rsid w:val="00855B2A"/>
    <w:rsid w:val="00885B18"/>
    <w:rsid w:val="00891811"/>
    <w:rsid w:val="00896761"/>
    <w:rsid w:val="008A3953"/>
    <w:rsid w:val="008B1F6E"/>
    <w:rsid w:val="008B46BF"/>
    <w:rsid w:val="008D2993"/>
    <w:rsid w:val="008D6398"/>
    <w:rsid w:val="008F0342"/>
    <w:rsid w:val="008F2D56"/>
    <w:rsid w:val="0090126A"/>
    <w:rsid w:val="00905D22"/>
    <w:rsid w:val="00910BDE"/>
    <w:rsid w:val="009134AA"/>
    <w:rsid w:val="009251DC"/>
    <w:rsid w:val="00934FD1"/>
    <w:rsid w:val="0094191D"/>
    <w:rsid w:val="00943F26"/>
    <w:rsid w:val="00946576"/>
    <w:rsid w:val="009549FA"/>
    <w:rsid w:val="009565CE"/>
    <w:rsid w:val="009573B0"/>
    <w:rsid w:val="00961F3E"/>
    <w:rsid w:val="00981FE4"/>
    <w:rsid w:val="00986FC7"/>
    <w:rsid w:val="00992A2E"/>
    <w:rsid w:val="009B3217"/>
    <w:rsid w:val="009B3D33"/>
    <w:rsid w:val="009B6415"/>
    <w:rsid w:val="009C4486"/>
    <w:rsid w:val="009F75DF"/>
    <w:rsid w:val="00A16564"/>
    <w:rsid w:val="00A2042A"/>
    <w:rsid w:val="00A34F4E"/>
    <w:rsid w:val="00A354CB"/>
    <w:rsid w:val="00A35E64"/>
    <w:rsid w:val="00A50853"/>
    <w:rsid w:val="00A53B34"/>
    <w:rsid w:val="00A575F2"/>
    <w:rsid w:val="00A6243B"/>
    <w:rsid w:val="00A71F6D"/>
    <w:rsid w:val="00A746A7"/>
    <w:rsid w:val="00A90C9A"/>
    <w:rsid w:val="00A9778C"/>
    <w:rsid w:val="00AA79E0"/>
    <w:rsid w:val="00AB03FE"/>
    <w:rsid w:val="00AB1A58"/>
    <w:rsid w:val="00AC14BE"/>
    <w:rsid w:val="00AD64D6"/>
    <w:rsid w:val="00AE336A"/>
    <w:rsid w:val="00AF0EC6"/>
    <w:rsid w:val="00AF7C22"/>
    <w:rsid w:val="00B06713"/>
    <w:rsid w:val="00B07C39"/>
    <w:rsid w:val="00B211B8"/>
    <w:rsid w:val="00B22C3D"/>
    <w:rsid w:val="00B35A90"/>
    <w:rsid w:val="00B40F12"/>
    <w:rsid w:val="00B46825"/>
    <w:rsid w:val="00B474B4"/>
    <w:rsid w:val="00B52AEF"/>
    <w:rsid w:val="00B53038"/>
    <w:rsid w:val="00B73C3E"/>
    <w:rsid w:val="00B81FC0"/>
    <w:rsid w:val="00B82FC6"/>
    <w:rsid w:val="00BA1C02"/>
    <w:rsid w:val="00BA4494"/>
    <w:rsid w:val="00BA4F3C"/>
    <w:rsid w:val="00BA7532"/>
    <w:rsid w:val="00BB30BC"/>
    <w:rsid w:val="00BC0F4E"/>
    <w:rsid w:val="00BC617A"/>
    <w:rsid w:val="00BC6F2B"/>
    <w:rsid w:val="00BD26D0"/>
    <w:rsid w:val="00BD7D66"/>
    <w:rsid w:val="00BE5EE6"/>
    <w:rsid w:val="00BF1C6C"/>
    <w:rsid w:val="00BF5C86"/>
    <w:rsid w:val="00BF7C2D"/>
    <w:rsid w:val="00BF7FC4"/>
    <w:rsid w:val="00C25C49"/>
    <w:rsid w:val="00C50D16"/>
    <w:rsid w:val="00C57E80"/>
    <w:rsid w:val="00C70F79"/>
    <w:rsid w:val="00C83223"/>
    <w:rsid w:val="00C872E4"/>
    <w:rsid w:val="00C953CA"/>
    <w:rsid w:val="00CA005F"/>
    <w:rsid w:val="00CA1CC8"/>
    <w:rsid w:val="00CC1ACF"/>
    <w:rsid w:val="00CD63DD"/>
    <w:rsid w:val="00CE072C"/>
    <w:rsid w:val="00CE49C6"/>
    <w:rsid w:val="00CE66D5"/>
    <w:rsid w:val="00D050E1"/>
    <w:rsid w:val="00D063E5"/>
    <w:rsid w:val="00D328C4"/>
    <w:rsid w:val="00D3380E"/>
    <w:rsid w:val="00D33986"/>
    <w:rsid w:val="00D41E71"/>
    <w:rsid w:val="00D4639F"/>
    <w:rsid w:val="00D47F8D"/>
    <w:rsid w:val="00D601DA"/>
    <w:rsid w:val="00D72968"/>
    <w:rsid w:val="00D80589"/>
    <w:rsid w:val="00D858F8"/>
    <w:rsid w:val="00DA1D84"/>
    <w:rsid w:val="00DA58BF"/>
    <w:rsid w:val="00DB4FE4"/>
    <w:rsid w:val="00DC0134"/>
    <w:rsid w:val="00DD1F47"/>
    <w:rsid w:val="00DD6541"/>
    <w:rsid w:val="00DE5924"/>
    <w:rsid w:val="00DF1846"/>
    <w:rsid w:val="00DF1F1D"/>
    <w:rsid w:val="00DF4CC6"/>
    <w:rsid w:val="00E00C80"/>
    <w:rsid w:val="00E117EC"/>
    <w:rsid w:val="00E17B47"/>
    <w:rsid w:val="00E35AF4"/>
    <w:rsid w:val="00E36F06"/>
    <w:rsid w:val="00E41445"/>
    <w:rsid w:val="00E57295"/>
    <w:rsid w:val="00E64E65"/>
    <w:rsid w:val="00E703FA"/>
    <w:rsid w:val="00E72563"/>
    <w:rsid w:val="00EA7B06"/>
    <w:rsid w:val="00EB281E"/>
    <w:rsid w:val="00EB49DF"/>
    <w:rsid w:val="00EC08F7"/>
    <w:rsid w:val="00EF2C1C"/>
    <w:rsid w:val="00EF48DC"/>
    <w:rsid w:val="00F041DF"/>
    <w:rsid w:val="00F05891"/>
    <w:rsid w:val="00F11E54"/>
    <w:rsid w:val="00F171CF"/>
    <w:rsid w:val="00F217DE"/>
    <w:rsid w:val="00F314FA"/>
    <w:rsid w:val="00F34F8A"/>
    <w:rsid w:val="00F361EA"/>
    <w:rsid w:val="00F4452A"/>
    <w:rsid w:val="00F61D73"/>
    <w:rsid w:val="00F648DC"/>
    <w:rsid w:val="00F7024E"/>
    <w:rsid w:val="00F76508"/>
    <w:rsid w:val="00F80595"/>
    <w:rsid w:val="00F82260"/>
    <w:rsid w:val="00F8630B"/>
    <w:rsid w:val="00FB4C65"/>
    <w:rsid w:val="00FB7FD7"/>
    <w:rsid w:val="00FC103A"/>
    <w:rsid w:val="00FC2ED6"/>
    <w:rsid w:val="00FE0E68"/>
    <w:rsid w:val="00FF12BF"/>
    <w:rsid w:val="08CA8F6C"/>
    <w:rsid w:val="0CF86111"/>
    <w:rsid w:val="116CED96"/>
    <w:rsid w:val="1C543DB6"/>
    <w:rsid w:val="22542ACF"/>
    <w:rsid w:val="22BD6B14"/>
    <w:rsid w:val="24E766F7"/>
    <w:rsid w:val="2CC942B6"/>
    <w:rsid w:val="2E996C36"/>
    <w:rsid w:val="32C4323F"/>
    <w:rsid w:val="3600B010"/>
    <w:rsid w:val="48DF09E9"/>
    <w:rsid w:val="5320F304"/>
    <w:rsid w:val="55DAA06B"/>
    <w:rsid w:val="5CE67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C3DD98"/>
  <w15:docId w15:val="{D7B67360-72D9-4E1A-8C4E-F8FE9DF8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072C"/>
    <w:rPr>
      <w:sz w:val="16"/>
      <w:szCs w:val="16"/>
    </w:rPr>
  </w:style>
  <w:style w:type="paragraph" w:styleId="CommentText">
    <w:name w:val="annotation text"/>
    <w:basedOn w:val="Normal"/>
    <w:link w:val="CommentTextChar"/>
    <w:uiPriority w:val="99"/>
    <w:unhideWhenUsed/>
    <w:rsid w:val="00CE072C"/>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CE072C"/>
    <w:rPr>
      <w:sz w:val="20"/>
      <w:szCs w:val="20"/>
      <w:lang w:val="fr-FR"/>
    </w:rPr>
  </w:style>
  <w:style w:type="paragraph" w:styleId="ListBullet">
    <w:name w:val="List Bullet"/>
    <w:basedOn w:val="Normal"/>
    <w:uiPriority w:val="99"/>
    <w:semiHidden/>
    <w:unhideWhenUsed/>
    <w:rsid w:val="00FE0E68"/>
    <w:pPr>
      <w:numPr>
        <w:numId w:val="1"/>
      </w:numPr>
      <w:contextualSpacing/>
    </w:pPr>
  </w:style>
  <w:style w:type="paragraph" w:styleId="ListBullet2">
    <w:name w:val="List Bullet 2"/>
    <w:basedOn w:val="Normal"/>
    <w:uiPriority w:val="99"/>
    <w:semiHidden/>
    <w:unhideWhenUsed/>
    <w:rsid w:val="00FE0E68"/>
    <w:pPr>
      <w:numPr>
        <w:numId w:val="2"/>
      </w:numPr>
      <w:contextualSpacing/>
    </w:pPr>
  </w:style>
  <w:style w:type="paragraph" w:styleId="ListBullet3">
    <w:name w:val="List Bullet 3"/>
    <w:basedOn w:val="Normal"/>
    <w:uiPriority w:val="99"/>
    <w:semiHidden/>
    <w:unhideWhenUsed/>
    <w:rsid w:val="00FE0E68"/>
    <w:pPr>
      <w:numPr>
        <w:numId w:val="3"/>
      </w:numPr>
      <w:contextualSpacing/>
    </w:pPr>
  </w:style>
  <w:style w:type="paragraph" w:styleId="ListBullet4">
    <w:name w:val="List Bullet 4"/>
    <w:basedOn w:val="Normal"/>
    <w:uiPriority w:val="99"/>
    <w:semiHidden/>
    <w:unhideWhenUsed/>
    <w:rsid w:val="00FE0E68"/>
    <w:pPr>
      <w:numPr>
        <w:numId w:val="4"/>
      </w:numPr>
      <w:contextualSpacing/>
    </w:pPr>
  </w:style>
  <w:style w:type="character" w:styleId="Hyperlink">
    <w:name w:val="Hyperlink"/>
    <w:basedOn w:val="DefaultParagraphFont"/>
    <w:uiPriority w:val="99"/>
    <w:unhideWhenUsed/>
    <w:rsid w:val="00287E52"/>
    <w:rPr>
      <w:color w:val="0000FF" w:themeColor="hyperlink"/>
      <w:u w:val="single"/>
    </w:rPr>
  </w:style>
  <w:style w:type="character" w:customStyle="1" w:styleId="UnresolvedMention">
    <w:name w:val="Unresolved Mention"/>
    <w:basedOn w:val="DefaultParagraphFont"/>
    <w:uiPriority w:val="99"/>
    <w:semiHidden/>
    <w:unhideWhenUsed/>
    <w:rsid w:val="00287E52"/>
    <w:rPr>
      <w:color w:val="605E5C"/>
      <w:shd w:val="clear" w:color="auto" w:fill="E1DFDD"/>
    </w:rPr>
  </w:style>
  <w:style w:type="paragraph" w:styleId="ListParagraph">
    <w:name w:val="List Paragraph"/>
    <w:basedOn w:val="Normal"/>
    <w:uiPriority w:val="34"/>
    <w:qFormat/>
    <w:rsid w:val="00287E52"/>
    <w:pPr>
      <w:ind w:left="720"/>
      <w:contextualSpacing/>
    </w:pPr>
  </w:style>
  <w:style w:type="paragraph" w:styleId="CommentSubject">
    <w:name w:val="annotation subject"/>
    <w:basedOn w:val="CommentText"/>
    <w:next w:val="CommentText"/>
    <w:link w:val="CommentSubjectChar"/>
    <w:uiPriority w:val="99"/>
    <w:semiHidden/>
    <w:unhideWhenUsed/>
    <w:rsid w:val="00E36F06"/>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E36F06"/>
    <w:rPr>
      <w:rFonts w:ascii="Times New Roman" w:hAnsi="Times New Roman" w:cs="Times New Roman"/>
      <w:b/>
      <w:bCs/>
      <w:sz w:val="20"/>
      <w:szCs w:val="20"/>
      <w:lang w:val="fr-FR"/>
    </w:rPr>
  </w:style>
  <w:style w:type="paragraph" w:styleId="Revision">
    <w:name w:val="Revision"/>
    <w:hidden/>
    <w:uiPriority w:val="99"/>
    <w:semiHidden/>
    <w:rsid w:val="00FF12BF"/>
    <w:pPr>
      <w:spacing w:after="0" w:line="240" w:lineRule="auto"/>
    </w:pPr>
    <w:rPr>
      <w:rFonts w:ascii="Times New Roman" w:hAnsi="Times New Roman" w:cs="Times New Roman"/>
      <w:sz w:val="24"/>
    </w:rPr>
  </w:style>
  <w:style w:type="table" w:styleId="TableGrid">
    <w:name w:val="Table Grid"/>
    <w:basedOn w:val="TableNormal"/>
    <w:uiPriority w:val="59"/>
    <w:rsid w:val="004C1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E66D5"/>
    <w:pPr>
      <w:spacing w:before="100" w:beforeAutospacing="1" w:after="100" w:afterAutospacing="1"/>
      <w:jc w:val="left"/>
    </w:pPr>
    <w:rPr>
      <w:rFonts w:eastAsia="Times New Roman"/>
      <w:szCs w:val="24"/>
      <w:lang w:eastAsia="fr-BE"/>
    </w:rPr>
  </w:style>
  <w:style w:type="character" w:styleId="FollowedHyperlink">
    <w:name w:val="FollowedHyperlink"/>
    <w:basedOn w:val="DefaultParagraphFont"/>
    <w:uiPriority w:val="99"/>
    <w:semiHidden/>
    <w:unhideWhenUsed/>
    <w:rsid w:val="00D80589"/>
    <w:rPr>
      <w:color w:val="800080" w:themeColor="followedHyperlink"/>
      <w:u w:val="single"/>
    </w:rPr>
  </w:style>
  <w:style w:type="character" w:customStyle="1" w:styleId="HeaderChar">
    <w:name w:val="Header Char"/>
    <w:basedOn w:val="DefaultParagraphFont"/>
    <w:link w:val="Header"/>
    <w:uiPriority w:val="99"/>
    <w:rsid w:val="00F171CF"/>
    <w:rPr>
      <w:rFonts w:ascii="Times New Roman" w:hAnsi="Times New Roman" w:cs="Times New Roman"/>
      <w:sz w:val="24"/>
      <w:lang w:val="fr-FR"/>
    </w:rPr>
  </w:style>
  <w:style w:type="character" w:customStyle="1" w:styleId="FooterChar">
    <w:name w:val="Footer Char"/>
    <w:basedOn w:val="DefaultParagraphFont"/>
    <w:link w:val="Footer"/>
    <w:uiPriority w:val="99"/>
    <w:rsid w:val="00F171C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71C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71CF"/>
    <w:pPr>
      <w:spacing w:before="0"/>
      <w:jc w:val="right"/>
    </w:pPr>
    <w:rPr>
      <w:sz w:val="28"/>
    </w:rPr>
  </w:style>
  <w:style w:type="paragraph" w:customStyle="1" w:styleId="FooterSensitivity">
    <w:name w:val="Footer Sensitivity"/>
    <w:basedOn w:val="Normal"/>
    <w:rsid w:val="00F171C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171CF"/>
    <w:pPr>
      <w:tabs>
        <w:tab w:val="center" w:pos="4535"/>
        <w:tab w:val="right" w:pos="9071"/>
      </w:tabs>
      <w:spacing w:before="0"/>
    </w:pPr>
  </w:style>
  <w:style w:type="paragraph" w:customStyle="1" w:styleId="HeaderLandscape">
    <w:name w:val="HeaderLandscape"/>
    <w:basedOn w:val="Normal"/>
    <w:rsid w:val="00F171CF"/>
    <w:pPr>
      <w:tabs>
        <w:tab w:val="center" w:pos="7285"/>
        <w:tab w:val="right" w:pos="14003"/>
      </w:tabs>
      <w:spacing w:before="0"/>
    </w:pPr>
  </w:style>
  <w:style w:type="paragraph" w:styleId="Footer">
    <w:name w:val="footer"/>
    <w:basedOn w:val="Normal"/>
    <w:link w:val="FooterChar"/>
    <w:uiPriority w:val="99"/>
    <w:unhideWhenUsed/>
    <w:rsid w:val="00F171C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71C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70696">
      <w:bodyDiv w:val="1"/>
      <w:marLeft w:val="0"/>
      <w:marRight w:val="0"/>
      <w:marTop w:val="0"/>
      <w:marBottom w:val="0"/>
      <w:divBdr>
        <w:top w:val="none" w:sz="0" w:space="0" w:color="auto"/>
        <w:left w:val="none" w:sz="0" w:space="0" w:color="auto"/>
        <w:bottom w:val="none" w:sz="0" w:space="0" w:color="auto"/>
        <w:right w:val="none" w:sz="0" w:space="0" w:color="auto"/>
      </w:divBdr>
    </w:div>
    <w:div w:id="312947871">
      <w:bodyDiv w:val="1"/>
      <w:marLeft w:val="0"/>
      <w:marRight w:val="0"/>
      <w:marTop w:val="0"/>
      <w:marBottom w:val="0"/>
      <w:divBdr>
        <w:top w:val="none" w:sz="0" w:space="0" w:color="auto"/>
        <w:left w:val="none" w:sz="0" w:space="0" w:color="auto"/>
        <w:bottom w:val="none" w:sz="0" w:space="0" w:color="auto"/>
        <w:right w:val="none" w:sz="0" w:space="0" w:color="auto"/>
      </w:divBdr>
    </w:div>
    <w:div w:id="619846648">
      <w:bodyDiv w:val="1"/>
      <w:marLeft w:val="0"/>
      <w:marRight w:val="0"/>
      <w:marTop w:val="0"/>
      <w:marBottom w:val="0"/>
      <w:divBdr>
        <w:top w:val="none" w:sz="0" w:space="0" w:color="auto"/>
        <w:left w:val="none" w:sz="0" w:space="0" w:color="auto"/>
        <w:bottom w:val="none" w:sz="0" w:space="0" w:color="auto"/>
        <w:right w:val="none" w:sz="0" w:space="0" w:color="auto"/>
      </w:divBdr>
      <w:divsChild>
        <w:div w:id="631600668">
          <w:marLeft w:val="0"/>
          <w:marRight w:val="0"/>
          <w:marTop w:val="0"/>
          <w:marBottom w:val="0"/>
          <w:divBdr>
            <w:top w:val="none" w:sz="0" w:space="0" w:color="auto"/>
            <w:left w:val="none" w:sz="0" w:space="0" w:color="auto"/>
            <w:bottom w:val="none" w:sz="0" w:space="0" w:color="auto"/>
            <w:right w:val="none" w:sz="0" w:space="0" w:color="auto"/>
          </w:divBdr>
        </w:div>
        <w:div w:id="153448539">
          <w:marLeft w:val="0"/>
          <w:marRight w:val="0"/>
          <w:marTop w:val="0"/>
          <w:marBottom w:val="0"/>
          <w:divBdr>
            <w:top w:val="none" w:sz="0" w:space="0" w:color="auto"/>
            <w:left w:val="none" w:sz="0" w:space="0" w:color="auto"/>
            <w:bottom w:val="none" w:sz="0" w:space="0" w:color="auto"/>
            <w:right w:val="none" w:sz="0" w:space="0" w:color="auto"/>
          </w:divBdr>
        </w:div>
        <w:div w:id="1275986607">
          <w:marLeft w:val="0"/>
          <w:marRight w:val="0"/>
          <w:marTop w:val="0"/>
          <w:marBottom w:val="0"/>
          <w:divBdr>
            <w:top w:val="none" w:sz="0" w:space="0" w:color="auto"/>
            <w:left w:val="none" w:sz="0" w:space="0" w:color="auto"/>
            <w:bottom w:val="none" w:sz="0" w:space="0" w:color="auto"/>
            <w:right w:val="none" w:sz="0" w:space="0" w:color="auto"/>
          </w:divBdr>
        </w:div>
        <w:div w:id="1295402867">
          <w:marLeft w:val="0"/>
          <w:marRight w:val="0"/>
          <w:marTop w:val="0"/>
          <w:marBottom w:val="0"/>
          <w:divBdr>
            <w:top w:val="none" w:sz="0" w:space="0" w:color="auto"/>
            <w:left w:val="none" w:sz="0" w:space="0" w:color="auto"/>
            <w:bottom w:val="none" w:sz="0" w:space="0" w:color="auto"/>
            <w:right w:val="none" w:sz="0" w:space="0" w:color="auto"/>
          </w:divBdr>
        </w:div>
      </w:divsChild>
    </w:div>
    <w:div w:id="789906813">
      <w:bodyDiv w:val="1"/>
      <w:marLeft w:val="0"/>
      <w:marRight w:val="0"/>
      <w:marTop w:val="0"/>
      <w:marBottom w:val="0"/>
      <w:divBdr>
        <w:top w:val="none" w:sz="0" w:space="0" w:color="auto"/>
        <w:left w:val="none" w:sz="0" w:space="0" w:color="auto"/>
        <w:bottom w:val="none" w:sz="0" w:space="0" w:color="auto"/>
        <w:right w:val="none" w:sz="0" w:space="0" w:color="auto"/>
      </w:divBdr>
    </w:div>
    <w:div w:id="971323446">
      <w:bodyDiv w:val="1"/>
      <w:marLeft w:val="0"/>
      <w:marRight w:val="0"/>
      <w:marTop w:val="0"/>
      <w:marBottom w:val="0"/>
      <w:divBdr>
        <w:top w:val="none" w:sz="0" w:space="0" w:color="auto"/>
        <w:left w:val="none" w:sz="0" w:space="0" w:color="auto"/>
        <w:bottom w:val="none" w:sz="0" w:space="0" w:color="auto"/>
        <w:right w:val="none" w:sz="0" w:space="0" w:color="auto"/>
      </w:divBdr>
    </w:div>
    <w:div w:id="1274626652">
      <w:bodyDiv w:val="1"/>
      <w:marLeft w:val="0"/>
      <w:marRight w:val="0"/>
      <w:marTop w:val="0"/>
      <w:marBottom w:val="0"/>
      <w:divBdr>
        <w:top w:val="none" w:sz="0" w:space="0" w:color="auto"/>
        <w:left w:val="none" w:sz="0" w:space="0" w:color="auto"/>
        <w:bottom w:val="none" w:sz="0" w:space="0" w:color="auto"/>
        <w:right w:val="none" w:sz="0" w:space="0" w:color="auto"/>
      </w:divBdr>
    </w:div>
    <w:div w:id="1293513687">
      <w:bodyDiv w:val="1"/>
      <w:marLeft w:val="0"/>
      <w:marRight w:val="0"/>
      <w:marTop w:val="0"/>
      <w:marBottom w:val="0"/>
      <w:divBdr>
        <w:top w:val="none" w:sz="0" w:space="0" w:color="auto"/>
        <w:left w:val="none" w:sz="0" w:space="0" w:color="auto"/>
        <w:bottom w:val="none" w:sz="0" w:space="0" w:color="auto"/>
        <w:right w:val="none" w:sz="0" w:space="0" w:color="auto"/>
      </w:divBdr>
    </w:div>
    <w:div w:id="1344091995">
      <w:bodyDiv w:val="1"/>
      <w:marLeft w:val="0"/>
      <w:marRight w:val="0"/>
      <w:marTop w:val="0"/>
      <w:marBottom w:val="0"/>
      <w:divBdr>
        <w:top w:val="none" w:sz="0" w:space="0" w:color="auto"/>
        <w:left w:val="none" w:sz="0" w:space="0" w:color="auto"/>
        <w:bottom w:val="none" w:sz="0" w:space="0" w:color="auto"/>
        <w:right w:val="none" w:sz="0" w:space="0" w:color="auto"/>
      </w:divBdr>
    </w:div>
    <w:div w:id="1520584891">
      <w:bodyDiv w:val="1"/>
      <w:marLeft w:val="0"/>
      <w:marRight w:val="0"/>
      <w:marTop w:val="0"/>
      <w:marBottom w:val="0"/>
      <w:divBdr>
        <w:top w:val="none" w:sz="0" w:space="0" w:color="auto"/>
        <w:left w:val="none" w:sz="0" w:space="0" w:color="auto"/>
        <w:bottom w:val="none" w:sz="0" w:space="0" w:color="auto"/>
        <w:right w:val="none" w:sz="0" w:space="0" w:color="auto"/>
      </w:divBdr>
    </w:div>
    <w:div w:id="1595438333">
      <w:bodyDiv w:val="1"/>
      <w:marLeft w:val="0"/>
      <w:marRight w:val="0"/>
      <w:marTop w:val="0"/>
      <w:marBottom w:val="0"/>
      <w:divBdr>
        <w:top w:val="none" w:sz="0" w:space="0" w:color="auto"/>
        <w:left w:val="none" w:sz="0" w:space="0" w:color="auto"/>
        <w:bottom w:val="none" w:sz="0" w:space="0" w:color="auto"/>
        <w:right w:val="none" w:sz="0" w:space="0" w:color="auto"/>
      </w:divBdr>
    </w:div>
    <w:div w:id="1779914088">
      <w:bodyDiv w:val="1"/>
      <w:marLeft w:val="0"/>
      <w:marRight w:val="0"/>
      <w:marTop w:val="0"/>
      <w:marBottom w:val="0"/>
      <w:divBdr>
        <w:top w:val="none" w:sz="0" w:space="0" w:color="auto"/>
        <w:left w:val="none" w:sz="0" w:space="0" w:color="auto"/>
        <w:bottom w:val="none" w:sz="0" w:space="0" w:color="auto"/>
        <w:right w:val="none" w:sz="0" w:space="0" w:color="auto"/>
      </w:divBdr>
    </w:div>
    <w:div w:id="1810322172">
      <w:bodyDiv w:val="1"/>
      <w:marLeft w:val="0"/>
      <w:marRight w:val="0"/>
      <w:marTop w:val="0"/>
      <w:marBottom w:val="0"/>
      <w:divBdr>
        <w:top w:val="none" w:sz="0" w:space="0" w:color="auto"/>
        <w:left w:val="none" w:sz="0" w:space="0" w:color="auto"/>
        <w:bottom w:val="none" w:sz="0" w:space="0" w:color="auto"/>
        <w:right w:val="none" w:sz="0" w:space="0" w:color="auto"/>
      </w:divBdr>
    </w:div>
    <w:div w:id="1859461136">
      <w:bodyDiv w:val="1"/>
      <w:marLeft w:val="0"/>
      <w:marRight w:val="0"/>
      <w:marTop w:val="0"/>
      <w:marBottom w:val="0"/>
      <w:divBdr>
        <w:top w:val="none" w:sz="0" w:space="0" w:color="auto"/>
        <w:left w:val="none" w:sz="0" w:space="0" w:color="auto"/>
        <w:bottom w:val="none" w:sz="0" w:space="0" w:color="auto"/>
        <w:right w:val="none" w:sz="0" w:space="0" w:color="auto"/>
      </w:divBdr>
    </w:div>
    <w:div w:id="197756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AUTO/?uri=uriserv:OJ.L_.2022.191.01.0058.01.FRA&amp;toc=OJ:L:2022:191:TOC" TargetMode="External"/><Relationship Id="rId13" Type="http://schemas.openxmlformats.org/officeDocument/2006/relationships/hyperlink" Target="https://eur-lex.europa.eu/legal-content/FR/AUTO/?uri=OJ:L:2002:140:TOC" TargetMode="External"/><Relationship Id="rId18" Type="http://schemas.openxmlformats.org/officeDocument/2006/relationships/hyperlink" Target="http://data.europa.eu/eli/reg/1993/315/oj" TargetMode="External"/><Relationship Id="rId3" Type="http://schemas.openxmlformats.org/officeDocument/2006/relationships/hyperlink" Target="https://eur-lex.europa.eu/legal-content/FR/AUTO/?uri=OJ:L:2004:139:TOC" TargetMode="External"/><Relationship Id="rId7" Type="http://schemas.openxmlformats.org/officeDocument/2006/relationships/hyperlink" Target="http://data.europa.eu/eli/reg/2019/6/oj" TargetMode="External"/><Relationship Id="rId12" Type="http://schemas.openxmlformats.org/officeDocument/2006/relationships/hyperlink" Target="https://eur-lex.europa.eu/legal-content/FR/AUTO/?uri=OJ:L:2009:229:TOC" TargetMode="External"/><Relationship Id="rId17" Type="http://schemas.openxmlformats.org/officeDocument/2006/relationships/hyperlink" Target="https://eur-lex.europa.eu/legal-content/FR/AUTO/?uri=OJ:L:2005:070:TOC" TargetMode="External"/><Relationship Id="rId2" Type="http://schemas.openxmlformats.org/officeDocument/2006/relationships/hyperlink" Target="https://eur-lex.europa.eu/legal-content/FR/AUTO/?uri=OJ:L:2017:095:TOC" TargetMode="External"/><Relationship Id="rId16" Type="http://schemas.openxmlformats.org/officeDocument/2006/relationships/hyperlink" Target="http://data.europa.eu/eli/reg/2009/470/oj" TargetMode="External"/><Relationship Id="rId1" Type="http://schemas.openxmlformats.org/officeDocument/2006/relationships/hyperlink" Target="https://eur-lex.europa.eu/legal-content/FR/AUTO/?uri=OJ:L:2002:031:TOC" TargetMode="External"/><Relationship Id="rId6" Type="http://schemas.openxmlformats.org/officeDocument/2006/relationships/hyperlink" Target="https://eur-lex.europa.eu/legal-content/FR/AUTO/?uri=OJ:L:2016:084:TOC" TargetMode="External"/><Relationship Id="rId11" Type="http://schemas.openxmlformats.org/officeDocument/2006/relationships/hyperlink" Target="https://eur-lex.europa.eu/legal-content/FR/AUTO/?uri=OJ:L:1996:125:TOC" TargetMode="External"/><Relationship Id="rId5" Type="http://schemas.openxmlformats.org/officeDocument/2006/relationships/hyperlink" Target="https://eur-lex.europa.eu/legal-content/FR/AUTO/?uri=OJ:L:2005:035:TOC" TargetMode="External"/><Relationship Id="rId15" Type="http://schemas.openxmlformats.org/officeDocument/2006/relationships/hyperlink" Target="https://eur-lex.europa.eu/legal-content/FR/AUTO/?uri=OJ:L:2003:268:TOC" TargetMode="External"/><Relationship Id="rId10" Type="http://schemas.openxmlformats.org/officeDocument/2006/relationships/hyperlink" Target="https://eur-lex.europa.eu/legal-content/FR/AUTO/?uri=OJ:L:2009:300:TOC" TargetMode="External"/><Relationship Id="rId4" Type="http://schemas.openxmlformats.org/officeDocument/2006/relationships/hyperlink" Target="https://eur-lex.europa.eu/legal-content/FR/AUTO/?uri=OJ:L:2004:139:TOC" TargetMode="External"/><Relationship Id="rId9" Type="http://schemas.openxmlformats.org/officeDocument/2006/relationships/hyperlink" Target="http://data.europa.eu/eli/reg/2019/4/oj" TargetMode="External"/><Relationship Id="rId14" Type="http://schemas.openxmlformats.org/officeDocument/2006/relationships/hyperlink" Target="https://eur-lex.europa.eu/legal-content/FR/AUTO/?uri=OJ:L:2001:147: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FA1A55E79D784CA38BD8EA62C09A09" ma:contentTypeVersion="6" ma:contentTypeDescription="Create a new document." ma:contentTypeScope="" ma:versionID="cdad2050d0242bbbb3e38e686f58e4cf">
  <xsd:schema xmlns:xsd="http://www.w3.org/2001/XMLSchema" xmlns:xs="http://www.w3.org/2001/XMLSchema" xmlns:p="http://schemas.microsoft.com/office/2006/metadata/properties" xmlns:ns2="0747b363-7c8e-4bb9-be7d-1c4a12bf27c2" xmlns:ns3="7058b7d0-6f54-43d0-ac9b-f95b90dfb0dc" targetNamespace="http://schemas.microsoft.com/office/2006/metadata/properties" ma:root="true" ma:fieldsID="5406c57e2e7d0051d6f24838871ce40e" ns2:_="" ns3:_="">
    <xsd:import namespace="0747b363-7c8e-4bb9-be7d-1c4a12bf27c2"/>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47b363-7c8e-4bb9-be7d-1c4a12bf27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01F8F-9E3F-4482-A2CF-011CD22F32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5ECCD8-0EDB-49DA-8F22-539DA23F147C}">
  <ds:schemaRefs>
    <ds:schemaRef ds:uri="http://schemas.microsoft.com/sharepoint/v3/contenttype/forms"/>
  </ds:schemaRefs>
</ds:datastoreItem>
</file>

<file path=customXml/itemProps3.xml><?xml version="1.0" encoding="utf-8"?>
<ds:datastoreItem xmlns:ds="http://schemas.openxmlformats.org/officeDocument/2006/customXml" ds:itemID="{D0DE6452-6742-484E-B036-2084ACB5F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47b363-7c8e-4bb9-be7d-1c4a12bf27c2"/>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E475-8711-49CB-908F-0AA24E55E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7</TotalTime>
  <Pages>10</Pages>
  <Words>2010</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2025-12-04T09:34:00Z</cp:lastPrinted>
  <dcterms:created xsi:type="dcterms:W3CDTF">2026-06-09T15:53:00Z</dcterms:created>
  <dcterms:modified xsi:type="dcterms:W3CDTF">2026-06-19T07:49:00Z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2025-03-20T17:20:22Z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b8171b84-2ea8-4803-8dae-e38e892e3697</vt:lpwstr>
  </property>
  <property fmtid="{D5CDD505-2E9C-101B-9397-08002B2CF9AE}" pid="19" name="MSIP_Label_6bd9ddd1-4d20-43f6-abfa-fc3c07406f94_ContentBits">
    <vt:lpwstr>0</vt:lpwstr>
  </property>
  <property fmtid="{D5CDD505-2E9C-101B-9397-08002B2CF9AE}" pid="20" name="ContentTypeId">
    <vt:lpwstr>0x01010053FA1A55E79D784CA38BD8EA62C09A09</vt:lpwstr>
  </property>
  <property fmtid="{D5CDD505-2E9C-101B-9397-08002B2CF9AE}" pid="21" name="DQCStatus">
    <vt:lpwstr>Green (DQC version 03)</vt:lpwstr>
  </property>
</Properties>
</file>