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D8101" w14:textId="2B0A5071" w:rsidR="00BC617A" w:rsidRPr="008A0D79" w:rsidRDefault="006E399B" w:rsidP="006E399B">
      <w:pPr>
        <w:pStyle w:val="Pagedecouverture"/>
        <w:rPr>
          <w:noProof/>
        </w:rPr>
      </w:pPr>
      <w:r>
        <w:rPr>
          <w:noProof/>
        </w:rPr>
        <w:pict w14:anchorId="4A413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99999C-CA8D-4BF8-996E-98D82BC5016F" style="width:455.25pt;height:396pt">
            <v:imagedata r:id="rId11" o:title=""/>
          </v:shape>
        </w:pict>
      </w:r>
    </w:p>
    <w:p w14:paraId="538B091C" w14:textId="77777777" w:rsidR="00BC617A" w:rsidRPr="008A0D79" w:rsidRDefault="00BC617A" w:rsidP="0032298E">
      <w:pPr>
        <w:rPr>
          <w:noProof/>
        </w:rPr>
        <w:sectPr w:rsidR="00BC617A" w:rsidRPr="008A0D79" w:rsidSect="006E399B">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7E959DB" w14:textId="253E859A" w:rsidR="00CE072C" w:rsidRPr="008A0D79" w:rsidRDefault="00CE072C" w:rsidP="00CE072C">
      <w:pPr>
        <w:pStyle w:val="Annexetitre"/>
        <w:rPr>
          <w:noProof/>
        </w:rPr>
      </w:pPr>
      <w:bookmarkStart w:id="0" w:name="_GoBack"/>
      <w:bookmarkEnd w:id="0"/>
      <w:r w:rsidRPr="008A0D79">
        <w:rPr>
          <w:noProof/>
        </w:rPr>
        <w:lastRenderedPageBreak/>
        <w:t>ANEXĂ</w:t>
      </w:r>
    </w:p>
    <w:p w14:paraId="6E28E280" w14:textId="77777777" w:rsidR="00905D22" w:rsidRPr="008A0D79" w:rsidRDefault="00905D22" w:rsidP="00CE072C">
      <w:pPr>
        <w:rPr>
          <w:noProof/>
        </w:rPr>
      </w:pPr>
    </w:p>
    <w:p w14:paraId="31862E54" w14:textId="77777777" w:rsidR="00CE072C" w:rsidRPr="008A0D79" w:rsidRDefault="00CE072C" w:rsidP="00CE072C">
      <w:pPr>
        <w:rPr>
          <w:b/>
          <w:bCs/>
          <w:noProof/>
        </w:rPr>
      </w:pPr>
      <w:r w:rsidRPr="008A0D79">
        <w:rPr>
          <w:b/>
          <w:noProof/>
        </w:rPr>
        <w:t>[Proiect de] DECIZIE Nr. …/2026 A COMITETULUI MIXT UE-INSULELE FEROE</w:t>
      </w:r>
    </w:p>
    <w:p w14:paraId="03AC20AA" w14:textId="77777777" w:rsidR="00CE072C" w:rsidRPr="008A0D79" w:rsidRDefault="00CE072C" w:rsidP="00CE072C">
      <w:pPr>
        <w:rPr>
          <w:b/>
          <w:bCs/>
          <w:noProof/>
        </w:rPr>
      </w:pPr>
      <w:r w:rsidRPr="008A0D79">
        <w:rPr>
          <w:b/>
          <w:noProof/>
        </w:rPr>
        <w:t>din xx xx 2026</w:t>
      </w:r>
    </w:p>
    <w:p w14:paraId="7D6DCC8E" w14:textId="77777777" w:rsidR="00CE072C" w:rsidRPr="008A0D79" w:rsidRDefault="00FE0E68" w:rsidP="00CE072C">
      <w:pPr>
        <w:rPr>
          <w:b/>
          <w:bCs/>
          <w:noProof/>
        </w:rPr>
      </w:pPr>
      <w:r w:rsidRPr="008A0D79">
        <w:rPr>
          <w:b/>
          <w:noProof/>
        </w:rPr>
        <w:t>de stabilire a normelor de aplicare a protocolului privind chestiunile veterinare care completează Acordul dintre Comunitatea Europeană, pe de o parte, și Guvernul Danemarcei și guvernul local al Insulelor Feroe, pe de altă parte, și de abrogare a Deciziei nr. 1/2001</w:t>
      </w:r>
    </w:p>
    <w:p w14:paraId="784D69A1" w14:textId="77777777" w:rsidR="00FE0E68" w:rsidRPr="008A0D79" w:rsidRDefault="00FE0E68" w:rsidP="00CE072C">
      <w:pPr>
        <w:rPr>
          <w:noProof/>
        </w:rPr>
      </w:pPr>
    </w:p>
    <w:p w14:paraId="4CDA440B" w14:textId="77777777" w:rsidR="00CE072C" w:rsidRPr="008A0D79" w:rsidRDefault="00CE072C" w:rsidP="00CE072C">
      <w:pPr>
        <w:rPr>
          <w:noProof/>
        </w:rPr>
      </w:pPr>
      <w:r w:rsidRPr="008A0D79">
        <w:rPr>
          <w:noProof/>
        </w:rPr>
        <w:t xml:space="preserve">COMITETUL MIXT UE-INSULELE FEROE, </w:t>
      </w:r>
    </w:p>
    <w:p w14:paraId="6C712BE4" w14:textId="77777777" w:rsidR="00CE072C" w:rsidRPr="008A0D79" w:rsidRDefault="00CE072C" w:rsidP="00CE072C">
      <w:pPr>
        <w:rPr>
          <w:noProof/>
        </w:rPr>
      </w:pPr>
      <w:r w:rsidRPr="008A0D79">
        <w:rPr>
          <w:noProof/>
        </w:rPr>
        <w:t xml:space="preserve">având în vedere Acordul sub forma unui schimb de scrisori dintre Comunitatea Europeană, pe de o parte, și Guvernul Danemarcei și guvernul local al Insulelor Feroe, pe de altă parte, </w:t>
      </w:r>
    </w:p>
    <w:p w14:paraId="4CADB81F" w14:textId="77777777" w:rsidR="00CE072C" w:rsidRPr="008A0D79" w:rsidRDefault="00CE072C" w:rsidP="00CE072C">
      <w:pPr>
        <w:rPr>
          <w:noProof/>
        </w:rPr>
      </w:pPr>
      <w:r w:rsidRPr="008A0D79">
        <w:rPr>
          <w:noProof/>
        </w:rPr>
        <w:t xml:space="preserve">având în vedere Protocolul privind chestiunile veterinare, de completare a Acordului dintre Comunitatea Europeană, pe de o parte, și Guvernul Danemarcei și guvernul local al Insulelor Feroe, pe de altă parte (denumit în continuare „protocolul”), în special articolul 2, </w:t>
      </w:r>
    </w:p>
    <w:p w14:paraId="3F7D657D" w14:textId="77777777" w:rsidR="00FE0E68" w:rsidRPr="008A0D79" w:rsidRDefault="00FE0E68" w:rsidP="00CE072C">
      <w:pPr>
        <w:rPr>
          <w:noProof/>
        </w:rPr>
      </w:pPr>
    </w:p>
    <w:p w14:paraId="48AB3949" w14:textId="77777777" w:rsidR="00FE0E68" w:rsidRPr="008A0D79" w:rsidRDefault="00FE0E68" w:rsidP="00CE072C">
      <w:pPr>
        <w:rPr>
          <w:noProof/>
        </w:rPr>
      </w:pPr>
      <w:r w:rsidRPr="008A0D79">
        <w:rPr>
          <w:noProof/>
        </w:rPr>
        <w:t>întrucât:</w:t>
      </w:r>
    </w:p>
    <w:p w14:paraId="6BC18D4B" w14:textId="77777777" w:rsidR="00E36F06" w:rsidRPr="008A0D79" w:rsidRDefault="00E36F06" w:rsidP="00E36F06">
      <w:pPr>
        <w:rPr>
          <w:noProof/>
        </w:rPr>
      </w:pPr>
    </w:p>
    <w:p w14:paraId="7B566609" w14:textId="5875DB49" w:rsidR="002A2EA8" w:rsidRPr="008A0D79" w:rsidRDefault="002A2EA8" w:rsidP="002A2EA8">
      <w:pPr>
        <w:rPr>
          <w:noProof/>
        </w:rPr>
      </w:pPr>
      <w:r w:rsidRPr="008A0D79">
        <w:rPr>
          <w:noProof/>
        </w:rPr>
        <w:t>(1) Părțile convin că este necesar să se actualizeze normele de aplicare a Protocolului privind chestiunile veterinare, de completare a Acordului dintre Comunitatea Europeană, pe de o parte, și Guvernul Danemarcei și guvernul local al Insulelor Feroe, pe de altă parte (denumit în continuare „protocolul”), și au examinat această chestiune în cadrul subgrupului veterinar instituit în cadrul comitetului mixt Uniunea Europeană – Insulele Feroe.</w:t>
      </w:r>
    </w:p>
    <w:p w14:paraId="3C9567C6" w14:textId="77777777" w:rsidR="0078049C" w:rsidRPr="008A0D79" w:rsidRDefault="0078049C" w:rsidP="002A2EA8">
      <w:pPr>
        <w:rPr>
          <w:noProof/>
        </w:rPr>
      </w:pPr>
    </w:p>
    <w:p w14:paraId="4ABADE30" w14:textId="77777777" w:rsidR="0078049C" w:rsidRPr="008A0D79" w:rsidRDefault="0078049C" w:rsidP="002A2EA8">
      <w:pPr>
        <w:rPr>
          <w:noProof/>
        </w:rPr>
      </w:pPr>
      <w:r w:rsidRPr="008A0D79">
        <w:rPr>
          <w:noProof/>
        </w:rPr>
        <w:t>(2) Mai multe trimiteri la actele juridice ale Uniunii care figurează în normele de aplicare a protocolului cuprinse în Decizia nr. 1/2001 nu mai sunt relevante, iar trimiterile la actele juridice relevante lipsesc. În plus, Insulele Feroe au solicitat să se asigure mai multă claritate în ceea ce privește normele aplicabile circulației subproduselor provenite din pescuit și din acvacultură destinate hranei animalelor din Insulele Feroe către UE și în ceea ce privește circulația cailor născuți în Insulele Feroe către UE.</w:t>
      </w:r>
    </w:p>
    <w:p w14:paraId="7DEAA74F" w14:textId="77777777" w:rsidR="002A2EA8" w:rsidRPr="008A0D79" w:rsidRDefault="002A2EA8" w:rsidP="002A2EA8">
      <w:pPr>
        <w:rPr>
          <w:noProof/>
        </w:rPr>
      </w:pPr>
    </w:p>
    <w:p w14:paraId="2E2173AB" w14:textId="77777777" w:rsidR="002A2EA8" w:rsidRPr="008A0D79" w:rsidRDefault="002A2EA8" w:rsidP="002A2EA8">
      <w:pPr>
        <w:rPr>
          <w:noProof/>
        </w:rPr>
      </w:pPr>
      <w:r w:rsidRPr="008A0D79">
        <w:rPr>
          <w:noProof/>
        </w:rPr>
        <w:t xml:space="preserve">(3) Părțile doresc să mențină fluxurile comerciale cu animale și produse de origine animală între Uniune și Insulele Feroe, în principal cu produse pescărești destinate consumului uman, subproduse de origine animală provenite din pescuit și din acvacultură, animale de acvacultură, moluște bivalve, cai și lână neprelucrată. </w:t>
      </w:r>
    </w:p>
    <w:p w14:paraId="545F253C" w14:textId="77777777" w:rsidR="002A2EA8" w:rsidRPr="008A0D79" w:rsidRDefault="002A2EA8" w:rsidP="002A2EA8">
      <w:pPr>
        <w:rPr>
          <w:noProof/>
        </w:rPr>
      </w:pPr>
    </w:p>
    <w:p w14:paraId="61245EE3" w14:textId="58D5889D" w:rsidR="002A2EA8" w:rsidRPr="008A0D79" w:rsidRDefault="002A2EA8" w:rsidP="002A2EA8">
      <w:pPr>
        <w:rPr>
          <w:noProof/>
        </w:rPr>
      </w:pPr>
      <w:r w:rsidRPr="008A0D79">
        <w:rPr>
          <w:noProof/>
        </w:rPr>
        <w:t>(4) Aceste schimburi comerciale trebuie să se poată desfășura în conformitate cu aceleași norme ca cele aplicabile circulației acestor animale și produse în interiorul Uniunii, care trebuie, prin urmare, să fie menționate în prezenta decizie. În acest scop și având în vedere că în Uniune au fost adoptate noi norme referitoare la produsele medicinale veterinare, importurile din alte țări terțe și din Insulele Feroe trebuie să respecte, de asemenea, interdicția de utilizare a antimicrobienelor pentru promovarea creșterii și creșterea randamentului, precum și restricțiile privind antimicrobienele desemnate ca fiind rezervate pentru uz uman în UE.</w:t>
      </w:r>
    </w:p>
    <w:p w14:paraId="4B59207A" w14:textId="77777777" w:rsidR="00B46825" w:rsidRPr="008A0D79" w:rsidRDefault="00B46825" w:rsidP="002A2EA8">
      <w:pPr>
        <w:rPr>
          <w:noProof/>
        </w:rPr>
      </w:pPr>
    </w:p>
    <w:p w14:paraId="353FC562" w14:textId="2B7DF8AA" w:rsidR="00A34F4E" w:rsidRPr="008A0D79" w:rsidRDefault="002A2EA8" w:rsidP="00A35E64">
      <w:pPr>
        <w:rPr>
          <w:noProof/>
        </w:rPr>
      </w:pPr>
      <w:r w:rsidRPr="008A0D79">
        <w:rPr>
          <w:noProof/>
        </w:rPr>
        <w:t>(5) Prin urmare, subgrupul veterinar a recomandat ca prezenta decizie să abroge și să înlocuiască Decizia nr. 1/2001</w:t>
      </w:r>
      <w:r w:rsidR="004C5627">
        <w:rPr>
          <w:noProof/>
        </w:rPr>
        <w:t>,</w:t>
      </w:r>
      <w:r w:rsidRPr="008A0D79">
        <w:rPr>
          <w:noProof/>
        </w:rPr>
        <w:t xml:space="preserve"> </w:t>
      </w:r>
    </w:p>
    <w:p w14:paraId="6A840B01" w14:textId="77777777" w:rsidR="00E36F06" w:rsidRPr="008A0D79" w:rsidRDefault="00E36F06" w:rsidP="00E36F06">
      <w:pPr>
        <w:rPr>
          <w:noProof/>
        </w:rPr>
      </w:pPr>
    </w:p>
    <w:p w14:paraId="66A70D5D" w14:textId="77777777" w:rsidR="00CE072C" w:rsidRPr="008A0D79" w:rsidRDefault="00E36F06" w:rsidP="00E36F06">
      <w:pPr>
        <w:rPr>
          <w:noProof/>
        </w:rPr>
      </w:pPr>
      <w:r w:rsidRPr="008A0D79">
        <w:rPr>
          <w:noProof/>
        </w:rPr>
        <w:t>DECIDE:</w:t>
      </w:r>
    </w:p>
    <w:p w14:paraId="31B8871F" w14:textId="77777777" w:rsidR="00F11E54" w:rsidRPr="008A0D79" w:rsidRDefault="00F11E54" w:rsidP="00E117EC">
      <w:pPr>
        <w:spacing w:before="0" w:after="200" w:line="276" w:lineRule="auto"/>
        <w:jc w:val="left"/>
        <w:rPr>
          <w:b/>
          <w:bCs/>
          <w:i/>
          <w:iCs/>
          <w:noProof/>
        </w:rPr>
      </w:pPr>
    </w:p>
    <w:p w14:paraId="0F247E0A" w14:textId="77777777" w:rsidR="00E117EC" w:rsidRPr="008A0D79" w:rsidRDefault="00E117EC" w:rsidP="00E117EC">
      <w:pPr>
        <w:spacing w:before="0" w:after="200" w:line="276" w:lineRule="auto"/>
        <w:jc w:val="left"/>
        <w:rPr>
          <w:b/>
          <w:bCs/>
          <w:i/>
          <w:iCs/>
          <w:noProof/>
        </w:rPr>
      </w:pPr>
      <w:r w:rsidRPr="008A0D79">
        <w:rPr>
          <w:b/>
          <w:i/>
          <w:noProof/>
        </w:rPr>
        <w:t>Articolul 1</w:t>
      </w:r>
    </w:p>
    <w:p w14:paraId="06040DF1" w14:textId="77777777" w:rsidR="00A35E64" w:rsidRPr="008A0D79" w:rsidRDefault="00A35E64" w:rsidP="000904BE">
      <w:pPr>
        <w:spacing w:before="0" w:after="200" w:line="276" w:lineRule="auto"/>
        <w:rPr>
          <w:b/>
          <w:bCs/>
          <w:i/>
          <w:iCs/>
          <w:noProof/>
        </w:rPr>
      </w:pPr>
      <w:r w:rsidRPr="008A0D79">
        <w:rPr>
          <w:b/>
          <w:i/>
          <w:noProof/>
        </w:rPr>
        <w:t>Normele ale Uniunii aplicabile circulației dinspre alte țări terțe sau teritorii către Insulele Feroe, precum și circulației între Insulele Feroe și Uniune</w:t>
      </w:r>
    </w:p>
    <w:p w14:paraId="649794E4" w14:textId="77777777" w:rsidR="00E117EC" w:rsidRPr="008A0D79" w:rsidRDefault="00E117EC" w:rsidP="00E117EC">
      <w:pPr>
        <w:rPr>
          <w:noProof/>
        </w:rPr>
      </w:pPr>
      <w:r w:rsidRPr="008A0D79">
        <w:rPr>
          <w:noProof/>
        </w:rPr>
        <w:t xml:space="preserve">(1) Insulele Feroe aplică: </w:t>
      </w:r>
    </w:p>
    <w:p w14:paraId="2637CD77" w14:textId="77777777" w:rsidR="00E117EC" w:rsidRPr="008A0D79" w:rsidRDefault="00E117EC" w:rsidP="00740EA2">
      <w:pPr>
        <w:rPr>
          <w:noProof/>
        </w:rPr>
      </w:pPr>
      <w:r w:rsidRPr="008A0D79">
        <w:rPr>
          <w:noProof/>
        </w:rPr>
        <w:t xml:space="preserve">(i) normele aplicabile ale Uniunii, menționate în anexa 1, privind intrarea în Uniune a animalelor, a produselor de origine animală și a subproduselor de origine animală provenind din țări terțe la intrarea în Insulele Feroe a animalelor, a produselor de origine animală și a subproduselor de origine animală din țări terțe; </w:t>
      </w:r>
    </w:p>
    <w:p w14:paraId="45D21184" w14:textId="77777777" w:rsidR="00E117EC" w:rsidRPr="008A0D79" w:rsidRDefault="00E117EC" w:rsidP="00740EA2">
      <w:pPr>
        <w:rPr>
          <w:noProof/>
        </w:rPr>
      </w:pPr>
      <w:r w:rsidRPr="008A0D79">
        <w:rPr>
          <w:noProof/>
        </w:rPr>
        <w:t>(ii) normele aplicabile ale Uniunii, menționate în anexa 1, privind circulația dintr-un stat membru în altul a animalelor, a produselor de origine animală și a subproduselor de origine animală la circulația animalelor, a produselor de origine animală și a subproduselor de origine animală din Uniune către Insulele Feroe; și</w:t>
      </w:r>
    </w:p>
    <w:p w14:paraId="26F6D324" w14:textId="77777777" w:rsidR="00E117EC" w:rsidRPr="008A0D79" w:rsidRDefault="00E117EC" w:rsidP="00740EA2">
      <w:pPr>
        <w:rPr>
          <w:noProof/>
        </w:rPr>
      </w:pPr>
      <w:r w:rsidRPr="008A0D79">
        <w:rPr>
          <w:noProof/>
        </w:rPr>
        <w:t xml:space="preserve">(iii) normele aplicabile ale Uniunii, menționate în anexa 1, privind </w:t>
      </w:r>
      <w:bookmarkStart w:id="1" w:name="_Hlk215753335"/>
      <w:r w:rsidRPr="008A0D79">
        <w:rPr>
          <w:noProof/>
        </w:rPr>
        <w:t>animalele, produsele de origine animală și subprodusele de origine animală</w:t>
      </w:r>
      <w:bookmarkEnd w:id="1"/>
      <w:r w:rsidRPr="008A0D79">
        <w:rPr>
          <w:noProof/>
        </w:rPr>
        <w:t xml:space="preserve"> enumerate în anexa 2 la aceste animale, produse de origine animală sau subproduse de origine animală. </w:t>
      </w:r>
    </w:p>
    <w:p w14:paraId="660ECBEA" w14:textId="77777777" w:rsidR="00E117EC" w:rsidRPr="008A0D79" w:rsidRDefault="00E117EC" w:rsidP="00E117EC">
      <w:pPr>
        <w:rPr>
          <w:noProof/>
        </w:rPr>
      </w:pPr>
      <w:r w:rsidRPr="008A0D79">
        <w:rPr>
          <w:noProof/>
        </w:rPr>
        <w:t xml:space="preserve">(2) Uniunea Europeană aplică normele aplicabile ale Uniunii, menționate în anexa 1, privind circulația dintr-un stat membru în altul a acestor animale, produse de origine animală și subproduse de origine animală enumerate în anexa 2 la circulația acestor animale, produse de origine animală și subproduse de origine animală între Insulele Feroe și Uniunea Europeană. </w:t>
      </w:r>
    </w:p>
    <w:p w14:paraId="60B1C6EB" w14:textId="77777777" w:rsidR="00E117EC" w:rsidRPr="008A0D79" w:rsidRDefault="00E117EC" w:rsidP="00E117EC">
      <w:pPr>
        <w:rPr>
          <w:noProof/>
        </w:rPr>
      </w:pPr>
      <w:r w:rsidRPr="008A0D79">
        <w:rPr>
          <w:noProof/>
        </w:rPr>
        <w:t>(3) Insulele Feroe și Uniunea cooperează pentru a se asigura că intrarea în Uniune a animalelor, a produselor de origine animală și a subproduselor de origine animală provenind din Insulele Feroe pate fi autorizată.</w:t>
      </w:r>
    </w:p>
    <w:p w14:paraId="1F290954" w14:textId="77777777" w:rsidR="00E117EC" w:rsidRPr="008A0D79" w:rsidRDefault="00E117EC" w:rsidP="00E117EC">
      <w:pPr>
        <w:rPr>
          <w:noProof/>
        </w:rPr>
      </w:pPr>
    </w:p>
    <w:p w14:paraId="04579AD6" w14:textId="77777777" w:rsidR="00E117EC" w:rsidRPr="008A0D79" w:rsidRDefault="00E117EC" w:rsidP="00E117EC">
      <w:pPr>
        <w:rPr>
          <w:b/>
          <w:bCs/>
          <w:i/>
          <w:iCs/>
          <w:noProof/>
        </w:rPr>
      </w:pPr>
      <w:r w:rsidRPr="008A0D79">
        <w:rPr>
          <w:b/>
          <w:i/>
          <w:noProof/>
        </w:rPr>
        <w:t>Articolul 2</w:t>
      </w:r>
    </w:p>
    <w:p w14:paraId="2FDBA383" w14:textId="77777777" w:rsidR="00E117EC" w:rsidRPr="008A0D79" w:rsidRDefault="00E117EC" w:rsidP="00E117EC">
      <w:pPr>
        <w:rPr>
          <w:b/>
          <w:bCs/>
          <w:i/>
          <w:iCs/>
          <w:noProof/>
        </w:rPr>
      </w:pPr>
      <w:r w:rsidRPr="008A0D79">
        <w:rPr>
          <w:b/>
          <w:i/>
          <w:noProof/>
        </w:rPr>
        <w:t>Finanțarea controalelor</w:t>
      </w:r>
    </w:p>
    <w:p w14:paraId="181CB308" w14:textId="77777777" w:rsidR="00E117EC" w:rsidRPr="008A0D79" w:rsidRDefault="00E117EC" w:rsidP="00E117EC">
      <w:pPr>
        <w:rPr>
          <w:noProof/>
        </w:rPr>
      </w:pPr>
      <w:r w:rsidRPr="008A0D79">
        <w:rPr>
          <w:noProof/>
        </w:rPr>
        <w:t>Insulele Feroe se angajează să efectueze controale asupra produselor de origine animală care intră în Insulele Feroe din țări terțe în conformitate cu dispozițiile articolelor 79 și 80, ale articolului 83 alineatul (2) și ale articolelor 84 și 85 din Regulamentul (UE) 2017/625 în ceea ce privește taxele.</w:t>
      </w:r>
    </w:p>
    <w:p w14:paraId="200CF69A" w14:textId="77777777" w:rsidR="00E117EC" w:rsidRPr="008A0D79" w:rsidRDefault="00E117EC" w:rsidP="00E117EC">
      <w:pPr>
        <w:rPr>
          <w:b/>
          <w:bCs/>
          <w:i/>
          <w:iCs/>
          <w:noProof/>
        </w:rPr>
      </w:pPr>
    </w:p>
    <w:p w14:paraId="2C5D2A5E" w14:textId="77777777" w:rsidR="00787DCB" w:rsidRPr="008A0D79" w:rsidRDefault="00787DCB">
      <w:pPr>
        <w:spacing w:before="0" w:after="200" w:line="276" w:lineRule="auto"/>
        <w:jc w:val="left"/>
        <w:rPr>
          <w:b/>
          <w:bCs/>
          <w:i/>
          <w:iCs/>
          <w:noProof/>
        </w:rPr>
      </w:pPr>
      <w:bookmarkStart w:id="2" w:name="_Hlk216280577"/>
      <w:r w:rsidRPr="008A0D79">
        <w:rPr>
          <w:noProof/>
        </w:rPr>
        <w:br w:type="page"/>
      </w:r>
    </w:p>
    <w:p w14:paraId="0D2F2960" w14:textId="77777777" w:rsidR="00E117EC" w:rsidRPr="008A0D79" w:rsidRDefault="00E117EC" w:rsidP="00E117EC">
      <w:pPr>
        <w:rPr>
          <w:b/>
          <w:bCs/>
          <w:i/>
          <w:iCs/>
          <w:noProof/>
        </w:rPr>
      </w:pPr>
      <w:r w:rsidRPr="008A0D79">
        <w:rPr>
          <w:b/>
          <w:i/>
          <w:noProof/>
        </w:rPr>
        <w:t>Articolul 3</w:t>
      </w:r>
    </w:p>
    <w:p w14:paraId="6552F774" w14:textId="77777777" w:rsidR="00E117EC" w:rsidRPr="008A0D79" w:rsidRDefault="00E117EC" w:rsidP="00E117EC">
      <w:pPr>
        <w:rPr>
          <w:b/>
          <w:bCs/>
          <w:i/>
          <w:iCs/>
          <w:noProof/>
        </w:rPr>
      </w:pPr>
      <w:r w:rsidRPr="008A0D79">
        <w:rPr>
          <w:b/>
          <w:i/>
          <w:noProof/>
        </w:rPr>
        <w:t>Asistența reciprocă</w:t>
      </w:r>
    </w:p>
    <w:p w14:paraId="3AEC0418" w14:textId="77777777" w:rsidR="00E117EC" w:rsidRPr="008A0D79" w:rsidRDefault="00E117EC" w:rsidP="00E117EC">
      <w:pPr>
        <w:rPr>
          <w:noProof/>
        </w:rPr>
      </w:pPr>
      <w:r w:rsidRPr="008A0D79">
        <w:rPr>
          <w:noProof/>
        </w:rPr>
        <w:t>Insulele Feroe se angajează să aplice dispozițiile prevăzute la articolul 8 și la articolele 102-108 din Regulamentul (UE) 2017/625.</w:t>
      </w:r>
    </w:p>
    <w:bookmarkEnd w:id="2"/>
    <w:p w14:paraId="0B65D63A" w14:textId="77777777" w:rsidR="00E117EC" w:rsidRPr="008A0D79" w:rsidRDefault="00E117EC" w:rsidP="00E117EC">
      <w:pPr>
        <w:rPr>
          <w:noProof/>
        </w:rPr>
      </w:pPr>
    </w:p>
    <w:p w14:paraId="5CD829D0" w14:textId="77777777" w:rsidR="00E117EC" w:rsidRPr="008A0D79" w:rsidRDefault="00E117EC" w:rsidP="00E117EC">
      <w:pPr>
        <w:rPr>
          <w:b/>
          <w:bCs/>
          <w:i/>
          <w:iCs/>
          <w:noProof/>
        </w:rPr>
      </w:pPr>
      <w:r w:rsidRPr="008A0D79">
        <w:rPr>
          <w:b/>
          <w:i/>
          <w:noProof/>
        </w:rPr>
        <w:t>Articolul 4</w:t>
      </w:r>
    </w:p>
    <w:p w14:paraId="6BC8F9FC" w14:textId="77777777" w:rsidR="00E117EC" w:rsidRPr="008A0D79" w:rsidRDefault="00E117EC" w:rsidP="00E117EC">
      <w:pPr>
        <w:rPr>
          <w:b/>
          <w:bCs/>
          <w:i/>
          <w:iCs/>
          <w:noProof/>
        </w:rPr>
      </w:pPr>
      <w:r w:rsidRPr="008A0D79">
        <w:rPr>
          <w:b/>
          <w:i/>
          <w:noProof/>
        </w:rPr>
        <w:t>Sisteme de informații</w:t>
      </w:r>
    </w:p>
    <w:p w14:paraId="182B2831" w14:textId="77777777" w:rsidR="00E117EC" w:rsidRPr="008A0D79" w:rsidRDefault="00E117EC" w:rsidP="00E117EC">
      <w:pPr>
        <w:rPr>
          <w:noProof/>
        </w:rPr>
      </w:pPr>
      <w:r w:rsidRPr="008A0D79">
        <w:rPr>
          <w:noProof/>
        </w:rPr>
        <w:t>(1) Insulele Feroe utilizează sistemul TRACES (Sistemul de control al comerțului și de expertiză) menționat la articolul 133 alineatul (4) din Regulamentul (UE) 2017/625 pentru a notifica statelor membre circulația și comerțul cu animale, cu produse de origine animală și cu subproduse de origine animală, în cazul în care dispozițiile Uniunii impun acest lucru.</w:t>
      </w:r>
    </w:p>
    <w:p w14:paraId="4AB1AC27" w14:textId="57014F72" w:rsidR="00E117EC" w:rsidRPr="008A0D79" w:rsidRDefault="00E117EC" w:rsidP="00E117EC">
      <w:pPr>
        <w:rPr>
          <w:noProof/>
        </w:rPr>
      </w:pPr>
      <w:r w:rsidRPr="008A0D79">
        <w:rPr>
          <w:noProof/>
        </w:rPr>
        <w:t>(2) Insulele Feroe utilizează instrumentul de notificare și de raportare al Uniunii ADIS (Sistemul de informare cu privire la bolile animalelor) menționat la articolele 4, 19, 20, 21, 22 și 23 din Regulamentul (UE) 2016/429.</w:t>
      </w:r>
    </w:p>
    <w:p w14:paraId="1D263188" w14:textId="77777777" w:rsidR="00A35E64" w:rsidRPr="008A0D79" w:rsidRDefault="00A35E64">
      <w:pPr>
        <w:spacing w:before="0" w:after="200" w:line="276" w:lineRule="auto"/>
        <w:jc w:val="left"/>
        <w:rPr>
          <w:noProof/>
        </w:rPr>
      </w:pPr>
    </w:p>
    <w:p w14:paraId="5D46EE52" w14:textId="77777777" w:rsidR="00A35E64" w:rsidRPr="008A0D79" w:rsidRDefault="00A35E64" w:rsidP="00A35E64">
      <w:pPr>
        <w:rPr>
          <w:b/>
          <w:bCs/>
          <w:i/>
          <w:iCs/>
          <w:noProof/>
        </w:rPr>
      </w:pPr>
      <w:r w:rsidRPr="008A0D79">
        <w:rPr>
          <w:b/>
          <w:i/>
          <w:noProof/>
        </w:rPr>
        <w:t xml:space="preserve">Articolul 5 </w:t>
      </w:r>
    </w:p>
    <w:p w14:paraId="0531974F" w14:textId="77777777" w:rsidR="00A35E64" w:rsidRPr="008A0D79" w:rsidRDefault="00A35E64" w:rsidP="00A35E64">
      <w:pPr>
        <w:rPr>
          <w:b/>
          <w:bCs/>
          <w:i/>
          <w:iCs/>
          <w:noProof/>
        </w:rPr>
      </w:pPr>
      <w:r w:rsidRPr="008A0D79">
        <w:rPr>
          <w:b/>
          <w:i/>
          <w:noProof/>
        </w:rPr>
        <w:t>Abrogarea Deciziei nr. 1/2001</w:t>
      </w:r>
    </w:p>
    <w:p w14:paraId="5A866B2B" w14:textId="77777777" w:rsidR="00A35E64" w:rsidRPr="008A0D79" w:rsidRDefault="00A35E64">
      <w:pPr>
        <w:spacing w:before="0" w:after="200" w:line="276" w:lineRule="auto"/>
        <w:jc w:val="left"/>
        <w:rPr>
          <w:noProof/>
        </w:rPr>
      </w:pPr>
      <w:r w:rsidRPr="008A0D79">
        <w:rPr>
          <w:noProof/>
        </w:rPr>
        <w:t>Decizia nr. 1/2001 se abrogă.</w:t>
      </w:r>
    </w:p>
    <w:p w14:paraId="71CA36AC" w14:textId="77777777" w:rsidR="00F11E54" w:rsidRPr="008A0D79" w:rsidRDefault="00F11E54">
      <w:pPr>
        <w:spacing w:before="0" w:after="200" w:line="276" w:lineRule="auto"/>
        <w:jc w:val="left"/>
        <w:rPr>
          <w:noProof/>
        </w:rPr>
      </w:pPr>
    </w:p>
    <w:p w14:paraId="75A04D75" w14:textId="77777777" w:rsidR="00A35E64" w:rsidRPr="008A0D79" w:rsidRDefault="00A35E64" w:rsidP="00A35E64">
      <w:pPr>
        <w:rPr>
          <w:b/>
          <w:bCs/>
          <w:i/>
          <w:iCs/>
          <w:noProof/>
        </w:rPr>
      </w:pPr>
      <w:r w:rsidRPr="008A0D79">
        <w:rPr>
          <w:b/>
          <w:i/>
          <w:noProof/>
        </w:rPr>
        <w:t>Articolul 6</w:t>
      </w:r>
    </w:p>
    <w:p w14:paraId="21C86DC7" w14:textId="77777777" w:rsidR="00A35E64" w:rsidRPr="008A0D79" w:rsidRDefault="00A35E64" w:rsidP="00A35E64">
      <w:pPr>
        <w:rPr>
          <w:noProof/>
        </w:rPr>
      </w:pPr>
      <w:r w:rsidRPr="008A0D79">
        <w:rPr>
          <w:b/>
          <w:i/>
          <w:noProof/>
        </w:rPr>
        <w:t>Intrare în vigoare</w:t>
      </w:r>
    </w:p>
    <w:p w14:paraId="212830E7" w14:textId="77777777" w:rsidR="00A35E64" w:rsidRPr="008A0D79" w:rsidRDefault="00A35E64" w:rsidP="00A35E64">
      <w:pPr>
        <w:rPr>
          <w:noProof/>
        </w:rPr>
      </w:pPr>
      <w:r w:rsidRPr="008A0D79">
        <w:rPr>
          <w:noProof/>
        </w:rPr>
        <w:t>Prezenta decizie întră în vigoare la data adoptării.</w:t>
      </w:r>
    </w:p>
    <w:p w14:paraId="1DE8DDF2" w14:textId="77777777" w:rsidR="00A35E64" w:rsidRPr="008A0D79" w:rsidRDefault="00A35E64">
      <w:pPr>
        <w:spacing w:before="0" w:after="200" w:line="276" w:lineRule="auto"/>
        <w:jc w:val="left"/>
        <w:rPr>
          <w:noProof/>
        </w:rPr>
        <w:sectPr w:rsidR="00A35E64" w:rsidRPr="008A0D79" w:rsidSect="006E399B">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09974018" w14:textId="77777777" w:rsidR="00B81FC0" w:rsidRPr="008A0D79" w:rsidRDefault="00B81FC0">
      <w:pPr>
        <w:spacing w:before="0" w:after="200" w:line="276" w:lineRule="auto"/>
        <w:jc w:val="left"/>
        <w:rPr>
          <w:noProof/>
        </w:rPr>
      </w:pPr>
    </w:p>
    <w:p w14:paraId="0A828E85" w14:textId="77777777" w:rsidR="00B81FC0" w:rsidRPr="008A0D79" w:rsidRDefault="00DD6541" w:rsidP="0032298E">
      <w:pPr>
        <w:jc w:val="center"/>
        <w:rPr>
          <w:b/>
          <w:bCs/>
          <w:noProof/>
        </w:rPr>
      </w:pPr>
      <w:r w:rsidRPr="008A0D79">
        <w:rPr>
          <w:b/>
          <w:noProof/>
        </w:rPr>
        <w:t>ANEXA 1</w:t>
      </w:r>
    </w:p>
    <w:p w14:paraId="4DA247D4" w14:textId="2E8BBF8F" w:rsidR="00FC2ED6" w:rsidRPr="008A0D79" w:rsidRDefault="00FC2ED6" w:rsidP="0032298E">
      <w:pPr>
        <w:jc w:val="center"/>
        <w:rPr>
          <w:noProof/>
        </w:rPr>
      </w:pPr>
      <w:r w:rsidRPr="008A0D79">
        <w:rPr>
          <w:noProof/>
        </w:rPr>
        <w:t>Norme aplicabile animalelor, produselor de origine animală și subproduselor de origine animală, astfel cum sunt menționate la articolul 1</w:t>
      </w:r>
    </w:p>
    <w:p w14:paraId="65AA5CBD" w14:textId="77777777" w:rsidR="00B81FC0" w:rsidRPr="008A0D79" w:rsidRDefault="00B81FC0" w:rsidP="00BA7532">
      <w:pPr>
        <w:rPr>
          <w:noProof/>
        </w:rPr>
      </w:pPr>
    </w:p>
    <w:p w14:paraId="53B4BEDD" w14:textId="343D5C75" w:rsidR="00B81FC0" w:rsidRPr="008A0D79" w:rsidRDefault="00BF5C86" w:rsidP="00BA7532">
      <w:pPr>
        <w:rPr>
          <w:noProof/>
        </w:rPr>
      </w:pPr>
      <w:r w:rsidRPr="008A0D79">
        <w:rPr>
          <w:noProof/>
        </w:rPr>
        <w:t xml:space="preserve">Actele juridice enumerate mai jos trebuie înțelese ca fiind puse în aplicare, completate sau modificate. </w:t>
      </w:r>
    </w:p>
    <w:tbl>
      <w:tblPr>
        <w:tblStyle w:val="TableGrid"/>
        <w:tblW w:w="5000" w:type="pct"/>
        <w:tblLook w:val="04A0" w:firstRow="1" w:lastRow="0" w:firstColumn="1" w:lastColumn="0" w:noHBand="0" w:noVBand="1"/>
      </w:tblPr>
      <w:tblGrid>
        <w:gridCol w:w="7393"/>
        <w:gridCol w:w="7394"/>
      </w:tblGrid>
      <w:tr w:rsidR="00AB03FE" w:rsidRPr="008A0D79" w14:paraId="59F89DEA" w14:textId="77777777" w:rsidTr="2CC942B6">
        <w:tc>
          <w:tcPr>
            <w:tcW w:w="2500" w:type="pct"/>
          </w:tcPr>
          <w:p w14:paraId="580AF5F5" w14:textId="77777777" w:rsidR="00AB03FE" w:rsidRPr="008A0D79" w:rsidRDefault="00AB03FE" w:rsidP="00BA7532">
            <w:pPr>
              <w:rPr>
                <w:b/>
                <w:bCs/>
                <w:noProof/>
              </w:rPr>
            </w:pPr>
            <w:r w:rsidRPr="008A0D79">
              <w:rPr>
                <w:b/>
                <w:noProof/>
              </w:rPr>
              <w:t>Act juridic</w:t>
            </w:r>
          </w:p>
        </w:tc>
        <w:tc>
          <w:tcPr>
            <w:tcW w:w="2500" w:type="pct"/>
          </w:tcPr>
          <w:p w14:paraId="378A9165" w14:textId="77777777" w:rsidR="00AB03FE" w:rsidRPr="008A0D79" w:rsidRDefault="00AB03FE" w:rsidP="00BA7532">
            <w:pPr>
              <w:rPr>
                <w:b/>
                <w:bCs/>
                <w:noProof/>
              </w:rPr>
            </w:pPr>
            <w:r w:rsidRPr="008A0D79">
              <w:rPr>
                <w:b/>
                <w:noProof/>
              </w:rPr>
              <w:t>Chestiuni care necesită o atenție deosebită</w:t>
            </w:r>
          </w:p>
        </w:tc>
      </w:tr>
      <w:tr w:rsidR="004C1836" w:rsidRPr="008A0D79" w14:paraId="785E3BD3" w14:textId="77777777" w:rsidTr="2CC942B6">
        <w:tc>
          <w:tcPr>
            <w:tcW w:w="2500" w:type="pct"/>
          </w:tcPr>
          <w:p w14:paraId="31CF0C20" w14:textId="77777777" w:rsidR="004C1836" w:rsidRPr="008A0D79" w:rsidRDefault="004C1836" w:rsidP="00BA7532">
            <w:pPr>
              <w:rPr>
                <w:noProof/>
              </w:rPr>
            </w:pPr>
            <w:r w:rsidRPr="008A0D79">
              <w:rPr>
                <w:noProof/>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8A0D79">
              <w:rPr>
                <w:rStyle w:val="FootnoteReference"/>
                <w:noProof/>
              </w:rPr>
              <w:footnoteReference w:id="1"/>
            </w:r>
          </w:p>
        </w:tc>
        <w:tc>
          <w:tcPr>
            <w:tcW w:w="2500" w:type="pct"/>
          </w:tcPr>
          <w:p w14:paraId="6F10F39A" w14:textId="77777777" w:rsidR="004C1836" w:rsidRPr="008A0D79" w:rsidRDefault="004C1836" w:rsidP="00BA7532">
            <w:pPr>
              <w:rPr>
                <w:noProof/>
              </w:rPr>
            </w:pPr>
          </w:p>
        </w:tc>
      </w:tr>
      <w:tr w:rsidR="004C1836" w:rsidRPr="008A0D79" w14:paraId="3EA2A569"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CE66D5" w:rsidRPr="008A0D79" w14:paraId="5B3B0859" w14:textId="77777777" w:rsidTr="00CE66D5">
              <w:trPr>
                <w:tblCellSpacing w:w="0" w:type="dxa"/>
              </w:trPr>
              <w:tc>
                <w:tcPr>
                  <w:tcW w:w="0" w:type="auto"/>
                  <w:hideMark/>
                </w:tcPr>
                <w:p w14:paraId="522A089C" w14:textId="77777777" w:rsidR="00CE66D5" w:rsidRPr="008A0D79" w:rsidRDefault="00CE66D5" w:rsidP="00CE66D5">
                  <w:pPr>
                    <w:spacing w:before="0" w:after="0"/>
                    <w:jc w:val="left"/>
                    <w:rPr>
                      <w:rFonts w:eastAsia="Times New Roman"/>
                      <w:noProof/>
                      <w:sz w:val="20"/>
                      <w:szCs w:val="24"/>
                      <w:lang w:eastAsia="fr-BE"/>
                    </w:rPr>
                  </w:pPr>
                </w:p>
              </w:tc>
              <w:tc>
                <w:tcPr>
                  <w:tcW w:w="0" w:type="auto"/>
                  <w:hideMark/>
                </w:tcPr>
                <w:p w14:paraId="3199255C" w14:textId="77777777" w:rsidR="00CE66D5" w:rsidRPr="008A0D79" w:rsidRDefault="00CE66D5" w:rsidP="000904BE">
                  <w:pPr>
                    <w:spacing w:before="100" w:beforeAutospacing="1" w:after="100" w:afterAutospacing="1"/>
                    <w:rPr>
                      <w:rFonts w:eastAsia="Times New Roman"/>
                      <w:noProof/>
                      <w:szCs w:val="24"/>
                    </w:rPr>
                  </w:pPr>
                  <w:r w:rsidRPr="008A0D79">
                    <w:rPr>
                      <w:noProof/>
                    </w:rP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w:t>
                  </w:r>
                  <w:r w:rsidRPr="008A0D79">
                    <w:rPr>
                      <w:rStyle w:val="FootnoteReference"/>
                      <w:rFonts w:eastAsia="Times New Roman"/>
                      <w:noProof/>
                      <w:szCs w:val="24"/>
                      <w:lang w:eastAsia="fr-BE"/>
                    </w:rPr>
                    <w:footnoteReference w:id="2"/>
                  </w:r>
                </w:p>
              </w:tc>
            </w:tr>
          </w:tbl>
          <w:p w14:paraId="02BC1494" w14:textId="77777777" w:rsidR="004C1836" w:rsidRPr="008A0D79" w:rsidRDefault="004C1836" w:rsidP="00BA7532">
            <w:pPr>
              <w:rPr>
                <w:noProof/>
              </w:rPr>
            </w:pPr>
          </w:p>
        </w:tc>
        <w:tc>
          <w:tcPr>
            <w:tcW w:w="2500" w:type="pct"/>
          </w:tcPr>
          <w:p w14:paraId="046E27DE" w14:textId="1629A6A7" w:rsidR="00CE66D5" w:rsidRPr="008A0D79" w:rsidRDefault="55DAA06B" w:rsidP="000904BE">
            <w:pPr>
              <w:pStyle w:val="ListParagraph"/>
              <w:numPr>
                <w:ilvl w:val="0"/>
                <w:numId w:val="5"/>
              </w:numPr>
              <w:ind w:left="404"/>
              <w:rPr>
                <w:noProof/>
              </w:rPr>
            </w:pPr>
            <w:r w:rsidRPr="008A0D79">
              <w:rPr>
                <w:noProof/>
              </w:rPr>
              <w:t>Întocmirea listelor de operatori de către Insulele Feroe în temeiul articolului 10 alineatul (2) din Regulamentul (UE) 2017/625 se efectuează în cadrul platformei TRACES [menționată la articolul 4].</w:t>
            </w:r>
          </w:p>
          <w:p w14:paraId="10FC28AD" w14:textId="6B404D76" w:rsidR="00CE66D5" w:rsidRPr="008A0D79" w:rsidRDefault="55DAA06B" w:rsidP="000904BE">
            <w:pPr>
              <w:pStyle w:val="ListParagraph"/>
              <w:numPr>
                <w:ilvl w:val="0"/>
                <w:numId w:val="5"/>
              </w:numPr>
              <w:ind w:left="404"/>
              <w:rPr>
                <w:noProof/>
              </w:rPr>
            </w:pPr>
            <w:r w:rsidRPr="008A0D79">
              <w:rPr>
                <w:noProof/>
              </w:rPr>
              <w:t xml:space="preserve">Normele privind controalele în statele membre prevăzute la articolele 116-119 din Regulamentul (UE) 2017/625 se aplică </w:t>
            </w:r>
            <w:r w:rsidRPr="008A0D79">
              <w:rPr>
                <w:i/>
                <w:noProof/>
              </w:rPr>
              <w:t>mutatis mutandis</w:t>
            </w:r>
            <w:r w:rsidRPr="008A0D79">
              <w:rPr>
                <w:noProof/>
              </w:rPr>
              <w:t xml:space="preserve"> Insulelor Feroe.</w:t>
            </w:r>
          </w:p>
          <w:p w14:paraId="0A67793C" w14:textId="19220ACB" w:rsidR="004C1836" w:rsidRPr="008A0D79" w:rsidRDefault="00CE66D5" w:rsidP="000904BE">
            <w:pPr>
              <w:pStyle w:val="ListParagraph"/>
              <w:numPr>
                <w:ilvl w:val="0"/>
                <w:numId w:val="5"/>
              </w:numPr>
              <w:ind w:left="404"/>
              <w:rPr>
                <w:noProof/>
              </w:rPr>
            </w:pPr>
            <w:r w:rsidRPr="008A0D79">
              <w:rPr>
                <w:noProof/>
              </w:rPr>
              <w:t>Insulele Feroe se asigură că facilitățile posturilor lor de inspecție la frontieră respectă cerințele specifice prevăzute la articolul 64 din Regulamentul (UE) 2017/625.</w:t>
            </w:r>
          </w:p>
        </w:tc>
      </w:tr>
      <w:tr w:rsidR="004C1836" w:rsidRPr="008A0D79" w14:paraId="1AADCB8D" w14:textId="77777777" w:rsidTr="2CC942B6">
        <w:tc>
          <w:tcPr>
            <w:tcW w:w="2500" w:type="pct"/>
          </w:tcPr>
          <w:p w14:paraId="00B08E98" w14:textId="77777777" w:rsidR="004C1836" w:rsidRPr="008A0D79" w:rsidRDefault="00CE66D5" w:rsidP="00BA7532">
            <w:pPr>
              <w:rPr>
                <w:noProof/>
              </w:rPr>
            </w:pPr>
            <w:r w:rsidRPr="008A0D79">
              <w:rPr>
                <w:noProof/>
              </w:rPr>
              <w:t>Regulamentul (CE) nr. 853/2004 al Parlamentului European și al Consiliului din 29 aprilie 2004 de stabilire a unor norme specifice de igienă care se aplică alimentelor de origine animală</w:t>
            </w:r>
            <w:r w:rsidRPr="008A0D79">
              <w:rPr>
                <w:rStyle w:val="FootnoteReference"/>
                <w:noProof/>
              </w:rPr>
              <w:footnoteReference w:id="3"/>
            </w:r>
          </w:p>
        </w:tc>
        <w:tc>
          <w:tcPr>
            <w:tcW w:w="2500" w:type="pct"/>
          </w:tcPr>
          <w:p w14:paraId="0F070093" w14:textId="4A04DFF1" w:rsidR="004C1836" w:rsidRPr="008A0D79" w:rsidRDefault="00CE66D5" w:rsidP="000904BE">
            <w:pPr>
              <w:rPr>
                <w:noProof/>
              </w:rPr>
            </w:pPr>
            <w:r w:rsidRPr="008A0D79">
              <w:rPr>
                <w:noProof/>
              </w:rPr>
              <w:t>Insulele Feroe utilizează „FO” ca marcă de identificare prevăzută în secțiunea I din anexa II la Regulamentul (CE) nr. 853/2004.</w:t>
            </w:r>
          </w:p>
        </w:tc>
      </w:tr>
      <w:tr w:rsidR="004C1836" w:rsidRPr="008A0D79" w14:paraId="46D85F1C" w14:textId="77777777" w:rsidTr="2CC942B6">
        <w:tc>
          <w:tcPr>
            <w:tcW w:w="2500" w:type="pct"/>
          </w:tcPr>
          <w:p w14:paraId="1866AEA3" w14:textId="77777777" w:rsidR="004C1836" w:rsidRPr="008A0D79" w:rsidRDefault="00CE66D5" w:rsidP="00BA7532">
            <w:pPr>
              <w:rPr>
                <w:noProof/>
              </w:rPr>
            </w:pPr>
            <w:r w:rsidRPr="008A0D79">
              <w:rPr>
                <w:noProof/>
              </w:rPr>
              <w:t>Regulamentul (CE) nr. 852/2004 al Parlamentului European și al Consiliului din 29 aprilie 2004 privind igiena produselor alimentare</w:t>
            </w:r>
            <w:r w:rsidRPr="008A0D79">
              <w:rPr>
                <w:rStyle w:val="FootnoteReference"/>
                <w:noProof/>
              </w:rPr>
              <w:footnoteReference w:id="4"/>
            </w:r>
          </w:p>
        </w:tc>
        <w:tc>
          <w:tcPr>
            <w:tcW w:w="2500" w:type="pct"/>
          </w:tcPr>
          <w:p w14:paraId="36466D35" w14:textId="77777777" w:rsidR="004C1836" w:rsidRPr="008A0D79" w:rsidRDefault="004C1836" w:rsidP="00BA7532">
            <w:pPr>
              <w:rPr>
                <w:noProof/>
              </w:rPr>
            </w:pPr>
          </w:p>
        </w:tc>
      </w:tr>
      <w:tr w:rsidR="004C1836" w:rsidRPr="008A0D79" w14:paraId="375BECFA"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B474B4" w:rsidRPr="008A0D79" w14:paraId="02324F9C" w14:textId="77777777" w:rsidTr="00B474B4">
              <w:trPr>
                <w:tblCellSpacing w:w="0" w:type="dxa"/>
              </w:trPr>
              <w:tc>
                <w:tcPr>
                  <w:tcW w:w="0" w:type="auto"/>
                  <w:hideMark/>
                </w:tcPr>
                <w:p w14:paraId="75C59706" w14:textId="77777777" w:rsidR="00B474B4" w:rsidRPr="008A0D79" w:rsidRDefault="00B474B4" w:rsidP="00B474B4">
                  <w:pPr>
                    <w:spacing w:before="0" w:after="0"/>
                    <w:jc w:val="left"/>
                    <w:rPr>
                      <w:rFonts w:eastAsia="Times New Roman"/>
                      <w:noProof/>
                      <w:sz w:val="20"/>
                      <w:szCs w:val="24"/>
                      <w:lang w:eastAsia="fr-BE"/>
                    </w:rPr>
                  </w:pPr>
                </w:p>
              </w:tc>
              <w:tc>
                <w:tcPr>
                  <w:tcW w:w="0" w:type="auto"/>
                  <w:hideMark/>
                </w:tcPr>
                <w:p w14:paraId="383FC9ED" w14:textId="77777777" w:rsidR="00B474B4" w:rsidRPr="008A0D79" w:rsidRDefault="00B474B4" w:rsidP="000904BE">
                  <w:pPr>
                    <w:spacing w:before="100" w:beforeAutospacing="1" w:after="100" w:afterAutospacing="1"/>
                    <w:rPr>
                      <w:rFonts w:eastAsia="Times New Roman"/>
                      <w:noProof/>
                      <w:szCs w:val="24"/>
                    </w:rPr>
                  </w:pPr>
                  <w:r w:rsidRPr="008A0D79">
                    <w:rPr>
                      <w:noProof/>
                    </w:rPr>
                    <w:t>Regulamentul (CE) nr. 183/2005 al Parlamentului European și al Consiliului din 12 ianuarie 2005 de stabilire a cerințelor privind igiena hranei pentru animale</w:t>
                  </w:r>
                  <w:r w:rsidRPr="008A0D79">
                    <w:rPr>
                      <w:rStyle w:val="FootnoteReference"/>
                      <w:rFonts w:eastAsia="Times New Roman"/>
                      <w:noProof/>
                      <w:szCs w:val="24"/>
                      <w:lang w:eastAsia="fr-BE"/>
                    </w:rPr>
                    <w:footnoteReference w:id="5"/>
                  </w:r>
                </w:p>
              </w:tc>
            </w:tr>
          </w:tbl>
          <w:p w14:paraId="5F24C439" w14:textId="77777777" w:rsidR="004C1836" w:rsidRPr="008A0D79" w:rsidRDefault="004C1836" w:rsidP="00BA7532">
            <w:pPr>
              <w:rPr>
                <w:noProof/>
              </w:rPr>
            </w:pPr>
          </w:p>
        </w:tc>
        <w:tc>
          <w:tcPr>
            <w:tcW w:w="2500" w:type="pct"/>
          </w:tcPr>
          <w:p w14:paraId="2088B386" w14:textId="77777777" w:rsidR="004C1836" w:rsidRPr="008A0D79" w:rsidRDefault="004C1836" w:rsidP="00BA7532">
            <w:pPr>
              <w:rPr>
                <w:noProof/>
              </w:rPr>
            </w:pPr>
          </w:p>
        </w:tc>
      </w:tr>
      <w:tr w:rsidR="004C1836" w:rsidRPr="008A0D79" w14:paraId="6D752867"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B474B4" w:rsidRPr="008A0D79" w14:paraId="636C3815" w14:textId="77777777" w:rsidTr="00B474B4">
              <w:trPr>
                <w:tblCellSpacing w:w="0" w:type="dxa"/>
              </w:trPr>
              <w:tc>
                <w:tcPr>
                  <w:tcW w:w="0" w:type="auto"/>
                  <w:hideMark/>
                </w:tcPr>
                <w:p w14:paraId="5C9F0FBB" w14:textId="77777777" w:rsidR="00B474B4" w:rsidRPr="008A0D79" w:rsidRDefault="00B474B4" w:rsidP="00B474B4">
                  <w:pPr>
                    <w:spacing w:before="0" w:after="0"/>
                    <w:jc w:val="left"/>
                    <w:rPr>
                      <w:rFonts w:eastAsia="Times New Roman"/>
                      <w:noProof/>
                      <w:sz w:val="20"/>
                      <w:szCs w:val="24"/>
                      <w:lang w:eastAsia="fr-BE"/>
                    </w:rPr>
                  </w:pPr>
                </w:p>
              </w:tc>
              <w:tc>
                <w:tcPr>
                  <w:tcW w:w="0" w:type="auto"/>
                  <w:hideMark/>
                </w:tcPr>
                <w:p w14:paraId="5D2B5BC3" w14:textId="77777777" w:rsidR="00B474B4" w:rsidRPr="008A0D79" w:rsidRDefault="00B474B4" w:rsidP="000904BE">
                  <w:pPr>
                    <w:spacing w:before="100" w:beforeAutospacing="1" w:after="100" w:afterAutospacing="1"/>
                    <w:rPr>
                      <w:rFonts w:eastAsia="Times New Roman"/>
                      <w:noProof/>
                      <w:szCs w:val="24"/>
                    </w:rPr>
                  </w:pPr>
                  <w:r w:rsidRPr="008A0D79">
                    <w:rPr>
                      <w:noProof/>
                    </w:rPr>
                    <w:t>Regulamentul (UE) 2016/429 al Parlamentului European și al Consiliului din 9 martie 2016 privind bolile transmisibile ale animalelor și de modificare și de abrogare a anumitor acte din domeniul sănătății animalelor („Legea privind sănătatea animală”)</w:t>
                  </w:r>
                  <w:r w:rsidRPr="008A0D79">
                    <w:rPr>
                      <w:rStyle w:val="FootnoteReference"/>
                      <w:rFonts w:eastAsia="Times New Roman"/>
                      <w:noProof/>
                      <w:szCs w:val="24"/>
                      <w:lang w:eastAsia="fr-BE"/>
                    </w:rPr>
                    <w:footnoteReference w:id="6"/>
                  </w:r>
                </w:p>
              </w:tc>
            </w:tr>
          </w:tbl>
          <w:p w14:paraId="49B05B37" w14:textId="77777777" w:rsidR="004C1836" w:rsidRPr="008A0D79" w:rsidRDefault="004C1836" w:rsidP="00BA7532">
            <w:pPr>
              <w:rPr>
                <w:noProof/>
              </w:rPr>
            </w:pPr>
          </w:p>
        </w:tc>
        <w:tc>
          <w:tcPr>
            <w:tcW w:w="2500" w:type="pct"/>
          </w:tcPr>
          <w:p w14:paraId="0DA821CD" w14:textId="446C3F3C" w:rsidR="00B474B4" w:rsidRPr="008A0D79" w:rsidRDefault="00B474B4" w:rsidP="00B474B4">
            <w:pPr>
              <w:rPr>
                <w:noProof/>
              </w:rPr>
            </w:pPr>
            <w:r w:rsidRPr="008A0D79">
              <w:rPr>
                <w:noProof/>
              </w:rPr>
              <w:t>Următoarea procedură se aplică acordării și retragerii statutului de indemn de boală, precum și aprobării și retragerii programelor de eradicare obligatorii și opționale:</w:t>
            </w:r>
          </w:p>
          <w:p w14:paraId="062580A1" w14:textId="77777777" w:rsidR="00B474B4" w:rsidRPr="008A0D79" w:rsidRDefault="00B474B4" w:rsidP="00B474B4">
            <w:pPr>
              <w:rPr>
                <w:noProof/>
              </w:rPr>
            </w:pPr>
            <w:r w:rsidRPr="008A0D79">
              <w:rPr>
                <w:noProof/>
              </w:rPr>
              <w:t>- transmiterea de către Insulele Feroe a unei cereri însoțite de toate justificările corespunzătoare către subgrupul veterinar,</w:t>
            </w:r>
          </w:p>
          <w:p w14:paraId="67C45B15" w14:textId="77777777" w:rsidR="00B474B4" w:rsidRPr="008A0D79" w:rsidRDefault="00B474B4" w:rsidP="00B474B4">
            <w:pPr>
              <w:rPr>
                <w:noProof/>
              </w:rPr>
            </w:pPr>
            <w:r w:rsidRPr="008A0D79">
              <w:rPr>
                <w:noProof/>
              </w:rPr>
              <w:t>- aprobarea de către subgrupul veterinar,</w:t>
            </w:r>
          </w:p>
          <w:p w14:paraId="72E7101D" w14:textId="21626B6A" w:rsidR="00B474B4" w:rsidRPr="008A0D79" w:rsidRDefault="00B474B4" w:rsidP="00B474B4">
            <w:pPr>
              <w:rPr>
                <w:noProof/>
              </w:rPr>
            </w:pPr>
            <w:r w:rsidRPr="008A0D79">
              <w:rPr>
                <w:noProof/>
              </w:rPr>
              <w:t>- actualizare efectuată de Comisie după notificarea statelor membre în cadrul Comitetului permanent pentru plante, animale, produse alimentare și hrană pentru animale.</w:t>
            </w:r>
          </w:p>
          <w:p w14:paraId="40829AB0" w14:textId="3810045B" w:rsidR="004C1836" w:rsidRPr="008A0D79" w:rsidRDefault="00B474B4" w:rsidP="000904BE">
            <w:pPr>
              <w:rPr>
                <w:noProof/>
              </w:rPr>
            </w:pPr>
            <w:r w:rsidRPr="008A0D79">
              <w:rPr>
                <w:noProof/>
              </w:rPr>
              <w:t>Examinarea unei eventuale cereri din partea Insulelor Feroe cu privire la statutul lor se face pe baza acelorași criterii ca cele aplicabile unor cereri similare din partea statelor membre.</w:t>
            </w:r>
          </w:p>
        </w:tc>
      </w:tr>
      <w:tr w:rsidR="004C1836" w:rsidRPr="008A0D79" w14:paraId="69FAAB72" w14:textId="77777777" w:rsidTr="2CC942B6">
        <w:tc>
          <w:tcPr>
            <w:tcW w:w="2500" w:type="pct"/>
          </w:tcPr>
          <w:p w14:paraId="429BE8C9" w14:textId="77777777" w:rsidR="004C1836" w:rsidRPr="008A0D79" w:rsidRDefault="00A746A7" w:rsidP="00BA7532">
            <w:pPr>
              <w:rPr>
                <w:noProof/>
              </w:rPr>
            </w:pPr>
            <w:r w:rsidRPr="008A0D79">
              <w:rPr>
                <w:noProof/>
              </w:rPr>
              <w:t>Regulamentul (UE) 2019/6 al Parlamentului European și al Consiliului din 11 decembrie 2018 privind produsele medicinale veterinare și de abrogare a Directivei 2001/82/CE</w:t>
            </w:r>
            <w:r w:rsidRPr="008A0D79">
              <w:rPr>
                <w:rStyle w:val="FootnoteReference"/>
                <w:noProof/>
              </w:rPr>
              <w:footnoteReference w:id="7"/>
            </w:r>
          </w:p>
        </w:tc>
        <w:tc>
          <w:tcPr>
            <w:tcW w:w="2500" w:type="pct"/>
          </w:tcPr>
          <w:p w14:paraId="723E3A1D" w14:textId="77777777" w:rsidR="004C1836" w:rsidRPr="008A0D79" w:rsidRDefault="00AB03FE" w:rsidP="00BA7532">
            <w:pPr>
              <w:rPr>
                <w:noProof/>
              </w:rPr>
            </w:pPr>
            <w:r w:rsidRPr="008A0D79">
              <w:rPr>
                <w:noProof/>
              </w:rPr>
              <w:t>Numai articolul 107 [alineatele (1)-(5)] și articolul 118, inclusiv actele juridice adoptate în temeiul acestor dispoziții</w:t>
            </w:r>
          </w:p>
          <w:p w14:paraId="5848553B" w14:textId="6573C93C" w:rsidR="00D80589" w:rsidRPr="008A0D79" w:rsidRDefault="00D80589" w:rsidP="00BA7532">
            <w:pPr>
              <w:rPr>
                <w:noProof/>
              </w:rPr>
            </w:pPr>
            <w:r w:rsidRPr="008A0D79">
              <w:rPr>
                <w:noProof/>
              </w:rPr>
              <w:t>Articolul 107 alineatul (5) trebuie interpretat în sensul că medicamentele care conțin antimicrobiene sau grupuri de antimicrobiene rezervate pentru tratamentul anumitor infecții la oameni în conformitate cu Regulamentul de punere în aplicare (UE) 2022/1255 al Comisiei</w:t>
            </w:r>
            <w:r w:rsidRPr="008A0D79">
              <w:rPr>
                <w:rStyle w:val="FootnoteReference"/>
                <w:noProof/>
              </w:rPr>
              <w:footnoteReference w:id="8"/>
            </w:r>
            <w:r w:rsidRPr="008A0D79">
              <w:rPr>
                <w:noProof/>
              </w:rPr>
              <w:t xml:space="preserve"> nu trebuie utilizate la animale.</w:t>
            </w:r>
          </w:p>
        </w:tc>
      </w:tr>
      <w:tr w:rsidR="004C1836" w:rsidRPr="008A0D79" w14:paraId="56340B19" w14:textId="77777777" w:rsidTr="2CC942B6">
        <w:tc>
          <w:tcPr>
            <w:tcW w:w="2500" w:type="pct"/>
          </w:tcPr>
          <w:p w14:paraId="50902DA6" w14:textId="77777777" w:rsidR="004C1836" w:rsidRPr="008A0D79" w:rsidRDefault="00AB03FE" w:rsidP="00BA7532">
            <w:pPr>
              <w:rPr>
                <w:noProof/>
              </w:rPr>
            </w:pPr>
            <w:r w:rsidRPr="008A0D79">
              <w:rPr>
                <w:noProof/>
              </w:rPr>
              <w:t>Regulamentul (UE) 2019/4 al Parlamentului European și al Consiliului din 11 decembrie 2018 privind fabricarea, introducerea pe piață și utilizarea furajelor medicamentate, de modificare a Regulamentului (CE) nr. 183/2005 al Parlamentului European și al Consiliului și de abrogare a Directivei 90/167/CEE a Consiliului</w:t>
            </w:r>
            <w:r w:rsidRPr="008A0D79">
              <w:rPr>
                <w:rStyle w:val="FootnoteReference"/>
                <w:noProof/>
              </w:rPr>
              <w:footnoteReference w:id="9"/>
            </w:r>
          </w:p>
        </w:tc>
        <w:tc>
          <w:tcPr>
            <w:tcW w:w="2500" w:type="pct"/>
          </w:tcPr>
          <w:p w14:paraId="46340F19" w14:textId="77777777" w:rsidR="004C1836" w:rsidRPr="008A0D79" w:rsidRDefault="00AB03FE" w:rsidP="00BA7532">
            <w:pPr>
              <w:rPr>
                <w:noProof/>
              </w:rPr>
            </w:pPr>
            <w:r w:rsidRPr="008A0D79">
              <w:rPr>
                <w:noProof/>
              </w:rPr>
              <w:t>Numai articolul 17 alineatul (3)</w:t>
            </w:r>
          </w:p>
        </w:tc>
      </w:tr>
      <w:tr w:rsidR="004C1836" w:rsidRPr="008A0D79" w14:paraId="6DBE64FA" w14:textId="77777777" w:rsidTr="2CC942B6">
        <w:tc>
          <w:tcPr>
            <w:tcW w:w="2500" w:type="pct"/>
          </w:tcPr>
          <w:p w14:paraId="259A8FD5" w14:textId="77777777" w:rsidR="004C1836" w:rsidRPr="008A0D79" w:rsidRDefault="003A6E37" w:rsidP="00BA7532">
            <w:pPr>
              <w:rPr>
                <w:noProof/>
              </w:rPr>
            </w:pPr>
            <w:r w:rsidRPr="008A0D79">
              <w:rPr>
                <w:noProof/>
              </w:rPr>
              <w:t>Regulamentul (CE) nr. 1069/2009 al Parlamentului European și al Consiliului din 21 octombrie 2009 de stabilire a unor norme sanitare privind subprodusele de origine animală și produsele derivate care nu sunt destinate consumului uman și de abrogare a Regulamentului (CE) nr. 1774/2002 (Regulament privind subprodusele de origine animală)</w:t>
            </w:r>
            <w:r w:rsidRPr="008A0D79">
              <w:rPr>
                <w:rStyle w:val="FootnoteReference"/>
                <w:noProof/>
              </w:rPr>
              <w:footnoteReference w:id="10"/>
            </w:r>
          </w:p>
        </w:tc>
        <w:tc>
          <w:tcPr>
            <w:tcW w:w="2500" w:type="pct"/>
          </w:tcPr>
          <w:p w14:paraId="358C9860" w14:textId="77777777" w:rsidR="004C1836" w:rsidRPr="008A0D79" w:rsidRDefault="004C1836" w:rsidP="00BA7532">
            <w:pPr>
              <w:rPr>
                <w:noProof/>
              </w:rPr>
            </w:pPr>
          </w:p>
        </w:tc>
      </w:tr>
      <w:tr w:rsidR="004C1836" w:rsidRPr="008A0D79" w14:paraId="584FB098" w14:textId="77777777" w:rsidTr="2CC942B6">
        <w:tc>
          <w:tcPr>
            <w:tcW w:w="2500" w:type="pct"/>
          </w:tcPr>
          <w:p w14:paraId="3C34BD50" w14:textId="77777777" w:rsidR="004C1836" w:rsidRPr="008A0D79" w:rsidRDefault="003A6E37" w:rsidP="00BA7532">
            <w:pPr>
              <w:rPr>
                <w:noProof/>
              </w:rPr>
            </w:pPr>
            <w:r w:rsidRPr="008A0D79">
              <w:rPr>
                <w:noProof/>
              </w:rPr>
              <w:t>Directiva 96/22/CE a Consiliului din 29 aprilie 1996 privind interzicerea utilizării anumitor substanțe cu efect hormonal sau tireostatic și a substanțelor β-agoniste în creșterea animalelor și de abrogare a Directivelor 81/602/CEE, 88/146/CEE și 88/299/CEE</w:t>
            </w:r>
            <w:r w:rsidRPr="008A0D79">
              <w:rPr>
                <w:rStyle w:val="FootnoteReference"/>
                <w:noProof/>
              </w:rPr>
              <w:footnoteReference w:id="11"/>
            </w:r>
          </w:p>
        </w:tc>
        <w:tc>
          <w:tcPr>
            <w:tcW w:w="2500" w:type="pct"/>
          </w:tcPr>
          <w:p w14:paraId="4E4F6E85" w14:textId="77777777" w:rsidR="004C1836" w:rsidRPr="008A0D79" w:rsidRDefault="004C1836" w:rsidP="00946576">
            <w:pPr>
              <w:rPr>
                <w:noProof/>
              </w:rPr>
            </w:pPr>
          </w:p>
        </w:tc>
      </w:tr>
      <w:tr w:rsidR="004C1836" w:rsidRPr="008A0D79" w14:paraId="3B393E32"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3A6E37" w:rsidRPr="008A0D79" w14:paraId="224E7DAF" w14:textId="77777777" w:rsidTr="003A6E37">
              <w:trPr>
                <w:tblCellSpacing w:w="0" w:type="dxa"/>
              </w:trPr>
              <w:tc>
                <w:tcPr>
                  <w:tcW w:w="0" w:type="auto"/>
                  <w:hideMark/>
                </w:tcPr>
                <w:p w14:paraId="04368D9D" w14:textId="77777777" w:rsidR="003A6E37" w:rsidRPr="008A0D79" w:rsidRDefault="003A6E37" w:rsidP="003A6E37">
                  <w:pPr>
                    <w:spacing w:before="0" w:after="0"/>
                    <w:jc w:val="left"/>
                    <w:rPr>
                      <w:rFonts w:eastAsia="Times New Roman"/>
                      <w:noProof/>
                      <w:sz w:val="20"/>
                      <w:szCs w:val="24"/>
                      <w:lang w:eastAsia="fr-BE"/>
                    </w:rPr>
                  </w:pPr>
                </w:p>
              </w:tc>
              <w:tc>
                <w:tcPr>
                  <w:tcW w:w="0" w:type="auto"/>
                  <w:hideMark/>
                </w:tcPr>
                <w:p w14:paraId="3BE38412" w14:textId="54CEFEDE" w:rsidR="003A6E37" w:rsidRPr="008A0D79" w:rsidRDefault="003A6E37" w:rsidP="000904BE">
                  <w:pPr>
                    <w:spacing w:before="0" w:after="0"/>
                    <w:rPr>
                      <w:rFonts w:eastAsia="Times New Roman"/>
                      <w:noProof/>
                      <w:szCs w:val="24"/>
                    </w:rPr>
                  </w:pPr>
                  <w:r w:rsidRPr="008A0D79">
                    <w:rPr>
                      <w:noProof/>
                    </w:rPr>
                    <w:t>Regulamentul (CE) nr. 767/2009 al Parlamentului European și al Consiliului din 13 iulie 2009 privind introducerea pe piață și utilizarea furajelor, de modificare a Regulamentului (CE) nr. 1831/2003 al Parlamentului European și al Consiliului și de abrogare a Directivei 79/373/CEE a Consiliului, a Directivei 80/511/CEE a Comisiei, a Directivelor 82/471/CEE, 83/228/CEE, 93/74/CEE, 93/113/CE și 96/25/CE ale Consiliului și a Deciziei 2004/217/CE a Comisiei</w:t>
                  </w:r>
                  <w:r w:rsidRPr="008A0D79">
                    <w:rPr>
                      <w:rStyle w:val="FootnoteReference"/>
                      <w:rFonts w:eastAsia="Times New Roman"/>
                      <w:noProof/>
                      <w:szCs w:val="24"/>
                      <w:lang w:eastAsia="fr-BE"/>
                    </w:rPr>
                    <w:footnoteReference w:id="12"/>
                  </w:r>
                </w:p>
              </w:tc>
            </w:tr>
          </w:tbl>
          <w:p w14:paraId="38385F91" w14:textId="77777777" w:rsidR="004C1836" w:rsidRPr="008A0D79" w:rsidRDefault="004C1836" w:rsidP="00BA7532">
            <w:pPr>
              <w:rPr>
                <w:noProof/>
              </w:rPr>
            </w:pPr>
          </w:p>
        </w:tc>
        <w:tc>
          <w:tcPr>
            <w:tcW w:w="2500" w:type="pct"/>
          </w:tcPr>
          <w:p w14:paraId="65B711F8" w14:textId="77777777" w:rsidR="004C1836" w:rsidRPr="008A0D79" w:rsidRDefault="004C1836" w:rsidP="00BA7532">
            <w:pPr>
              <w:rPr>
                <w:noProof/>
              </w:rPr>
            </w:pPr>
          </w:p>
        </w:tc>
      </w:tr>
      <w:tr w:rsidR="004C1836" w:rsidRPr="008A0D79" w14:paraId="7D465C28" w14:textId="77777777" w:rsidTr="2CC942B6">
        <w:tc>
          <w:tcPr>
            <w:tcW w:w="2500" w:type="pct"/>
          </w:tcPr>
          <w:p w14:paraId="1E13DB9C" w14:textId="77777777" w:rsidR="004C1836" w:rsidRPr="008A0D79" w:rsidRDefault="003A6E37" w:rsidP="00BA7532">
            <w:pPr>
              <w:rPr>
                <w:noProof/>
              </w:rPr>
            </w:pPr>
            <w:r w:rsidRPr="008A0D79">
              <w:rPr>
                <w:noProof/>
              </w:rPr>
              <w:t>Directiva 2002/32/CE a Parlamentului European și a Consiliului din 7 mai 2002 privind substanțele nedorite din furaje</w:t>
            </w:r>
            <w:r w:rsidRPr="008A0D79">
              <w:rPr>
                <w:rStyle w:val="FootnoteReference"/>
                <w:noProof/>
              </w:rPr>
              <w:footnoteReference w:id="13"/>
            </w:r>
          </w:p>
        </w:tc>
        <w:tc>
          <w:tcPr>
            <w:tcW w:w="2500" w:type="pct"/>
          </w:tcPr>
          <w:p w14:paraId="7ADCA22C" w14:textId="77777777" w:rsidR="004C1836" w:rsidRPr="008A0D79" w:rsidRDefault="004C1836" w:rsidP="00BA7532">
            <w:pPr>
              <w:rPr>
                <w:noProof/>
              </w:rPr>
            </w:pPr>
          </w:p>
        </w:tc>
      </w:tr>
      <w:tr w:rsidR="0090126A" w:rsidRPr="008A0D79" w14:paraId="53F824AF" w14:textId="77777777" w:rsidTr="2CC942B6">
        <w:tc>
          <w:tcPr>
            <w:tcW w:w="2500" w:type="pct"/>
          </w:tcPr>
          <w:p w14:paraId="0F4A5336" w14:textId="77777777" w:rsidR="0090126A" w:rsidRPr="008A0D79" w:rsidRDefault="0090126A" w:rsidP="00BA7532">
            <w:pPr>
              <w:rPr>
                <w:noProof/>
              </w:rPr>
            </w:pPr>
            <w:r w:rsidRPr="008A0D79">
              <w:rPr>
                <w:noProof/>
              </w:rPr>
              <w:t>Regulamentul (CE) nr. 999/2001 al Parlamentului European și al Consiliului din 22 mai 2001 de stabilire a unor reglementări pentru prevenirea, controlul și eradicarea anumitor forme transmisibile de encefalopatie spongiformă</w:t>
            </w:r>
            <w:r w:rsidRPr="008A0D79">
              <w:rPr>
                <w:rStyle w:val="FootnoteReference"/>
                <w:noProof/>
              </w:rPr>
              <w:footnoteReference w:id="14"/>
            </w:r>
          </w:p>
        </w:tc>
        <w:tc>
          <w:tcPr>
            <w:tcW w:w="2500" w:type="pct"/>
          </w:tcPr>
          <w:p w14:paraId="3166E8A7" w14:textId="77777777" w:rsidR="0090126A" w:rsidRPr="008A0D79" w:rsidRDefault="0090126A" w:rsidP="00BA7532">
            <w:pPr>
              <w:rPr>
                <w:noProof/>
              </w:rPr>
            </w:pPr>
          </w:p>
        </w:tc>
      </w:tr>
      <w:tr w:rsidR="00946576" w:rsidRPr="008A0D79" w14:paraId="2C9D9BF3" w14:textId="77777777" w:rsidTr="2CC942B6">
        <w:tc>
          <w:tcPr>
            <w:tcW w:w="2500" w:type="pct"/>
          </w:tcPr>
          <w:p w14:paraId="71A43B7E" w14:textId="77777777" w:rsidR="00946576" w:rsidRPr="008A0D79" w:rsidRDefault="00946576" w:rsidP="00BA7532">
            <w:pPr>
              <w:rPr>
                <w:noProof/>
              </w:rPr>
            </w:pPr>
            <w:r w:rsidRPr="008A0D79">
              <w:rPr>
                <w:noProof/>
              </w:rPr>
              <w:t>Regulamentul (CE) nr. 1831/2003 al Parlamentului European și al Consiliului din 22 septembrie 2003 privind aditivii din hrana animalelor</w:t>
            </w:r>
            <w:r w:rsidRPr="008A0D79">
              <w:rPr>
                <w:rStyle w:val="FootnoteReference"/>
                <w:noProof/>
              </w:rPr>
              <w:footnoteReference w:id="15"/>
            </w:r>
          </w:p>
        </w:tc>
        <w:tc>
          <w:tcPr>
            <w:tcW w:w="2500" w:type="pct"/>
          </w:tcPr>
          <w:p w14:paraId="448B3C85" w14:textId="77777777" w:rsidR="00946576" w:rsidRPr="008A0D79" w:rsidRDefault="00946576" w:rsidP="00BA7532">
            <w:pPr>
              <w:rPr>
                <w:noProof/>
              </w:rPr>
            </w:pPr>
          </w:p>
        </w:tc>
      </w:tr>
      <w:tr w:rsidR="0090126A" w:rsidRPr="008A0D79" w14:paraId="24F8F579" w14:textId="77777777" w:rsidTr="2CC942B6">
        <w:tc>
          <w:tcPr>
            <w:tcW w:w="2500" w:type="pct"/>
          </w:tcPr>
          <w:p w14:paraId="357486C1" w14:textId="77777777" w:rsidR="0090126A" w:rsidRPr="008A0D79" w:rsidRDefault="0090126A" w:rsidP="0090126A">
            <w:pPr>
              <w:rPr>
                <w:noProof/>
              </w:rPr>
            </w:pPr>
            <w:bookmarkStart w:id="3" w:name="_Hlk216283051"/>
            <w:r w:rsidRPr="008A0D79">
              <w:rPr>
                <w:noProof/>
              </w:rPr>
              <w:t>Regulamentul (CE) nr. 470/2009 al Parlamentului European și al Consiliului din 6 mai 2009 de stabilire a procedurilor comunitare în vederea stabilirii limitelor de reziduuri ale substanțelor farmacologic active din alimentele de origine animală, de abrogare a Regulamentului (CEE) nr. 2377/90 al Consiliului și de modificare a Directivei 2001/82/CE a Parlamentului European și a Consiliului și a Regulamentului (CE) nr. 726/2004 al Parlamentului European și al Consiliului</w:t>
            </w:r>
            <w:r w:rsidRPr="008A0D79">
              <w:rPr>
                <w:rStyle w:val="FootnoteReference"/>
                <w:noProof/>
              </w:rPr>
              <w:footnoteReference w:id="16"/>
            </w:r>
            <w:bookmarkEnd w:id="3"/>
            <w:r w:rsidRPr="008A0D79">
              <w:rPr>
                <w:noProof/>
              </w:rPr>
              <w:t xml:space="preserve"> </w:t>
            </w:r>
          </w:p>
        </w:tc>
        <w:tc>
          <w:tcPr>
            <w:tcW w:w="2500" w:type="pct"/>
          </w:tcPr>
          <w:p w14:paraId="52626CE9" w14:textId="77777777" w:rsidR="0090126A" w:rsidRPr="008A0D79" w:rsidRDefault="0090126A" w:rsidP="0090126A">
            <w:pPr>
              <w:rPr>
                <w:noProof/>
              </w:rPr>
            </w:pPr>
          </w:p>
        </w:tc>
      </w:tr>
      <w:tr w:rsidR="00AA79E0" w:rsidRPr="008A0D79" w14:paraId="68CD105D" w14:textId="77777777" w:rsidTr="2CC942B6">
        <w:tc>
          <w:tcPr>
            <w:tcW w:w="2500" w:type="pct"/>
          </w:tcPr>
          <w:p w14:paraId="7DEDD9BA" w14:textId="77777777" w:rsidR="00AA79E0" w:rsidRPr="008A0D79" w:rsidRDefault="00AA79E0" w:rsidP="0090126A">
            <w:pPr>
              <w:rPr>
                <w:noProof/>
              </w:rPr>
            </w:pPr>
            <w:r w:rsidRPr="008A0D79">
              <w:rPr>
                <w:noProof/>
              </w:rPr>
              <w:t>Regulamentul (CE) nr. 396/2005 al Parlamentului European și al Consiliului din 23 februarie 2005 privind limitele maxime de reziduuri de pesticide din sau de pe produse alimentare și hrana de origine vegetală și animală pentru animale și de modificare a Directivei 91/414/CEE</w:t>
            </w:r>
            <w:r w:rsidRPr="008A0D79">
              <w:rPr>
                <w:rStyle w:val="FootnoteReference"/>
                <w:noProof/>
              </w:rPr>
              <w:footnoteReference w:id="17"/>
            </w:r>
          </w:p>
        </w:tc>
        <w:tc>
          <w:tcPr>
            <w:tcW w:w="2500" w:type="pct"/>
          </w:tcPr>
          <w:p w14:paraId="28C6AC4F" w14:textId="77777777" w:rsidR="00AA79E0" w:rsidRPr="008A0D79" w:rsidRDefault="00AA79E0" w:rsidP="0090126A">
            <w:pPr>
              <w:rPr>
                <w:noProof/>
              </w:rPr>
            </w:pPr>
          </w:p>
        </w:tc>
      </w:tr>
      <w:tr w:rsidR="00AA79E0" w:rsidRPr="008A0D79" w14:paraId="02A31E0F" w14:textId="77777777" w:rsidTr="2CC942B6">
        <w:tc>
          <w:tcPr>
            <w:tcW w:w="2500" w:type="pct"/>
          </w:tcPr>
          <w:p w14:paraId="1DF9AC6F" w14:textId="77777777" w:rsidR="00AA79E0" w:rsidRPr="008A0D79" w:rsidRDefault="00AA79E0" w:rsidP="0090126A">
            <w:pPr>
              <w:rPr>
                <w:noProof/>
              </w:rPr>
            </w:pPr>
            <w:r w:rsidRPr="008A0D79">
              <w:rPr>
                <w:noProof/>
              </w:rPr>
              <w:t>Regulamentul (CEE) nr . 315/93 al Consiliului din 8 februarie 1993 de stabilire a procedurilor comunitare privind contaminanții din alimente</w:t>
            </w:r>
            <w:r w:rsidRPr="008A0D79">
              <w:rPr>
                <w:rStyle w:val="FootnoteReference"/>
                <w:noProof/>
              </w:rPr>
              <w:footnoteReference w:id="18"/>
            </w:r>
          </w:p>
        </w:tc>
        <w:tc>
          <w:tcPr>
            <w:tcW w:w="2500" w:type="pct"/>
          </w:tcPr>
          <w:p w14:paraId="0E58E057" w14:textId="77777777" w:rsidR="00AA79E0" w:rsidRPr="008A0D79" w:rsidRDefault="00AA79E0" w:rsidP="0090126A">
            <w:pPr>
              <w:rPr>
                <w:noProof/>
              </w:rPr>
            </w:pPr>
          </w:p>
        </w:tc>
      </w:tr>
    </w:tbl>
    <w:p w14:paraId="46C4DE9F" w14:textId="77777777" w:rsidR="00DD6541" w:rsidRPr="008A0D79" w:rsidRDefault="00DD6541" w:rsidP="00BA7532">
      <w:pPr>
        <w:rPr>
          <w:noProof/>
        </w:rPr>
        <w:sectPr w:rsidR="00DD6541" w:rsidRPr="008A0D79" w:rsidSect="006E399B">
          <w:headerReference w:type="default" r:id="rId23"/>
          <w:footerReference w:type="default" r:id="rId24"/>
          <w:pgSz w:w="16839" w:h="11907" w:orient="landscape"/>
          <w:pgMar w:top="1417" w:right="1134" w:bottom="1417" w:left="1134" w:header="709" w:footer="454" w:gutter="0"/>
          <w:cols w:space="720"/>
          <w:docGrid w:linePitch="360"/>
        </w:sectPr>
      </w:pPr>
    </w:p>
    <w:p w14:paraId="099D43F2" w14:textId="77777777" w:rsidR="007A54A1" w:rsidRPr="008A0D79" w:rsidRDefault="00DD6541" w:rsidP="00DD6541">
      <w:pPr>
        <w:jc w:val="center"/>
        <w:rPr>
          <w:b/>
          <w:bCs/>
          <w:noProof/>
        </w:rPr>
      </w:pPr>
      <w:r w:rsidRPr="008A0D79">
        <w:rPr>
          <w:b/>
          <w:noProof/>
        </w:rPr>
        <w:t>ANEXA 2</w:t>
      </w:r>
    </w:p>
    <w:p w14:paraId="71445EA6" w14:textId="77777777" w:rsidR="00DD6541" w:rsidRPr="008A0D79" w:rsidRDefault="00DD6541" w:rsidP="00BA7532">
      <w:pPr>
        <w:rPr>
          <w:b/>
          <w:bCs/>
          <w:noProof/>
        </w:rPr>
      </w:pPr>
      <w:r w:rsidRPr="008A0D79">
        <w:rPr>
          <w:b/>
          <w:noProof/>
        </w:rPr>
        <w:t>Lista animalelor, a produselor de origine animală și a subproduselor de origine animală</w:t>
      </w:r>
    </w:p>
    <w:p w14:paraId="66EFE7EF" w14:textId="77777777" w:rsidR="009F75DF" w:rsidRPr="008A0D79" w:rsidRDefault="009F75DF" w:rsidP="00BA7532">
      <w:pPr>
        <w:rPr>
          <w:noProof/>
        </w:rPr>
      </w:pPr>
      <w:r w:rsidRPr="008A0D79">
        <w:rPr>
          <w:noProof/>
        </w:rPr>
        <w:t>Produse pescărești destinate consumului uman</w:t>
      </w:r>
    </w:p>
    <w:p w14:paraId="1CA1AFBE" w14:textId="77777777" w:rsidR="00244A25" w:rsidRPr="008A0D79" w:rsidRDefault="00244A25" w:rsidP="00BA7532">
      <w:pPr>
        <w:rPr>
          <w:noProof/>
        </w:rPr>
      </w:pPr>
      <w:r w:rsidRPr="008A0D79">
        <w:rPr>
          <w:noProof/>
        </w:rPr>
        <w:t>Moluște bivalve, echinoderme, tunicate, gasteropode marine vii și produse de origine animală provenite de la aceste animale destinate consumului uman</w:t>
      </w:r>
    </w:p>
    <w:p w14:paraId="01DFBF6E" w14:textId="77777777" w:rsidR="00244A25" w:rsidRPr="008A0D79" w:rsidRDefault="00244A25" w:rsidP="00BA7532">
      <w:pPr>
        <w:rPr>
          <w:noProof/>
        </w:rPr>
      </w:pPr>
      <w:r w:rsidRPr="008A0D79">
        <w:rPr>
          <w:noProof/>
        </w:rPr>
        <w:t>Animale de acvacultură</w:t>
      </w:r>
    </w:p>
    <w:p w14:paraId="7FBF834C" w14:textId="77777777" w:rsidR="00244A25" w:rsidRPr="008A0D79" w:rsidRDefault="00244A25" w:rsidP="00BA7532">
      <w:pPr>
        <w:rPr>
          <w:noProof/>
        </w:rPr>
      </w:pPr>
      <w:r w:rsidRPr="008A0D79">
        <w:rPr>
          <w:noProof/>
        </w:rPr>
        <w:t>Subproduse provenite din pescuit și din acvacultură</w:t>
      </w:r>
    </w:p>
    <w:p w14:paraId="711CFE7C" w14:textId="77777777" w:rsidR="00244A25" w:rsidRPr="008A0D79" w:rsidRDefault="00244A25" w:rsidP="00BA7532">
      <w:pPr>
        <w:rPr>
          <w:noProof/>
        </w:rPr>
      </w:pPr>
      <w:r w:rsidRPr="008A0D79">
        <w:rPr>
          <w:noProof/>
        </w:rPr>
        <w:t xml:space="preserve">Cai înregistrați </w:t>
      </w:r>
    </w:p>
    <w:p w14:paraId="005BBFFB" w14:textId="77777777" w:rsidR="00244A25" w:rsidRPr="008A0D79" w:rsidRDefault="00244A25" w:rsidP="00BA7532">
      <w:pPr>
        <w:rPr>
          <w:noProof/>
        </w:rPr>
      </w:pPr>
      <w:r w:rsidRPr="008A0D79">
        <w:rPr>
          <w:noProof/>
        </w:rPr>
        <w:t>Lână de oaie neprelucrată</w:t>
      </w:r>
    </w:p>
    <w:sectPr w:rsidR="00244A25" w:rsidRPr="008A0D79" w:rsidSect="006E399B">
      <w:headerReference w:type="default" r:id="rId25"/>
      <w:footerReference w:type="default" r:id="rId2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D1986" w14:textId="77777777" w:rsidR="007C58AE" w:rsidRDefault="007C58AE" w:rsidP="00CE072C">
      <w:pPr>
        <w:spacing w:before="0" w:after="0"/>
      </w:pPr>
      <w:r>
        <w:separator/>
      </w:r>
    </w:p>
  </w:endnote>
  <w:endnote w:type="continuationSeparator" w:id="0">
    <w:p w14:paraId="3D0327CD" w14:textId="77777777" w:rsidR="007C58AE" w:rsidRDefault="007C58AE" w:rsidP="00CE07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05355" w14:textId="1A600A55" w:rsidR="006E399B" w:rsidRPr="006E399B" w:rsidRDefault="006E399B" w:rsidP="006E399B">
    <w:pPr>
      <w:pStyle w:val="Footer"/>
      <w:rPr>
        <w:rFonts w:ascii="Arial" w:hAnsi="Arial" w:cs="Arial"/>
        <w:b/>
        <w:sz w:val="48"/>
      </w:rPr>
    </w:pPr>
    <w:r w:rsidRPr="006E399B">
      <w:rPr>
        <w:rFonts w:ascii="Arial" w:hAnsi="Arial" w:cs="Arial"/>
        <w:b/>
        <w:sz w:val="48"/>
      </w:rPr>
      <w:t>RO</w:t>
    </w:r>
    <w:r w:rsidRPr="006E399B">
      <w:rPr>
        <w:rFonts w:ascii="Arial" w:hAnsi="Arial" w:cs="Arial"/>
        <w:b/>
        <w:sz w:val="48"/>
      </w:rPr>
      <w:tab/>
    </w:r>
    <w:r w:rsidRPr="006E399B">
      <w:rPr>
        <w:rFonts w:ascii="Arial" w:hAnsi="Arial" w:cs="Arial"/>
        <w:b/>
        <w:sz w:val="48"/>
      </w:rPr>
      <w:tab/>
    </w:r>
    <w:r w:rsidRPr="006E399B">
      <w:tab/>
    </w:r>
    <w:r w:rsidRPr="006E399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7E67" w14:textId="73A708CE" w:rsidR="006E399B" w:rsidRPr="006E399B" w:rsidRDefault="006E399B" w:rsidP="006E399B">
    <w:pPr>
      <w:pStyle w:val="Footer"/>
      <w:rPr>
        <w:rFonts w:ascii="Arial" w:hAnsi="Arial" w:cs="Arial"/>
        <w:b/>
        <w:sz w:val="48"/>
      </w:rPr>
    </w:pPr>
    <w:r w:rsidRPr="006E399B">
      <w:rPr>
        <w:rFonts w:ascii="Arial" w:hAnsi="Arial" w:cs="Arial"/>
        <w:b/>
        <w:sz w:val="48"/>
      </w:rPr>
      <w:t>RO</w:t>
    </w:r>
    <w:r w:rsidRPr="006E399B">
      <w:rPr>
        <w:rFonts w:ascii="Arial" w:hAnsi="Arial" w:cs="Arial"/>
        <w:b/>
        <w:sz w:val="48"/>
      </w:rPr>
      <w:tab/>
    </w:r>
    <w:r w:rsidRPr="006E399B">
      <w:rPr>
        <w:rFonts w:ascii="Arial" w:hAnsi="Arial" w:cs="Arial"/>
        <w:b/>
        <w:sz w:val="48"/>
      </w:rPr>
      <w:tab/>
    </w:r>
    <w:r w:rsidRPr="006E399B">
      <w:tab/>
    </w:r>
    <w:r w:rsidRPr="006E399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4EDCB" w14:textId="77777777" w:rsidR="006E399B" w:rsidRPr="006E399B" w:rsidRDefault="006E399B" w:rsidP="006E39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335BA" w14:textId="77777777" w:rsidR="006E399B" w:rsidRDefault="006E39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AC84C" w14:textId="36DBD7C4" w:rsidR="006E399B" w:rsidRPr="006E399B" w:rsidRDefault="006E399B" w:rsidP="006E399B">
    <w:pPr>
      <w:pStyle w:val="Footer"/>
      <w:rPr>
        <w:rFonts w:ascii="Arial" w:hAnsi="Arial" w:cs="Arial"/>
        <w:b/>
        <w:sz w:val="48"/>
      </w:rPr>
    </w:pPr>
    <w:r w:rsidRPr="006E399B">
      <w:rPr>
        <w:rFonts w:ascii="Arial" w:hAnsi="Arial" w:cs="Arial"/>
        <w:b/>
        <w:sz w:val="48"/>
      </w:rPr>
      <w:t>RO</w:t>
    </w:r>
    <w:r w:rsidRPr="006E399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E399B">
      <w:tab/>
    </w:r>
    <w:r w:rsidRPr="006E399B">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ACC7C" w14:textId="77777777" w:rsidR="006E399B" w:rsidRDefault="006E399B" w:rsidP="006E39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8093E" w14:textId="2FBDE65E" w:rsidR="006E399B" w:rsidRPr="006E399B" w:rsidRDefault="006E399B" w:rsidP="006E399B">
    <w:pPr>
      <w:pStyle w:val="FooterLandscape"/>
      <w:rPr>
        <w:rFonts w:ascii="Arial" w:hAnsi="Arial" w:cs="Arial"/>
        <w:b/>
        <w:sz w:val="48"/>
      </w:rPr>
    </w:pPr>
    <w:r w:rsidRPr="006E399B">
      <w:rPr>
        <w:rFonts w:ascii="Arial" w:hAnsi="Arial" w:cs="Arial"/>
        <w:b/>
        <w:sz w:val="48"/>
      </w:rPr>
      <w:t>RO</w:t>
    </w:r>
    <w:r w:rsidRPr="006E399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E399B">
      <w:tab/>
    </w:r>
    <w:r w:rsidRPr="006E399B">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CB613" w14:textId="0B6242BB" w:rsidR="006E399B" w:rsidRPr="006E399B" w:rsidRDefault="006E399B" w:rsidP="006E399B">
    <w:pPr>
      <w:pStyle w:val="Footer"/>
      <w:rPr>
        <w:rFonts w:ascii="Arial" w:hAnsi="Arial" w:cs="Arial"/>
        <w:b/>
        <w:sz w:val="48"/>
      </w:rPr>
    </w:pPr>
    <w:r w:rsidRPr="006E399B">
      <w:rPr>
        <w:rFonts w:ascii="Arial" w:hAnsi="Arial" w:cs="Arial"/>
        <w:b/>
        <w:sz w:val="48"/>
      </w:rPr>
      <w:t>RO</w:t>
    </w:r>
    <w:r w:rsidRPr="006E399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E399B">
      <w:tab/>
    </w:r>
    <w:r w:rsidRPr="006E399B">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0709B" w14:textId="77777777" w:rsidR="007C58AE" w:rsidRDefault="007C58AE" w:rsidP="00CE072C">
      <w:pPr>
        <w:spacing w:before="0" w:after="0"/>
      </w:pPr>
      <w:r>
        <w:separator/>
      </w:r>
    </w:p>
  </w:footnote>
  <w:footnote w:type="continuationSeparator" w:id="0">
    <w:p w14:paraId="32485302" w14:textId="77777777" w:rsidR="007C58AE" w:rsidRDefault="007C58AE" w:rsidP="00CE072C">
      <w:pPr>
        <w:spacing w:before="0" w:after="0"/>
      </w:pPr>
      <w:r>
        <w:continuationSeparator/>
      </w:r>
    </w:p>
  </w:footnote>
  <w:footnote w:id="1">
    <w:p w14:paraId="50CAA9DD" w14:textId="40A294D7" w:rsidR="004C1836" w:rsidRPr="0032298E" w:rsidRDefault="004C1836">
      <w:pPr>
        <w:pStyle w:val="FootnoteText"/>
      </w:pPr>
      <w:r>
        <w:rPr>
          <w:rStyle w:val="FootnoteReference"/>
        </w:rPr>
        <w:footnoteRef/>
      </w:r>
      <w:r>
        <w:tab/>
      </w:r>
      <w:hyperlink r:id="rId1" w:history="1">
        <w:r>
          <w:rPr>
            <w:rStyle w:val="Hyperlink"/>
          </w:rPr>
          <w:t>JO L 31, 1.2.2002, p. 1</w:t>
        </w:r>
      </w:hyperlink>
      <w:r>
        <w:t>.</w:t>
      </w:r>
    </w:p>
  </w:footnote>
  <w:footnote w:id="2">
    <w:p w14:paraId="09E35E54" w14:textId="0FA237A5" w:rsidR="00CE66D5" w:rsidRPr="0032298E" w:rsidRDefault="00CE66D5">
      <w:pPr>
        <w:pStyle w:val="FootnoteText"/>
      </w:pPr>
      <w:r>
        <w:rPr>
          <w:rStyle w:val="FootnoteReference"/>
        </w:rPr>
        <w:footnoteRef/>
      </w:r>
      <w:r>
        <w:tab/>
      </w:r>
      <w:hyperlink r:id="rId2" w:history="1">
        <w:r>
          <w:rPr>
            <w:rStyle w:val="Hyperlink"/>
          </w:rPr>
          <w:t>JO L 95, 7.4.2017, p. 1</w:t>
        </w:r>
      </w:hyperlink>
      <w:r>
        <w:t>.</w:t>
      </w:r>
    </w:p>
  </w:footnote>
  <w:footnote w:id="3">
    <w:p w14:paraId="72A6643A" w14:textId="4B7DBFB9" w:rsidR="00CE66D5" w:rsidRPr="0032298E" w:rsidRDefault="00CE66D5">
      <w:pPr>
        <w:pStyle w:val="FootnoteText"/>
      </w:pPr>
      <w:r>
        <w:rPr>
          <w:rStyle w:val="FootnoteReference"/>
        </w:rPr>
        <w:footnoteRef/>
      </w:r>
      <w:r>
        <w:tab/>
      </w:r>
      <w:hyperlink r:id="rId3" w:history="1">
        <w:r>
          <w:rPr>
            <w:rStyle w:val="Hyperlink"/>
          </w:rPr>
          <w:t>JO L 139, 30.4.2004, p. 55</w:t>
        </w:r>
      </w:hyperlink>
      <w:r>
        <w:t>.</w:t>
      </w:r>
    </w:p>
  </w:footnote>
  <w:footnote w:id="4">
    <w:p w14:paraId="745FE93F" w14:textId="4E64B97C" w:rsidR="00CE66D5" w:rsidRPr="0032298E" w:rsidRDefault="00CE66D5">
      <w:pPr>
        <w:pStyle w:val="FootnoteText"/>
      </w:pPr>
      <w:r>
        <w:rPr>
          <w:rStyle w:val="FootnoteReference"/>
        </w:rPr>
        <w:footnoteRef/>
      </w:r>
      <w:r>
        <w:tab/>
      </w:r>
      <w:hyperlink r:id="rId4" w:history="1">
        <w:r>
          <w:rPr>
            <w:rStyle w:val="Hyperlink"/>
          </w:rPr>
          <w:t>JO L 139, 30.4.2004, p. 1</w:t>
        </w:r>
      </w:hyperlink>
      <w:r>
        <w:t>.</w:t>
      </w:r>
    </w:p>
  </w:footnote>
  <w:footnote w:id="5">
    <w:p w14:paraId="1E84108C" w14:textId="28F800E5" w:rsidR="00B474B4" w:rsidRPr="0032298E" w:rsidRDefault="00B474B4">
      <w:pPr>
        <w:pStyle w:val="FootnoteText"/>
      </w:pPr>
      <w:r>
        <w:rPr>
          <w:rStyle w:val="FootnoteReference"/>
        </w:rPr>
        <w:footnoteRef/>
      </w:r>
      <w:r>
        <w:tab/>
      </w:r>
      <w:hyperlink r:id="rId5" w:history="1">
        <w:r>
          <w:rPr>
            <w:rStyle w:val="Hyperlink"/>
          </w:rPr>
          <w:t>JO L 35, 8.2.2005, p. 1</w:t>
        </w:r>
      </w:hyperlink>
      <w:r>
        <w:t>.</w:t>
      </w:r>
    </w:p>
  </w:footnote>
  <w:footnote w:id="6">
    <w:p w14:paraId="4B7B8BAC" w14:textId="08293D04" w:rsidR="00B474B4" w:rsidRPr="0032298E" w:rsidRDefault="00B474B4">
      <w:pPr>
        <w:pStyle w:val="FootnoteText"/>
      </w:pPr>
      <w:r>
        <w:rPr>
          <w:rStyle w:val="FootnoteReference"/>
        </w:rPr>
        <w:footnoteRef/>
      </w:r>
      <w:r>
        <w:tab/>
      </w:r>
      <w:hyperlink r:id="rId6" w:history="1">
        <w:r>
          <w:rPr>
            <w:rStyle w:val="Hyperlink"/>
          </w:rPr>
          <w:t>JO L 84, 31.3.2016, p. 1</w:t>
        </w:r>
      </w:hyperlink>
      <w:r>
        <w:t>.</w:t>
      </w:r>
    </w:p>
  </w:footnote>
  <w:footnote w:id="7">
    <w:p w14:paraId="5DAA23E4" w14:textId="27F38E4C" w:rsidR="0090126A" w:rsidRPr="00F11E54" w:rsidRDefault="0090126A" w:rsidP="0090126A">
      <w:pPr>
        <w:pStyle w:val="FootnoteText"/>
      </w:pPr>
      <w:r>
        <w:rPr>
          <w:rStyle w:val="FootnoteReference"/>
        </w:rPr>
        <w:footnoteRef/>
      </w:r>
      <w:r>
        <w:tab/>
      </w:r>
      <w:hyperlink r:id="rId7" w:history="1">
        <w:r>
          <w:rPr>
            <w:rStyle w:val="Hyperlink"/>
          </w:rPr>
          <w:t>JO L 4, 7.1.2019, p. 43</w:t>
        </w:r>
      </w:hyperlink>
      <w:r w:rsidR="005661D5">
        <w:t>.</w:t>
      </w:r>
    </w:p>
  </w:footnote>
  <w:footnote w:id="8">
    <w:p w14:paraId="632FDCEF" w14:textId="45A6C330" w:rsidR="00D80589" w:rsidRPr="00F11E54" w:rsidRDefault="00D80589">
      <w:pPr>
        <w:pStyle w:val="FootnoteText"/>
      </w:pPr>
      <w:r>
        <w:rPr>
          <w:rStyle w:val="FootnoteReference"/>
        </w:rPr>
        <w:footnoteRef/>
      </w:r>
      <w:r>
        <w:tab/>
      </w:r>
      <w:hyperlink r:id="rId8" w:history="1">
        <w:r>
          <w:rPr>
            <w:rStyle w:val="Hyperlink"/>
          </w:rPr>
          <w:t>JO L 191, 20.7.2022, p. 58</w:t>
        </w:r>
      </w:hyperlink>
      <w:r w:rsidR="005661D5">
        <w:t>.</w:t>
      </w:r>
    </w:p>
  </w:footnote>
  <w:footnote w:id="9">
    <w:p w14:paraId="3E3BA75F" w14:textId="299AF084" w:rsidR="006933B0" w:rsidRPr="00F11E54" w:rsidRDefault="006933B0">
      <w:pPr>
        <w:pStyle w:val="FootnoteText"/>
      </w:pPr>
      <w:r>
        <w:rPr>
          <w:rStyle w:val="FootnoteReference"/>
        </w:rPr>
        <w:footnoteRef/>
      </w:r>
      <w:r>
        <w:tab/>
      </w:r>
      <w:hyperlink r:id="rId9" w:history="1">
        <w:r>
          <w:rPr>
            <w:rStyle w:val="Hyperlink"/>
          </w:rPr>
          <w:t>JO L 4, 7.1.2019, p. 1</w:t>
        </w:r>
      </w:hyperlink>
      <w:r w:rsidR="005661D5">
        <w:t>.</w:t>
      </w:r>
    </w:p>
  </w:footnote>
  <w:footnote w:id="10">
    <w:p w14:paraId="1190CC98" w14:textId="3809B6E5" w:rsidR="003A6E37" w:rsidRPr="0032298E" w:rsidRDefault="003A6E37">
      <w:pPr>
        <w:pStyle w:val="FootnoteText"/>
      </w:pPr>
      <w:r>
        <w:rPr>
          <w:rStyle w:val="FootnoteReference"/>
        </w:rPr>
        <w:footnoteRef/>
      </w:r>
      <w:r>
        <w:tab/>
      </w:r>
      <w:hyperlink r:id="rId10" w:history="1">
        <w:r>
          <w:rPr>
            <w:rStyle w:val="Hyperlink"/>
          </w:rPr>
          <w:t>JO L 300, 14.11.2009, p. 1</w:t>
        </w:r>
      </w:hyperlink>
      <w:r w:rsidR="005661D5">
        <w:t>.</w:t>
      </w:r>
    </w:p>
  </w:footnote>
  <w:footnote w:id="11">
    <w:p w14:paraId="7B0597F7" w14:textId="60D82BE0" w:rsidR="003A6E37" w:rsidRPr="0032298E" w:rsidRDefault="003A6E37">
      <w:pPr>
        <w:pStyle w:val="FootnoteText"/>
      </w:pPr>
      <w:r>
        <w:rPr>
          <w:rStyle w:val="FootnoteReference"/>
        </w:rPr>
        <w:footnoteRef/>
      </w:r>
      <w:r>
        <w:tab/>
      </w:r>
      <w:hyperlink r:id="rId11" w:history="1">
        <w:r>
          <w:rPr>
            <w:rStyle w:val="Hyperlink"/>
          </w:rPr>
          <w:t>JO L 125, 23.5.1996, p. 3</w:t>
        </w:r>
      </w:hyperlink>
      <w:r>
        <w:t>.</w:t>
      </w:r>
    </w:p>
  </w:footnote>
  <w:footnote w:id="12">
    <w:p w14:paraId="20A3DA24" w14:textId="778236FA" w:rsidR="003A6E37" w:rsidRPr="0032298E" w:rsidRDefault="003A6E37">
      <w:pPr>
        <w:pStyle w:val="FootnoteText"/>
      </w:pPr>
      <w:r>
        <w:rPr>
          <w:rStyle w:val="FootnoteReference"/>
        </w:rPr>
        <w:footnoteRef/>
      </w:r>
      <w:r>
        <w:tab/>
      </w:r>
      <w:hyperlink r:id="rId12" w:history="1">
        <w:r>
          <w:rPr>
            <w:rStyle w:val="Hyperlink"/>
          </w:rPr>
          <w:t>JO L 229, 1.9.2009, p. 1</w:t>
        </w:r>
      </w:hyperlink>
      <w:r>
        <w:t>.</w:t>
      </w:r>
    </w:p>
  </w:footnote>
  <w:footnote w:id="13">
    <w:p w14:paraId="48F450D9" w14:textId="3795420E" w:rsidR="003A6E37" w:rsidRPr="00F4452A" w:rsidRDefault="003A6E37">
      <w:pPr>
        <w:pStyle w:val="FootnoteText"/>
      </w:pPr>
      <w:r>
        <w:rPr>
          <w:rStyle w:val="FootnoteReference"/>
        </w:rPr>
        <w:footnoteRef/>
      </w:r>
      <w:r>
        <w:tab/>
      </w:r>
      <w:hyperlink r:id="rId13" w:history="1">
        <w:r>
          <w:rPr>
            <w:rStyle w:val="Hyperlink"/>
          </w:rPr>
          <w:t>JO L 140, 30.5.2002, p. 10</w:t>
        </w:r>
      </w:hyperlink>
      <w:r>
        <w:t>.</w:t>
      </w:r>
    </w:p>
  </w:footnote>
  <w:footnote w:id="14">
    <w:p w14:paraId="5FCE7065" w14:textId="54D8B2AC" w:rsidR="0090126A" w:rsidRPr="00F4452A" w:rsidRDefault="0090126A">
      <w:pPr>
        <w:pStyle w:val="FootnoteText"/>
      </w:pPr>
      <w:r>
        <w:rPr>
          <w:rStyle w:val="FootnoteReference"/>
        </w:rPr>
        <w:footnoteRef/>
      </w:r>
      <w:r>
        <w:tab/>
      </w:r>
      <w:hyperlink r:id="rId14" w:history="1">
        <w:r>
          <w:rPr>
            <w:rStyle w:val="Hyperlink"/>
          </w:rPr>
          <w:t>JO L 147, 31.5.2001, p. 1</w:t>
        </w:r>
      </w:hyperlink>
      <w:r>
        <w:t>.</w:t>
      </w:r>
    </w:p>
  </w:footnote>
  <w:footnote w:id="15">
    <w:p w14:paraId="0DBAAB2F" w14:textId="25EA3DB2" w:rsidR="00946576" w:rsidRPr="00F4452A" w:rsidRDefault="00946576" w:rsidP="00946576">
      <w:pPr>
        <w:pStyle w:val="FootnoteText"/>
      </w:pPr>
      <w:r>
        <w:rPr>
          <w:rStyle w:val="FootnoteReference"/>
        </w:rPr>
        <w:footnoteRef/>
      </w:r>
      <w:r>
        <w:tab/>
      </w:r>
      <w:hyperlink r:id="rId15" w:history="1">
        <w:r>
          <w:rPr>
            <w:rStyle w:val="Hyperlink"/>
          </w:rPr>
          <w:t>JO L 268, 18.10.2003, p. 29</w:t>
        </w:r>
      </w:hyperlink>
      <w:r>
        <w:t>.</w:t>
      </w:r>
    </w:p>
  </w:footnote>
  <w:footnote w:id="16">
    <w:p w14:paraId="4D45F168" w14:textId="67BA38D8" w:rsidR="0090126A" w:rsidRPr="006D55E7" w:rsidRDefault="0090126A" w:rsidP="0090126A">
      <w:pPr>
        <w:pStyle w:val="FootnoteText"/>
      </w:pPr>
      <w:r>
        <w:rPr>
          <w:rStyle w:val="FootnoteReference"/>
        </w:rPr>
        <w:footnoteRef/>
      </w:r>
      <w:r>
        <w:tab/>
      </w:r>
      <w:hyperlink r:id="rId16" w:history="1">
        <w:r>
          <w:rPr>
            <w:rStyle w:val="Hyperlink"/>
          </w:rPr>
          <w:t>JO L 152, 16.6.2009, p. 11</w:t>
        </w:r>
      </w:hyperlink>
      <w:r w:rsidR="005661D5">
        <w:t>.</w:t>
      </w:r>
    </w:p>
  </w:footnote>
  <w:footnote w:id="17">
    <w:p w14:paraId="0F4AF9A0" w14:textId="66EA5253" w:rsidR="00AA79E0" w:rsidRPr="006933B0" w:rsidRDefault="00AA79E0">
      <w:pPr>
        <w:pStyle w:val="FootnoteText"/>
      </w:pPr>
      <w:r>
        <w:rPr>
          <w:rStyle w:val="FootnoteReference"/>
        </w:rPr>
        <w:footnoteRef/>
      </w:r>
      <w:r>
        <w:tab/>
      </w:r>
      <w:hyperlink r:id="rId17" w:history="1">
        <w:r>
          <w:rPr>
            <w:rStyle w:val="Hyperlink"/>
          </w:rPr>
          <w:t>JO L 70, 16.3.2005, p. 1</w:t>
        </w:r>
      </w:hyperlink>
      <w:r>
        <w:t>.</w:t>
      </w:r>
    </w:p>
  </w:footnote>
  <w:footnote w:id="18">
    <w:p w14:paraId="4A57369B" w14:textId="7EA260DA" w:rsidR="00AA79E0" w:rsidRPr="006933B0" w:rsidRDefault="00AA79E0">
      <w:pPr>
        <w:pStyle w:val="FootnoteText"/>
      </w:pPr>
      <w:r>
        <w:rPr>
          <w:rStyle w:val="FootnoteReference"/>
        </w:rPr>
        <w:footnoteRef/>
      </w:r>
      <w:r>
        <w:tab/>
      </w:r>
      <w:hyperlink r:id="rId18" w:history="1">
        <w:r>
          <w:rPr>
            <w:rStyle w:val="Hyperlink"/>
          </w:rPr>
          <w:t>JO L 37, 13.2.1993, p. 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40160" w14:textId="77777777" w:rsidR="006E399B" w:rsidRPr="006E399B" w:rsidRDefault="006E399B" w:rsidP="006E39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AE1D8" w14:textId="77777777" w:rsidR="006E399B" w:rsidRPr="006E399B" w:rsidRDefault="006E399B" w:rsidP="006E39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F438B" w14:textId="77777777" w:rsidR="006E399B" w:rsidRPr="006E399B" w:rsidRDefault="006E399B" w:rsidP="006E39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AAED7" w14:textId="77777777" w:rsidR="006E399B" w:rsidRDefault="006E39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F6013" w14:textId="77777777" w:rsidR="006E399B" w:rsidRDefault="006E399B" w:rsidP="006E399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D971D" w14:textId="77777777" w:rsidR="006E399B" w:rsidRPr="006E399B" w:rsidRDefault="006E399B" w:rsidP="006E399B">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C09B4" w14:textId="77777777" w:rsidR="006E399B" w:rsidRPr="006E399B" w:rsidRDefault="006E399B" w:rsidP="006E39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B665BE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79E021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0C86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7241A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192FA9"/>
    <w:multiLevelType w:val="hybridMultilevel"/>
    <w:tmpl w:val="8CAE6E9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6"/>
  </w:num>
  <w:num w:numId="6">
    <w:abstractNumId w:val="16"/>
  </w:num>
  <w:num w:numId="7">
    <w:abstractNumId w:val="9"/>
  </w:num>
  <w:num w:numId="8">
    <w:abstractNumId w:val="18"/>
  </w:num>
  <w:num w:numId="9">
    <w:abstractNumId w:val="8"/>
  </w:num>
  <w:num w:numId="10">
    <w:abstractNumId w:val="10"/>
  </w:num>
  <w:num w:numId="11">
    <w:abstractNumId w:val="11"/>
  </w:num>
  <w:num w:numId="12">
    <w:abstractNumId w:val="5"/>
  </w:num>
  <w:num w:numId="13">
    <w:abstractNumId w:val="17"/>
  </w:num>
  <w:num w:numId="14">
    <w:abstractNumId w:val="4"/>
  </w:num>
  <w:num w:numId="15">
    <w:abstractNumId w:val="12"/>
  </w:num>
  <w:num w:numId="16">
    <w:abstractNumId w:val="14"/>
  </w:num>
  <w:num w:numId="17">
    <w:abstractNumId w:val="15"/>
  </w:num>
  <w:num w:numId="18">
    <w:abstractNumId w:val="7"/>
  </w:num>
  <w:num w:numId="19">
    <w:abstractNumId w:val="13"/>
  </w:num>
  <w:num w:numId="20">
    <w:abstractNumId w:val="19"/>
  </w:num>
  <w:num w:numId="21">
    <w:abstractNumId w:val="16"/>
  </w:num>
  <w:num w:numId="22">
    <w:abstractNumId w:val="9"/>
  </w:num>
  <w:num w:numId="23">
    <w:abstractNumId w:val="18"/>
  </w:num>
  <w:num w:numId="24">
    <w:abstractNumId w:val="8"/>
  </w:num>
  <w:num w:numId="25">
    <w:abstractNumId w:val="10"/>
  </w:num>
  <w:num w:numId="26">
    <w:abstractNumId w:val="11"/>
  </w:num>
  <w:num w:numId="27">
    <w:abstractNumId w:val="5"/>
  </w:num>
  <w:num w:numId="28">
    <w:abstractNumId w:val="17"/>
  </w:num>
  <w:num w:numId="29">
    <w:abstractNumId w:val="4"/>
  </w:num>
  <w:num w:numId="30">
    <w:abstractNumId w:val="12"/>
  </w:num>
  <w:num w:numId="31">
    <w:abstractNumId w:val="14"/>
  </w:num>
  <w:num w:numId="32">
    <w:abstractNumId w:val="15"/>
  </w:num>
  <w:num w:numId="33">
    <w:abstractNumId w:val="7"/>
  </w:num>
  <w:num w:numId="34">
    <w:abstractNumId w:val="13"/>
  </w:num>
  <w:num w:numId="3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19 09:49: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999999C-CA8D-4BF8-996E-98D82BC5016F"/>
    <w:docVar w:name="LW_COVERPAGE_TYPE" w:val="1"/>
    <w:docVar w:name="LW_CreatedUtc" w:val="2025-03-20T17:15:03.9934864Z"/>
    <w:docVar w:name="LW_CROSSREFERENCE" w:val="&lt;UNUSED&gt;"/>
    <w:docVar w:name="LW_DocType" w:val="ANNEX"/>
    <w:docVar w:name="LW_EMISSION" w:val="26.6.2026"/>
    <w:docVar w:name="LW_EMISSION_ISODATE" w:val="2026-06-26"/>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pozi\u539?ia care trebuie adoptat\u259?, în numele Uniunii, în cadrul comitetului mixt instituit prin Acordul dintre Comunitatea European\u259?, pe de o parte, \u537?i Guvernul Danemarcei \u537?i guvernul local al Insulelor Feroe, pe de alt\u259? parte, în ceea ce prive\u537?te normele de aplicare a protocolului privind chestiunile veterinare care completeaz\u259? acordul&lt;/FMT&gt;"/>
    <w:docVar w:name="LW_OBJETACTEPRINCIPAL.CP" w:val="&lt;FMT:Bold&gt;privind pozi\u539?ia care trebuie adoptat\u259?, în numele Uniunii, în cadrul comitetului mixt instituit prin Acordul dintre Comunitatea European\u259?, pe de o parte, \u537?i Guvernul Danemarcei \u537?i guvernul local al Insulelor Feroe, pe de alt\u259? parte, în ceea ce prive\u537?te normele de aplicare a protocolului privind chestiunile veterinare care completeaz\u259? acordul&lt;/FMT&gt;"/>
    <w:docVar w:name="LW_PART_NBR" w:val="1"/>
    <w:docVar w:name="LW_PART_NBR_TOTAL" w:val="1"/>
    <w:docVar w:name="LW_REF.INST.NEW" w:val="COM"/>
    <w:docVar w:name="LW_REF.INST.NEW_ADOPTED" w:val="final"/>
    <w:docVar w:name="LW_REF.INST.NEW_TEXT" w:val="(2026)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CE072C"/>
    <w:rsid w:val="00003EEE"/>
    <w:rsid w:val="00010AC0"/>
    <w:rsid w:val="000115AF"/>
    <w:rsid w:val="00055B9B"/>
    <w:rsid w:val="00062826"/>
    <w:rsid w:val="000654BC"/>
    <w:rsid w:val="000727F2"/>
    <w:rsid w:val="000904BE"/>
    <w:rsid w:val="000A3032"/>
    <w:rsid w:val="000A44EA"/>
    <w:rsid w:val="000A5961"/>
    <w:rsid w:val="000A626F"/>
    <w:rsid w:val="000A7461"/>
    <w:rsid w:val="000C1FBB"/>
    <w:rsid w:val="000C5F00"/>
    <w:rsid w:val="000E3FA2"/>
    <w:rsid w:val="000F0B95"/>
    <w:rsid w:val="000F7E04"/>
    <w:rsid w:val="00106B3A"/>
    <w:rsid w:val="001328C4"/>
    <w:rsid w:val="00133392"/>
    <w:rsid w:val="00133689"/>
    <w:rsid w:val="001422A8"/>
    <w:rsid w:val="00143CBC"/>
    <w:rsid w:val="00165C4F"/>
    <w:rsid w:val="00166C99"/>
    <w:rsid w:val="00176937"/>
    <w:rsid w:val="001B07A4"/>
    <w:rsid w:val="001B1424"/>
    <w:rsid w:val="001C78F5"/>
    <w:rsid w:val="001D2D79"/>
    <w:rsid w:val="001E0BBC"/>
    <w:rsid w:val="001F343E"/>
    <w:rsid w:val="001F358D"/>
    <w:rsid w:val="00206969"/>
    <w:rsid w:val="00214C95"/>
    <w:rsid w:val="00216334"/>
    <w:rsid w:val="002356AF"/>
    <w:rsid w:val="00242122"/>
    <w:rsid w:val="00244A25"/>
    <w:rsid w:val="0026347F"/>
    <w:rsid w:val="002647F0"/>
    <w:rsid w:val="00264A75"/>
    <w:rsid w:val="0026573F"/>
    <w:rsid w:val="00287E52"/>
    <w:rsid w:val="00290204"/>
    <w:rsid w:val="00292193"/>
    <w:rsid w:val="002959F8"/>
    <w:rsid w:val="002A2EA8"/>
    <w:rsid w:val="002A4D29"/>
    <w:rsid w:val="002B7137"/>
    <w:rsid w:val="002D7262"/>
    <w:rsid w:val="002E5354"/>
    <w:rsid w:val="002F6E7A"/>
    <w:rsid w:val="003063A3"/>
    <w:rsid w:val="003154C2"/>
    <w:rsid w:val="0031658C"/>
    <w:rsid w:val="0032298E"/>
    <w:rsid w:val="00323ACA"/>
    <w:rsid w:val="00337D62"/>
    <w:rsid w:val="00350667"/>
    <w:rsid w:val="00352097"/>
    <w:rsid w:val="00354D6F"/>
    <w:rsid w:val="00360618"/>
    <w:rsid w:val="00363FE2"/>
    <w:rsid w:val="00383FBC"/>
    <w:rsid w:val="003874A1"/>
    <w:rsid w:val="003917A1"/>
    <w:rsid w:val="003A6E37"/>
    <w:rsid w:val="003B5C1B"/>
    <w:rsid w:val="003B6FBD"/>
    <w:rsid w:val="003E2F4F"/>
    <w:rsid w:val="00420F28"/>
    <w:rsid w:val="004243F3"/>
    <w:rsid w:val="00437F8A"/>
    <w:rsid w:val="0045078E"/>
    <w:rsid w:val="0045176E"/>
    <w:rsid w:val="004817F0"/>
    <w:rsid w:val="00492EB7"/>
    <w:rsid w:val="004A51CC"/>
    <w:rsid w:val="004B046C"/>
    <w:rsid w:val="004B303E"/>
    <w:rsid w:val="004B5290"/>
    <w:rsid w:val="004C1836"/>
    <w:rsid w:val="004C5627"/>
    <w:rsid w:val="004D3625"/>
    <w:rsid w:val="004E3D06"/>
    <w:rsid w:val="004F44F5"/>
    <w:rsid w:val="004F4D7F"/>
    <w:rsid w:val="005041BC"/>
    <w:rsid w:val="005153A4"/>
    <w:rsid w:val="0051661A"/>
    <w:rsid w:val="00517139"/>
    <w:rsid w:val="00522BAC"/>
    <w:rsid w:val="00531367"/>
    <w:rsid w:val="0055556D"/>
    <w:rsid w:val="0055594E"/>
    <w:rsid w:val="00555A3B"/>
    <w:rsid w:val="005577E6"/>
    <w:rsid w:val="00565C67"/>
    <w:rsid w:val="005661D5"/>
    <w:rsid w:val="00571024"/>
    <w:rsid w:val="0057666A"/>
    <w:rsid w:val="00595998"/>
    <w:rsid w:val="00595D3F"/>
    <w:rsid w:val="005964C2"/>
    <w:rsid w:val="005A22C4"/>
    <w:rsid w:val="005A7F3A"/>
    <w:rsid w:val="005B0C82"/>
    <w:rsid w:val="005B1077"/>
    <w:rsid w:val="005B69D6"/>
    <w:rsid w:val="005C6F05"/>
    <w:rsid w:val="005C7063"/>
    <w:rsid w:val="005C7748"/>
    <w:rsid w:val="005D389A"/>
    <w:rsid w:val="005F097A"/>
    <w:rsid w:val="005F5D18"/>
    <w:rsid w:val="00617FF6"/>
    <w:rsid w:val="00626E37"/>
    <w:rsid w:val="00631005"/>
    <w:rsid w:val="006317DC"/>
    <w:rsid w:val="0063399C"/>
    <w:rsid w:val="00636DAB"/>
    <w:rsid w:val="00644E3D"/>
    <w:rsid w:val="00647783"/>
    <w:rsid w:val="00663D82"/>
    <w:rsid w:val="00675AFE"/>
    <w:rsid w:val="00684FF8"/>
    <w:rsid w:val="006933B0"/>
    <w:rsid w:val="006A6BCB"/>
    <w:rsid w:val="006B3F86"/>
    <w:rsid w:val="006C75BE"/>
    <w:rsid w:val="006D64EE"/>
    <w:rsid w:val="006D69FB"/>
    <w:rsid w:val="006E399B"/>
    <w:rsid w:val="006F6934"/>
    <w:rsid w:val="00704F13"/>
    <w:rsid w:val="007075FF"/>
    <w:rsid w:val="00733121"/>
    <w:rsid w:val="00740EA2"/>
    <w:rsid w:val="00772740"/>
    <w:rsid w:val="0078049C"/>
    <w:rsid w:val="00787DCB"/>
    <w:rsid w:val="0079511C"/>
    <w:rsid w:val="007A54A1"/>
    <w:rsid w:val="007A60C5"/>
    <w:rsid w:val="007C027F"/>
    <w:rsid w:val="007C58AE"/>
    <w:rsid w:val="007E1D01"/>
    <w:rsid w:val="007E2AAF"/>
    <w:rsid w:val="007E2E3C"/>
    <w:rsid w:val="007E7F77"/>
    <w:rsid w:val="00810A2C"/>
    <w:rsid w:val="008158E4"/>
    <w:rsid w:val="00820478"/>
    <w:rsid w:val="008211D3"/>
    <w:rsid w:val="00825347"/>
    <w:rsid w:val="00836BFE"/>
    <w:rsid w:val="00844973"/>
    <w:rsid w:val="00845A7A"/>
    <w:rsid w:val="00855B2A"/>
    <w:rsid w:val="00860DA4"/>
    <w:rsid w:val="00885B18"/>
    <w:rsid w:val="00891811"/>
    <w:rsid w:val="00896761"/>
    <w:rsid w:val="008A0D79"/>
    <w:rsid w:val="008A3953"/>
    <w:rsid w:val="008B1F6E"/>
    <w:rsid w:val="008B46BF"/>
    <w:rsid w:val="008D2993"/>
    <w:rsid w:val="008D6398"/>
    <w:rsid w:val="008F0342"/>
    <w:rsid w:val="008F2D56"/>
    <w:rsid w:val="0090126A"/>
    <w:rsid w:val="00905D22"/>
    <w:rsid w:val="00910BDE"/>
    <w:rsid w:val="009134AA"/>
    <w:rsid w:val="00916C3A"/>
    <w:rsid w:val="009251DC"/>
    <w:rsid w:val="00934FD1"/>
    <w:rsid w:val="0094191D"/>
    <w:rsid w:val="00943F26"/>
    <w:rsid w:val="00946576"/>
    <w:rsid w:val="009549FA"/>
    <w:rsid w:val="009573B0"/>
    <w:rsid w:val="00975D84"/>
    <w:rsid w:val="00981FE4"/>
    <w:rsid w:val="00986FC7"/>
    <w:rsid w:val="00992A2E"/>
    <w:rsid w:val="009B3217"/>
    <w:rsid w:val="009B3D33"/>
    <w:rsid w:val="009C4486"/>
    <w:rsid w:val="009E6696"/>
    <w:rsid w:val="009F75DF"/>
    <w:rsid w:val="00A16564"/>
    <w:rsid w:val="00A2042A"/>
    <w:rsid w:val="00A34F4E"/>
    <w:rsid w:val="00A354CB"/>
    <w:rsid w:val="00A35E64"/>
    <w:rsid w:val="00A50853"/>
    <w:rsid w:val="00A53B34"/>
    <w:rsid w:val="00A575F2"/>
    <w:rsid w:val="00A6243B"/>
    <w:rsid w:val="00A71F6D"/>
    <w:rsid w:val="00A746A7"/>
    <w:rsid w:val="00A90C9A"/>
    <w:rsid w:val="00A9778C"/>
    <w:rsid w:val="00AA79E0"/>
    <w:rsid w:val="00AB03FE"/>
    <w:rsid w:val="00AB1A58"/>
    <w:rsid w:val="00AC14BE"/>
    <w:rsid w:val="00AD64D6"/>
    <w:rsid w:val="00AE336A"/>
    <w:rsid w:val="00AF0EC6"/>
    <w:rsid w:val="00AF7C22"/>
    <w:rsid w:val="00B06713"/>
    <w:rsid w:val="00B07C39"/>
    <w:rsid w:val="00B211B8"/>
    <w:rsid w:val="00B22C3D"/>
    <w:rsid w:val="00B40F12"/>
    <w:rsid w:val="00B46825"/>
    <w:rsid w:val="00B474B4"/>
    <w:rsid w:val="00B52AEF"/>
    <w:rsid w:val="00B53038"/>
    <w:rsid w:val="00B73C3E"/>
    <w:rsid w:val="00B81FC0"/>
    <w:rsid w:val="00B82FC6"/>
    <w:rsid w:val="00BA1C02"/>
    <w:rsid w:val="00BA4F3C"/>
    <w:rsid w:val="00BA7532"/>
    <w:rsid w:val="00BB30BC"/>
    <w:rsid w:val="00BC0F4E"/>
    <w:rsid w:val="00BC617A"/>
    <w:rsid w:val="00BC6F2B"/>
    <w:rsid w:val="00BD26D0"/>
    <w:rsid w:val="00BD7D66"/>
    <w:rsid w:val="00BE5EE6"/>
    <w:rsid w:val="00BF1C6C"/>
    <w:rsid w:val="00BF5C86"/>
    <w:rsid w:val="00BF7C2D"/>
    <w:rsid w:val="00BF7FC4"/>
    <w:rsid w:val="00C25C49"/>
    <w:rsid w:val="00C50D16"/>
    <w:rsid w:val="00C57E80"/>
    <w:rsid w:val="00C83223"/>
    <w:rsid w:val="00C872E4"/>
    <w:rsid w:val="00C953CA"/>
    <w:rsid w:val="00CA005F"/>
    <w:rsid w:val="00CC1ACF"/>
    <w:rsid w:val="00CD63DD"/>
    <w:rsid w:val="00CE072C"/>
    <w:rsid w:val="00CE49C6"/>
    <w:rsid w:val="00CE66D5"/>
    <w:rsid w:val="00CF1598"/>
    <w:rsid w:val="00D050E1"/>
    <w:rsid w:val="00D063E5"/>
    <w:rsid w:val="00D328C4"/>
    <w:rsid w:val="00D3380E"/>
    <w:rsid w:val="00D33986"/>
    <w:rsid w:val="00D41E71"/>
    <w:rsid w:val="00D425D1"/>
    <w:rsid w:val="00D4639F"/>
    <w:rsid w:val="00D47F8D"/>
    <w:rsid w:val="00D601DA"/>
    <w:rsid w:val="00D72968"/>
    <w:rsid w:val="00D80589"/>
    <w:rsid w:val="00D858F8"/>
    <w:rsid w:val="00D940A2"/>
    <w:rsid w:val="00DA1D84"/>
    <w:rsid w:val="00DA58BF"/>
    <w:rsid w:val="00DB4FE4"/>
    <w:rsid w:val="00DC0134"/>
    <w:rsid w:val="00DD1F47"/>
    <w:rsid w:val="00DD6541"/>
    <w:rsid w:val="00DE5924"/>
    <w:rsid w:val="00DF1846"/>
    <w:rsid w:val="00DF1F1D"/>
    <w:rsid w:val="00DF4CC6"/>
    <w:rsid w:val="00E00C80"/>
    <w:rsid w:val="00E060CE"/>
    <w:rsid w:val="00E117EC"/>
    <w:rsid w:val="00E17B47"/>
    <w:rsid w:val="00E35AF4"/>
    <w:rsid w:val="00E36F06"/>
    <w:rsid w:val="00E41445"/>
    <w:rsid w:val="00E57295"/>
    <w:rsid w:val="00E64E65"/>
    <w:rsid w:val="00E703FA"/>
    <w:rsid w:val="00E72563"/>
    <w:rsid w:val="00EA7B06"/>
    <w:rsid w:val="00EB281E"/>
    <w:rsid w:val="00EB49DF"/>
    <w:rsid w:val="00EC08F7"/>
    <w:rsid w:val="00EF2C1C"/>
    <w:rsid w:val="00EF48DC"/>
    <w:rsid w:val="00F041DF"/>
    <w:rsid w:val="00F05891"/>
    <w:rsid w:val="00F11E54"/>
    <w:rsid w:val="00F217DE"/>
    <w:rsid w:val="00F314FA"/>
    <w:rsid w:val="00F361EA"/>
    <w:rsid w:val="00F4452A"/>
    <w:rsid w:val="00F61D73"/>
    <w:rsid w:val="00F648DC"/>
    <w:rsid w:val="00F7024E"/>
    <w:rsid w:val="00F76508"/>
    <w:rsid w:val="00F80595"/>
    <w:rsid w:val="00F82260"/>
    <w:rsid w:val="00F8630B"/>
    <w:rsid w:val="00FB4C65"/>
    <w:rsid w:val="00FB7FD7"/>
    <w:rsid w:val="00FC103A"/>
    <w:rsid w:val="00FC2ED6"/>
    <w:rsid w:val="00FE0E68"/>
    <w:rsid w:val="00FF12BF"/>
    <w:rsid w:val="08CA8F6C"/>
    <w:rsid w:val="0CF86111"/>
    <w:rsid w:val="116CED96"/>
    <w:rsid w:val="1C543DB6"/>
    <w:rsid w:val="22542ACF"/>
    <w:rsid w:val="22BD6B14"/>
    <w:rsid w:val="24E766F7"/>
    <w:rsid w:val="2CC942B6"/>
    <w:rsid w:val="2E996C36"/>
    <w:rsid w:val="32C4323F"/>
    <w:rsid w:val="3600B010"/>
    <w:rsid w:val="48DF09E9"/>
    <w:rsid w:val="5320F304"/>
    <w:rsid w:val="55DAA06B"/>
    <w:rsid w:val="5CE67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C3DD98"/>
  <w15:docId w15:val="{D7B67360-72D9-4E1A-8C4E-F8FE9DF8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072C"/>
    <w:rPr>
      <w:sz w:val="16"/>
      <w:szCs w:val="16"/>
    </w:rPr>
  </w:style>
  <w:style w:type="paragraph" w:styleId="CommentText">
    <w:name w:val="annotation text"/>
    <w:basedOn w:val="Normal"/>
    <w:link w:val="CommentTextChar"/>
    <w:uiPriority w:val="99"/>
    <w:unhideWhenUsed/>
    <w:rsid w:val="00CE072C"/>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CE072C"/>
    <w:rPr>
      <w:sz w:val="20"/>
      <w:szCs w:val="20"/>
      <w:lang w:val="ro-RO"/>
    </w:rPr>
  </w:style>
  <w:style w:type="paragraph" w:styleId="ListBullet">
    <w:name w:val="List Bullet"/>
    <w:basedOn w:val="Normal"/>
    <w:uiPriority w:val="99"/>
    <w:semiHidden/>
    <w:unhideWhenUsed/>
    <w:rsid w:val="00FE0E68"/>
    <w:pPr>
      <w:numPr>
        <w:numId w:val="1"/>
      </w:numPr>
      <w:contextualSpacing/>
    </w:pPr>
  </w:style>
  <w:style w:type="paragraph" w:styleId="ListBullet2">
    <w:name w:val="List Bullet 2"/>
    <w:basedOn w:val="Normal"/>
    <w:uiPriority w:val="99"/>
    <w:semiHidden/>
    <w:unhideWhenUsed/>
    <w:rsid w:val="00FE0E68"/>
    <w:pPr>
      <w:numPr>
        <w:numId w:val="2"/>
      </w:numPr>
      <w:contextualSpacing/>
    </w:pPr>
  </w:style>
  <w:style w:type="paragraph" w:styleId="ListBullet3">
    <w:name w:val="List Bullet 3"/>
    <w:basedOn w:val="Normal"/>
    <w:uiPriority w:val="99"/>
    <w:semiHidden/>
    <w:unhideWhenUsed/>
    <w:rsid w:val="00FE0E68"/>
    <w:pPr>
      <w:numPr>
        <w:numId w:val="3"/>
      </w:numPr>
      <w:contextualSpacing/>
    </w:pPr>
  </w:style>
  <w:style w:type="paragraph" w:styleId="ListBullet4">
    <w:name w:val="List Bullet 4"/>
    <w:basedOn w:val="Normal"/>
    <w:uiPriority w:val="99"/>
    <w:semiHidden/>
    <w:unhideWhenUsed/>
    <w:rsid w:val="00FE0E68"/>
    <w:pPr>
      <w:numPr>
        <w:numId w:val="4"/>
      </w:numPr>
      <w:contextualSpacing/>
    </w:pPr>
  </w:style>
  <w:style w:type="character" w:styleId="Hyperlink">
    <w:name w:val="Hyperlink"/>
    <w:basedOn w:val="DefaultParagraphFont"/>
    <w:uiPriority w:val="99"/>
    <w:unhideWhenUsed/>
    <w:rsid w:val="00287E52"/>
    <w:rPr>
      <w:color w:val="0000FF" w:themeColor="hyperlink"/>
      <w:u w:val="single"/>
    </w:rPr>
  </w:style>
  <w:style w:type="character" w:customStyle="1" w:styleId="UnresolvedMention">
    <w:name w:val="Unresolved Mention"/>
    <w:basedOn w:val="DefaultParagraphFont"/>
    <w:uiPriority w:val="99"/>
    <w:semiHidden/>
    <w:unhideWhenUsed/>
    <w:rsid w:val="00287E52"/>
    <w:rPr>
      <w:color w:val="605E5C"/>
      <w:shd w:val="clear" w:color="auto" w:fill="E1DFDD"/>
    </w:rPr>
  </w:style>
  <w:style w:type="paragraph" w:styleId="ListParagraph">
    <w:name w:val="List Paragraph"/>
    <w:basedOn w:val="Normal"/>
    <w:uiPriority w:val="34"/>
    <w:qFormat/>
    <w:rsid w:val="00287E52"/>
    <w:pPr>
      <w:ind w:left="720"/>
      <w:contextualSpacing/>
    </w:pPr>
  </w:style>
  <w:style w:type="paragraph" w:styleId="CommentSubject">
    <w:name w:val="annotation subject"/>
    <w:basedOn w:val="CommentText"/>
    <w:next w:val="CommentText"/>
    <w:link w:val="CommentSubjectChar"/>
    <w:uiPriority w:val="99"/>
    <w:semiHidden/>
    <w:unhideWhenUsed/>
    <w:rsid w:val="00E36F06"/>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E36F06"/>
    <w:rPr>
      <w:rFonts w:ascii="Times New Roman" w:hAnsi="Times New Roman" w:cs="Times New Roman"/>
      <w:b/>
      <w:bCs/>
      <w:sz w:val="20"/>
      <w:szCs w:val="20"/>
      <w:lang w:val="ro-RO"/>
    </w:rPr>
  </w:style>
  <w:style w:type="paragraph" w:styleId="Revision">
    <w:name w:val="Revision"/>
    <w:hidden/>
    <w:uiPriority w:val="99"/>
    <w:semiHidden/>
    <w:rsid w:val="00FF12BF"/>
    <w:pPr>
      <w:spacing w:after="0" w:line="240" w:lineRule="auto"/>
    </w:pPr>
    <w:rPr>
      <w:rFonts w:ascii="Times New Roman" w:hAnsi="Times New Roman" w:cs="Times New Roman"/>
      <w:sz w:val="24"/>
    </w:rPr>
  </w:style>
  <w:style w:type="table" w:styleId="TableGrid">
    <w:name w:val="Table Grid"/>
    <w:basedOn w:val="TableNormal"/>
    <w:uiPriority w:val="59"/>
    <w:rsid w:val="004C1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E66D5"/>
    <w:pPr>
      <w:spacing w:before="100" w:beforeAutospacing="1" w:after="100" w:afterAutospacing="1"/>
      <w:jc w:val="left"/>
    </w:pPr>
    <w:rPr>
      <w:rFonts w:eastAsia="Times New Roman"/>
      <w:szCs w:val="24"/>
      <w:lang w:eastAsia="fr-BE"/>
    </w:rPr>
  </w:style>
  <w:style w:type="character" w:styleId="FollowedHyperlink">
    <w:name w:val="FollowedHyperlink"/>
    <w:basedOn w:val="DefaultParagraphFont"/>
    <w:uiPriority w:val="99"/>
    <w:semiHidden/>
    <w:unhideWhenUsed/>
    <w:rsid w:val="00D80589"/>
    <w:rPr>
      <w:color w:val="800080" w:themeColor="followedHyperlink"/>
      <w:u w:val="single"/>
    </w:rPr>
  </w:style>
  <w:style w:type="character" w:customStyle="1" w:styleId="HeaderChar">
    <w:name w:val="Header Char"/>
    <w:basedOn w:val="DefaultParagraphFont"/>
    <w:link w:val="Header"/>
    <w:uiPriority w:val="99"/>
    <w:rsid w:val="006E399B"/>
    <w:rPr>
      <w:rFonts w:ascii="Times New Roman" w:hAnsi="Times New Roman" w:cs="Times New Roman"/>
      <w:sz w:val="24"/>
      <w:lang w:val="ro-RO"/>
    </w:rPr>
  </w:style>
  <w:style w:type="character" w:customStyle="1" w:styleId="FooterChar">
    <w:name w:val="Footer Char"/>
    <w:basedOn w:val="DefaultParagraphFont"/>
    <w:link w:val="Footer"/>
    <w:uiPriority w:val="99"/>
    <w:rsid w:val="006E399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E39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E399B"/>
    <w:pPr>
      <w:spacing w:before="0"/>
      <w:jc w:val="right"/>
    </w:pPr>
    <w:rPr>
      <w:sz w:val="28"/>
    </w:rPr>
  </w:style>
  <w:style w:type="paragraph" w:customStyle="1" w:styleId="FooterSensitivity">
    <w:name w:val="Footer Sensitivity"/>
    <w:basedOn w:val="Normal"/>
    <w:rsid w:val="006E39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E399B"/>
    <w:pPr>
      <w:tabs>
        <w:tab w:val="center" w:pos="4535"/>
        <w:tab w:val="right" w:pos="9071"/>
      </w:tabs>
      <w:spacing w:before="0"/>
    </w:pPr>
  </w:style>
  <w:style w:type="paragraph" w:customStyle="1" w:styleId="HeaderLandscape">
    <w:name w:val="HeaderLandscape"/>
    <w:basedOn w:val="Normal"/>
    <w:rsid w:val="006E399B"/>
    <w:pPr>
      <w:tabs>
        <w:tab w:val="center" w:pos="7285"/>
        <w:tab w:val="right" w:pos="14003"/>
      </w:tabs>
      <w:spacing w:before="0"/>
    </w:pPr>
  </w:style>
  <w:style w:type="paragraph" w:styleId="Footer">
    <w:name w:val="footer"/>
    <w:basedOn w:val="Normal"/>
    <w:link w:val="FooterChar"/>
    <w:uiPriority w:val="99"/>
    <w:unhideWhenUsed/>
    <w:rsid w:val="006E399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E399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70696">
      <w:bodyDiv w:val="1"/>
      <w:marLeft w:val="0"/>
      <w:marRight w:val="0"/>
      <w:marTop w:val="0"/>
      <w:marBottom w:val="0"/>
      <w:divBdr>
        <w:top w:val="none" w:sz="0" w:space="0" w:color="auto"/>
        <w:left w:val="none" w:sz="0" w:space="0" w:color="auto"/>
        <w:bottom w:val="none" w:sz="0" w:space="0" w:color="auto"/>
        <w:right w:val="none" w:sz="0" w:space="0" w:color="auto"/>
      </w:divBdr>
    </w:div>
    <w:div w:id="312947871">
      <w:bodyDiv w:val="1"/>
      <w:marLeft w:val="0"/>
      <w:marRight w:val="0"/>
      <w:marTop w:val="0"/>
      <w:marBottom w:val="0"/>
      <w:divBdr>
        <w:top w:val="none" w:sz="0" w:space="0" w:color="auto"/>
        <w:left w:val="none" w:sz="0" w:space="0" w:color="auto"/>
        <w:bottom w:val="none" w:sz="0" w:space="0" w:color="auto"/>
        <w:right w:val="none" w:sz="0" w:space="0" w:color="auto"/>
      </w:divBdr>
    </w:div>
    <w:div w:id="619846648">
      <w:bodyDiv w:val="1"/>
      <w:marLeft w:val="0"/>
      <w:marRight w:val="0"/>
      <w:marTop w:val="0"/>
      <w:marBottom w:val="0"/>
      <w:divBdr>
        <w:top w:val="none" w:sz="0" w:space="0" w:color="auto"/>
        <w:left w:val="none" w:sz="0" w:space="0" w:color="auto"/>
        <w:bottom w:val="none" w:sz="0" w:space="0" w:color="auto"/>
        <w:right w:val="none" w:sz="0" w:space="0" w:color="auto"/>
      </w:divBdr>
      <w:divsChild>
        <w:div w:id="631600668">
          <w:marLeft w:val="0"/>
          <w:marRight w:val="0"/>
          <w:marTop w:val="0"/>
          <w:marBottom w:val="0"/>
          <w:divBdr>
            <w:top w:val="none" w:sz="0" w:space="0" w:color="auto"/>
            <w:left w:val="none" w:sz="0" w:space="0" w:color="auto"/>
            <w:bottom w:val="none" w:sz="0" w:space="0" w:color="auto"/>
            <w:right w:val="none" w:sz="0" w:space="0" w:color="auto"/>
          </w:divBdr>
        </w:div>
        <w:div w:id="153448539">
          <w:marLeft w:val="0"/>
          <w:marRight w:val="0"/>
          <w:marTop w:val="0"/>
          <w:marBottom w:val="0"/>
          <w:divBdr>
            <w:top w:val="none" w:sz="0" w:space="0" w:color="auto"/>
            <w:left w:val="none" w:sz="0" w:space="0" w:color="auto"/>
            <w:bottom w:val="none" w:sz="0" w:space="0" w:color="auto"/>
            <w:right w:val="none" w:sz="0" w:space="0" w:color="auto"/>
          </w:divBdr>
        </w:div>
        <w:div w:id="1275986607">
          <w:marLeft w:val="0"/>
          <w:marRight w:val="0"/>
          <w:marTop w:val="0"/>
          <w:marBottom w:val="0"/>
          <w:divBdr>
            <w:top w:val="none" w:sz="0" w:space="0" w:color="auto"/>
            <w:left w:val="none" w:sz="0" w:space="0" w:color="auto"/>
            <w:bottom w:val="none" w:sz="0" w:space="0" w:color="auto"/>
            <w:right w:val="none" w:sz="0" w:space="0" w:color="auto"/>
          </w:divBdr>
        </w:div>
        <w:div w:id="1295402867">
          <w:marLeft w:val="0"/>
          <w:marRight w:val="0"/>
          <w:marTop w:val="0"/>
          <w:marBottom w:val="0"/>
          <w:divBdr>
            <w:top w:val="none" w:sz="0" w:space="0" w:color="auto"/>
            <w:left w:val="none" w:sz="0" w:space="0" w:color="auto"/>
            <w:bottom w:val="none" w:sz="0" w:space="0" w:color="auto"/>
            <w:right w:val="none" w:sz="0" w:space="0" w:color="auto"/>
          </w:divBdr>
        </w:div>
      </w:divsChild>
    </w:div>
    <w:div w:id="789906813">
      <w:bodyDiv w:val="1"/>
      <w:marLeft w:val="0"/>
      <w:marRight w:val="0"/>
      <w:marTop w:val="0"/>
      <w:marBottom w:val="0"/>
      <w:divBdr>
        <w:top w:val="none" w:sz="0" w:space="0" w:color="auto"/>
        <w:left w:val="none" w:sz="0" w:space="0" w:color="auto"/>
        <w:bottom w:val="none" w:sz="0" w:space="0" w:color="auto"/>
        <w:right w:val="none" w:sz="0" w:space="0" w:color="auto"/>
      </w:divBdr>
    </w:div>
    <w:div w:id="971323446">
      <w:bodyDiv w:val="1"/>
      <w:marLeft w:val="0"/>
      <w:marRight w:val="0"/>
      <w:marTop w:val="0"/>
      <w:marBottom w:val="0"/>
      <w:divBdr>
        <w:top w:val="none" w:sz="0" w:space="0" w:color="auto"/>
        <w:left w:val="none" w:sz="0" w:space="0" w:color="auto"/>
        <w:bottom w:val="none" w:sz="0" w:space="0" w:color="auto"/>
        <w:right w:val="none" w:sz="0" w:space="0" w:color="auto"/>
      </w:divBdr>
    </w:div>
    <w:div w:id="1274626652">
      <w:bodyDiv w:val="1"/>
      <w:marLeft w:val="0"/>
      <w:marRight w:val="0"/>
      <w:marTop w:val="0"/>
      <w:marBottom w:val="0"/>
      <w:divBdr>
        <w:top w:val="none" w:sz="0" w:space="0" w:color="auto"/>
        <w:left w:val="none" w:sz="0" w:space="0" w:color="auto"/>
        <w:bottom w:val="none" w:sz="0" w:space="0" w:color="auto"/>
        <w:right w:val="none" w:sz="0" w:space="0" w:color="auto"/>
      </w:divBdr>
    </w:div>
    <w:div w:id="1293513687">
      <w:bodyDiv w:val="1"/>
      <w:marLeft w:val="0"/>
      <w:marRight w:val="0"/>
      <w:marTop w:val="0"/>
      <w:marBottom w:val="0"/>
      <w:divBdr>
        <w:top w:val="none" w:sz="0" w:space="0" w:color="auto"/>
        <w:left w:val="none" w:sz="0" w:space="0" w:color="auto"/>
        <w:bottom w:val="none" w:sz="0" w:space="0" w:color="auto"/>
        <w:right w:val="none" w:sz="0" w:space="0" w:color="auto"/>
      </w:divBdr>
    </w:div>
    <w:div w:id="1344091995">
      <w:bodyDiv w:val="1"/>
      <w:marLeft w:val="0"/>
      <w:marRight w:val="0"/>
      <w:marTop w:val="0"/>
      <w:marBottom w:val="0"/>
      <w:divBdr>
        <w:top w:val="none" w:sz="0" w:space="0" w:color="auto"/>
        <w:left w:val="none" w:sz="0" w:space="0" w:color="auto"/>
        <w:bottom w:val="none" w:sz="0" w:space="0" w:color="auto"/>
        <w:right w:val="none" w:sz="0" w:space="0" w:color="auto"/>
      </w:divBdr>
    </w:div>
    <w:div w:id="1520584891">
      <w:bodyDiv w:val="1"/>
      <w:marLeft w:val="0"/>
      <w:marRight w:val="0"/>
      <w:marTop w:val="0"/>
      <w:marBottom w:val="0"/>
      <w:divBdr>
        <w:top w:val="none" w:sz="0" w:space="0" w:color="auto"/>
        <w:left w:val="none" w:sz="0" w:space="0" w:color="auto"/>
        <w:bottom w:val="none" w:sz="0" w:space="0" w:color="auto"/>
        <w:right w:val="none" w:sz="0" w:space="0" w:color="auto"/>
      </w:divBdr>
    </w:div>
    <w:div w:id="1595438333">
      <w:bodyDiv w:val="1"/>
      <w:marLeft w:val="0"/>
      <w:marRight w:val="0"/>
      <w:marTop w:val="0"/>
      <w:marBottom w:val="0"/>
      <w:divBdr>
        <w:top w:val="none" w:sz="0" w:space="0" w:color="auto"/>
        <w:left w:val="none" w:sz="0" w:space="0" w:color="auto"/>
        <w:bottom w:val="none" w:sz="0" w:space="0" w:color="auto"/>
        <w:right w:val="none" w:sz="0" w:space="0" w:color="auto"/>
      </w:divBdr>
    </w:div>
    <w:div w:id="1779914088">
      <w:bodyDiv w:val="1"/>
      <w:marLeft w:val="0"/>
      <w:marRight w:val="0"/>
      <w:marTop w:val="0"/>
      <w:marBottom w:val="0"/>
      <w:divBdr>
        <w:top w:val="none" w:sz="0" w:space="0" w:color="auto"/>
        <w:left w:val="none" w:sz="0" w:space="0" w:color="auto"/>
        <w:bottom w:val="none" w:sz="0" w:space="0" w:color="auto"/>
        <w:right w:val="none" w:sz="0" w:space="0" w:color="auto"/>
      </w:divBdr>
    </w:div>
    <w:div w:id="1810322172">
      <w:bodyDiv w:val="1"/>
      <w:marLeft w:val="0"/>
      <w:marRight w:val="0"/>
      <w:marTop w:val="0"/>
      <w:marBottom w:val="0"/>
      <w:divBdr>
        <w:top w:val="none" w:sz="0" w:space="0" w:color="auto"/>
        <w:left w:val="none" w:sz="0" w:space="0" w:color="auto"/>
        <w:bottom w:val="none" w:sz="0" w:space="0" w:color="auto"/>
        <w:right w:val="none" w:sz="0" w:space="0" w:color="auto"/>
      </w:divBdr>
    </w:div>
    <w:div w:id="1859461136">
      <w:bodyDiv w:val="1"/>
      <w:marLeft w:val="0"/>
      <w:marRight w:val="0"/>
      <w:marTop w:val="0"/>
      <w:marBottom w:val="0"/>
      <w:divBdr>
        <w:top w:val="none" w:sz="0" w:space="0" w:color="auto"/>
        <w:left w:val="none" w:sz="0" w:space="0" w:color="auto"/>
        <w:bottom w:val="none" w:sz="0" w:space="0" w:color="auto"/>
        <w:right w:val="none" w:sz="0" w:space="0" w:color="auto"/>
      </w:divBdr>
    </w:div>
    <w:div w:id="19775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32022R1255&amp;qid=1780818651786" TargetMode="External"/><Relationship Id="rId13" Type="http://schemas.openxmlformats.org/officeDocument/2006/relationships/hyperlink" Target="https://eur-lex.europa.eu/legal-content/RO/AUTO/?uri=OJ:L:2002:140:TOC" TargetMode="External"/><Relationship Id="rId18" Type="http://schemas.openxmlformats.org/officeDocument/2006/relationships/hyperlink" Target="http://data.europa.eu/eli/reg/1993/315/oj" TargetMode="External"/><Relationship Id="rId3" Type="http://schemas.openxmlformats.org/officeDocument/2006/relationships/hyperlink" Target="https://eur-lex.europa.eu/legal-content/RO/AUTO/?uri=OJ:L:2004:139:TOC" TargetMode="External"/><Relationship Id="rId7" Type="http://schemas.openxmlformats.org/officeDocument/2006/relationships/hyperlink" Target="http://data.europa.eu/eli/reg/2019/6/oj" TargetMode="External"/><Relationship Id="rId12" Type="http://schemas.openxmlformats.org/officeDocument/2006/relationships/hyperlink" Target="https://eur-lex.europa.eu/legal-content/RO/AUTO/?uri=OJ:L:2009:229:TOC" TargetMode="External"/><Relationship Id="rId17" Type="http://schemas.openxmlformats.org/officeDocument/2006/relationships/hyperlink" Target="https://eur-lex.europa.eu/legal-content/RO/AUTO/?uri=OJ:L:2005:070:TOC" TargetMode="External"/><Relationship Id="rId2" Type="http://schemas.openxmlformats.org/officeDocument/2006/relationships/hyperlink" Target="https://eur-lex.europa.eu/legal-content/RO/AUTO/?uri=OJ:L:2017:095:TOC" TargetMode="External"/><Relationship Id="rId16" Type="http://schemas.openxmlformats.org/officeDocument/2006/relationships/hyperlink" Target="http://data.europa.eu/eli/reg/2009/470/oj" TargetMode="External"/><Relationship Id="rId1" Type="http://schemas.openxmlformats.org/officeDocument/2006/relationships/hyperlink" Target="https://eur-lex.europa.eu/legal-content/RO/AUTO/?uri=OJ:L:2002:031:TOC" TargetMode="External"/><Relationship Id="rId6" Type="http://schemas.openxmlformats.org/officeDocument/2006/relationships/hyperlink" Target="https://eur-lex.europa.eu/legal-content/RO/AUTO/?uri=OJ:L:2016:084:TOC" TargetMode="External"/><Relationship Id="rId11" Type="http://schemas.openxmlformats.org/officeDocument/2006/relationships/hyperlink" Target="https://eur-lex.europa.eu/legal-content/RO/AUTO/?uri=OJ:L:1996:125:TOC" TargetMode="External"/><Relationship Id="rId5" Type="http://schemas.openxmlformats.org/officeDocument/2006/relationships/hyperlink" Target="https://eur-lex.europa.eu/legal-content/RO/AUTO/?uri=OJ:L:2005:035:TOC" TargetMode="External"/><Relationship Id="rId15" Type="http://schemas.openxmlformats.org/officeDocument/2006/relationships/hyperlink" Target="https://eur-lex.europa.eu/legal-content/RO/AUTO/?uri=OJ:L:2003:268:TOC" TargetMode="External"/><Relationship Id="rId10" Type="http://schemas.openxmlformats.org/officeDocument/2006/relationships/hyperlink" Target="https://eur-lex.europa.eu/legal-content/RO/AUTO/?uri=OJ:L:2009:300:TOC" TargetMode="External"/><Relationship Id="rId4" Type="http://schemas.openxmlformats.org/officeDocument/2006/relationships/hyperlink" Target="https://eur-lex.europa.eu/legal-content/RO/AUTO/?uri=OJ:L:2004:139:TOC" TargetMode="External"/><Relationship Id="rId9" Type="http://schemas.openxmlformats.org/officeDocument/2006/relationships/hyperlink" Target="http://data.europa.eu/eli/reg/2019/4/oj" TargetMode="External"/><Relationship Id="rId14" Type="http://schemas.openxmlformats.org/officeDocument/2006/relationships/hyperlink" Target="https://eur-lex.europa.eu/legal-content/RO/AUTO/?uri=OJ:L:2001:147: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FA1A55E79D784CA38BD8EA62C09A09" ma:contentTypeVersion="6" ma:contentTypeDescription="Create a new document." ma:contentTypeScope="" ma:versionID="cdad2050d0242bbbb3e38e686f58e4cf">
  <xsd:schema xmlns:xsd="http://www.w3.org/2001/XMLSchema" xmlns:xs="http://www.w3.org/2001/XMLSchema" xmlns:p="http://schemas.microsoft.com/office/2006/metadata/properties" xmlns:ns2="0747b363-7c8e-4bb9-be7d-1c4a12bf27c2" xmlns:ns3="7058b7d0-6f54-43d0-ac9b-f95b90dfb0dc" targetNamespace="http://schemas.microsoft.com/office/2006/metadata/properties" ma:root="true" ma:fieldsID="5406c57e2e7d0051d6f24838871ce40e" ns2:_="" ns3:_="">
    <xsd:import namespace="0747b363-7c8e-4bb9-be7d-1c4a12bf27c2"/>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7b363-7c8e-4bb9-be7d-1c4a12bf2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01F8F-9E3F-4482-A2CF-011CD22F32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5ECCD8-0EDB-49DA-8F22-539DA23F147C}">
  <ds:schemaRefs>
    <ds:schemaRef ds:uri="http://schemas.microsoft.com/sharepoint/v3/contenttype/forms"/>
  </ds:schemaRefs>
</ds:datastoreItem>
</file>

<file path=customXml/itemProps3.xml><?xml version="1.0" encoding="utf-8"?>
<ds:datastoreItem xmlns:ds="http://schemas.openxmlformats.org/officeDocument/2006/customXml" ds:itemID="{D0DE6452-6742-484E-B036-2084ACB5F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7b363-7c8e-4bb9-be7d-1c4a12bf27c2"/>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8AAAA7-3213-4D01-82FC-FC3116CF4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12</TotalTime>
  <Pages>10</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2025-12-04T09:34:00Z</cp:lastPrinted>
  <dcterms:created xsi:type="dcterms:W3CDTF">2026-06-09T15:53:00Z</dcterms:created>
  <dcterms:modified xsi:type="dcterms:W3CDTF">2026-06-19T07:49:00Z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2025-03-20T17:20:22Z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b8171b84-2ea8-4803-8dae-e38e892e3697</vt:lpwstr>
  </property>
  <property fmtid="{D5CDD505-2E9C-101B-9397-08002B2CF9AE}" pid="19" name="MSIP_Label_6bd9ddd1-4d20-43f6-abfa-fc3c07406f94_ContentBits">
    <vt:lpwstr>0</vt:lpwstr>
  </property>
  <property fmtid="{D5CDD505-2E9C-101B-9397-08002B2CF9AE}" pid="20" name="ContentTypeId">
    <vt:lpwstr>0x01010053FA1A55E79D784CA38BD8EA62C09A09</vt:lpwstr>
  </property>
  <property fmtid="{D5CDD505-2E9C-101B-9397-08002B2CF9AE}" pid="21" name="DQCStatus">
    <vt:lpwstr>Green (DQC version 03)</vt:lpwstr>
  </property>
</Properties>
</file>